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039BD">
      <w:pPr>
        <w:shd w:val="clear"/>
        <w:jc w:val="center"/>
        <w:rPr>
          <w:rFonts w:hint="eastAsia" w:ascii="Times New Roman" w:hAnsi="Times New Roman" w:eastAsia="宋体" w:cs="Times New Roman"/>
          <w:color w:val="auto"/>
          <w:sz w:val="72"/>
          <w:szCs w:val="72"/>
          <w:highlight w:val="none"/>
          <w:lang w:eastAsia="zh-CN"/>
        </w:rPr>
      </w:pPr>
      <w:bookmarkStart w:id="0" w:name="_Toc10516"/>
      <w:bookmarkStart w:id="1" w:name="_Toc27577"/>
      <w:bookmarkStart w:id="2" w:name="_Toc18270"/>
      <w:bookmarkStart w:id="38" w:name="_GoBack"/>
      <w:bookmarkEnd w:id="38"/>
    </w:p>
    <w:p w14:paraId="4BFED11E">
      <w:pPr>
        <w:shd w:val="clear"/>
        <w:jc w:val="center"/>
        <w:rPr>
          <w:rFonts w:hint="default" w:ascii="Times New Roman" w:hAnsi="Times New Roman" w:eastAsia="宋体" w:cs="Times New Roman"/>
          <w:color w:val="auto"/>
          <w:sz w:val="72"/>
          <w:szCs w:val="72"/>
          <w:highlight w:val="none"/>
        </w:rPr>
      </w:pPr>
      <w:r>
        <w:rPr>
          <w:rFonts w:hint="default" w:ascii="Times New Roman" w:hAnsi="Times New Roman" w:eastAsia="宋体" w:cs="Times New Roman"/>
          <w:color w:val="auto"/>
          <w:sz w:val="72"/>
          <w:szCs w:val="72"/>
          <w:highlight w:val="none"/>
        </w:rPr>
        <w:t>建设项目环境影响报告表</w:t>
      </w:r>
      <w:bookmarkEnd w:id="0"/>
      <w:bookmarkEnd w:id="1"/>
    </w:p>
    <w:p w14:paraId="1AB51910">
      <w:pPr>
        <w:shd w:val="clear"/>
        <w:adjustRightInd w:val="0"/>
        <w:snapToGrid w:val="0"/>
        <w:spacing w:before="192" w:beforeLines="80"/>
        <w:jc w:val="center"/>
        <w:rPr>
          <w:rFonts w:hint="default" w:ascii="Times New Roman" w:hAnsi="Times New Roman" w:eastAsia="宋体" w:cs="Times New Roman"/>
          <w:bCs/>
          <w:color w:val="auto"/>
          <w:sz w:val="48"/>
          <w:szCs w:val="48"/>
          <w:highlight w:val="none"/>
        </w:rPr>
      </w:pPr>
      <w:r>
        <w:rPr>
          <w:rFonts w:hint="default" w:ascii="Times New Roman" w:hAnsi="Times New Roman" w:eastAsia="宋体" w:cs="Times New Roman"/>
          <w:bCs/>
          <w:color w:val="auto"/>
          <w:sz w:val="48"/>
          <w:szCs w:val="48"/>
          <w:highlight w:val="none"/>
        </w:rPr>
        <w:t>（污染影响类）</w:t>
      </w:r>
    </w:p>
    <w:p w14:paraId="758DFEC9">
      <w:pPr>
        <w:shd w:val="clear"/>
        <w:adjustRightInd w:val="0"/>
        <w:snapToGrid w:val="0"/>
        <w:spacing w:line="288" w:lineRule="auto"/>
        <w:ind w:firstLine="1040"/>
        <w:rPr>
          <w:rFonts w:hint="default" w:ascii="Times New Roman" w:hAnsi="Times New Roman" w:eastAsia="宋体" w:cs="Times New Roman"/>
          <w:color w:val="auto"/>
          <w:sz w:val="36"/>
          <w:szCs w:val="36"/>
          <w:highlight w:val="none"/>
        </w:rPr>
      </w:pPr>
    </w:p>
    <w:p w14:paraId="6E3D454E">
      <w:pPr>
        <w:shd w:val="clear"/>
        <w:adjustRightInd w:val="0"/>
        <w:snapToGrid w:val="0"/>
        <w:spacing w:line="288" w:lineRule="auto"/>
        <w:ind w:firstLine="1040"/>
        <w:rPr>
          <w:rFonts w:hint="default" w:ascii="Times New Roman" w:hAnsi="Times New Roman" w:eastAsia="宋体" w:cs="Times New Roman"/>
          <w:color w:val="auto"/>
          <w:sz w:val="36"/>
          <w:szCs w:val="36"/>
          <w:highlight w:val="none"/>
        </w:rPr>
      </w:pPr>
    </w:p>
    <w:p w14:paraId="1507B06B">
      <w:pPr>
        <w:shd w:val="clear"/>
        <w:adjustRightInd w:val="0"/>
        <w:snapToGrid w:val="0"/>
        <w:spacing w:line="288" w:lineRule="auto"/>
        <w:ind w:firstLine="1040"/>
        <w:rPr>
          <w:rFonts w:hint="default" w:ascii="Times New Roman" w:hAnsi="Times New Roman" w:eastAsia="宋体" w:cs="Times New Roman"/>
          <w:color w:val="auto"/>
          <w:sz w:val="36"/>
          <w:szCs w:val="36"/>
          <w:highlight w:val="none"/>
        </w:rPr>
      </w:pPr>
    </w:p>
    <w:p w14:paraId="4D704392">
      <w:pPr>
        <w:shd w:val="clear"/>
        <w:adjustRightInd w:val="0"/>
        <w:snapToGrid w:val="0"/>
        <w:spacing w:line="288" w:lineRule="auto"/>
        <w:ind w:firstLine="1040"/>
        <w:rPr>
          <w:rFonts w:hint="default" w:ascii="Times New Roman" w:hAnsi="Times New Roman" w:eastAsia="宋体" w:cs="Times New Roman"/>
          <w:color w:val="auto"/>
          <w:sz w:val="36"/>
          <w:szCs w:val="36"/>
          <w:highlight w:val="none"/>
        </w:rPr>
      </w:pPr>
    </w:p>
    <w:p w14:paraId="735C3A85">
      <w:pPr>
        <w:shd w:val="clear"/>
        <w:adjustRightInd w:val="0"/>
        <w:snapToGrid w:val="0"/>
        <w:spacing w:line="288" w:lineRule="auto"/>
        <w:ind w:firstLine="1040"/>
        <w:rPr>
          <w:rFonts w:hint="default" w:ascii="Times New Roman" w:hAnsi="Times New Roman" w:eastAsia="宋体" w:cs="Times New Roman"/>
          <w:color w:val="auto"/>
          <w:sz w:val="36"/>
          <w:szCs w:val="36"/>
          <w:highlight w:val="none"/>
        </w:rPr>
      </w:pPr>
    </w:p>
    <w:p w14:paraId="1FB82B2A">
      <w:pPr>
        <w:shd w:val="clear"/>
        <w:ind w:firstLine="1040"/>
        <w:rPr>
          <w:rFonts w:hint="default" w:ascii="Times New Roman" w:hAnsi="Times New Roman" w:eastAsia="宋体" w:cs="Times New Roman"/>
          <w:color w:val="auto"/>
          <w:sz w:val="44"/>
          <w:szCs w:val="44"/>
          <w:highlight w:val="none"/>
        </w:rPr>
      </w:pPr>
    </w:p>
    <w:p w14:paraId="475BDD10">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项目名称：</w:t>
      </w:r>
      <w:r>
        <w:rPr>
          <w:rFonts w:hint="default" w:ascii="Times New Roman" w:hAnsi="Times New Roman" w:eastAsia="宋体" w:cs="Times New Roman"/>
          <w:color w:val="auto"/>
          <w:sz w:val="36"/>
          <w:szCs w:val="36"/>
          <w:highlight w:val="none"/>
          <w:u w:val="single"/>
          <w:lang w:val="en-US" w:eastAsia="zh-CN"/>
        </w:rPr>
        <w:t>昆明滇皖建材有限公司新型墙体材料新建项目</w:t>
      </w:r>
    </w:p>
    <w:p w14:paraId="7915BB4F">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建设单位（盖章）：</w:t>
      </w:r>
      <w:r>
        <w:rPr>
          <w:rFonts w:hint="default" w:ascii="Times New Roman" w:hAnsi="Times New Roman" w:eastAsia="宋体" w:cs="Times New Roman"/>
          <w:color w:val="auto"/>
          <w:sz w:val="36"/>
          <w:szCs w:val="36"/>
          <w:highlight w:val="none"/>
          <w:u w:val="single"/>
          <w:lang w:val="en-US" w:eastAsia="zh-CN"/>
        </w:rPr>
        <w:t>昆明滇皖建材有限公司</w:t>
      </w:r>
    </w:p>
    <w:p w14:paraId="48F05652">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编制日期：</w:t>
      </w:r>
      <w:r>
        <w:rPr>
          <w:rFonts w:hint="default" w:ascii="Times New Roman" w:hAnsi="Times New Roman" w:eastAsia="宋体" w:cs="Times New Roman"/>
          <w:color w:val="auto"/>
          <w:sz w:val="36"/>
          <w:szCs w:val="36"/>
          <w:highlight w:val="none"/>
          <w:u w:val="single"/>
        </w:rPr>
        <w:t xml:space="preserve"> 202</w:t>
      </w:r>
      <w:r>
        <w:rPr>
          <w:rFonts w:hint="eastAsia" w:cs="Times New Roman"/>
          <w:color w:val="auto"/>
          <w:sz w:val="36"/>
          <w:szCs w:val="36"/>
          <w:highlight w:val="none"/>
          <w:u w:val="single"/>
          <w:lang w:val="en-US" w:eastAsia="zh-CN"/>
        </w:rPr>
        <w:t>4</w:t>
      </w:r>
      <w:r>
        <w:rPr>
          <w:rFonts w:hint="default" w:ascii="Times New Roman" w:hAnsi="Times New Roman" w:eastAsia="宋体" w:cs="Times New Roman"/>
          <w:color w:val="auto"/>
          <w:sz w:val="36"/>
          <w:szCs w:val="36"/>
          <w:highlight w:val="none"/>
          <w:u w:val="single"/>
        </w:rPr>
        <w:t>年</w:t>
      </w:r>
      <w:r>
        <w:rPr>
          <w:rFonts w:hint="eastAsia" w:cs="Times New Roman"/>
          <w:color w:val="auto"/>
          <w:sz w:val="36"/>
          <w:szCs w:val="36"/>
          <w:highlight w:val="none"/>
          <w:u w:val="single"/>
          <w:lang w:val="en-US" w:eastAsia="zh-CN"/>
        </w:rPr>
        <w:t>3</w:t>
      </w:r>
      <w:r>
        <w:rPr>
          <w:rFonts w:hint="default" w:ascii="Times New Roman" w:hAnsi="Times New Roman" w:eastAsia="宋体" w:cs="Times New Roman"/>
          <w:color w:val="auto"/>
          <w:sz w:val="36"/>
          <w:szCs w:val="36"/>
          <w:highlight w:val="none"/>
          <w:u w:val="single"/>
        </w:rPr>
        <w:t>月</w:t>
      </w:r>
      <w:r>
        <w:rPr>
          <w:rFonts w:hint="eastAsia" w:cs="Times New Roman"/>
          <w:color w:val="auto"/>
          <w:sz w:val="36"/>
          <w:szCs w:val="36"/>
          <w:highlight w:val="none"/>
          <w:u w:val="single"/>
          <w:lang w:val="en-US" w:eastAsia="zh-CN"/>
        </w:rPr>
        <w:t xml:space="preserve"> </w:t>
      </w:r>
    </w:p>
    <w:p w14:paraId="773BA986">
      <w:pPr>
        <w:shd w:val="clear"/>
        <w:adjustRightInd w:val="0"/>
        <w:snapToGrid w:val="0"/>
        <w:spacing w:line="288" w:lineRule="auto"/>
        <w:ind w:firstLine="1040"/>
        <w:rPr>
          <w:rFonts w:hint="default" w:ascii="Times New Roman" w:hAnsi="Times New Roman" w:eastAsia="宋体" w:cs="Times New Roman"/>
          <w:color w:val="auto"/>
          <w:sz w:val="36"/>
          <w:szCs w:val="36"/>
          <w:highlight w:val="none"/>
          <w:u w:val="single"/>
        </w:rPr>
      </w:pPr>
      <w:bookmarkStart w:id="3" w:name="_Hlk57884087"/>
    </w:p>
    <w:p w14:paraId="280EDAA3">
      <w:pPr>
        <w:shd w:val="clear"/>
        <w:adjustRightInd w:val="0"/>
        <w:snapToGrid w:val="0"/>
        <w:spacing w:line="288" w:lineRule="auto"/>
        <w:ind w:firstLine="1040"/>
        <w:rPr>
          <w:rFonts w:hint="default" w:ascii="Times New Roman" w:hAnsi="Times New Roman" w:eastAsia="宋体" w:cs="Times New Roman"/>
          <w:color w:val="auto"/>
          <w:sz w:val="36"/>
          <w:szCs w:val="36"/>
          <w:highlight w:val="none"/>
        </w:rPr>
      </w:pPr>
    </w:p>
    <w:p w14:paraId="0641E1C0">
      <w:pPr>
        <w:shd w:val="clear"/>
        <w:adjustRightInd w:val="0"/>
        <w:snapToGrid w:val="0"/>
        <w:spacing w:line="288" w:lineRule="auto"/>
        <w:ind w:firstLine="1040"/>
        <w:rPr>
          <w:rFonts w:hint="default" w:ascii="Times New Roman" w:hAnsi="Times New Roman" w:eastAsia="宋体" w:cs="Times New Roman"/>
          <w:color w:val="auto"/>
          <w:sz w:val="36"/>
          <w:szCs w:val="36"/>
          <w:highlight w:val="none"/>
        </w:rPr>
      </w:pPr>
    </w:p>
    <w:p w14:paraId="33AC219E">
      <w:pPr>
        <w:shd w:val="clear"/>
        <w:adjustRightInd w:val="0"/>
        <w:snapToGrid w:val="0"/>
        <w:spacing w:line="288" w:lineRule="auto"/>
        <w:ind w:firstLine="1040"/>
        <w:rPr>
          <w:rFonts w:hint="default" w:ascii="Times New Roman" w:hAnsi="Times New Roman" w:eastAsia="宋体" w:cs="Times New Roman"/>
          <w:color w:val="auto"/>
          <w:sz w:val="36"/>
          <w:szCs w:val="36"/>
          <w:highlight w:val="none"/>
          <w:u w:val="single"/>
        </w:rPr>
      </w:pPr>
    </w:p>
    <w:p w14:paraId="529E8D37">
      <w:pPr>
        <w:shd w:val="clear"/>
        <w:adjustRightInd w:val="0"/>
        <w:snapToGrid w:val="0"/>
        <w:spacing w:line="288" w:lineRule="auto"/>
        <w:ind w:firstLine="1040"/>
        <w:rPr>
          <w:rFonts w:hint="default" w:ascii="Times New Roman" w:hAnsi="Times New Roman" w:eastAsia="宋体" w:cs="Times New Roman"/>
          <w:color w:val="auto"/>
          <w:sz w:val="36"/>
          <w:szCs w:val="36"/>
          <w:highlight w:val="none"/>
          <w:u w:val="single"/>
        </w:rPr>
      </w:pPr>
    </w:p>
    <w:p w14:paraId="0C4E90C8">
      <w:pPr>
        <w:shd w:val="clear"/>
        <w:adjustRightInd w:val="0"/>
        <w:snapToGrid w:val="0"/>
        <w:spacing w:line="288" w:lineRule="auto"/>
        <w:ind w:firstLine="1040"/>
        <w:rPr>
          <w:rFonts w:hint="default" w:ascii="Times New Roman" w:hAnsi="Times New Roman" w:eastAsia="宋体" w:cs="Times New Roman"/>
          <w:color w:val="auto"/>
          <w:sz w:val="36"/>
          <w:szCs w:val="36"/>
          <w:highlight w:val="none"/>
          <w:u w:val="single"/>
        </w:rPr>
      </w:pPr>
    </w:p>
    <w:p w14:paraId="52250E14">
      <w:pPr>
        <w:shd w:val="clear"/>
        <w:adjustRightInd w:val="0"/>
        <w:snapToGrid w:val="0"/>
        <w:spacing w:line="288" w:lineRule="auto"/>
        <w:ind w:firstLine="1040"/>
        <w:rPr>
          <w:rFonts w:hint="default" w:ascii="Times New Roman" w:hAnsi="Times New Roman" w:eastAsia="宋体" w:cs="Times New Roman"/>
          <w:color w:val="auto"/>
          <w:sz w:val="36"/>
          <w:szCs w:val="36"/>
          <w:highlight w:val="none"/>
        </w:rPr>
      </w:pPr>
    </w:p>
    <w:bookmarkEnd w:id="3"/>
    <w:p w14:paraId="659413A1">
      <w:pPr>
        <w:shd w:val="clear"/>
        <w:adjustRightInd w:val="0"/>
        <w:snapToGrid w:val="0"/>
        <w:spacing w:line="288" w:lineRule="auto"/>
        <w:jc w:val="center"/>
        <w:rPr>
          <w:rFonts w:hint="default" w:ascii="Times New Roman" w:hAnsi="Times New Roman" w:eastAsia="宋体" w:cs="Times New Roman"/>
          <w:color w:val="auto"/>
          <w:sz w:val="36"/>
          <w:szCs w:val="36"/>
          <w:highlight w:val="none"/>
        </w:rPr>
      </w:pPr>
      <w:r>
        <w:rPr>
          <w:rFonts w:hint="default" w:ascii="Times New Roman" w:hAnsi="Times New Roman" w:eastAsia="宋体" w:cs="Times New Roman"/>
          <w:color w:val="auto"/>
          <w:sz w:val="36"/>
          <w:szCs w:val="36"/>
          <w:highlight w:val="none"/>
        </w:rPr>
        <w:t>中华人民共和国生态环境部制</w:t>
      </w:r>
    </w:p>
    <w:p w14:paraId="594B8748">
      <w:pPr>
        <w:shd w:val="clear"/>
        <w:adjustRightInd w:val="0"/>
        <w:snapToGrid w:val="0"/>
        <w:spacing w:line="288" w:lineRule="auto"/>
        <w:ind w:firstLine="1040"/>
        <w:rPr>
          <w:rFonts w:hint="default" w:ascii="Times New Roman" w:hAnsi="Times New Roman" w:eastAsia="宋体" w:cs="Times New Roman"/>
          <w:color w:val="auto"/>
          <w:sz w:val="36"/>
          <w:szCs w:val="36"/>
          <w:highlight w:val="none"/>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22780558">
      <w:pPr>
        <w:shd w:val="clear"/>
        <w:spacing w:before="0" w:beforeLines="0" w:after="0" w:afterLines="0" w:line="240" w:lineRule="auto"/>
        <w:ind w:left="0" w:leftChars="0" w:right="0" w:rightChars="0" w:firstLine="0" w:firstLineChars="0"/>
        <w:jc w:val="center"/>
        <w:rPr>
          <w:rFonts w:hint="default" w:ascii="Times New Roman" w:hAnsi="Times New Roman" w:eastAsia="宋体" w:cs="Times New Roman"/>
          <w:color w:val="auto"/>
          <w:sz w:val="32"/>
          <w:szCs w:val="32"/>
          <w:highlight w:val="none"/>
          <w:lang w:val="en-US" w:eastAsia="zh-CN"/>
        </w:rPr>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EE160A7">
      <w:pPr>
        <w:shd w:val="clear"/>
        <w:adjustRightInd w:val="0"/>
        <w:snapToGrid w:val="0"/>
        <w:spacing w:line="360" w:lineRule="auto"/>
        <w:jc w:val="cente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目</w:t>
      </w:r>
      <w:r>
        <w:rPr>
          <w:rFonts w:hint="default" w:ascii="Times New Roman" w:hAnsi="Times New Roman" w:eastAsia="宋体" w:cs="Times New Roman"/>
          <w:b/>
          <w:bCs/>
          <w:color w:val="auto"/>
          <w:sz w:val="28"/>
          <w:szCs w:val="28"/>
          <w:highlight w:val="none"/>
          <w:lang w:val="en-US" w:eastAsia="zh-CN"/>
        </w:rPr>
        <w:t xml:space="preserve">  </w:t>
      </w:r>
      <w:r>
        <w:rPr>
          <w:rFonts w:hint="default" w:ascii="Times New Roman" w:hAnsi="Times New Roman" w:eastAsia="宋体" w:cs="Times New Roman"/>
          <w:b/>
          <w:bCs/>
          <w:color w:val="auto"/>
          <w:sz w:val="28"/>
          <w:szCs w:val="28"/>
          <w:highlight w:val="none"/>
        </w:rPr>
        <w:t>录</w:t>
      </w:r>
    </w:p>
    <w:p w14:paraId="2B689BDC">
      <w:pPr>
        <w:pStyle w:val="21"/>
        <w:keepNext w:val="0"/>
        <w:keepLines w:val="0"/>
        <w:pageBreakBefore w:val="0"/>
        <w:shd w:val="clear"/>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TOC \o "1-1" \h \u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_Toc20961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一、建设项目基本情况</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_Toc20961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14:paraId="2F0E1DD3">
      <w:pPr>
        <w:pStyle w:val="21"/>
        <w:keepNext w:val="0"/>
        <w:keepLines w:val="0"/>
        <w:pageBreakBefore w:val="0"/>
        <w:shd w:val="clear"/>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_Toc1587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二、建设项目工程分析</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_Toc1587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30</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14:paraId="133C3335">
      <w:pPr>
        <w:pStyle w:val="21"/>
        <w:keepNext w:val="0"/>
        <w:keepLines w:val="0"/>
        <w:pageBreakBefore w:val="0"/>
        <w:shd w:val="clear"/>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_Toc7404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三、区域环境质量现状、环境保护目标及评价标准</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_Toc7404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45</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14:paraId="732F0744">
      <w:pPr>
        <w:pStyle w:val="21"/>
        <w:keepNext w:val="0"/>
        <w:keepLines w:val="0"/>
        <w:pageBreakBefore w:val="0"/>
        <w:shd w:val="clear"/>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_Toc6112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四、主要环境影响和保护措施</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_Toc6112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53</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14:paraId="5DC1B85E">
      <w:pPr>
        <w:pStyle w:val="21"/>
        <w:keepNext w:val="0"/>
        <w:keepLines w:val="0"/>
        <w:pageBreakBefore w:val="0"/>
        <w:shd w:val="clear"/>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_Toc6939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五、环境保护措施监督检查清单</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_Toc6939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100</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14:paraId="4A2FD6CE">
      <w:pPr>
        <w:pStyle w:val="21"/>
        <w:keepNext w:val="0"/>
        <w:keepLines w:val="0"/>
        <w:pageBreakBefore w:val="0"/>
        <w:shd w:val="clear"/>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_Toc24787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六、结论</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_Toc24787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103</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14:paraId="66BF9C8B">
      <w:pPr>
        <w:pStyle w:val="21"/>
        <w:keepNext w:val="0"/>
        <w:keepLines w:val="0"/>
        <w:pageBreakBefore w:val="0"/>
        <w:shd w:val="clear"/>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Cs/>
          <w:color w:val="auto"/>
          <w:sz w:val="28"/>
          <w:szCs w:val="28"/>
          <w:highlight w:val="none"/>
        </w:rPr>
        <w:fldChar w:fldCharType="begin"/>
      </w:r>
      <w:r>
        <w:rPr>
          <w:rFonts w:hint="default" w:ascii="Times New Roman" w:hAnsi="Times New Roman" w:eastAsia="宋体" w:cs="Times New Roman"/>
          <w:bCs/>
          <w:color w:val="auto"/>
          <w:sz w:val="28"/>
          <w:szCs w:val="28"/>
          <w:highlight w:val="none"/>
        </w:rPr>
        <w:instrText xml:space="preserve"> HYPERLINK \l _Toc24156 </w:instrText>
      </w:r>
      <w:r>
        <w:rPr>
          <w:rFonts w:hint="default" w:ascii="Times New Roman" w:hAnsi="Times New Roman" w:eastAsia="宋体" w:cs="Times New Roman"/>
          <w:bCs/>
          <w:color w:val="auto"/>
          <w:sz w:val="28"/>
          <w:szCs w:val="28"/>
          <w:highlight w:val="none"/>
        </w:rPr>
        <w:fldChar w:fldCharType="separate"/>
      </w:r>
      <w:r>
        <w:rPr>
          <w:rFonts w:hint="default" w:ascii="Times New Roman" w:hAnsi="Times New Roman" w:eastAsia="宋体" w:cs="Times New Roman"/>
          <w:bCs/>
          <w:snapToGrid w:val="0"/>
          <w:color w:val="auto"/>
          <w:sz w:val="28"/>
          <w:szCs w:val="28"/>
          <w:highlight w:val="none"/>
        </w:rPr>
        <w:t>附表</w:t>
      </w:r>
      <w:r>
        <w:rPr>
          <w:rFonts w:hint="default" w:ascii="Times New Roman" w:hAnsi="Times New Roman" w:eastAsia="宋体" w:cs="Times New Roman"/>
          <w:color w:val="auto"/>
          <w:sz w:val="28"/>
          <w:szCs w:val="28"/>
          <w:highlight w:val="none"/>
        </w:rPr>
        <w:tab/>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PAGEREF _Toc24156 \h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104</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eastAsia="宋体" w:cs="Times New Roman"/>
          <w:bCs/>
          <w:color w:val="auto"/>
          <w:sz w:val="28"/>
          <w:szCs w:val="28"/>
          <w:highlight w:val="none"/>
        </w:rPr>
        <w:fldChar w:fldCharType="end"/>
      </w:r>
    </w:p>
    <w:p w14:paraId="7980D063">
      <w:pPr>
        <w:pStyle w:val="25"/>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4"/>
          <w:szCs w:val="24"/>
          <w:highlight w:val="none"/>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bCs/>
          <w:color w:val="auto"/>
          <w:sz w:val="28"/>
          <w:szCs w:val="28"/>
          <w:highlight w:val="none"/>
        </w:rPr>
        <w:fldChar w:fldCharType="end"/>
      </w:r>
    </w:p>
    <w:p w14:paraId="502A128B">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附件：</w:t>
      </w:r>
    </w:p>
    <w:p w14:paraId="733F238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附件1：委托书</w:t>
      </w:r>
      <w:r>
        <w:rPr>
          <w:rFonts w:hint="default" w:ascii="Times New Roman" w:hAnsi="Times New Roman" w:eastAsia="宋体" w:cs="Times New Roman"/>
          <w:color w:val="auto"/>
          <w:sz w:val="24"/>
          <w:szCs w:val="24"/>
          <w:highlight w:val="none"/>
          <w:lang w:eastAsia="zh-CN"/>
        </w:rPr>
        <w:t>；</w:t>
      </w:r>
    </w:p>
    <w:p w14:paraId="0A1D02F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附件2：营业执照；</w:t>
      </w:r>
    </w:p>
    <w:p w14:paraId="294EEB5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附件</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法人身份证复印件；</w:t>
      </w:r>
    </w:p>
    <w:p w14:paraId="72C1807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附件4：</w:t>
      </w:r>
      <w:r>
        <w:rPr>
          <w:rFonts w:hint="eastAsia" w:cs="Times New Roman"/>
          <w:color w:val="auto"/>
          <w:sz w:val="24"/>
          <w:szCs w:val="24"/>
          <w:highlight w:val="none"/>
          <w:lang w:val="en-US" w:eastAsia="zh-CN"/>
        </w:rPr>
        <w:t>租赁合同</w:t>
      </w:r>
      <w:r>
        <w:rPr>
          <w:rFonts w:hint="default" w:ascii="Times New Roman" w:hAnsi="Times New Roman" w:eastAsia="宋体" w:cs="Times New Roman"/>
          <w:color w:val="auto"/>
          <w:sz w:val="24"/>
          <w:szCs w:val="24"/>
          <w:highlight w:val="none"/>
          <w:lang w:val="en-US" w:eastAsia="zh-CN"/>
        </w:rPr>
        <w:t>；</w:t>
      </w:r>
    </w:p>
    <w:p w14:paraId="570E5A4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附件</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投资项目备案证</w:t>
      </w:r>
      <w:r>
        <w:rPr>
          <w:rFonts w:hint="default" w:ascii="Times New Roman" w:hAnsi="Times New Roman" w:eastAsia="宋体" w:cs="Times New Roman"/>
          <w:color w:val="auto"/>
          <w:sz w:val="24"/>
          <w:szCs w:val="24"/>
          <w:highlight w:val="none"/>
          <w:lang w:val="en-US" w:eastAsia="zh-CN"/>
        </w:rPr>
        <w:t>；</w:t>
      </w:r>
    </w:p>
    <w:p w14:paraId="4C26B16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：入园同意书；</w:t>
      </w:r>
    </w:p>
    <w:p w14:paraId="11ACAA0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附件7</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包覆胶成分检测报告</w:t>
      </w:r>
    </w:p>
    <w:p w14:paraId="39864C0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附件8</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引用环境质量现状检测报告；</w:t>
      </w:r>
    </w:p>
    <w:p w14:paraId="7CC78CE9">
      <w:pPr>
        <w:pStyle w:val="25"/>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outlineLvl w:val="9"/>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附件</w:t>
      </w:r>
      <w:r>
        <w:rPr>
          <w:rFonts w:hint="eastAsia" w:ascii="Times New Roman" w:hAnsi="Times New Roman" w:cs="Times New Roman"/>
          <w:bCs/>
          <w:color w:val="auto"/>
          <w:sz w:val="24"/>
          <w:szCs w:val="24"/>
          <w:highlight w:val="none"/>
          <w:lang w:val="en-US" w:eastAsia="zh-CN"/>
        </w:rPr>
        <w:t>9</w:t>
      </w:r>
      <w:r>
        <w:rPr>
          <w:rFonts w:hint="default" w:ascii="Times New Roman" w:hAnsi="Times New Roman" w:eastAsia="宋体" w:cs="Times New Roman"/>
          <w:bCs/>
          <w:color w:val="auto"/>
          <w:sz w:val="24"/>
          <w:szCs w:val="24"/>
          <w:highlight w:val="none"/>
          <w:lang w:val="en-US" w:eastAsia="zh-CN"/>
        </w:rPr>
        <w:t>：昆明市生态环境局</w:t>
      </w:r>
      <w:r>
        <w:rPr>
          <w:rFonts w:hint="default" w:ascii="Times New Roman" w:hAnsi="Times New Roman" w:eastAsia="宋体" w:cs="Times New Roman"/>
          <w:color w:val="auto"/>
          <w:sz w:val="24"/>
          <w:highlight w:val="none"/>
        </w:rPr>
        <w:t>关于</w:t>
      </w:r>
      <w:r>
        <w:rPr>
          <w:rFonts w:hint="default" w:ascii="Times New Roman" w:hAnsi="Times New Roman" w:eastAsia="宋体" w:cs="Times New Roman"/>
          <w:color w:val="auto"/>
          <w:sz w:val="24"/>
          <w:highlight w:val="none"/>
          <w:lang w:eastAsia="zh-CN"/>
        </w:rPr>
        <w:t>《云南寻甸产业园区总体规划修编（2021-2035）环境影响报告书》审查意见的函（昆环审[2023]5号）</w:t>
      </w:r>
      <w:r>
        <w:rPr>
          <w:rFonts w:hint="default" w:ascii="Times New Roman" w:hAnsi="Times New Roman" w:eastAsia="宋体" w:cs="Times New Roman"/>
          <w:bCs/>
          <w:color w:val="auto"/>
          <w:sz w:val="24"/>
          <w:szCs w:val="24"/>
          <w:highlight w:val="none"/>
          <w:lang w:val="en-US" w:eastAsia="zh-CN"/>
        </w:rPr>
        <w:t>；</w:t>
      </w:r>
    </w:p>
    <w:p w14:paraId="3829C80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附件10 租赁厂房环评批复</w:t>
      </w:r>
      <w:r>
        <w:rPr>
          <w:rFonts w:hint="eastAsia" w:cs="Times New Roman"/>
          <w:color w:val="auto"/>
          <w:sz w:val="24"/>
          <w:szCs w:val="24"/>
          <w:highlight w:val="none"/>
          <w:lang w:eastAsia="zh-CN"/>
        </w:rPr>
        <w:t>；</w:t>
      </w:r>
    </w:p>
    <w:p w14:paraId="457C30B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附件</w:t>
      </w:r>
      <w:r>
        <w:rPr>
          <w:rFonts w:hint="default" w:ascii="Times New Roman" w:hAnsi="Times New Roman" w:eastAsia="宋体" w:cs="Times New Roman"/>
          <w:color w:val="auto"/>
          <w:sz w:val="24"/>
          <w:szCs w:val="24"/>
          <w:highlight w:val="none"/>
          <w:lang w:val="en-US" w:eastAsia="zh-CN"/>
        </w:rPr>
        <w:t>11：合同、进度管理表、内审表；</w:t>
      </w:r>
    </w:p>
    <w:p w14:paraId="3329F050">
      <w:pPr>
        <w:pStyle w:val="6"/>
        <w:keepNext w:val="0"/>
        <w:keepLines w:val="0"/>
        <w:pageBreakBefore w:val="0"/>
        <w:shd w:val="clear"/>
        <w:kinsoku/>
        <w:wordWrap/>
        <w:overflowPunct/>
        <w:topLinePunct w:val="0"/>
        <w:autoSpaceDE/>
        <w:autoSpaceDN/>
        <w:bidi w:val="0"/>
        <w:spacing w:after="0"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附件12：全本公示截图。</w:t>
      </w:r>
    </w:p>
    <w:p w14:paraId="7C58487D">
      <w:pPr>
        <w:pStyle w:val="25"/>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eastAsia="宋体" w:cs="Times New Roman"/>
          <w:b/>
          <w:bCs w:val="0"/>
          <w:color w:val="FF0000"/>
          <w:sz w:val="24"/>
          <w:szCs w:val="24"/>
          <w:highlight w:val="none"/>
          <w:lang w:val="en-US" w:eastAsia="zh-CN"/>
        </w:rPr>
      </w:pPr>
    </w:p>
    <w:p w14:paraId="66DBF222">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附图：</w:t>
      </w:r>
    </w:p>
    <w:p w14:paraId="29C75E7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附图1：项目地理位置图</w:t>
      </w:r>
      <w:r>
        <w:rPr>
          <w:rFonts w:hint="default" w:ascii="Times New Roman" w:hAnsi="Times New Roman" w:eastAsia="宋体" w:cs="Times New Roman"/>
          <w:color w:val="auto"/>
          <w:sz w:val="24"/>
          <w:szCs w:val="24"/>
          <w:highlight w:val="none"/>
          <w:lang w:eastAsia="zh-CN"/>
        </w:rPr>
        <w:t>；</w:t>
      </w:r>
    </w:p>
    <w:p w14:paraId="0196D88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附图2：</w:t>
      </w:r>
      <w:r>
        <w:rPr>
          <w:rFonts w:hint="default"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val="en-US" w:eastAsia="zh-CN"/>
        </w:rPr>
        <w:t>区水系图</w:t>
      </w:r>
      <w:r>
        <w:rPr>
          <w:rFonts w:hint="default" w:ascii="Times New Roman" w:hAnsi="Times New Roman" w:eastAsia="宋体" w:cs="Times New Roman"/>
          <w:color w:val="auto"/>
          <w:sz w:val="24"/>
          <w:szCs w:val="24"/>
          <w:highlight w:val="none"/>
          <w:lang w:val="en-US" w:eastAsia="zh-CN"/>
        </w:rPr>
        <w:t>；</w:t>
      </w:r>
    </w:p>
    <w:p w14:paraId="49815D8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附图</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项目周边关系图</w:t>
      </w:r>
      <w:r>
        <w:rPr>
          <w:rFonts w:hint="default" w:ascii="Times New Roman" w:hAnsi="Times New Roman" w:eastAsia="宋体" w:cs="Times New Roman"/>
          <w:color w:val="auto"/>
          <w:sz w:val="24"/>
          <w:szCs w:val="24"/>
          <w:highlight w:val="none"/>
          <w:lang w:val="en-US" w:eastAsia="zh-CN"/>
        </w:rPr>
        <w:t>；</w:t>
      </w:r>
    </w:p>
    <w:p w14:paraId="4D52218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附图</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：项目</w:t>
      </w:r>
      <w:r>
        <w:rPr>
          <w:rFonts w:hint="eastAsia" w:cs="Times New Roman"/>
          <w:color w:val="auto"/>
          <w:sz w:val="24"/>
          <w:szCs w:val="24"/>
          <w:highlight w:val="none"/>
          <w:lang w:eastAsia="zh-CN"/>
        </w:rPr>
        <w:t>总平面布置</w:t>
      </w:r>
      <w:r>
        <w:rPr>
          <w:rFonts w:hint="default" w:ascii="Times New Roman" w:hAnsi="Times New Roman" w:eastAsia="宋体" w:cs="Times New Roman"/>
          <w:color w:val="auto"/>
          <w:sz w:val="24"/>
          <w:szCs w:val="24"/>
          <w:highlight w:val="none"/>
        </w:rPr>
        <w:t>图</w:t>
      </w:r>
      <w:r>
        <w:rPr>
          <w:rFonts w:hint="default" w:ascii="Times New Roman" w:hAnsi="Times New Roman" w:eastAsia="宋体" w:cs="Times New Roman"/>
          <w:color w:val="auto"/>
          <w:sz w:val="24"/>
          <w:szCs w:val="24"/>
          <w:highlight w:val="none"/>
          <w:lang w:eastAsia="zh-CN"/>
        </w:rPr>
        <w:t>；</w:t>
      </w:r>
    </w:p>
    <w:p w14:paraId="55983EF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附图</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highlight w:val="none"/>
        </w:rPr>
        <w:t>项目与牛栏江水系环境规划关系图；</w:t>
      </w:r>
    </w:p>
    <w:p w14:paraId="75B0BCFF">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附图6</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本项目与云南寻甸产业园区的位置关系图；</w:t>
      </w:r>
    </w:p>
    <w:p w14:paraId="41F947E9">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附图7</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引用项目大气环境质量现状监测点位图</w:t>
      </w:r>
      <w:r>
        <w:rPr>
          <w:rFonts w:hint="default" w:ascii="Times New Roman" w:hAnsi="Times New Roman" w:eastAsia="宋体" w:cs="Times New Roman"/>
          <w:color w:val="auto"/>
          <w:sz w:val="24"/>
          <w:highlight w:val="none"/>
          <w:lang w:val="en-US" w:eastAsia="zh-CN"/>
        </w:rPr>
        <w:t>；</w:t>
      </w:r>
    </w:p>
    <w:p w14:paraId="61AC814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rPr>
        <w:t>附图8</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项目区与牛栏江（寻甸段）水环境保护分区位置关系图</w:t>
      </w:r>
      <w:r>
        <w:rPr>
          <w:rFonts w:hint="default" w:ascii="Times New Roman" w:hAnsi="Times New Roman" w:eastAsia="宋体" w:cs="Times New Roman"/>
          <w:color w:val="auto"/>
          <w:sz w:val="24"/>
          <w:szCs w:val="24"/>
          <w:highlight w:val="none"/>
          <w:lang w:val="en-US" w:eastAsia="zh-CN"/>
        </w:rPr>
        <w:t>。</w:t>
      </w:r>
    </w:p>
    <w:p w14:paraId="3F0BD558">
      <w:pPr>
        <w:pStyle w:val="25"/>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eastAsia="宋体" w:cs="Times New Roman"/>
          <w:bCs/>
          <w:color w:val="auto"/>
          <w:sz w:val="24"/>
          <w:szCs w:val="24"/>
          <w:highlight w:val="none"/>
        </w:rPr>
      </w:pPr>
    </w:p>
    <w:p w14:paraId="0C141013">
      <w:pPr>
        <w:pStyle w:val="25"/>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eastAsia="宋体" w:cs="Times New Roman"/>
          <w:bCs/>
          <w:color w:val="auto"/>
          <w:sz w:val="24"/>
          <w:szCs w:val="24"/>
          <w:highlight w:val="none"/>
        </w:rPr>
        <w:sectPr>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14:paraId="08F23C6B">
      <w:pPr>
        <w:pStyle w:val="25"/>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4" w:name="_Toc20961"/>
      <w:r>
        <w:rPr>
          <w:rFonts w:hint="default" w:ascii="Times New Roman" w:hAnsi="Times New Roman" w:eastAsia="宋体" w:cs="Times New Roman"/>
          <w:b/>
          <w:bCs/>
          <w:snapToGrid w:val="0"/>
          <w:color w:val="auto"/>
          <w:sz w:val="30"/>
          <w:szCs w:val="30"/>
          <w:highlight w:val="none"/>
        </w:rPr>
        <w:t>一、建设项目基本情况</w:t>
      </w:r>
      <w:bookmarkEnd w:id="2"/>
      <w:bookmarkEnd w:id="4"/>
    </w:p>
    <w:tbl>
      <w:tblPr>
        <w:tblStyle w:val="26"/>
        <w:tblW w:w="93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77"/>
        <w:gridCol w:w="711"/>
        <w:gridCol w:w="2111"/>
        <w:gridCol w:w="1758"/>
        <w:gridCol w:w="3629"/>
      </w:tblGrid>
      <w:tr w14:paraId="603CDD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888" w:type="dxa"/>
            <w:gridSpan w:val="2"/>
            <w:tcMar>
              <w:top w:w="16" w:type="dxa"/>
              <w:left w:w="16" w:type="dxa"/>
              <w:right w:w="16" w:type="dxa"/>
            </w:tcMar>
            <w:vAlign w:val="center"/>
          </w:tcPr>
          <w:p w14:paraId="640A5CD3">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498" w:type="dxa"/>
            <w:gridSpan w:val="3"/>
            <w:vAlign w:val="center"/>
          </w:tcPr>
          <w:p w14:paraId="7279283E">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昆明滇皖建材有限公司新型墙体材料新建项目</w:t>
            </w:r>
          </w:p>
        </w:tc>
      </w:tr>
      <w:tr w14:paraId="335A99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888" w:type="dxa"/>
            <w:gridSpan w:val="2"/>
            <w:tcMar>
              <w:top w:w="16" w:type="dxa"/>
              <w:left w:w="16" w:type="dxa"/>
              <w:right w:w="16" w:type="dxa"/>
            </w:tcMar>
            <w:vAlign w:val="center"/>
          </w:tcPr>
          <w:p w14:paraId="134A5FCB">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498" w:type="dxa"/>
            <w:gridSpan w:val="3"/>
            <w:vAlign w:val="center"/>
          </w:tcPr>
          <w:p w14:paraId="578030E6">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w:t>
            </w:r>
            <w:r>
              <w:rPr>
                <w:rFonts w:hint="eastAsia" w:cs="Times New Roman"/>
                <w:color w:val="auto"/>
                <w:sz w:val="24"/>
                <w:szCs w:val="24"/>
                <w:highlight w:val="none"/>
                <w:lang w:val="en-US" w:eastAsia="zh-CN"/>
              </w:rPr>
              <w:t>401</w:t>
            </w:r>
            <w:r>
              <w:rPr>
                <w:rFonts w:hint="default" w:ascii="Times New Roman" w:hAnsi="Times New Roman" w:eastAsia="宋体" w:cs="Times New Roman"/>
                <w:color w:val="auto"/>
                <w:sz w:val="24"/>
                <w:szCs w:val="24"/>
                <w:highlight w:val="none"/>
                <w:lang w:val="en-US" w:eastAsia="zh-CN"/>
              </w:rPr>
              <w:t>-530129-04-01-</w:t>
            </w:r>
            <w:r>
              <w:rPr>
                <w:rFonts w:hint="eastAsia" w:cs="Times New Roman"/>
                <w:color w:val="auto"/>
                <w:sz w:val="24"/>
                <w:szCs w:val="24"/>
                <w:highlight w:val="none"/>
                <w:lang w:val="en-US" w:eastAsia="zh-CN"/>
              </w:rPr>
              <w:t>504123</w:t>
            </w:r>
          </w:p>
        </w:tc>
      </w:tr>
      <w:tr w14:paraId="0057A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888" w:type="dxa"/>
            <w:gridSpan w:val="2"/>
            <w:tcMar>
              <w:top w:w="16" w:type="dxa"/>
              <w:left w:w="16" w:type="dxa"/>
              <w:right w:w="16" w:type="dxa"/>
            </w:tcMar>
            <w:vAlign w:val="center"/>
          </w:tcPr>
          <w:p w14:paraId="721BD012">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2111" w:type="dxa"/>
            <w:vAlign w:val="center"/>
          </w:tcPr>
          <w:p w14:paraId="18751929">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p>
        </w:tc>
        <w:tc>
          <w:tcPr>
            <w:tcW w:w="1758" w:type="dxa"/>
            <w:vAlign w:val="center"/>
          </w:tcPr>
          <w:p w14:paraId="447C561B">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联系方式</w:t>
            </w:r>
          </w:p>
        </w:tc>
        <w:tc>
          <w:tcPr>
            <w:tcW w:w="3629" w:type="dxa"/>
            <w:vAlign w:val="center"/>
          </w:tcPr>
          <w:p w14:paraId="11F97FC9">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p>
        </w:tc>
      </w:tr>
      <w:tr w14:paraId="6CDC6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888" w:type="dxa"/>
            <w:gridSpan w:val="2"/>
            <w:tcMar>
              <w:top w:w="16" w:type="dxa"/>
              <w:left w:w="16" w:type="dxa"/>
              <w:right w:w="16" w:type="dxa"/>
            </w:tcMar>
            <w:vAlign w:val="center"/>
          </w:tcPr>
          <w:p w14:paraId="6CD9C685">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498" w:type="dxa"/>
            <w:gridSpan w:val="3"/>
            <w:vAlign w:val="center"/>
          </w:tcPr>
          <w:p w14:paraId="70E18C09">
            <w:pPr>
              <w:shd w:val="clear"/>
              <w:adjustRightInd w:val="0"/>
              <w:snapToGrid w:val="0"/>
              <w:jc w:val="center"/>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u w:val="none"/>
                <w:lang w:val="en-US" w:eastAsia="zh-CN"/>
              </w:rPr>
              <w:t>云南寻甸产业园区金所片区金所组团</w:t>
            </w:r>
            <w:r>
              <w:rPr>
                <w:rFonts w:hint="eastAsia" w:cs="Times New Roman"/>
                <w:color w:val="auto"/>
                <w:sz w:val="24"/>
                <w:szCs w:val="24"/>
                <w:highlight w:val="none"/>
                <w:u w:val="none"/>
                <w:lang w:val="en-US" w:eastAsia="zh-CN"/>
              </w:rPr>
              <w:t>绿色建材产业区</w:t>
            </w:r>
          </w:p>
        </w:tc>
      </w:tr>
      <w:tr w14:paraId="18DA3D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888" w:type="dxa"/>
            <w:gridSpan w:val="2"/>
            <w:tcMar>
              <w:top w:w="16" w:type="dxa"/>
              <w:left w:w="16" w:type="dxa"/>
              <w:right w:w="16" w:type="dxa"/>
            </w:tcMar>
            <w:vAlign w:val="center"/>
          </w:tcPr>
          <w:p w14:paraId="7B915E6E">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498" w:type="dxa"/>
            <w:gridSpan w:val="3"/>
            <w:vAlign w:val="center"/>
          </w:tcPr>
          <w:p w14:paraId="61981A96">
            <w:pPr>
              <w:shd w:val="clea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lang w:val="en-US" w:eastAsia="zh-CN"/>
              </w:rPr>
              <w:t>103</w:t>
            </w:r>
            <w:r>
              <w:rPr>
                <w:rFonts w:hint="default" w:ascii="Times New Roman" w:hAnsi="Times New Roman" w:eastAsia="宋体" w:cs="Times New Roman"/>
                <w:color w:val="auto"/>
                <w:sz w:val="24"/>
                <w:szCs w:val="24"/>
                <w:highlight w:val="none"/>
              </w:rPr>
              <w:t>度</w:t>
            </w:r>
            <w:r>
              <w:rPr>
                <w:rFonts w:hint="default" w:ascii="Times New Roman" w:hAnsi="Times New Roman" w:eastAsia="宋体" w:cs="Times New Roman"/>
                <w:color w:val="auto"/>
                <w:sz w:val="24"/>
                <w:szCs w:val="24"/>
                <w:highlight w:val="none"/>
                <w:u w:val="single"/>
                <w:lang w:val="en-US" w:eastAsia="zh-CN"/>
              </w:rPr>
              <w:t>12</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45.745</w:t>
            </w:r>
            <w:r>
              <w:rPr>
                <w:rFonts w:hint="default" w:ascii="Times New Roman" w:hAnsi="Times New Roman" w:eastAsia="宋体" w:cs="Times New Roman"/>
                <w:color w:val="auto"/>
                <w:sz w:val="24"/>
                <w:szCs w:val="24"/>
                <w:highlight w:val="none"/>
              </w:rPr>
              <w:t>秒，</w:t>
            </w:r>
            <w:r>
              <w:rPr>
                <w:rFonts w:hint="default" w:ascii="Times New Roman" w:hAnsi="Times New Roman" w:eastAsia="宋体" w:cs="Times New Roman"/>
                <w:color w:val="auto"/>
                <w:sz w:val="24"/>
                <w:szCs w:val="24"/>
                <w:highlight w:val="none"/>
                <w:u w:val="single"/>
                <w:lang w:val="en-US" w:eastAsia="zh-CN"/>
              </w:rPr>
              <w:t>25</w:t>
            </w:r>
            <w:r>
              <w:rPr>
                <w:rFonts w:hint="default" w:ascii="Times New Roman" w:hAnsi="Times New Roman" w:eastAsia="宋体" w:cs="Times New Roman"/>
                <w:color w:val="auto"/>
                <w:sz w:val="24"/>
                <w:szCs w:val="24"/>
                <w:highlight w:val="none"/>
              </w:rPr>
              <w:t>度</w:t>
            </w:r>
            <w:r>
              <w:rPr>
                <w:rFonts w:hint="default" w:ascii="Times New Roman" w:hAnsi="Times New Roman" w:eastAsia="宋体" w:cs="Times New Roman"/>
                <w:color w:val="auto"/>
                <w:sz w:val="24"/>
                <w:szCs w:val="24"/>
                <w:highlight w:val="none"/>
                <w:u w:val="single"/>
                <w:lang w:val="en-US" w:eastAsia="zh-CN"/>
              </w:rPr>
              <w:t>3</w:t>
            </w:r>
            <w:r>
              <w:rPr>
                <w:rFonts w:hint="eastAsia" w:cs="Times New Roman"/>
                <w:color w:val="auto"/>
                <w:sz w:val="24"/>
                <w:szCs w:val="24"/>
                <w:highlight w:val="none"/>
                <w:u w:val="single"/>
                <w:lang w:val="en-US" w:eastAsia="zh-CN"/>
              </w:rPr>
              <w:t>4</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51.945</w:t>
            </w:r>
            <w:r>
              <w:rPr>
                <w:rFonts w:hint="default" w:ascii="Times New Roman" w:hAnsi="Times New Roman" w:eastAsia="宋体" w:cs="Times New Roman"/>
                <w:color w:val="auto"/>
                <w:sz w:val="24"/>
                <w:szCs w:val="24"/>
                <w:highlight w:val="none"/>
              </w:rPr>
              <w:t>秒）</w:t>
            </w:r>
          </w:p>
        </w:tc>
      </w:tr>
      <w:tr w14:paraId="6CD8B4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888" w:type="dxa"/>
            <w:gridSpan w:val="2"/>
            <w:tcMar>
              <w:top w:w="16" w:type="dxa"/>
              <w:left w:w="16" w:type="dxa"/>
              <w:right w:w="16" w:type="dxa"/>
            </w:tcMar>
            <w:vAlign w:val="center"/>
          </w:tcPr>
          <w:p w14:paraId="6D814267">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14:paraId="1AC0F5AA">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2111" w:type="dxa"/>
            <w:vAlign w:val="center"/>
          </w:tcPr>
          <w:p w14:paraId="5F0D5A14">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塑料板、管、型材制造</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C2922</w:t>
            </w:r>
            <w:r>
              <w:rPr>
                <w:rFonts w:hint="default" w:ascii="Times New Roman" w:hAnsi="Times New Roman" w:eastAsia="宋体" w:cs="Times New Roman"/>
                <w:color w:val="auto"/>
                <w:sz w:val="24"/>
                <w:szCs w:val="24"/>
                <w:highlight w:val="none"/>
                <w:lang w:eastAsia="zh-CN"/>
              </w:rPr>
              <w:t>）</w:t>
            </w:r>
          </w:p>
        </w:tc>
        <w:tc>
          <w:tcPr>
            <w:tcW w:w="1758" w:type="dxa"/>
            <w:vAlign w:val="center"/>
          </w:tcPr>
          <w:p w14:paraId="18E48CC0">
            <w:pPr>
              <w:shd w:val="clear"/>
              <w:adjustRightInd w:val="0"/>
              <w:snapToGrid w:val="0"/>
              <w:jc w:val="center"/>
              <w:rPr>
                <w:rFonts w:hint="default" w:ascii="Times New Roman" w:hAnsi="Times New Roman" w:eastAsia="宋体" w:cs="Times New Roman"/>
                <w:color w:val="auto"/>
                <w:sz w:val="24"/>
                <w:szCs w:val="24"/>
                <w:highlight w:val="none"/>
              </w:rPr>
            </w:pPr>
            <w:bookmarkStart w:id="5" w:name="_Hlk49843745"/>
            <w:r>
              <w:rPr>
                <w:rFonts w:hint="default" w:ascii="Times New Roman" w:hAnsi="Times New Roman" w:eastAsia="宋体" w:cs="Times New Roman"/>
                <w:color w:val="auto"/>
                <w:sz w:val="24"/>
                <w:szCs w:val="24"/>
                <w:highlight w:val="none"/>
              </w:rPr>
              <w:t>建设项目</w:t>
            </w:r>
          </w:p>
          <w:p w14:paraId="1B74E05C">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bookmarkEnd w:id="5"/>
          </w:p>
        </w:tc>
        <w:tc>
          <w:tcPr>
            <w:tcW w:w="3629" w:type="dxa"/>
            <w:vAlign w:val="center"/>
          </w:tcPr>
          <w:p w14:paraId="7CD956E8">
            <w:pPr>
              <w:shd w:val="clear"/>
              <w:adjustRightInd/>
              <w:snapToGrid/>
              <w:spacing w:beforeLines="0" w:afterLines="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二十六、橡胶和塑料制品业29-53、塑料制品业292；</w:t>
            </w:r>
            <w:r>
              <w:rPr>
                <w:rFonts w:hint="eastAsia" w:cs="Times New Roman"/>
                <w:color w:val="auto"/>
                <w:sz w:val="24"/>
                <w:szCs w:val="24"/>
                <w:highlight w:val="none"/>
                <w:lang w:val="en-US" w:eastAsia="zh-CN"/>
              </w:rPr>
              <w:t>其他（年用非溶剂型低VOCs含量涂料10吨以下的除外）</w:t>
            </w:r>
          </w:p>
        </w:tc>
      </w:tr>
      <w:tr w14:paraId="148BD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88" w:type="dxa"/>
            <w:gridSpan w:val="2"/>
            <w:tcMar>
              <w:top w:w="16" w:type="dxa"/>
              <w:left w:w="16" w:type="dxa"/>
              <w:right w:w="16" w:type="dxa"/>
            </w:tcMar>
            <w:vAlign w:val="center"/>
          </w:tcPr>
          <w:p w14:paraId="6AD210B6">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2111" w:type="dxa"/>
            <w:vAlign w:val="center"/>
          </w:tcPr>
          <w:p w14:paraId="76A9540A">
            <w:pPr>
              <w:shd w:val="clea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新建（迁建）</w:t>
            </w:r>
          </w:p>
          <w:p w14:paraId="4B78447F">
            <w:pPr>
              <w:shd w:val="clea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14:paraId="61E55335">
            <w:pPr>
              <w:shd w:val="clea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扩建</w:t>
            </w:r>
          </w:p>
          <w:p w14:paraId="431E435A">
            <w:pPr>
              <w:shd w:val="clea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1758" w:type="dxa"/>
            <w:vAlign w:val="center"/>
          </w:tcPr>
          <w:p w14:paraId="64E088B4">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14:paraId="49E3AE87">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3629" w:type="dxa"/>
            <w:vAlign w:val="center"/>
          </w:tcPr>
          <w:p w14:paraId="12CCDE5C">
            <w:pPr>
              <w:shd w:val="clea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 xml:space="preserve">首次申报项目             </w:t>
            </w:r>
          </w:p>
          <w:p w14:paraId="7322D524">
            <w:pPr>
              <w:shd w:val="clea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14:paraId="4D12E689">
            <w:pPr>
              <w:shd w:val="clea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 xml:space="preserve">超五年重新审核项目     </w:t>
            </w:r>
          </w:p>
          <w:p w14:paraId="258553AF">
            <w:pPr>
              <w:shd w:val="clea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重大变动重新报批项目</w:t>
            </w:r>
          </w:p>
        </w:tc>
      </w:tr>
      <w:tr w14:paraId="55FE73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88" w:type="dxa"/>
            <w:gridSpan w:val="2"/>
            <w:tcMar>
              <w:top w:w="16" w:type="dxa"/>
              <w:left w:w="16" w:type="dxa"/>
              <w:right w:w="16" w:type="dxa"/>
            </w:tcMar>
            <w:vAlign w:val="center"/>
          </w:tcPr>
          <w:p w14:paraId="11184056">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14:paraId="6A77EC8C">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备案）部门</w:t>
            </w:r>
          </w:p>
        </w:tc>
        <w:tc>
          <w:tcPr>
            <w:tcW w:w="2111" w:type="dxa"/>
            <w:vAlign w:val="center"/>
          </w:tcPr>
          <w:p w14:paraId="41AA5A62">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寻甸回族彝族自治县发展和改革局</w:t>
            </w:r>
          </w:p>
        </w:tc>
        <w:tc>
          <w:tcPr>
            <w:tcW w:w="1758" w:type="dxa"/>
            <w:vAlign w:val="center"/>
          </w:tcPr>
          <w:p w14:paraId="0B16A270">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14:paraId="7CFD86B5">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w:t>
            </w:r>
          </w:p>
        </w:tc>
        <w:tc>
          <w:tcPr>
            <w:tcW w:w="3629" w:type="dxa"/>
            <w:vAlign w:val="center"/>
          </w:tcPr>
          <w:p w14:paraId="75F1B7EF">
            <w:pPr>
              <w:shd w:val="clea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2</w:t>
            </w:r>
            <w:r>
              <w:rPr>
                <w:rFonts w:hint="eastAsia" w:cs="Times New Roman"/>
                <w:color w:val="auto"/>
                <w:sz w:val="24"/>
                <w:szCs w:val="24"/>
                <w:highlight w:val="none"/>
                <w:lang w:val="en-US" w:eastAsia="zh-CN"/>
              </w:rPr>
              <w:t>401</w:t>
            </w:r>
            <w:r>
              <w:rPr>
                <w:rFonts w:hint="default" w:ascii="Times New Roman" w:hAnsi="Times New Roman" w:eastAsia="宋体" w:cs="Times New Roman"/>
                <w:color w:val="auto"/>
                <w:sz w:val="24"/>
                <w:szCs w:val="24"/>
                <w:highlight w:val="none"/>
                <w:lang w:val="en-US" w:eastAsia="zh-CN"/>
              </w:rPr>
              <w:t>-530129-04-01-</w:t>
            </w:r>
            <w:r>
              <w:rPr>
                <w:rFonts w:hint="eastAsia" w:cs="Times New Roman"/>
                <w:color w:val="auto"/>
                <w:sz w:val="24"/>
                <w:szCs w:val="24"/>
                <w:highlight w:val="none"/>
                <w:lang w:val="en-US" w:eastAsia="zh-CN"/>
              </w:rPr>
              <w:t>504123</w:t>
            </w:r>
          </w:p>
        </w:tc>
      </w:tr>
      <w:tr w14:paraId="5091D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888" w:type="dxa"/>
            <w:gridSpan w:val="2"/>
            <w:tcMar>
              <w:top w:w="16" w:type="dxa"/>
              <w:left w:w="16" w:type="dxa"/>
              <w:right w:w="16" w:type="dxa"/>
            </w:tcMar>
            <w:vAlign w:val="center"/>
          </w:tcPr>
          <w:p w14:paraId="56694997">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2111" w:type="dxa"/>
            <w:vAlign w:val="center"/>
          </w:tcPr>
          <w:p w14:paraId="500B5B87">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2600</w:t>
            </w:r>
          </w:p>
        </w:tc>
        <w:tc>
          <w:tcPr>
            <w:tcW w:w="1758" w:type="dxa"/>
            <w:tcMar>
              <w:top w:w="16" w:type="dxa"/>
              <w:left w:w="16" w:type="dxa"/>
              <w:right w:w="16" w:type="dxa"/>
            </w:tcMar>
            <w:vAlign w:val="center"/>
          </w:tcPr>
          <w:p w14:paraId="1ABEEC76">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环保投资（万元）</w:t>
            </w:r>
          </w:p>
        </w:tc>
        <w:tc>
          <w:tcPr>
            <w:tcW w:w="3629" w:type="dxa"/>
            <w:vAlign w:val="center"/>
          </w:tcPr>
          <w:p w14:paraId="2802F294">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36.7</w:t>
            </w:r>
          </w:p>
        </w:tc>
      </w:tr>
      <w:tr w14:paraId="793B1D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88" w:type="dxa"/>
            <w:gridSpan w:val="2"/>
            <w:tcMar>
              <w:top w:w="16" w:type="dxa"/>
              <w:left w:w="16" w:type="dxa"/>
              <w:right w:w="16" w:type="dxa"/>
            </w:tcMar>
            <w:vAlign w:val="center"/>
          </w:tcPr>
          <w:p w14:paraId="1AF3F25F">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2111" w:type="dxa"/>
            <w:vAlign w:val="center"/>
          </w:tcPr>
          <w:p w14:paraId="2641DA48">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1.41</w:t>
            </w:r>
          </w:p>
        </w:tc>
        <w:tc>
          <w:tcPr>
            <w:tcW w:w="1758" w:type="dxa"/>
            <w:tcMar>
              <w:top w:w="16" w:type="dxa"/>
              <w:left w:w="16" w:type="dxa"/>
              <w:right w:w="16" w:type="dxa"/>
            </w:tcMar>
            <w:vAlign w:val="center"/>
          </w:tcPr>
          <w:p w14:paraId="598329E4">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3629" w:type="dxa"/>
            <w:vAlign w:val="center"/>
          </w:tcPr>
          <w:p w14:paraId="64B8D524">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个月</w:t>
            </w:r>
          </w:p>
        </w:tc>
      </w:tr>
      <w:tr w14:paraId="2475AE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88" w:type="dxa"/>
            <w:gridSpan w:val="2"/>
            <w:tcMar>
              <w:top w:w="16" w:type="dxa"/>
              <w:left w:w="16" w:type="dxa"/>
              <w:right w:w="16" w:type="dxa"/>
            </w:tcMar>
            <w:vAlign w:val="center"/>
          </w:tcPr>
          <w:p w14:paraId="2BA9B594">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2111" w:type="dxa"/>
            <w:vAlign w:val="center"/>
          </w:tcPr>
          <w:p w14:paraId="00798186">
            <w:pPr>
              <w:shd w:val="clea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否</w:t>
            </w:r>
          </w:p>
          <w:p w14:paraId="6F0203D9">
            <w:pPr>
              <w:shd w:val="clear"/>
              <w:adjustRightInd w:val="0"/>
              <w:snapToGrid w:val="0"/>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是：</w:t>
            </w:r>
            <w:r>
              <w:rPr>
                <w:rFonts w:hint="default" w:ascii="Times New Roman" w:hAnsi="Times New Roman" w:eastAsia="宋体" w:cs="Times New Roman"/>
                <w:color w:val="auto"/>
                <w:sz w:val="24"/>
                <w:szCs w:val="24"/>
                <w:highlight w:val="none"/>
                <w:u w:val="single"/>
                <w:lang w:val="en-US" w:eastAsia="zh-CN"/>
              </w:rPr>
              <w:t xml:space="preserve">            </w:t>
            </w:r>
          </w:p>
        </w:tc>
        <w:tc>
          <w:tcPr>
            <w:tcW w:w="1758" w:type="dxa"/>
            <w:tcMar>
              <w:top w:w="16" w:type="dxa"/>
              <w:left w:w="16" w:type="dxa"/>
              <w:right w:w="16" w:type="dxa"/>
            </w:tcMar>
            <w:vAlign w:val="center"/>
          </w:tcPr>
          <w:p w14:paraId="5A574312">
            <w:pPr>
              <w:shd w:val="clear"/>
              <w:adjustRightInd w:val="0"/>
              <w:snapToGrid w:val="0"/>
              <w:jc w:val="center"/>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14:paraId="5A341D0D">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3629" w:type="dxa"/>
            <w:vAlign w:val="center"/>
          </w:tcPr>
          <w:p w14:paraId="18B09ADE">
            <w:pPr>
              <w:shd w:val="clea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4560</w:t>
            </w:r>
          </w:p>
        </w:tc>
      </w:tr>
      <w:tr w14:paraId="6D603C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77" w:type="dxa"/>
            <w:vAlign w:val="center"/>
          </w:tcPr>
          <w:p w14:paraId="33A1349F">
            <w:pPr>
              <w:shd w:val="clea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8209" w:type="dxa"/>
            <w:gridSpan w:val="4"/>
            <w:vAlign w:val="center"/>
          </w:tcPr>
          <w:p w14:paraId="619A3BED">
            <w:pPr>
              <w:keepNext w:val="0"/>
              <w:keepLines w:val="0"/>
              <w:pageBreakBefore w:val="0"/>
              <w:widowControl w:val="0"/>
              <w:shd w:val="clear"/>
              <w:kinsoku/>
              <w:wordWrap/>
              <w:overflowPunct/>
              <w:topLinePunct w:val="0"/>
              <w:autoSpaceDE w:val="0"/>
              <w:autoSpaceDN w:val="0"/>
              <w:bidi w:val="0"/>
              <w:adjustRightInd w:val="0"/>
              <w:snapToGrid w:val="0"/>
              <w:spacing w:line="288"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项目专项评价判定情况如下表所示。</w:t>
            </w:r>
          </w:p>
          <w:p w14:paraId="7C5E9FE5">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lang w:val="en-US" w:eastAsia="zh-CN"/>
              </w:rPr>
              <w:t>表1-1   项目专项评价判定表</w:t>
            </w:r>
          </w:p>
          <w:tbl>
            <w:tblPr>
              <w:tblStyle w:val="27"/>
              <w:tblW w:w="79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103"/>
              <w:gridCol w:w="3305"/>
              <w:gridCol w:w="796"/>
            </w:tblGrid>
            <w:tr w14:paraId="6C38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noWrap w:val="0"/>
                  <w:vAlign w:val="center"/>
                </w:tcPr>
                <w:p w14:paraId="439B0132">
                  <w:pPr>
                    <w:shd w:val="clea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专项评价类比</w:t>
                  </w:r>
                </w:p>
              </w:tc>
              <w:tc>
                <w:tcPr>
                  <w:tcW w:w="3103" w:type="dxa"/>
                  <w:noWrap w:val="0"/>
                  <w:vAlign w:val="center"/>
                </w:tcPr>
                <w:p w14:paraId="3C788FC4">
                  <w:pPr>
                    <w:shd w:val="clea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设置原则</w:t>
                  </w:r>
                </w:p>
              </w:tc>
              <w:tc>
                <w:tcPr>
                  <w:tcW w:w="3305" w:type="dxa"/>
                  <w:noWrap w:val="0"/>
                  <w:vAlign w:val="center"/>
                </w:tcPr>
                <w:p w14:paraId="7D7628EA">
                  <w:pPr>
                    <w:shd w:val="clea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本项目情况</w:t>
                  </w:r>
                </w:p>
              </w:tc>
              <w:tc>
                <w:tcPr>
                  <w:tcW w:w="796" w:type="dxa"/>
                  <w:noWrap w:val="0"/>
                  <w:vAlign w:val="center"/>
                </w:tcPr>
                <w:p w14:paraId="16AF2C8A">
                  <w:pPr>
                    <w:shd w:val="clea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是否设置专项评价</w:t>
                  </w:r>
                </w:p>
              </w:tc>
            </w:tr>
            <w:tr w14:paraId="01AF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noWrap w:val="0"/>
                  <w:vAlign w:val="center"/>
                </w:tcPr>
                <w:p w14:paraId="63491992">
                  <w:pPr>
                    <w:shd w:val="clear"/>
                    <w:tabs>
                      <w:tab w:val="left" w:pos="3255"/>
                    </w:tabs>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大气</w:t>
                  </w:r>
                </w:p>
              </w:tc>
              <w:tc>
                <w:tcPr>
                  <w:tcW w:w="3103" w:type="dxa"/>
                  <w:noWrap w:val="0"/>
                  <w:vAlign w:val="center"/>
                </w:tcPr>
                <w:p w14:paraId="0FCDA5C6">
                  <w:pPr>
                    <w:shd w:val="clear"/>
                    <w:autoSpaceDE w:val="0"/>
                    <w:autoSpaceDN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排放废气含有毒有害污染物</w:t>
                  </w:r>
                  <w:r>
                    <w:rPr>
                      <w:rFonts w:hint="default" w:ascii="Times New Roman" w:hAnsi="Times New Roman" w:eastAsia="宋体" w:cs="Times New Roman"/>
                      <w:color w:val="auto"/>
                      <w:kern w:val="0"/>
                      <w:sz w:val="21"/>
                      <w:szCs w:val="21"/>
                      <w:highlight w:val="none"/>
                      <w:vertAlign w:val="superscript"/>
                      <w:lang w:val="en-US" w:eastAsia="zh-CN"/>
                    </w:rPr>
                    <w:t>1</w:t>
                  </w:r>
                  <w:r>
                    <w:rPr>
                      <w:rFonts w:hint="default" w:ascii="Times New Roman" w:hAnsi="Times New Roman" w:eastAsia="宋体" w:cs="Times New Roman"/>
                      <w:color w:val="auto"/>
                      <w:kern w:val="0"/>
                      <w:sz w:val="21"/>
                      <w:szCs w:val="21"/>
                      <w:highlight w:val="none"/>
                      <w:vertAlign w:val="baseline"/>
                      <w:lang w:val="en-US" w:eastAsia="zh-CN"/>
                    </w:rPr>
                    <w:t>、二噁英、苯并[a]芘、氰化物、氯气且厂界500m范围内有环境空气保护目标</w:t>
                  </w:r>
                  <w:r>
                    <w:rPr>
                      <w:rFonts w:hint="default" w:ascii="Times New Roman" w:hAnsi="Times New Roman" w:eastAsia="宋体" w:cs="Times New Roman"/>
                      <w:color w:val="auto"/>
                      <w:kern w:val="0"/>
                      <w:sz w:val="21"/>
                      <w:szCs w:val="21"/>
                      <w:highlight w:val="none"/>
                      <w:vertAlign w:val="superscript"/>
                      <w:lang w:val="en-US" w:eastAsia="zh-CN"/>
                    </w:rPr>
                    <w:t>2</w:t>
                  </w:r>
                  <w:r>
                    <w:rPr>
                      <w:rFonts w:hint="default" w:ascii="Times New Roman" w:hAnsi="Times New Roman" w:eastAsia="宋体" w:cs="Times New Roman"/>
                      <w:color w:val="auto"/>
                      <w:kern w:val="0"/>
                      <w:sz w:val="21"/>
                      <w:szCs w:val="21"/>
                      <w:highlight w:val="none"/>
                      <w:vertAlign w:val="baseline"/>
                      <w:lang w:val="en-US" w:eastAsia="zh-CN"/>
                    </w:rPr>
                    <w:t>的建设项目。</w:t>
                  </w:r>
                </w:p>
              </w:tc>
              <w:tc>
                <w:tcPr>
                  <w:tcW w:w="3305" w:type="dxa"/>
                  <w:noWrap w:val="0"/>
                  <w:vAlign w:val="center"/>
                </w:tcPr>
                <w:p w14:paraId="101872ED">
                  <w:pPr>
                    <w:shd w:val="clear"/>
                    <w:autoSpaceDE w:val="0"/>
                    <w:autoSpaceDN w:val="0"/>
                    <w:adjustRightInd w:val="0"/>
                    <w:snapToGrid w:val="0"/>
                    <w:jc w:val="center"/>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vertAlign w:val="baseline"/>
                      <w:lang w:val="en-US" w:eastAsia="zh-CN"/>
                    </w:rPr>
                    <w:t>项目排放废气主要为颗粒物、</w:t>
                  </w:r>
                  <w:r>
                    <w:rPr>
                      <w:rFonts w:hint="default" w:ascii="Times New Roman" w:hAnsi="Times New Roman" w:eastAsia="宋体" w:cs="Times New Roman"/>
                      <w:b w:val="0"/>
                      <w:bCs/>
                      <w:color w:val="auto"/>
                      <w:spacing w:val="-10"/>
                      <w:sz w:val="21"/>
                      <w:szCs w:val="21"/>
                      <w:highlight w:val="none"/>
                      <w:vertAlign w:val="baseline"/>
                      <w:lang w:val="en-US" w:eastAsia="zh-CN"/>
                    </w:rPr>
                    <w:t>非甲烷总烃、</w:t>
                  </w:r>
                  <w:r>
                    <w:rPr>
                      <w:rFonts w:hint="eastAsia" w:cs="Times New Roman"/>
                      <w:b w:val="0"/>
                      <w:bCs/>
                      <w:color w:val="auto"/>
                      <w:spacing w:val="-10"/>
                      <w:sz w:val="21"/>
                      <w:szCs w:val="21"/>
                      <w:highlight w:val="none"/>
                      <w:vertAlign w:val="baseline"/>
                      <w:lang w:val="en-US" w:eastAsia="zh-CN"/>
                    </w:rPr>
                    <w:t>氯化氢、氯乙烯、</w:t>
                  </w:r>
                  <w:r>
                    <w:rPr>
                      <w:rFonts w:hint="default" w:ascii="Times New Roman" w:hAnsi="Times New Roman" w:eastAsia="宋体" w:cs="Times New Roman"/>
                      <w:b w:val="0"/>
                      <w:bCs/>
                      <w:color w:val="auto"/>
                      <w:spacing w:val="-10"/>
                      <w:sz w:val="21"/>
                      <w:szCs w:val="21"/>
                      <w:highlight w:val="none"/>
                      <w:vertAlign w:val="baseline"/>
                      <w:lang w:val="en-US" w:eastAsia="zh-CN"/>
                    </w:rPr>
                    <w:t>臭气浓度</w:t>
                  </w:r>
                  <w:r>
                    <w:rPr>
                      <w:rFonts w:hint="default" w:ascii="Times New Roman" w:hAnsi="Times New Roman" w:eastAsia="宋体" w:cs="Times New Roman"/>
                      <w:b w:val="0"/>
                      <w:bCs w:val="0"/>
                      <w:color w:val="auto"/>
                      <w:kern w:val="0"/>
                      <w:sz w:val="21"/>
                      <w:szCs w:val="21"/>
                      <w:highlight w:val="none"/>
                      <w:vertAlign w:val="baseline"/>
                      <w:lang w:val="en-US" w:eastAsia="zh-CN"/>
                    </w:rPr>
                    <w:t>，不排放含有毒有害污染物、二噁英、苯并[a]芘、氰化物、氯气等废气。</w:t>
                  </w:r>
                </w:p>
              </w:tc>
              <w:tc>
                <w:tcPr>
                  <w:tcW w:w="796" w:type="dxa"/>
                  <w:noWrap w:val="0"/>
                  <w:vAlign w:val="center"/>
                </w:tcPr>
                <w:p w14:paraId="52EF3299">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14:paraId="5725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noWrap w:val="0"/>
                  <w:vAlign w:val="center"/>
                </w:tcPr>
                <w:p w14:paraId="5D97A577">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地表水</w:t>
                  </w:r>
                </w:p>
              </w:tc>
              <w:tc>
                <w:tcPr>
                  <w:tcW w:w="3103" w:type="dxa"/>
                  <w:noWrap w:val="0"/>
                  <w:vAlign w:val="center"/>
                </w:tcPr>
                <w:p w14:paraId="03A64219">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新增工业废水直排建设项目（槽罐车外送污水处理厂的除外）；新增废水直排的污水集中处理厂。</w:t>
                  </w:r>
                </w:p>
              </w:tc>
              <w:tc>
                <w:tcPr>
                  <w:tcW w:w="3305" w:type="dxa"/>
                  <w:noWrap w:val="0"/>
                  <w:vAlign w:val="center"/>
                </w:tcPr>
                <w:p w14:paraId="2A8BCAA7">
                  <w:pPr>
                    <w:pStyle w:val="72"/>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bidi="ar-SA"/>
                    </w:rPr>
                    <w:t>本项目排水采用雨污分流的排水方式，项目区建筑物屋面及地面雨水经厂区雨水沟收集后排入园区雨水市政管网；冷却废水经循环水冷却池冷却后循环使用，不外排；食堂废水经隔油池处理后，与生活污水一同进入</w:t>
                  </w:r>
                  <w:r>
                    <w:rPr>
                      <w:rFonts w:hint="eastAsia" w:ascii="Times New Roman" w:hAnsi="Times New Roman" w:eastAsia="宋体" w:cs="Times New Roman"/>
                      <w:color w:val="auto"/>
                      <w:kern w:val="0"/>
                      <w:sz w:val="21"/>
                      <w:szCs w:val="21"/>
                      <w:highlight w:val="none"/>
                      <w:vertAlign w:val="baseline"/>
                      <w:lang w:val="en-US" w:eastAsia="zh-CN" w:bidi="ar-SA"/>
                    </w:rPr>
                    <w:t>依托的</w:t>
                  </w:r>
                  <w:r>
                    <w:rPr>
                      <w:rFonts w:hint="default" w:ascii="Times New Roman" w:hAnsi="Times New Roman" w:eastAsia="宋体" w:cs="Times New Roman"/>
                      <w:color w:val="auto"/>
                      <w:kern w:val="0"/>
                      <w:sz w:val="21"/>
                      <w:szCs w:val="21"/>
                      <w:highlight w:val="none"/>
                      <w:vertAlign w:val="baseline"/>
                      <w:lang w:val="en-US" w:eastAsia="zh-CN" w:bidi="ar-SA"/>
                    </w:rPr>
                    <w:t>化粪池处理</w:t>
                  </w:r>
                  <w:r>
                    <w:rPr>
                      <w:rFonts w:hint="eastAsia" w:ascii="Times New Roman" w:hAnsi="Times New Roman" w:eastAsia="宋体" w:cs="Times New Roman"/>
                      <w:color w:val="auto"/>
                      <w:kern w:val="0"/>
                      <w:sz w:val="21"/>
                      <w:szCs w:val="21"/>
                      <w:highlight w:val="none"/>
                      <w:vertAlign w:val="baseline"/>
                      <w:lang w:val="en-US" w:eastAsia="zh-CN" w:bidi="ar-SA"/>
                    </w:rPr>
                    <w:t>后</w:t>
                  </w:r>
                  <w:r>
                    <w:rPr>
                      <w:rFonts w:hint="default" w:ascii="Times New Roman" w:hAnsi="Times New Roman" w:eastAsia="宋体" w:cs="Times New Roman"/>
                      <w:color w:val="auto"/>
                      <w:kern w:val="0"/>
                      <w:sz w:val="21"/>
                      <w:szCs w:val="21"/>
                      <w:highlight w:val="none"/>
                      <w:vertAlign w:val="baseline"/>
                      <w:lang w:val="en-US" w:eastAsia="zh-CN" w:bidi="ar-SA"/>
                    </w:rPr>
                    <w:t>再进入到厂区</w:t>
                  </w:r>
                  <w:r>
                    <w:rPr>
                      <w:rFonts w:hint="eastAsia" w:ascii="Times New Roman" w:hAnsi="Times New Roman" w:eastAsia="宋体" w:cs="Times New Roman"/>
                      <w:color w:val="auto"/>
                      <w:kern w:val="0"/>
                      <w:sz w:val="21"/>
                      <w:szCs w:val="21"/>
                      <w:highlight w:val="none"/>
                      <w:vertAlign w:val="baseline"/>
                      <w:lang w:val="en-US" w:eastAsia="zh-CN" w:bidi="ar-SA"/>
                    </w:rPr>
                    <w:t>依托的一体化污水处理站</w:t>
                  </w:r>
                  <w:r>
                    <w:rPr>
                      <w:rFonts w:hint="default" w:ascii="Times New Roman" w:hAnsi="Times New Roman" w:eastAsia="宋体" w:cs="Times New Roman"/>
                      <w:color w:val="auto"/>
                      <w:kern w:val="0"/>
                      <w:sz w:val="21"/>
                      <w:szCs w:val="21"/>
                      <w:highlight w:val="none"/>
                      <w:vertAlign w:val="baseline"/>
                      <w:lang w:val="en-US" w:eastAsia="zh-CN" w:bidi="ar-SA"/>
                    </w:rPr>
                    <w:t>处理后，达到《城市污水再生利用 城市杂用水水质》（GB/T18920-2020）中的城市绿化、道路清扫、消防、建筑施工标准后，用于项目区内绿化及道路场地洒水降尘，不外排。</w:t>
                  </w:r>
                </w:p>
              </w:tc>
              <w:tc>
                <w:tcPr>
                  <w:tcW w:w="796" w:type="dxa"/>
                  <w:noWrap w:val="0"/>
                  <w:vAlign w:val="center"/>
                </w:tcPr>
                <w:p w14:paraId="5BCA19F6">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14:paraId="636A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noWrap w:val="0"/>
                  <w:vAlign w:val="center"/>
                </w:tcPr>
                <w:p w14:paraId="418A48CD">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环境风险</w:t>
                  </w:r>
                </w:p>
              </w:tc>
              <w:tc>
                <w:tcPr>
                  <w:tcW w:w="3103" w:type="dxa"/>
                  <w:noWrap w:val="0"/>
                  <w:vAlign w:val="center"/>
                </w:tcPr>
                <w:p w14:paraId="0DFB7C9D">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有毒有害和易燃易爆危险物质存储量超过临界量</w:t>
                  </w:r>
                  <w:r>
                    <w:rPr>
                      <w:rFonts w:hint="default" w:ascii="Times New Roman" w:hAnsi="Times New Roman" w:eastAsia="宋体" w:cs="Times New Roman"/>
                      <w:color w:val="auto"/>
                      <w:kern w:val="0"/>
                      <w:sz w:val="21"/>
                      <w:szCs w:val="21"/>
                      <w:highlight w:val="none"/>
                      <w:vertAlign w:val="superscript"/>
                      <w:lang w:val="en-US" w:eastAsia="zh-CN"/>
                    </w:rPr>
                    <w:t>3</w:t>
                  </w:r>
                  <w:r>
                    <w:rPr>
                      <w:rFonts w:hint="default" w:ascii="Times New Roman" w:hAnsi="Times New Roman" w:eastAsia="宋体" w:cs="Times New Roman"/>
                      <w:color w:val="auto"/>
                      <w:kern w:val="0"/>
                      <w:sz w:val="21"/>
                      <w:szCs w:val="21"/>
                      <w:highlight w:val="none"/>
                      <w:vertAlign w:val="baseline"/>
                      <w:lang w:val="en-US" w:eastAsia="zh-CN"/>
                    </w:rPr>
                    <w:t>的建设项目。</w:t>
                  </w:r>
                </w:p>
              </w:tc>
              <w:tc>
                <w:tcPr>
                  <w:tcW w:w="3305" w:type="dxa"/>
                  <w:noWrap w:val="0"/>
                  <w:vAlign w:val="center"/>
                </w:tcPr>
                <w:p w14:paraId="5DF9454B">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项目涉及有毒有害和易燃易爆危险物质最大暂存量未超过临界量。</w:t>
                  </w:r>
                </w:p>
              </w:tc>
              <w:tc>
                <w:tcPr>
                  <w:tcW w:w="796" w:type="dxa"/>
                  <w:noWrap w:val="0"/>
                  <w:vAlign w:val="center"/>
                </w:tcPr>
                <w:p w14:paraId="7B883102">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14:paraId="2CDA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noWrap w:val="0"/>
                  <w:vAlign w:val="center"/>
                </w:tcPr>
                <w:p w14:paraId="3A2F0717">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生态</w:t>
                  </w:r>
                </w:p>
              </w:tc>
              <w:tc>
                <w:tcPr>
                  <w:tcW w:w="3103" w:type="dxa"/>
                  <w:noWrap w:val="0"/>
                  <w:vAlign w:val="center"/>
                </w:tcPr>
                <w:p w14:paraId="54590F83">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取水口下游500米范围内有重要水生生物的自然产卵场、索饵场、越冬场和洄游通道的新增河道取水的污染类建设项目。</w:t>
                  </w:r>
                </w:p>
              </w:tc>
              <w:tc>
                <w:tcPr>
                  <w:tcW w:w="3305" w:type="dxa"/>
                  <w:noWrap w:val="0"/>
                  <w:vAlign w:val="center"/>
                </w:tcPr>
                <w:p w14:paraId="6D310749">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本项目不涉及此项情况。</w:t>
                  </w:r>
                </w:p>
              </w:tc>
              <w:tc>
                <w:tcPr>
                  <w:tcW w:w="796" w:type="dxa"/>
                  <w:noWrap w:val="0"/>
                  <w:vAlign w:val="center"/>
                </w:tcPr>
                <w:p w14:paraId="0A038EBB">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14:paraId="34EE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noWrap w:val="0"/>
                  <w:vAlign w:val="center"/>
                </w:tcPr>
                <w:p w14:paraId="4EC4A826">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海洋</w:t>
                  </w:r>
                </w:p>
              </w:tc>
              <w:tc>
                <w:tcPr>
                  <w:tcW w:w="3103" w:type="dxa"/>
                  <w:noWrap w:val="0"/>
                  <w:vAlign w:val="center"/>
                </w:tcPr>
                <w:p w14:paraId="4AB6E08B">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直接向海排放污染物的海洋工程建设项目。</w:t>
                  </w:r>
                </w:p>
              </w:tc>
              <w:tc>
                <w:tcPr>
                  <w:tcW w:w="3305" w:type="dxa"/>
                  <w:noWrap w:val="0"/>
                  <w:vAlign w:val="center"/>
                </w:tcPr>
                <w:p w14:paraId="5083F62E">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项目不属于海洋工程建设项目，不向海洋排放污染物。</w:t>
                  </w:r>
                </w:p>
              </w:tc>
              <w:tc>
                <w:tcPr>
                  <w:tcW w:w="796" w:type="dxa"/>
                  <w:noWrap w:val="0"/>
                  <w:vAlign w:val="center"/>
                </w:tcPr>
                <w:p w14:paraId="21CD7538">
                  <w:pPr>
                    <w:shd w:val="clea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14:paraId="1090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80" w:type="dxa"/>
                  <w:gridSpan w:val="4"/>
                  <w:noWrap w:val="0"/>
                  <w:vAlign w:val="center"/>
                </w:tcPr>
                <w:p w14:paraId="0D51E018">
                  <w:pPr>
                    <w:shd w:val="clear"/>
                    <w:autoSpaceDE w:val="0"/>
                    <w:autoSpaceDN w:val="0"/>
                    <w:adjustRightInd w:val="0"/>
                    <w:snapToGrid w:val="0"/>
                    <w:jc w:val="left"/>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注：1.废气中有毒有害污染物指纳入《有毒有害大气污染物名录》的污染物（不包括无排放标准的污染物）。</w:t>
                  </w:r>
                </w:p>
                <w:p w14:paraId="68855876">
                  <w:pPr>
                    <w:shd w:val="clear"/>
                    <w:autoSpaceDE w:val="0"/>
                    <w:autoSpaceDN w:val="0"/>
                    <w:adjustRightInd w:val="0"/>
                    <w:snapToGrid w:val="0"/>
                    <w:jc w:val="left"/>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2.环境空气保护目标指自然保护区、风景名胜区、居住区、文化区和农村地区中人群较集中的区域。</w:t>
                  </w:r>
                </w:p>
                <w:p w14:paraId="7141A08C">
                  <w:pPr>
                    <w:shd w:val="clear"/>
                    <w:autoSpaceDE w:val="0"/>
                    <w:autoSpaceDN w:val="0"/>
                    <w:adjustRightInd w:val="0"/>
                    <w:snapToGrid w:val="0"/>
                    <w:jc w:val="left"/>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3.临界量及其计算方法可参考《建设项目环境风险评价技术导则》（HJ 169）附录B、附录C.。</w:t>
                  </w:r>
                </w:p>
              </w:tc>
            </w:tr>
          </w:tbl>
          <w:p w14:paraId="4F800543">
            <w:pPr>
              <w:keepNext w:val="0"/>
              <w:keepLines w:val="0"/>
              <w:pageBreakBefore w:val="0"/>
              <w:widowControl w:val="0"/>
              <w:shd w:val="clear"/>
              <w:kinsoku/>
              <w:wordWrap/>
              <w:overflowPunct/>
              <w:topLinePunct w:val="0"/>
              <w:autoSpaceDE/>
              <w:autoSpaceDN/>
              <w:bidi w:val="0"/>
              <w:adjustRightInd w:val="0"/>
              <w:snapToGrid w:val="0"/>
              <w:spacing w:line="356"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vertAlign w:val="baseline"/>
                <w:lang w:val="en-US" w:eastAsia="zh-CN"/>
              </w:rPr>
              <w:t>由上表可知，本项目不设置专项评价。</w:t>
            </w:r>
          </w:p>
        </w:tc>
      </w:tr>
      <w:tr w14:paraId="446F04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vAlign w:val="center"/>
          </w:tcPr>
          <w:p w14:paraId="3C98A811">
            <w:pPr>
              <w:keepNext w:val="0"/>
              <w:keepLines w:val="0"/>
              <w:pageBreakBefore w:val="0"/>
              <w:widowControl w:val="0"/>
              <w:shd w:val="clea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highlight w:val="yellow"/>
              </w:rPr>
            </w:pPr>
            <w:r>
              <w:rPr>
                <w:rFonts w:hint="default" w:ascii="Times New Roman" w:hAnsi="Times New Roman" w:eastAsia="宋体" w:cs="Times New Roman"/>
                <w:color w:val="auto"/>
                <w:sz w:val="24"/>
                <w:szCs w:val="24"/>
                <w:highlight w:val="none"/>
              </w:rPr>
              <w:t>规划情况</w:t>
            </w:r>
          </w:p>
        </w:tc>
        <w:tc>
          <w:tcPr>
            <w:tcW w:w="8209" w:type="dxa"/>
            <w:gridSpan w:val="4"/>
            <w:vAlign w:val="center"/>
          </w:tcPr>
          <w:p w14:paraId="5FC962F3">
            <w:pPr>
              <w:keepNext w:val="0"/>
              <w:keepLines w:val="0"/>
              <w:pageBreakBefore w:val="0"/>
              <w:widowControl w:val="0"/>
              <w:kinsoku/>
              <w:wordWrap/>
              <w:overflowPunct/>
              <w:topLinePunct w:val="0"/>
              <w:bidi w:val="0"/>
              <w:spacing w:line="360" w:lineRule="auto"/>
              <w:jc w:val="left"/>
              <w:textAlignment w:val="auto"/>
              <w:rPr>
                <w:rStyle w:val="70"/>
                <w:rFonts w:hint="default" w:ascii="Times New Roman" w:hAnsi="Times New Roman" w:eastAsia="宋体" w:cs="Times New Roman"/>
                <w:color w:val="auto"/>
                <w:sz w:val="24"/>
                <w:highlight w:val="none"/>
              </w:rPr>
            </w:pPr>
            <w:r>
              <w:rPr>
                <w:rStyle w:val="70"/>
                <w:rFonts w:hint="default" w:ascii="Times New Roman" w:hAnsi="Times New Roman" w:eastAsia="宋体" w:cs="Times New Roman"/>
                <w:b/>
                <w:bCs/>
                <w:color w:val="auto"/>
                <w:sz w:val="24"/>
                <w:highlight w:val="none"/>
                <w:lang w:val="en-US"/>
              </w:rPr>
              <w:t>1、</w:t>
            </w:r>
            <w:r>
              <w:rPr>
                <w:rStyle w:val="70"/>
                <w:rFonts w:hint="default" w:ascii="Times New Roman" w:hAnsi="Times New Roman" w:eastAsia="宋体" w:cs="Times New Roman"/>
                <w:b/>
                <w:bCs/>
                <w:color w:val="auto"/>
                <w:sz w:val="24"/>
                <w:highlight w:val="none"/>
              </w:rPr>
              <w:t>规划名称：</w:t>
            </w:r>
            <w:r>
              <w:rPr>
                <w:rFonts w:hint="default" w:ascii="Times New Roman" w:hAnsi="Times New Roman" w:eastAsia="宋体" w:cs="Times New Roman"/>
                <w:color w:val="auto"/>
                <w:sz w:val="24"/>
                <w:szCs w:val="24"/>
                <w:highlight w:val="none"/>
              </w:rPr>
              <w:t>《云南寻甸产业园区总体规划修编（2021-2035）》</w:t>
            </w:r>
            <w:r>
              <w:rPr>
                <w:rStyle w:val="70"/>
                <w:rFonts w:hint="default" w:ascii="Times New Roman" w:hAnsi="Times New Roman" w:eastAsia="宋体" w:cs="Times New Roman"/>
                <w:color w:val="auto"/>
                <w:sz w:val="24"/>
                <w:highlight w:val="none"/>
              </w:rPr>
              <w:t>；</w:t>
            </w:r>
          </w:p>
          <w:p w14:paraId="6C288997">
            <w:pPr>
              <w:keepNext w:val="0"/>
              <w:keepLines w:val="0"/>
              <w:pageBreakBefore w:val="0"/>
              <w:widowControl w:val="0"/>
              <w:shd w:val="clea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val="0"/>
                <w:color w:val="auto"/>
                <w:sz w:val="24"/>
                <w:highlight w:val="none"/>
                <w:lang w:val="zh-CN"/>
              </w:rPr>
            </w:pPr>
            <w:r>
              <w:rPr>
                <w:rStyle w:val="70"/>
                <w:rFonts w:hint="default" w:ascii="Times New Roman" w:hAnsi="Times New Roman" w:eastAsia="宋体" w:cs="Times New Roman"/>
                <w:b/>
                <w:bCs/>
                <w:color w:val="auto"/>
                <w:sz w:val="24"/>
                <w:highlight w:val="none"/>
                <w:lang w:val="en-US"/>
              </w:rPr>
              <w:t>2、</w:t>
            </w:r>
            <w:r>
              <w:rPr>
                <w:rStyle w:val="70"/>
                <w:rFonts w:hint="default" w:ascii="Times New Roman" w:hAnsi="Times New Roman" w:eastAsia="宋体" w:cs="Times New Roman"/>
                <w:b/>
                <w:bCs/>
                <w:color w:val="auto"/>
                <w:sz w:val="24"/>
                <w:highlight w:val="none"/>
              </w:rPr>
              <w:t>审查机关：</w:t>
            </w:r>
            <w:r>
              <w:rPr>
                <w:rStyle w:val="70"/>
                <w:rFonts w:hint="default" w:ascii="Times New Roman" w:hAnsi="Times New Roman" w:eastAsia="宋体" w:cs="Times New Roman"/>
                <w:b w:val="0"/>
                <w:bCs w:val="0"/>
                <w:color w:val="auto"/>
                <w:sz w:val="24"/>
                <w:highlight w:val="none"/>
                <w:lang w:val="en-US"/>
              </w:rPr>
              <w:t>昆明市人民政府；</w:t>
            </w:r>
          </w:p>
          <w:p w14:paraId="5E8ECF08">
            <w:pPr>
              <w:pStyle w:val="6"/>
              <w:keepNext w:val="0"/>
              <w:keepLines w:val="0"/>
              <w:pageBreakBefore w:val="0"/>
              <w:widowControl w:val="0"/>
              <w:kinsoku/>
              <w:wordWrap/>
              <w:overflowPunct/>
              <w:topLinePunct w:val="0"/>
              <w:bidi w:val="0"/>
              <w:spacing w:after="0" w:line="360" w:lineRule="auto"/>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b/>
                <w:bCs/>
                <w:color w:val="auto"/>
                <w:sz w:val="24"/>
                <w:highlight w:val="none"/>
                <w:lang w:val="en-US" w:eastAsia="zh-CN"/>
              </w:rPr>
              <w:t>3、审查文件名称及文号：</w:t>
            </w:r>
            <w:r>
              <w:rPr>
                <w:rStyle w:val="70"/>
                <w:rFonts w:hint="default" w:ascii="Times New Roman" w:hAnsi="Times New Roman" w:eastAsia="宋体" w:cs="Times New Roman"/>
                <w:b w:val="0"/>
                <w:bCs w:val="0"/>
                <w:color w:val="auto"/>
                <w:sz w:val="24"/>
                <w:highlight w:val="none"/>
                <w:lang w:val="en-US"/>
              </w:rPr>
              <w:t>昆明市人民政府</w:t>
            </w:r>
            <w:r>
              <w:rPr>
                <w:rFonts w:hint="default" w:ascii="Times New Roman" w:hAnsi="Times New Roman" w:eastAsia="宋体" w:cs="Times New Roman"/>
                <w:b w:val="0"/>
                <w:bCs w:val="0"/>
                <w:color w:val="auto"/>
                <w:sz w:val="24"/>
                <w:szCs w:val="24"/>
                <w:highlight w:val="none"/>
                <w:lang w:val="en-US" w:eastAsia="zh-CN"/>
              </w:rPr>
              <w:t>关于</w:t>
            </w:r>
            <w:r>
              <w:rPr>
                <w:rFonts w:hint="default" w:ascii="Times New Roman" w:hAnsi="Times New Roman" w:eastAsia="宋体" w:cs="Times New Roman"/>
                <w:b w:val="0"/>
                <w:bCs/>
                <w:color w:val="auto"/>
                <w:sz w:val="24"/>
                <w:szCs w:val="24"/>
                <w:highlight w:val="none"/>
                <w:lang w:val="en-US" w:eastAsia="zh-CN"/>
              </w:rPr>
              <w:t>《云南寻甸产业园区总体规划修编（2021—2035年）》的批复（昆政复〔2023〕63号）</w:t>
            </w:r>
            <w:r>
              <w:rPr>
                <w:rFonts w:hint="default" w:ascii="Times New Roman" w:hAnsi="Times New Roman" w:eastAsia="宋体" w:cs="Times New Roman"/>
                <w:b w:val="0"/>
                <w:bCs w:val="0"/>
                <w:color w:val="auto"/>
                <w:sz w:val="24"/>
                <w:szCs w:val="24"/>
                <w:highlight w:val="none"/>
                <w:lang w:val="en-US" w:eastAsia="zh-CN"/>
              </w:rPr>
              <w:t>。</w:t>
            </w:r>
          </w:p>
        </w:tc>
      </w:tr>
      <w:tr w14:paraId="082F39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177" w:type="dxa"/>
            <w:vAlign w:val="center"/>
          </w:tcPr>
          <w:p w14:paraId="50E2F641">
            <w:pPr>
              <w:shd w:val="clea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规划环境影响</w:t>
            </w:r>
          </w:p>
          <w:p w14:paraId="75BDEC5D">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评价情况</w:t>
            </w:r>
          </w:p>
        </w:tc>
        <w:tc>
          <w:tcPr>
            <w:tcW w:w="8209" w:type="dxa"/>
            <w:gridSpan w:val="4"/>
            <w:vAlign w:val="center"/>
          </w:tcPr>
          <w:p w14:paraId="0297A091">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1、规划环境影响评价文件名称：</w:t>
            </w:r>
            <w:r>
              <w:rPr>
                <w:rFonts w:hint="default" w:ascii="Times New Roman" w:hAnsi="Times New Roman" w:eastAsia="宋体" w:cs="Times New Roman"/>
                <w:b w:val="0"/>
                <w:bCs/>
                <w:color w:val="auto"/>
                <w:sz w:val="24"/>
                <w:szCs w:val="24"/>
                <w:highlight w:val="none"/>
                <w:lang w:val="en-US" w:eastAsia="zh-CN"/>
              </w:rPr>
              <w:t>《云南寻甸产业园区总体规划修编（2021-2035）环境影响报告书》；</w:t>
            </w:r>
          </w:p>
          <w:p w14:paraId="48C7E37C">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2、审查机关：</w:t>
            </w:r>
            <w:r>
              <w:rPr>
                <w:rStyle w:val="70"/>
                <w:rFonts w:hint="default" w:ascii="Times New Roman" w:hAnsi="Times New Roman" w:eastAsia="宋体" w:cs="Times New Roman"/>
                <w:color w:val="auto"/>
                <w:sz w:val="24"/>
                <w:highlight w:val="none"/>
              </w:rPr>
              <w:t>昆明市生态环境局</w:t>
            </w:r>
            <w:r>
              <w:rPr>
                <w:rFonts w:hint="default" w:ascii="Times New Roman" w:hAnsi="Times New Roman" w:eastAsia="宋体" w:cs="Times New Roman"/>
                <w:b w:val="0"/>
                <w:bCs w:val="0"/>
                <w:color w:val="auto"/>
                <w:sz w:val="24"/>
                <w:szCs w:val="24"/>
                <w:highlight w:val="none"/>
                <w:lang w:val="en-US" w:eastAsia="zh-CN"/>
              </w:rPr>
              <w:t>；</w:t>
            </w:r>
          </w:p>
          <w:p w14:paraId="42F92306">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3、审查文件名称及文号：</w:t>
            </w:r>
            <w:r>
              <w:rPr>
                <w:rFonts w:hint="default" w:ascii="Times New Roman" w:hAnsi="Times New Roman" w:eastAsia="宋体" w:cs="Times New Roman"/>
                <w:b w:val="0"/>
                <w:bCs w:val="0"/>
                <w:color w:val="auto"/>
                <w:sz w:val="24"/>
                <w:szCs w:val="24"/>
                <w:highlight w:val="none"/>
                <w:lang w:val="en-US" w:eastAsia="zh-CN"/>
              </w:rPr>
              <w:t>昆明市生态环境局关于</w:t>
            </w:r>
            <w:r>
              <w:rPr>
                <w:rFonts w:hint="default" w:ascii="Times New Roman" w:hAnsi="Times New Roman" w:eastAsia="宋体" w:cs="Times New Roman"/>
                <w:b w:val="0"/>
                <w:bCs/>
                <w:color w:val="auto"/>
                <w:sz w:val="24"/>
                <w:szCs w:val="24"/>
                <w:highlight w:val="none"/>
                <w:lang w:val="en-US" w:eastAsia="zh-CN"/>
              </w:rPr>
              <w:t>《云南寻甸产业园区总体规划修编（2021-2035）环境影响报告书》审查意见的函（昆环审[2023]5号）</w:t>
            </w:r>
            <w:r>
              <w:rPr>
                <w:rFonts w:hint="default" w:ascii="Times New Roman" w:hAnsi="Times New Roman" w:eastAsia="宋体" w:cs="Times New Roman"/>
                <w:b w:val="0"/>
                <w:bCs w:val="0"/>
                <w:color w:val="auto"/>
                <w:sz w:val="24"/>
                <w:szCs w:val="24"/>
                <w:highlight w:val="none"/>
                <w:lang w:val="en-US" w:eastAsia="zh-CN"/>
              </w:rPr>
              <w:t>。</w:t>
            </w:r>
          </w:p>
        </w:tc>
      </w:tr>
      <w:tr w14:paraId="1414CA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77" w:type="dxa"/>
            <w:vAlign w:val="center"/>
          </w:tcPr>
          <w:p w14:paraId="09D9FFB3">
            <w:pPr>
              <w:shd w:val="clea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规划及规划环境影响评价符合性分析</w:t>
            </w:r>
          </w:p>
        </w:tc>
        <w:tc>
          <w:tcPr>
            <w:tcW w:w="8209" w:type="dxa"/>
            <w:gridSpan w:val="4"/>
            <w:vAlign w:val="center"/>
          </w:tcPr>
          <w:p w14:paraId="7FB15573">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1、与</w:t>
            </w:r>
            <w:r>
              <w:rPr>
                <w:rFonts w:hint="default" w:ascii="Times New Roman" w:hAnsi="Times New Roman" w:eastAsia="宋体" w:cs="Times New Roman"/>
                <w:b/>
                <w:bCs w:val="0"/>
                <w:color w:val="auto"/>
                <w:sz w:val="24"/>
                <w:szCs w:val="24"/>
                <w:highlight w:val="none"/>
                <w:lang w:val="zh-CN" w:eastAsia="zh-CN"/>
              </w:rPr>
              <w:t>《云南寻甸产业园区总体规划修编（2021-2035）》</w:t>
            </w:r>
            <w:r>
              <w:rPr>
                <w:rFonts w:hint="default" w:ascii="Times New Roman" w:hAnsi="Times New Roman" w:eastAsia="宋体" w:cs="Times New Roman"/>
                <w:b/>
                <w:bCs w:val="0"/>
                <w:color w:val="auto"/>
                <w:sz w:val="24"/>
                <w:szCs w:val="24"/>
                <w:highlight w:val="none"/>
                <w:lang w:val="en-US" w:eastAsia="zh-CN"/>
              </w:rPr>
              <w:t>的符合性分析</w:t>
            </w:r>
          </w:p>
          <w:p w14:paraId="0F6E07BE">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规划简介</w:t>
            </w:r>
          </w:p>
          <w:p w14:paraId="512D68CF">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zh-CN" w:eastAsia="zh-CN"/>
              </w:rPr>
            </w:pPr>
            <w:r>
              <w:rPr>
                <w:rFonts w:hint="default" w:ascii="Times New Roman" w:hAnsi="Times New Roman" w:eastAsia="宋体" w:cs="Times New Roman"/>
                <w:b w:val="0"/>
                <w:bCs w:val="0"/>
                <w:color w:val="auto"/>
                <w:sz w:val="24"/>
                <w:szCs w:val="24"/>
                <w:highlight w:val="none"/>
                <w:lang w:val="zh-CN" w:eastAsia="zh-CN"/>
              </w:rPr>
              <w:t>根据《规划》，修编后云南寻甸产业园区远期规划范围至2035年占地面积为1214.59公顷。总体布局规划为“一园三片”一园即云南寻甸产业园区；三片即羊街片区、金所片区(含金所组团、天生桥组团)、倘甸片区。金所片区(金所组团)占地522.60公顷，定位以先进装备制造产业区、非烟轻工产业区、绿色建材产业区、绿色化工产业区、公共服务配套区、中转物流区为主；金所片区(天生桥组团)占地158.92公顷，定位以绿色化工产业区、先进装备制造产业区为主；羊街片区占地263.39公顷，定位以先进装备制造产业区、非烟轻工产业区、商贸物流及冷链加工区为主；倘甸片区占地 269.69 公顷，定位以生物医疗产业区、先进装备制造产业区、非烟轻工产业区、公共服务配套区为主。</w:t>
            </w:r>
          </w:p>
          <w:p w14:paraId="2C391163">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zh-CN" w:eastAsia="zh-CN"/>
              </w:rPr>
            </w:pPr>
            <w:r>
              <w:rPr>
                <w:rFonts w:hint="default" w:ascii="Times New Roman" w:hAnsi="Times New Roman" w:eastAsia="宋体" w:cs="Times New Roman"/>
                <w:b w:val="0"/>
                <w:bCs w:val="0"/>
                <w:color w:val="auto"/>
                <w:sz w:val="24"/>
                <w:szCs w:val="24"/>
                <w:highlight w:val="none"/>
                <w:lang w:val="zh-CN" w:eastAsia="zh-CN"/>
              </w:rPr>
              <w:t>本次《规划》与上版规划比较，调整了相关产业结构，新增了金所片区 (天生桥组团)和倘甸片区，但是总规划面积减小6.08km</w:t>
            </w:r>
            <w:r>
              <w:rPr>
                <w:rFonts w:hint="default" w:ascii="Times New Roman" w:hAnsi="Times New Roman" w:eastAsia="宋体" w:cs="Times New Roman"/>
                <w:b w:val="0"/>
                <w:bCs w:val="0"/>
                <w:color w:val="auto"/>
                <w:sz w:val="24"/>
                <w:szCs w:val="24"/>
                <w:highlight w:val="none"/>
                <w:vertAlign w:val="superscript"/>
                <w:lang w:val="zh-CN" w:eastAsia="zh-CN"/>
              </w:rPr>
              <w:t>2</w:t>
            </w:r>
            <w:r>
              <w:rPr>
                <w:rFonts w:hint="default" w:ascii="Times New Roman" w:hAnsi="Times New Roman" w:eastAsia="宋体" w:cs="Times New Roman"/>
                <w:b w:val="0"/>
                <w:bCs w:val="0"/>
                <w:color w:val="auto"/>
                <w:sz w:val="24"/>
                <w:szCs w:val="24"/>
                <w:highlight w:val="none"/>
                <w:lang w:val="zh-CN" w:eastAsia="zh-CN"/>
              </w:rPr>
              <w:t>，其中金所片区较原规划面积缩小2.77km，羊街片区较原规划面积缩小6.01km</w:t>
            </w:r>
            <w:r>
              <w:rPr>
                <w:rFonts w:hint="default" w:ascii="Times New Roman" w:hAnsi="Times New Roman" w:eastAsia="宋体" w:cs="Times New Roman"/>
                <w:b w:val="0"/>
                <w:bCs w:val="0"/>
                <w:color w:val="auto"/>
                <w:sz w:val="24"/>
                <w:szCs w:val="24"/>
                <w:highlight w:val="none"/>
                <w:vertAlign w:val="superscript"/>
                <w:lang w:val="zh-CN" w:eastAsia="zh-CN"/>
              </w:rPr>
              <w:t>2</w:t>
            </w:r>
            <w:r>
              <w:rPr>
                <w:rFonts w:hint="default" w:ascii="Times New Roman" w:hAnsi="Times New Roman" w:eastAsia="宋体" w:cs="Times New Roman"/>
                <w:b w:val="0"/>
                <w:bCs w:val="0"/>
                <w:color w:val="auto"/>
                <w:sz w:val="24"/>
                <w:szCs w:val="24"/>
                <w:highlight w:val="none"/>
                <w:lang w:val="zh-CN" w:eastAsia="zh-CN"/>
              </w:rPr>
              <w:t>。由寻甸特色产业园区管理委员会委托</w:t>
            </w:r>
            <w:r>
              <w:rPr>
                <w:rFonts w:hint="default" w:ascii="Times New Roman" w:hAnsi="Times New Roman" w:eastAsia="宋体" w:cs="Times New Roman"/>
                <w:b w:val="0"/>
                <w:bCs w:val="0"/>
                <w:color w:val="auto"/>
                <w:sz w:val="24"/>
                <w:szCs w:val="24"/>
                <w:highlight w:val="none"/>
                <w:lang w:val="en-US" w:eastAsia="zh-CN"/>
              </w:rPr>
              <w:t>云南保兴环境科技咨询有限公司</w:t>
            </w:r>
            <w:r>
              <w:rPr>
                <w:rFonts w:hint="default" w:ascii="Times New Roman" w:hAnsi="Times New Roman" w:eastAsia="宋体" w:cs="Times New Roman"/>
                <w:b w:val="0"/>
                <w:bCs w:val="0"/>
                <w:color w:val="auto"/>
                <w:sz w:val="24"/>
                <w:szCs w:val="24"/>
                <w:highlight w:val="none"/>
                <w:lang w:val="zh-CN" w:eastAsia="zh-CN"/>
              </w:rPr>
              <w:t>在《云南寻甸产业园区总体规划修编（2021-2035）》的基础上编制了《云南寻甸产业园区总体规划修编（2021-2035）</w:t>
            </w:r>
            <w:r>
              <w:rPr>
                <w:rFonts w:hint="default" w:ascii="Times New Roman" w:hAnsi="Times New Roman" w:eastAsia="宋体" w:cs="Times New Roman"/>
                <w:b w:val="0"/>
                <w:bCs w:val="0"/>
                <w:color w:val="auto"/>
                <w:sz w:val="24"/>
                <w:szCs w:val="24"/>
                <w:highlight w:val="none"/>
                <w:lang w:val="en-US" w:eastAsia="zh-CN"/>
              </w:rPr>
              <w:t>环境影响报告书</w:t>
            </w:r>
            <w:r>
              <w:rPr>
                <w:rFonts w:hint="default" w:ascii="Times New Roman" w:hAnsi="Times New Roman" w:eastAsia="宋体" w:cs="Times New Roman"/>
                <w:b w:val="0"/>
                <w:bCs w:val="0"/>
                <w:color w:val="auto"/>
                <w:sz w:val="24"/>
                <w:szCs w:val="24"/>
                <w:highlight w:val="none"/>
                <w:lang w:val="zh-CN" w:eastAsia="zh-CN"/>
              </w:rPr>
              <w:t>》。</w:t>
            </w:r>
          </w:p>
          <w:p w14:paraId="5E0B7CC2">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规划相关内容</w:t>
            </w:r>
          </w:p>
          <w:p w14:paraId="16C46E15">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rPr>
              <w:t>1）</w:t>
            </w:r>
            <w:r>
              <w:rPr>
                <w:rFonts w:hint="default" w:ascii="Times New Roman" w:hAnsi="Times New Roman" w:eastAsia="宋体" w:cs="Times New Roman"/>
                <w:b w:val="0"/>
                <w:bCs w:val="0"/>
                <w:color w:val="auto"/>
                <w:sz w:val="24"/>
                <w:szCs w:val="24"/>
                <w:highlight w:val="none"/>
                <w:lang w:val="en-US" w:eastAsia="zh-CN"/>
              </w:rPr>
              <w:t>园区总体布局规划</w:t>
            </w:r>
          </w:p>
          <w:p w14:paraId="7BBEBF58">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根据云南寻甸产业园现状工业的分布情况，统筹规划，形成“一园三片多组团”的总体格局。</w:t>
            </w:r>
          </w:p>
          <w:p w14:paraId="19AA2D5E">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一园：云南寻甸产业园区；</w:t>
            </w:r>
          </w:p>
          <w:p w14:paraId="66F2223E">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三片：羊街片区、金所（天生桥）片区（其中天生桥拟设置为化工园</w:t>
            </w:r>
          </w:p>
          <w:p w14:paraId="5D78221C">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区）、倘甸片区；</w:t>
            </w:r>
          </w:p>
          <w:p w14:paraId="5C371030">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color w:val="auto"/>
                <w:sz w:val="24"/>
                <w:szCs w:val="24"/>
                <w:highlight w:val="none"/>
              </w:rPr>
              <w:t>多组团：依托昆明国际林业产业园、农特产品加工园区、先锋能源基地等园中园，促进产业集聚发展，形成</w:t>
            </w:r>
            <w:r>
              <w:rPr>
                <w:rFonts w:hint="eastAsia" w:cs="Times New Roman"/>
                <w:color w:val="auto"/>
                <w:sz w:val="24"/>
                <w:szCs w:val="24"/>
                <w:highlight w:val="none"/>
                <w:lang w:eastAsia="zh-CN"/>
              </w:rPr>
              <w:t>一二三产业融合</w:t>
            </w:r>
            <w:r>
              <w:rPr>
                <w:rFonts w:hint="default" w:ascii="Times New Roman" w:hAnsi="Times New Roman" w:eastAsia="宋体" w:cs="Times New Roman"/>
                <w:color w:val="auto"/>
                <w:sz w:val="24"/>
                <w:szCs w:val="24"/>
                <w:highlight w:val="none"/>
              </w:rPr>
              <w:t>发展的产业体系。</w:t>
            </w:r>
          </w:p>
          <w:p w14:paraId="16BC77A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2）规划时序</w:t>
            </w:r>
          </w:p>
          <w:p w14:paraId="118158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本次规划的期限为2021～2035年。其中：近期为2021年~2025年，远期为2026年~2035年。</w:t>
            </w:r>
          </w:p>
          <w:p w14:paraId="468946F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rPr>
              <w:t>）规划范围</w:t>
            </w:r>
          </w:p>
          <w:p w14:paraId="348DB4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①</w:t>
            </w:r>
            <w:r>
              <w:rPr>
                <w:rFonts w:hint="default" w:ascii="Times New Roman" w:hAnsi="Times New Roman" w:eastAsia="宋体" w:cs="Times New Roman"/>
                <w:b w:val="0"/>
                <w:bCs w:val="0"/>
                <w:color w:val="auto"/>
                <w:sz w:val="24"/>
                <w:szCs w:val="24"/>
                <w:highlight w:val="none"/>
              </w:rPr>
              <w:t>近期开发范围（2025年）</w:t>
            </w:r>
          </w:p>
          <w:p w14:paraId="718879A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至2025年，近期开发范围根据园区实际发展需求，控制为1096.71公顷，包括三个工业发展片区，其中金所片区681.52公顷；羊街片区231.58公顷；倘甸片区183.62公顷。</w:t>
            </w:r>
          </w:p>
          <w:p w14:paraId="2F7ADA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②</w:t>
            </w:r>
            <w:r>
              <w:rPr>
                <w:rFonts w:hint="default" w:ascii="Times New Roman" w:hAnsi="Times New Roman" w:eastAsia="宋体" w:cs="Times New Roman"/>
                <w:b w:val="0"/>
                <w:bCs w:val="0"/>
                <w:color w:val="auto"/>
                <w:sz w:val="24"/>
                <w:szCs w:val="24"/>
                <w:highlight w:val="none"/>
              </w:rPr>
              <w:t>园区远期规划范围（2035年）</w:t>
            </w:r>
          </w:p>
          <w:p w14:paraId="448ED2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至2035年，远期规划面积根据园区实际发展需求，控制为1214.59公顷，包括三个工业发展片区，其中金所片区681.52公顷；羊街片区263.39公顷；倘甸片区269.69 公顷。</w:t>
            </w:r>
          </w:p>
          <w:p w14:paraId="72C8567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4）园区定位</w:t>
            </w:r>
          </w:p>
          <w:p w14:paraId="7FE2DC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①总体定位</w:t>
            </w:r>
          </w:p>
          <w:p w14:paraId="7C7BF2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立足寻甸特色产业园区现状基础，把握新一轮科技革命和产业变革趋势，按照“增量优质、存量优化”的要求，发展壮大“一主两辅”三大支柱产业，即非烟轻工制造为主导，以绿色化工（是指在化工产品生产过程中，从工艺源头上就运用环保的理念，推行源削减、进行生产过程的优化集成，废物再利用与资源化，从而降低成本与消耗，减少废弃物的排放和毒性，减少产品全生命周期对环境的不良影响）、先进装备制造为辅导产业，巩固提升2大传统产业，即生物医疗、绿色建材传统产业，积极培育生产性服务业和生活性服务业，着力构建形成“3+2+2”的现代产业体系架构。</w:t>
            </w:r>
          </w:p>
          <w:p w14:paraId="24DABF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“3”支柱产业包括：非烟轻工（一主）、绿色化工及先进装备制造（两辅）</w:t>
            </w:r>
            <w:r>
              <w:rPr>
                <w:rFonts w:hint="default" w:ascii="Times New Roman" w:hAnsi="Times New Roman" w:eastAsia="宋体" w:cs="Times New Roman"/>
                <w:color w:val="auto"/>
                <w:sz w:val="24"/>
                <w:szCs w:val="24"/>
                <w:highlight w:val="none"/>
                <w:lang w:eastAsia="zh-CN"/>
              </w:rPr>
              <w:t>；</w:t>
            </w:r>
          </w:p>
          <w:p w14:paraId="1E1CD3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“2”传统产业包括：生物医药、绿色建材；</w:t>
            </w:r>
          </w:p>
          <w:p w14:paraId="2D56AB5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“2”服务业：生产性服务、生活性服务。</w:t>
            </w:r>
          </w:p>
          <w:p w14:paraId="5148361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②分园定位</w:t>
            </w:r>
          </w:p>
          <w:p w14:paraId="7DEAD5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金所片区金所组团（</w:t>
            </w:r>
            <w:r>
              <w:rPr>
                <w:rFonts w:hint="default" w:ascii="Times New Roman" w:hAnsi="Times New Roman" w:eastAsia="宋体" w:cs="Times New Roman"/>
                <w:b/>
                <w:color w:val="auto"/>
                <w:sz w:val="24"/>
                <w:szCs w:val="24"/>
                <w:highlight w:val="none"/>
              </w:rPr>
              <w:t>6</w:t>
            </w:r>
            <w:r>
              <w:rPr>
                <w:rFonts w:hint="default" w:ascii="Times New Roman" w:hAnsi="Times New Roman" w:eastAsia="宋体" w:cs="Times New Roman"/>
                <w:color w:val="auto"/>
                <w:sz w:val="24"/>
                <w:szCs w:val="24"/>
                <w:highlight w:val="none"/>
              </w:rPr>
              <w:t>分区）：先进装备制造产业区、非烟轻工产业区、绿色建材产业区、绿色化工产业区、公共服务配套区、中转物流区；</w:t>
            </w:r>
          </w:p>
          <w:p w14:paraId="5CB404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rPr>
              <w:t>金所片区天生桥组团（本次拟设置为化工园区）（</w:t>
            </w:r>
            <w:r>
              <w:rPr>
                <w:rFonts w:hint="default" w:ascii="Times New Roman" w:hAnsi="Times New Roman" w:eastAsia="宋体" w:cs="Times New Roman"/>
                <w:b/>
                <w:color w:val="auto"/>
                <w:sz w:val="24"/>
                <w:szCs w:val="24"/>
                <w:highlight w:val="none"/>
              </w:rPr>
              <w:t>2</w:t>
            </w:r>
            <w:r>
              <w:rPr>
                <w:rFonts w:hint="default" w:ascii="Times New Roman" w:hAnsi="Times New Roman" w:eastAsia="宋体" w:cs="Times New Roman"/>
                <w:color w:val="auto"/>
                <w:sz w:val="24"/>
                <w:szCs w:val="24"/>
                <w:highlight w:val="none"/>
              </w:rPr>
              <w:t>分区）：绿色化工产业区、先进装备制造产业区；</w:t>
            </w:r>
          </w:p>
          <w:p w14:paraId="66D141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羊街片区（</w:t>
            </w:r>
            <w:r>
              <w:rPr>
                <w:rFonts w:hint="default" w:ascii="Times New Roman" w:hAnsi="Times New Roman" w:eastAsia="宋体" w:cs="Times New Roman"/>
                <w:b/>
                <w:color w:val="auto"/>
                <w:sz w:val="24"/>
                <w:szCs w:val="24"/>
                <w:highlight w:val="none"/>
              </w:rPr>
              <w:t>3</w:t>
            </w:r>
            <w:r>
              <w:rPr>
                <w:rFonts w:hint="default" w:ascii="Times New Roman" w:hAnsi="Times New Roman" w:eastAsia="宋体" w:cs="Times New Roman"/>
                <w:color w:val="auto"/>
                <w:sz w:val="24"/>
                <w:szCs w:val="24"/>
                <w:highlight w:val="none"/>
              </w:rPr>
              <w:t>分区）：先进装备制造产业区、非烟轻工产业区、商贸物流及冷链加工区；</w:t>
            </w:r>
          </w:p>
          <w:p w14:paraId="612EDA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rPr>
              <w:t>倘甸片区（</w:t>
            </w:r>
            <w:r>
              <w:rPr>
                <w:rFonts w:hint="default" w:ascii="Times New Roman" w:hAnsi="Times New Roman" w:eastAsia="宋体" w:cs="Times New Roman"/>
                <w:b/>
                <w:color w:val="auto"/>
                <w:sz w:val="24"/>
                <w:szCs w:val="24"/>
                <w:highlight w:val="none"/>
              </w:rPr>
              <w:t>4</w:t>
            </w:r>
            <w:r>
              <w:rPr>
                <w:rFonts w:hint="default" w:ascii="Times New Roman" w:hAnsi="Times New Roman" w:eastAsia="宋体" w:cs="Times New Roman"/>
                <w:color w:val="auto"/>
                <w:sz w:val="24"/>
                <w:szCs w:val="24"/>
                <w:highlight w:val="none"/>
              </w:rPr>
              <w:t>分区）：生物医疗产业区、先进装备制造产业区、非烟轻工产业区、公共服务配套区。</w:t>
            </w:r>
          </w:p>
          <w:p w14:paraId="203613DF">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zh-CN"/>
              </w:rPr>
              <w:t>）相符性分析</w:t>
            </w:r>
          </w:p>
          <w:p w14:paraId="050D47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本项目为</w:t>
            </w:r>
            <w:r>
              <w:rPr>
                <w:rFonts w:hint="eastAsia" w:cs="Times New Roman"/>
                <w:color w:val="auto"/>
                <w:sz w:val="24"/>
                <w:szCs w:val="24"/>
                <w:highlight w:val="none"/>
                <w:lang w:val="zh-CN"/>
              </w:rPr>
              <w:t>竹木纤维集成墙板及扣板</w:t>
            </w:r>
            <w:r>
              <w:rPr>
                <w:rFonts w:hint="default" w:ascii="Times New Roman" w:hAnsi="Times New Roman" w:eastAsia="宋体" w:cs="Times New Roman"/>
                <w:color w:val="auto"/>
                <w:sz w:val="24"/>
                <w:szCs w:val="24"/>
                <w:highlight w:val="none"/>
                <w:lang w:val="zh-CN"/>
              </w:rPr>
              <w:t>等生产制造项目，根据</w:t>
            </w:r>
            <w:r>
              <w:rPr>
                <w:rFonts w:hint="eastAsia" w:cs="Times New Roman"/>
                <w:color w:val="auto"/>
                <w:sz w:val="24"/>
                <w:szCs w:val="24"/>
                <w:highlight w:val="none"/>
                <w:lang w:val="en-US" w:eastAsia="zh-CN"/>
              </w:rPr>
              <w:t>园区土地规划利用图</w:t>
            </w:r>
            <w:r>
              <w:rPr>
                <w:rFonts w:hint="default" w:ascii="Times New Roman" w:hAnsi="Times New Roman" w:eastAsia="宋体" w:cs="Times New Roman"/>
                <w:color w:val="auto"/>
                <w:sz w:val="24"/>
                <w:szCs w:val="24"/>
                <w:highlight w:val="none"/>
                <w:lang w:val="zh-CN"/>
              </w:rPr>
              <w:t>，项目用地</w:t>
            </w:r>
            <w:r>
              <w:rPr>
                <w:rFonts w:hint="default" w:ascii="Times New Roman" w:hAnsi="Times New Roman" w:eastAsia="宋体" w:cs="Times New Roman"/>
                <w:color w:val="auto"/>
                <w:sz w:val="24"/>
                <w:szCs w:val="24"/>
                <w:highlight w:val="none"/>
                <w:lang w:val="en-US" w:eastAsia="zh-CN"/>
              </w:rPr>
              <w:t>性质</w:t>
            </w:r>
            <w:r>
              <w:rPr>
                <w:rFonts w:hint="default" w:ascii="Times New Roman" w:hAnsi="Times New Roman" w:eastAsia="宋体" w:cs="Times New Roman"/>
                <w:color w:val="auto"/>
                <w:sz w:val="24"/>
                <w:szCs w:val="24"/>
                <w:highlight w:val="none"/>
                <w:lang w:val="zh-CN"/>
              </w:rPr>
              <w:t>为工业用地。</w:t>
            </w:r>
            <w:r>
              <w:rPr>
                <w:rFonts w:hint="default"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01</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lang w:val="en-US" w:eastAsia="zh-CN"/>
              </w:rPr>
              <w:t>日已取得寻甸产业园区管理委员会出具的</w:t>
            </w:r>
            <w:r>
              <w:rPr>
                <w:rFonts w:hint="eastAsia" w:cs="Times New Roman"/>
                <w:color w:val="auto"/>
                <w:sz w:val="24"/>
                <w:szCs w:val="24"/>
                <w:highlight w:val="none"/>
                <w:lang w:val="en-US" w:eastAsia="zh-CN"/>
              </w:rPr>
              <w:t>昆明滇皖建材有限公司新型墙体材料新建</w:t>
            </w:r>
            <w:r>
              <w:rPr>
                <w:rFonts w:hint="default" w:ascii="Times New Roman" w:hAnsi="Times New Roman" w:eastAsia="宋体" w:cs="Times New Roman"/>
                <w:color w:val="auto"/>
                <w:sz w:val="24"/>
                <w:szCs w:val="24"/>
                <w:highlight w:val="none"/>
                <w:lang w:val="en-US" w:eastAsia="zh-CN"/>
              </w:rPr>
              <w:t>项目入园申请同意书</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同意书中明确“园区认为此项目符合本园区产业发展，同意昆明滇皖建材有限公司《昆明滇皖建材有限公司新型墙体材料新建项目》入驻寻甸产业园区金所片区”。</w:t>
            </w:r>
          </w:p>
          <w:p w14:paraId="6F4AD6D8">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综上分析，本项目位于</w:t>
            </w:r>
            <w:r>
              <w:rPr>
                <w:rFonts w:hint="default" w:ascii="Times New Roman" w:hAnsi="Times New Roman" w:eastAsia="宋体" w:cs="Times New Roman"/>
                <w:color w:val="auto"/>
                <w:sz w:val="24"/>
                <w:szCs w:val="24"/>
                <w:highlight w:val="none"/>
                <w:u w:val="none"/>
                <w:lang w:val="en-US" w:eastAsia="zh-CN"/>
              </w:rPr>
              <w:t>云南寻甸产业园区金所片区金所组团</w:t>
            </w:r>
            <w:r>
              <w:rPr>
                <w:rFonts w:hint="eastAsia" w:cs="Times New Roman"/>
                <w:color w:val="auto"/>
                <w:sz w:val="24"/>
                <w:szCs w:val="24"/>
                <w:highlight w:val="none"/>
                <w:u w:val="none"/>
                <w:lang w:val="en-US" w:eastAsia="zh-CN"/>
              </w:rPr>
              <w:t>绿色建材产业区</w:t>
            </w:r>
            <w:r>
              <w:rPr>
                <w:rFonts w:hint="default" w:ascii="Times New Roman" w:hAnsi="Times New Roman" w:eastAsia="宋体" w:cs="Times New Roman"/>
                <w:color w:val="auto"/>
                <w:sz w:val="24"/>
                <w:szCs w:val="24"/>
                <w:highlight w:val="none"/>
                <w:u w:val="none"/>
                <w:lang w:val="en-US" w:eastAsia="zh-CN"/>
              </w:rPr>
              <w:t>，</w:t>
            </w:r>
            <w:r>
              <w:rPr>
                <w:rFonts w:hint="default" w:ascii="Times New Roman" w:hAnsi="Times New Roman" w:eastAsia="宋体" w:cs="Times New Roman"/>
                <w:color w:val="auto"/>
                <w:sz w:val="24"/>
                <w:szCs w:val="24"/>
                <w:highlight w:val="none"/>
                <w:lang w:val="zh-CN"/>
              </w:rPr>
              <w:t>项目建设</w:t>
            </w:r>
            <w:r>
              <w:rPr>
                <w:rFonts w:hint="default" w:ascii="Times New Roman" w:hAnsi="Times New Roman" w:eastAsia="宋体" w:cs="Times New Roman"/>
                <w:color w:val="auto"/>
                <w:sz w:val="24"/>
                <w:szCs w:val="24"/>
                <w:highlight w:val="none"/>
                <w:lang w:val="en-US" w:eastAsia="zh-CN"/>
              </w:rPr>
              <w:t>与</w:t>
            </w:r>
            <w:r>
              <w:rPr>
                <w:rFonts w:hint="default" w:ascii="Times New Roman" w:hAnsi="Times New Roman" w:eastAsia="宋体" w:cs="Times New Roman"/>
                <w:b w:val="0"/>
                <w:bCs w:val="0"/>
                <w:color w:val="auto"/>
                <w:sz w:val="24"/>
                <w:szCs w:val="24"/>
                <w:highlight w:val="none"/>
                <w:lang w:val="zh-CN" w:eastAsia="zh-CN"/>
              </w:rPr>
              <w:t>《云南寻甸产业园区总体规划修编（2021-2035）》</w:t>
            </w:r>
            <w:r>
              <w:rPr>
                <w:rFonts w:hint="default" w:ascii="Times New Roman" w:hAnsi="Times New Roman" w:eastAsia="宋体" w:cs="Times New Roman"/>
                <w:b w:val="0"/>
                <w:bCs w:val="0"/>
                <w:color w:val="auto"/>
                <w:sz w:val="24"/>
                <w:szCs w:val="24"/>
                <w:highlight w:val="none"/>
                <w:lang w:val="en-US" w:eastAsia="zh-CN"/>
              </w:rPr>
              <w:t>不冲突</w:t>
            </w:r>
            <w:r>
              <w:rPr>
                <w:rFonts w:hint="default" w:ascii="Times New Roman" w:hAnsi="Times New Roman" w:eastAsia="宋体" w:cs="Times New Roman"/>
                <w:color w:val="auto"/>
                <w:sz w:val="24"/>
                <w:szCs w:val="24"/>
                <w:highlight w:val="none"/>
                <w:lang w:val="zh-CN"/>
              </w:rPr>
              <w:t>。</w:t>
            </w:r>
          </w:p>
          <w:p w14:paraId="1E99D0BA">
            <w:pPr>
              <w:pStyle w:val="17"/>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bookmarkStart w:id="6" w:name="_Toc31449"/>
            <w:r>
              <w:rPr>
                <w:rFonts w:hint="default" w:ascii="Times New Roman" w:hAnsi="Times New Roman" w:eastAsia="宋体" w:cs="Times New Roman"/>
                <w:b/>
                <w:bCs w:val="0"/>
                <w:color w:val="auto"/>
                <w:sz w:val="24"/>
                <w:szCs w:val="24"/>
                <w:highlight w:val="none"/>
                <w:lang w:val="zh-CN" w:bidi="ar"/>
              </w:rPr>
              <w:t>与《云南寻甸产业园区总体规划修编（2021-2035）环境影响报告书》</w:t>
            </w:r>
            <w:r>
              <w:rPr>
                <w:rFonts w:hint="default" w:ascii="Times New Roman" w:hAnsi="Times New Roman" w:eastAsia="宋体" w:cs="Times New Roman"/>
                <w:b/>
                <w:bCs w:val="0"/>
                <w:color w:val="auto"/>
                <w:sz w:val="24"/>
                <w:szCs w:val="24"/>
                <w:highlight w:val="none"/>
                <w:lang w:val="en-US" w:eastAsia="zh-CN" w:bidi="ar"/>
              </w:rPr>
              <w:t>及</w:t>
            </w:r>
            <w:r>
              <w:rPr>
                <w:rFonts w:hint="default" w:ascii="Times New Roman" w:hAnsi="Times New Roman" w:eastAsia="宋体" w:cs="Times New Roman"/>
                <w:b/>
                <w:bCs w:val="0"/>
                <w:color w:val="auto"/>
                <w:sz w:val="24"/>
                <w:szCs w:val="24"/>
                <w:highlight w:val="none"/>
                <w:lang w:val="zh-CN" w:bidi="ar"/>
              </w:rPr>
              <w:t>审查意见（昆环审[2023]5号）</w:t>
            </w:r>
            <w:r>
              <w:rPr>
                <w:rFonts w:hint="default" w:ascii="Times New Roman" w:hAnsi="Times New Roman" w:eastAsia="宋体" w:cs="Times New Roman"/>
                <w:b/>
                <w:bCs w:val="0"/>
                <w:color w:val="auto"/>
                <w:sz w:val="24"/>
                <w:szCs w:val="24"/>
                <w:highlight w:val="none"/>
                <w:lang w:val="en-US" w:eastAsia="zh-CN" w:bidi="ar"/>
              </w:rPr>
              <w:t>的</w:t>
            </w:r>
            <w:r>
              <w:rPr>
                <w:rFonts w:hint="default" w:ascii="Times New Roman" w:hAnsi="Times New Roman" w:eastAsia="宋体" w:cs="Times New Roman"/>
                <w:b/>
                <w:bCs w:val="0"/>
                <w:color w:val="auto"/>
                <w:sz w:val="24"/>
                <w:szCs w:val="24"/>
                <w:highlight w:val="none"/>
                <w:lang w:val="zh-CN" w:bidi="ar"/>
              </w:rPr>
              <w:t>符合性分析</w:t>
            </w:r>
            <w:bookmarkEnd w:id="6"/>
          </w:p>
          <w:p w14:paraId="44186896">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zh-CN"/>
              </w:rPr>
              <w:t>）主要环境影响减缓措施</w:t>
            </w:r>
            <w:r>
              <w:rPr>
                <w:rFonts w:hint="default" w:ascii="Times New Roman" w:hAnsi="Times New Roman" w:eastAsia="宋体" w:cs="Times New Roman"/>
                <w:b/>
                <w:bCs/>
                <w:color w:val="auto"/>
                <w:sz w:val="24"/>
                <w:szCs w:val="24"/>
                <w:highlight w:val="none"/>
                <w:lang w:val="en-US" w:eastAsia="zh-CN"/>
              </w:rPr>
              <w:t>符合性分析</w:t>
            </w:r>
          </w:p>
          <w:p w14:paraId="6948FB9B">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根据《云南寻甸产业园区总体规划修编（2021-2035）环境影响报告书》及其环评审查意见，</w:t>
            </w:r>
            <w:r>
              <w:rPr>
                <w:rFonts w:hint="default" w:ascii="Times New Roman" w:hAnsi="Times New Roman" w:eastAsia="宋体" w:cs="Times New Roman"/>
                <w:color w:val="auto"/>
                <w:sz w:val="24"/>
                <w:szCs w:val="24"/>
                <w:highlight w:val="none"/>
                <w:lang w:val="en-US" w:eastAsia="zh-CN"/>
              </w:rPr>
              <w:t>本项目与</w:t>
            </w:r>
            <w:r>
              <w:rPr>
                <w:rFonts w:hint="default" w:ascii="Times New Roman" w:hAnsi="Times New Roman" w:eastAsia="宋体" w:cs="Times New Roman"/>
                <w:color w:val="auto"/>
                <w:sz w:val="24"/>
                <w:szCs w:val="24"/>
                <w:highlight w:val="none"/>
                <w:lang w:val="zh-CN"/>
              </w:rPr>
              <w:t>园区的主要环境影响减缓措施</w:t>
            </w:r>
            <w:r>
              <w:rPr>
                <w:rFonts w:hint="default" w:ascii="Times New Roman" w:hAnsi="Times New Roman" w:eastAsia="宋体" w:cs="Times New Roman"/>
                <w:color w:val="auto"/>
                <w:sz w:val="24"/>
                <w:szCs w:val="24"/>
                <w:highlight w:val="none"/>
                <w:lang w:val="en-US" w:eastAsia="zh-CN"/>
              </w:rPr>
              <w:t>符合性分析</w:t>
            </w:r>
            <w:r>
              <w:rPr>
                <w:rFonts w:hint="default" w:ascii="Times New Roman" w:hAnsi="Times New Roman" w:eastAsia="宋体" w:cs="Times New Roman"/>
                <w:color w:val="auto"/>
                <w:sz w:val="24"/>
                <w:szCs w:val="24"/>
                <w:highlight w:val="none"/>
                <w:lang w:val="zh-CN"/>
              </w:rPr>
              <w:t>如下</w:t>
            </w:r>
            <w:r>
              <w:rPr>
                <w:rFonts w:hint="default" w:ascii="Times New Roman" w:hAnsi="Times New Roman" w:eastAsia="宋体" w:cs="Times New Roman"/>
                <w:color w:val="auto"/>
                <w:sz w:val="24"/>
                <w:szCs w:val="24"/>
                <w:highlight w:val="none"/>
                <w:lang w:val="en-US" w:eastAsia="zh-CN"/>
              </w:rPr>
              <w:t>表所示。</w:t>
            </w:r>
          </w:p>
          <w:p w14:paraId="5A1E2B81">
            <w:pPr>
              <w:shd w:val="clear"/>
              <w:adjustRightInd w:val="0"/>
              <w:snapToGrid w:val="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表1-</w:t>
            </w:r>
            <w:r>
              <w:rPr>
                <w:rFonts w:hint="default" w:ascii="Times New Roman" w:hAnsi="Times New Roman" w:eastAsia="宋体" w:cs="Times New Roman"/>
                <w:b/>
                <w:bCs/>
                <w:color w:val="auto"/>
                <w:highlight w:val="none"/>
                <w:lang w:val="en-US" w:eastAsia="zh-CN"/>
              </w:rPr>
              <w:t>2</w:t>
            </w:r>
            <w:r>
              <w:rPr>
                <w:rFonts w:hint="default" w:ascii="Times New Roman" w:hAnsi="Times New Roman" w:eastAsia="宋体" w:cs="Times New Roman"/>
                <w:b/>
                <w:bCs/>
                <w:color w:val="auto"/>
                <w:highlight w:val="none"/>
              </w:rPr>
              <w:t xml:space="preserve"> </w:t>
            </w:r>
            <w:r>
              <w:rPr>
                <w:rFonts w:hint="default" w:ascii="Times New Roman" w:hAnsi="Times New Roman" w:eastAsia="宋体" w:cs="Times New Roman"/>
                <w:b/>
                <w:bCs/>
                <w:color w:val="auto"/>
                <w:highlight w:val="none"/>
                <w:lang w:val="en-US" w:eastAsia="zh-CN"/>
              </w:rPr>
              <w:t xml:space="preserve"> </w:t>
            </w:r>
            <w:r>
              <w:rPr>
                <w:rFonts w:hint="default" w:ascii="Times New Roman" w:hAnsi="Times New Roman" w:eastAsia="宋体" w:cs="Times New Roman"/>
                <w:b/>
                <w:bCs/>
                <w:color w:val="auto"/>
                <w:highlight w:val="none"/>
              </w:rPr>
              <w:t xml:space="preserve"> 项目与规划环评</w:t>
            </w:r>
            <w:r>
              <w:rPr>
                <w:rFonts w:hint="default" w:ascii="Times New Roman" w:hAnsi="Times New Roman" w:eastAsia="宋体" w:cs="Times New Roman"/>
                <w:b/>
                <w:bCs/>
                <w:color w:val="auto"/>
                <w:highlight w:val="none"/>
                <w:lang w:val="en-US" w:eastAsia="zh-CN"/>
              </w:rPr>
              <w:t>中环境影响减缓措施</w:t>
            </w:r>
            <w:r>
              <w:rPr>
                <w:rFonts w:hint="default" w:ascii="Times New Roman" w:hAnsi="Times New Roman" w:eastAsia="宋体" w:cs="Times New Roman"/>
                <w:b/>
                <w:bCs/>
                <w:color w:val="auto"/>
                <w:highlight w:val="none"/>
              </w:rPr>
              <w:t>相符性对比分析表</w:t>
            </w:r>
          </w:p>
          <w:tbl>
            <w:tblPr>
              <w:tblStyle w:val="26"/>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4278"/>
              <w:gridCol w:w="2287"/>
              <w:gridCol w:w="664"/>
            </w:tblGrid>
            <w:tr w14:paraId="2BC1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669" w:type="dxa"/>
                  <w:noWrap w:val="0"/>
                  <w:vAlign w:val="center"/>
                </w:tcPr>
                <w:p w14:paraId="748C2DCA">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类别</w:t>
                  </w:r>
                </w:p>
              </w:tc>
              <w:tc>
                <w:tcPr>
                  <w:tcW w:w="4278" w:type="dxa"/>
                  <w:noWrap w:val="0"/>
                  <w:vAlign w:val="center"/>
                </w:tcPr>
                <w:p w14:paraId="5C2A1FC4">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内容要求</w:t>
                  </w:r>
                </w:p>
              </w:tc>
              <w:tc>
                <w:tcPr>
                  <w:tcW w:w="2287" w:type="dxa"/>
                  <w:noWrap w:val="0"/>
                  <w:vAlign w:val="center"/>
                </w:tcPr>
                <w:p w14:paraId="055F6856">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项目建设内容</w:t>
                  </w:r>
                </w:p>
              </w:tc>
              <w:tc>
                <w:tcPr>
                  <w:tcW w:w="664" w:type="dxa"/>
                  <w:noWrap w:val="0"/>
                  <w:vAlign w:val="center"/>
                </w:tcPr>
                <w:p w14:paraId="39032AB2">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14:paraId="7B2D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9" w:type="dxa"/>
                  <w:noWrap w:val="0"/>
                  <w:vAlign w:val="center"/>
                </w:tcPr>
                <w:p w14:paraId="3F300C2E">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水</w:t>
                  </w:r>
                  <w:r>
                    <w:rPr>
                      <w:rFonts w:hint="default" w:ascii="Times New Roman" w:hAnsi="Times New Roman" w:eastAsia="宋体" w:cs="Times New Roman"/>
                      <w:color w:val="auto"/>
                      <w:sz w:val="21"/>
                      <w:szCs w:val="21"/>
                      <w:highlight w:val="none"/>
                      <w:lang w:val="en-US" w:eastAsia="zh-CN"/>
                    </w:rPr>
                    <w:t>环境影响</w:t>
                  </w:r>
                  <w:r>
                    <w:rPr>
                      <w:rFonts w:hint="default" w:ascii="Times New Roman" w:hAnsi="Times New Roman" w:eastAsia="宋体" w:cs="Times New Roman"/>
                      <w:color w:val="auto"/>
                      <w:sz w:val="21"/>
                      <w:szCs w:val="21"/>
                      <w:highlight w:val="none"/>
                      <w:lang w:val="zh-CN"/>
                    </w:rPr>
                    <w:t>减缓措施</w:t>
                  </w:r>
                </w:p>
              </w:tc>
              <w:tc>
                <w:tcPr>
                  <w:tcW w:w="4278" w:type="dxa"/>
                  <w:noWrap w:val="0"/>
                  <w:vAlign w:val="center"/>
                </w:tcPr>
                <w:p w14:paraId="197EC692">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①</w:t>
                  </w:r>
                  <w:r>
                    <w:rPr>
                      <w:rFonts w:hint="default" w:ascii="Times New Roman" w:hAnsi="Times New Roman" w:eastAsia="宋体" w:cs="Times New Roman"/>
                      <w:color w:val="auto"/>
                      <w:kern w:val="0"/>
                      <w:sz w:val="21"/>
                      <w:szCs w:val="21"/>
                    </w:rPr>
                    <w:t>根据《规划修编》实施对水环境的影响分析，规划建设覆盖规划区范围的“雨污分流”排水体制。各煤、磷、盐化工等企业内部自行收集初期雨水进行处理后回用，园区雨水经过雨水管网收集后汇入附近地表水体</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金所组团现状煤磷盐化工企业及废水实现零排放企业按现状处置方式，即由企业处理达标后循环回用或经已建的排污管道排至摩洛河。</w:t>
                  </w:r>
                </w:p>
                <w:p w14:paraId="341807B6">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②</w:t>
                  </w:r>
                  <w:r>
                    <w:rPr>
                      <w:rFonts w:hint="default" w:ascii="Times New Roman" w:hAnsi="Times New Roman" w:eastAsia="宋体" w:cs="Times New Roman"/>
                      <w:color w:val="auto"/>
                      <w:kern w:val="0"/>
                      <w:sz w:val="21"/>
                      <w:szCs w:val="21"/>
                    </w:rPr>
                    <w:t>园区严格按照规划要求，建设污水集中和分散处理设施，提高园区水资源利用率，减少污水排放。各组团后续入驻企业废水严格按照规划排水方案执行</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园区内企事业单位等应增加再生水回用接口。企业内部循环利用+园区调配两级保障措施，按分期发展要求分别建设污水处理回用系统，污水处理回用系统采取分质处理分级回用方式，回用于各类城市杂用水和工业补水等</w:t>
                  </w:r>
                  <w:r>
                    <w:rPr>
                      <w:rFonts w:hint="default" w:ascii="Times New Roman" w:hAnsi="Times New Roman" w:eastAsia="宋体" w:cs="Times New Roman"/>
                      <w:color w:val="auto"/>
                      <w:kern w:val="0"/>
                      <w:sz w:val="21"/>
                      <w:szCs w:val="21"/>
                      <w:lang w:eastAsia="zh-CN"/>
                    </w:rPr>
                    <w:t>；</w:t>
                  </w:r>
                </w:p>
                <w:p w14:paraId="0C79ADF2">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lang w:val="en-US" w:eastAsia="zh-CN"/>
                    </w:rPr>
                    <w:t>③严格</w:t>
                  </w:r>
                  <w:r>
                    <w:rPr>
                      <w:rFonts w:hint="default" w:ascii="Times New Roman" w:hAnsi="Times New Roman" w:eastAsia="宋体" w:cs="Times New Roman"/>
                      <w:color w:val="auto"/>
                      <w:kern w:val="0"/>
                      <w:sz w:val="21"/>
                      <w:szCs w:val="21"/>
                    </w:rPr>
                    <w:t>各污水处理设施的管理、监测工作，确保污水处理设施外排污水长期稳定达标。新建、迁建项目应采用先进的生产工艺和污染防治技术，其清洁生产水平应达到国内先进水平以上</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实行严格的清洁生产审计，全过程降低对水的消耗和污染</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工业企业应严格控制用水量，加大工业用水的重复利用率，发展节水型工业。</w:t>
                  </w:r>
                </w:p>
              </w:tc>
              <w:tc>
                <w:tcPr>
                  <w:tcW w:w="2287" w:type="dxa"/>
                  <w:noWrap w:val="0"/>
                  <w:vAlign w:val="center"/>
                </w:tcPr>
                <w:p w14:paraId="64DF89E9">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vertAlign w:val="baseline"/>
                      <w:lang w:val="en-US" w:eastAsia="zh-CN" w:bidi="ar-SA"/>
                    </w:rPr>
                    <w:t>本项目排水采用雨污分流的排水方式，项目区建筑物屋面及地面雨水经厂区雨水沟收集后排入园区雨水市政管网；冷却废水经循环水冷却池冷却后循环使用，不外排；食堂废水经隔油池处理后，与生活污水一同进入</w:t>
                  </w:r>
                  <w:r>
                    <w:rPr>
                      <w:rFonts w:hint="eastAsia" w:ascii="Times New Roman" w:hAnsi="Times New Roman" w:eastAsia="宋体" w:cs="Times New Roman"/>
                      <w:color w:val="auto"/>
                      <w:kern w:val="0"/>
                      <w:sz w:val="21"/>
                      <w:szCs w:val="21"/>
                      <w:highlight w:val="none"/>
                      <w:vertAlign w:val="baseline"/>
                      <w:lang w:val="en-US" w:eastAsia="zh-CN" w:bidi="ar-SA"/>
                    </w:rPr>
                    <w:t>依托的</w:t>
                  </w:r>
                  <w:r>
                    <w:rPr>
                      <w:rFonts w:hint="default" w:ascii="Times New Roman" w:hAnsi="Times New Roman" w:eastAsia="宋体" w:cs="Times New Roman"/>
                      <w:color w:val="auto"/>
                      <w:kern w:val="0"/>
                      <w:sz w:val="21"/>
                      <w:szCs w:val="21"/>
                      <w:highlight w:val="none"/>
                      <w:vertAlign w:val="baseline"/>
                      <w:lang w:val="en-US" w:eastAsia="zh-CN" w:bidi="ar-SA"/>
                    </w:rPr>
                    <w:t>化粪池处理</w:t>
                  </w:r>
                  <w:r>
                    <w:rPr>
                      <w:rFonts w:hint="eastAsia" w:ascii="Times New Roman" w:hAnsi="Times New Roman" w:eastAsia="宋体" w:cs="Times New Roman"/>
                      <w:color w:val="auto"/>
                      <w:kern w:val="0"/>
                      <w:sz w:val="21"/>
                      <w:szCs w:val="21"/>
                      <w:highlight w:val="none"/>
                      <w:vertAlign w:val="baseline"/>
                      <w:lang w:val="en-US" w:eastAsia="zh-CN" w:bidi="ar-SA"/>
                    </w:rPr>
                    <w:t>后</w:t>
                  </w:r>
                  <w:r>
                    <w:rPr>
                      <w:rFonts w:hint="default" w:ascii="Times New Roman" w:hAnsi="Times New Roman" w:eastAsia="宋体" w:cs="Times New Roman"/>
                      <w:color w:val="auto"/>
                      <w:kern w:val="0"/>
                      <w:sz w:val="21"/>
                      <w:szCs w:val="21"/>
                      <w:highlight w:val="none"/>
                      <w:vertAlign w:val="baseline"/>
                      <w:lang w:val="en-US" w:eastAsia="zh-CN" w:bidi="ar-SA"/>
                    </w:rPr>
                    <w:t>再进入到厂区</w:t>
                  </w:r>
                  <w:r>
                    <w:rPr>
                      <w:rFonts w:hint="eastAsia" w:ascii="Times New Roman" w:hAnsi="Times New Roman" w:eastAsia="宋体" w:cs="Times New Roman"/>
                      <w:color w:val="auto"/>
                      <w:kern w:val="0"/>
                      <w:sz w:val="21"/>
                      <w:szCs w:val="21"/>
                      <w:highlight w:val="none"/>
                      <w:vertAlign w:val="baseline"/>
                      <w:lang w:val="en-US" w:eastAsia="zh-CN" w:bidi="ar-SA"/>
                    </w:rPr>
                    <w:t>依托的一体化污水处理站</w:t>
                  </w:r>
                  <w:r>
                    <w:rPr>
                      <w:rFonts w:hint="default" w:ascii="Times New Roman" w:hAnsi="Times New Roman" w:eastAsia="宋体" w:cs="Times New Roman"/>
                      <w:color w:val="auto"/>
                      <w:kern w:val="0"/>
                      <w:sz w:val="21"/>
                      <w:szCs w:val="21"/>
                      <w:highlight w:val="none"/>
                      <w:vertAlign w:val="baseline"/>
                      <w:lang w:val="en-US" w:eastAsia="zh-CN" w:bidi="ar-SA"/>
                    </w:rPr>
                    <w:t>处理后，达到《城市污水再生利用 城市杂用水水质》（GB/T18920-2020）中的城市绿化、道路清扫、消防、建筑施工标准后，用于项目区内绿化及道路场地洒水降尘，不外排。</w:t>
                  </w:r>
                </w:p>
              </w:tc>
              <w:tc>
                <w:tcPr>
                  <w:tcW w:w="664" w:type="dxa"/>
                  <w:noWrap w:val="0"/>
                  <w:vAlign w:val="center"/>
                </w:tcPr>
                <w:p w14:paraId="1DFA54C4">
                  <w:pPr>
                    <w:keepNext w:val="0"/>
                    <w:keepLines w:val="0"/>
                    <w:pageBreakBefore w:val="0"/>
                    <w:widowControl w:val="0"/>
                    <w:shd w:val="clear"/>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符合</w:t>
                  </w:r>
                </w:p>
              </w:tc>
            </w:tr>
            <w:tr w14:paraId="5CE4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9" w:type="dxa"/>
                  <w:noWrap w:val="0"/>
                  <w:vAlign w:val="center"/>
                </w:tcPr>
                <w:p w14:paraId="29430B29">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大气</w:t>
                  </w:r>
                  <w:r>
                    <w:rPr>
                      <w:rFonts w:hint="default" w:ascii="Times New Roman" w:hAnsi="Times New Roman" w:eastAsia="宋体" w:cs="Times New Roman"/>
                      <w:color w:val="auto"/>
                      <w:sz w:val="21"/>
                      <w:szCs w:val="21"/>
                      <w:highlight w:val="none"/>
                      <w:lang w:val="en-US" w:eastAsia="zh-CN"/>
                    </w:rPr>
                    <w:t>环境影响</w:t>
                  </w:r>
                  <w:r>
                    <w:rPr>
                      <w:rFonts w:hint="default" w:ascii="Times New Roman" w:hAnsi="Times New Roman" w:eastAsia="宋体" w:cs="Times New Roman"/>
                      <w:color w:val="auto"/>
                      <w:sz w:val="21"/>
                      <w:szCs w:val="21"/>
                      <w:highlight w:val="none"/>
                      <w:lang w:val="zh-CN"/>
                    </w:rPr>
                    <w:t>减缓措施</w:t>
                  </w:r>
                </w:p>
              </w:tc>
              <w:tc>
                <w:tcPr>
                  <w:tcW w:w="4278" w:type="dxa"/>
                  <w:noWrap w:val="0"/>
                  <w:vAlign w:val="center"/>
                </w:tcPr>
                <w:p w14:paraId="25A4CF93">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①</w:t>
                  </w:r>
                  <w:r>
                    <w:rPr>
                      <w:rFonts w:hint="default" w:ascii="Times New Roman" w:hAnsi="Times New Roman" w:eastAsia="宋体" w:cs="Times New Roman"/>
                      <w:color w:val="auto"/>
                      <w:kern w:val="0"/>
                      <w:sz w:val="21"/>
                      <w:szCs w:val="21"/>
                    </w:rPr>
                    <w:t>按规划及其他相关</w:t>
                  </w:r>
                  <w:r>
                    <w:rPr>
                      <w:rFonts w:hint="eastAsia" w:cs="Times New Roman"/>
                      <w:color w:val="auto"/>
                      <w:kern w:val="0"/>
                      <w:sz w:val="21"/>
                      <w:szCs w:val="21"/>
                      <w:lang w:eastAsia="zh-CN"/>
                    </w:rPr>
                    <w:t>要求</w:t>
                  </w:r>
                  <w:r>
                    <w:rPr>
                      <w:rFonts w:hint="default" w:ascii="Times New Roman" w:hAnsi="Times New Roman" w:eastAsia="宋体" w:cs="Times New Roman"/>
                      <w:color w:val="auto"/>
                      <w:kern w:val="0"/>
                      <w:sz w:val="21"/>
                      <w:szCs w:val="21"/>
                    </w:rPr>
                    <w:t>规划区工业及民用均使用清洁能源。对严重污染大气环境的工艺、设备和产品实行淘汰制度</w:t>
                  </w:r>
                  <w:r>
                    <w:rPr>
                      <w:rFonts w:hint="default" w:ascii="Times New Roman" w:hAnsi="Times New Roman" w:eastAsia="宋体" w:cs="Times New Roman"/>
                      <w:color w:val="auto"/>
                      <w:kern w:val="0"/>
                      <w:sz w:val="21"/>
                      <w:szCs w:val="21"/>
                      <w:lang w:eastAsia="zh-CN"/>
                    </w:rPr>
                    <w:t>；</w:t>
                  </w:r>
                </w:p>
                <w:p w14:paraId="1EF6D653">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②</w:t>
                  </w:r>
                  <w:r>
                    <w:rPr>
                      <w:rFonts w:hint="default" w:ascii="Times New Roman" w:hAnsi="Times New Roman" w:eastAsia="宋体" w:cs="Times New Roman"/>
                      <w:color w:val="auto"/>
                      <w:kern w:val="0"/>
                      <w:sz w:val="21"/>
                      <w:szCs w:val="21"/>
                    </w:rPr>
                    <w:t>入驻的有大气污染源排放的项目环境影响评价文件中应将大气环境影响评价作为重点之一，深入分析项目入驻对区域大气环境的影响，明确环境空气污染防治措施并严格落实，要求作出明确的环境是否可行的结论</w:t>
                  </w:r>
                  <w:r>
                    <w:rPr>
                      <w:rFonts w:hint="default" w:ascii="Times New Roman" w:hAnsi="Times New Roman" w:eastAsia="宋体" w:cs="Times New Roman"/>
                      <w:color w:val="auto"/>
                      <w:kern w:val="0"/>
                      <w:sz w:val="21"/>
                      <w:szCs w:val="21"/>
                      <w:lang w:eastAsia="zh-CN"/>
                    </w:rPr>
                    <w:t>；</w:t>
                  </w:r>
                </w:p>
                <w:p w14:paraId="145291D5">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③</w:t>
                  </w:r>
                  <w:r>
                    <w:rPr>
                      <w:rFonts w:hint="default" w:ascii="Times New Roman" w:hAnsi="Times New Roman" w:eastAsia="宋体" w:cs="Times New Roman"/>
                      <w:color w:val="auto"/>
                      <w:kern w:val="0"/>
                      <w:sz w:val="21"/>
                      <w:szCs w:val="21"/>
                    </w:rPr>
                    <w:t>推行清洁能源，建议考虑集中供热，实施循环经济，并对大气污染物实行总量控制</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入驻企业必须采取新工艺、新技术，提高综合利用，禁止高耗能、重污染的企业入驻，要求规划区企业采用清洁生产工艺，加强源头治理，控制或者逐步削减大气污染物的排放量，严格控制废气污染物的排放，杜绝超标排放，推行清洁生产，减小能耗</w:t>
                  </w:r>
                  <w:r>
                    <w:rPr>
                      <w:rFonts w:hint="default" w:ascii="Times New Roman" w:hAnsi="Times New Roman" w:eastAsia="宋体" w:cs="Times New Roman"/>
                      <w:color w:val="auto"/>
                      <w:kern w:val="0"/>
                      <w:sz w:val="21"/>
                      <w:szCs w:val="21"/>
                      <w:lang w:eastAsia="zh-CN"/>
                    </w:rPr>
                    <w:t>；</w:t>
                  </w:r>
                </w:p>
                <w:p w14:paraId="05B3EA13">
                  <w:pPr>
                    <w:keepNext w:val="0"/>
                    <w:keepLines w:val="0"/>
                    <w:pageBreakBefore w:val="0"/>
                    <w:kinsoku/>
                    <w:overflowPunct/>
                    <w:topLinePunct w:val="0"/>
                    <w:bidi w:val="0"/>
                    <w:spacing w:line="240" w:lineRule="auto"/>
                    <w:ind w:firstLine="0" w:firstLineChars="0"/>
                    <w:jc w:val="left"/>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kern w:val="0"/>
                      <w:sz w:val="21"/>
                      <w:szCs w:val="21"/>
                      <w:lang w:val="en-US" w:eastAsia="zh-CN"/>
                    </w:rPr>
                    <w:t>④</w:t>
                  </w:r>
                  <w:r>
                    <w:rPr>
                      <w:rFonts w:hint="default" w:ascii="Times New Roman" w:hAnsi="Times New Roman" w:eastAsia="宋体" w:cs="Times New Roman"/>
                      <w:color w:val="auto"/>
                      <w:kern w:val="0"/>
                      <w:sz w:val="21"/>
                      <w:szCs w:val="21"/>
                    </w:rPr>
                    <w:t>规划区企业事业单位和其他生产经营者应当按照国家有关规定和监测规范，对其排放的工业废气和有毒有害大气污染物进行监测。其中，重点排污单位应当安装、使用大气污染物排放自动监测设备，与环境保护主管部门的监控设备联网，保证监测设备正常运行并依法公开排放信息。</w:t>
                  </w:r>
                </w:p>
              </w:tc>
              <w:tc>
                <w:tcPr>
                  <w:tcW w:w="2287" w:type="dxa"/>
                  <w:noWrap w:val="0"/>
                  <w:vAlign w:val="center"/>
                </w:tcPr>
                <w:p w14:paraId="072380C1">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w:t>
                  </w:r>
                  <w:r>
                    <w:rPr>
                      <w:rFonts w:hint="eastAsia" w:cs="Times New Roman"/>
                      <w:color w:val="auto"/>
                      <w:sz w:val="21"/>
                      <w:szCs w:val="21"/>
                      <w:highlight w:val="none"/>
                      <w:lang w:eastAsia="zh-CN"/>
                    </w:rPr>
                    <w:t>使用电能进行生产</w:t>
                  </w:r>
                  <w:r>
                    <w:rPr>
                      <w:rFonts w:hint="default" w:ascii="Times New Roman" w:hAnsi="Times New Roman" w:eastAsia="宋体" w:cs="Times New Roman"/>
                      <w:color w:val="auto"/>
                      <w:sz w:val="21"/>
                      <w:szCs w:val="21"/>
                      <w:highlight w:val="none"/>
                      <w:lang w:val="en-US" w:eastAsia="zh-CN"/>
                    </w:rPr>
                    <w:t>，为清洁</w:t>
                  </w:r>
                  <w:r>
                    <w:rPr>
                      <w:rFonts w:hint="eastAsia" w:cs="Times New Roman"/>
                      <w:color w:val="auto"/>
                      <w:sz w:val="21"/>
                      <w:szCs w:val="21"/>
                      <w:highlight w:val="none"/>
                      <w:lang w:val="en-US" w:eastAsia="zh-CN"/>
                    </w:rPr>
                    <w:t>能源</w:t>
                  </w:r>
                  <w:r>
                    <w:rPr>
                      <w:rFonts w:hint="default" w:ascii="Times New Roman" w:hAnsi="Times New Roman" w:eastAsia="宋体" w:cs="Times New Roman"/>
                      <w:color w:val="auto"/>
                      <w:sz w:val="21"/>
                      <w:szCs w:val="21"/>
                      <w:highlight w:val="none"/>
                    </w:rPr>
                    <w:t>。</w:t>
                  </w:r>
                </w:p>
              </w:tc>
              <w:tc>
                <w:tcPr>
                  <w:tcW w:w="664" w:type="dxa"/>
                  <w:noWrap w:val="0"/>
                  <w:vAlign w:val="center"/>
                </w:tcPr>
                <w:p w14:paraId="00F45B6E">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14:paraId="1B40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69" w:type="dxa"/>
                  <w:noWrap w:val="0"/>
                  <w:vAlign w:val="center"/>
                </w:tcPr>
                <w:p w14:paraId="42B2593B">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地下水环境影响</w:t>
                  </w:r>
                  <w:r>
                    <w:rPr>
                      <w:rFonts w:hint="default" w:ascii="Times New Roman" w:hAnsi="Times New Roman" w:eastAsia="宋体" w:cs="Times New Roman"/>
                      <w:color w:val="auto"/>
                      <w:sz w:val="21"/>
                      <w:szCs w:val="21"/>
                      <w:highlight w:val="none"/>
                      <w:lang w:val="zh-CN"/>
                    </w:rPr>
                    <w:t>减缓措施</w:t>
                  </w:r>
                </w:p>
              </w:tc>
              <w:tc>
                <w:tcPr>
                  <w:tcW w:w="4278" w:type="dxa"/>
                  <w:noWrap w:val="0"/>
                  <w:vAlign w:val="center"/>
                </w:tcPr>
                <w:p w14:paraId="433FE0A8">
                  <w:pPr>
                    <w:keepNext w:val="0"/>
                    <w:keepLines w:val="0"/>
                    <w:pageBreakBefore w:val="0"/>
                    <w:kinsoku/>
                    <w:overflowPunct/>
                    <w:topLinePunct w:val="0"/>
                    <w:autoSpaceDE w:val="0"/>
                    <w:autoSpaceDN w:val="0"/>
                    <w:bidi w:val="0"/>
                    <w:adjustRightInd w:val="0"/>
                    <w:snapToGrid w:val="0"/>
                    <w:spacing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default" w:ascii="Times New Roman" w:hAnsi="Times New Roman" w:eastAsia="宋体" w:cs="Times New Roman"/>
                      <w:b w:val="0"/>
                      <w:bCs w:val="0"/>
                      <w:i w:val="0"/>
                      <w:iCs w:val="0"/>
                      <w:color w:val="auto"/>
                      <w:kern w:val="0"/>
                      <w:sz w:val="21"/>
                      <w:szCs w:val="21"/>
                      <w:lang w:eastAsia="zh-CN"/>
                    </w:rPr>
                    <w:t>园区重点危险废水暂存区参照执行《危险废物贮存污染控制标准》(GB18597-2023) 、危险化学品、油库等储罐区域参照执行《石油化工企业防渗技术规范》 (GB/T50934-2013) 等相关要求进行分析。没有国家标准或行业防渗技术规范的企业，参照执行《环境影响评价技术导则 地下水》 (HJ6102016) 中各防渗区要求。工业固废堆存按照《一般工业固体废物贮存、处置污染控制标准》 (18599-2001) 要求选址及防渗设计。</w:t>
                  </w:r>
                </w:p>
                <w:p w14:paraId="223276A4">
                  <w:pPr>
                    <w:pStyle w:val="6"/>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default" w:ascii="Times New Roman" w:hAnsi="Times New Roman" w:eastAsia="宋体" w:cs="Times New Roman"/>
                      <w:b w:val="0"/>
                      <w:bCs w:val="0"/>
                      <w:i w:val="0"/>
                      <w:iCs w:val="0"/>
                      <w:color w:val="auto"/>
                      <w:kern w:val="0"/>
                      <w:sz w:val="21"/>
                      <w:szCs w:val="21"/>
                      <w:lang w:val="en-US" w:eastAsia="zh-CN"/>
                    </w:rPr>
                    <w:t>①</w:t>
                  </w:r>
                  <w:r>
                    <w:rPr>
                      <w:rFonts w:hint="default" w:ascii="Times New Roman" w:hAnsi="Times New Roman" w:eastAsia="宋体" w:cs="Times New Roman"/>
                      <w:b w:val="0"/>
                      <w:bCs w:val="0"/>
                      <w:i w:val="0"/>
                      <w:iCs w:val="0"/>
                      <w:color w:val="auto"/>
                      <w:kern w:val="0"/>
                      <w:sz w:val="21"/>
                      <w:szCs w:val="21"/>
                      <w:lang w:eastAsia="zh-CN"/>
                    </w:rPr>
                    <w:t>杜绝高污染，高排水和淘汰落后工艺性质企业入园</w:t>
                  </w:r>
                </w:p>
                <w:p w14:paraId="4DC7309C">
                  <w:pPr>
                    <w:pStyle w:val="6"/>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default" w:ascii="Times New Roman" w:hAnsi="Times New Roman" w:eastAsia="宋体" w:cs="Times New Roman"/>
                      <w:b w:val="0"/>
                      <w:bCs w:val="0"/>
                      <w:i w:val="0"/>
                      <w:iCs w:val="0"/>
                      <w:color w:val="auto"/>
                      <w:kern w:val="0"/>
                      <w:sz w:val="21"/>
                      <w:szCs w:val="21"/>
                      <w:lang w:val="en-US" w:eastAsia="zh-CN"/>
                    </w:rPr>
                    <w:t>②</w:t>
                  </w:r>
                  <w:r>
                    <w:rPr>
                      <w:rFonts w:hint="default" w:ascii="Times New Roman" w:hAnsi="Times New Roman" w:eastAsia="宋体" w:cs="Times New Roman"/>
                      <w:b w:val="0"/>
                      <w:bCs w:val="0"/>
                      <w:i w:val="0"/>
                      <w:iCs w:val="0"/>
                      <w:color w:val="auto"/>
                      <w:kern w:val="0"/>
                      <w:sz w:val="21"/>
                      <w:szCs w:val="21"/>
                      <w:lang w:eastAsia="zh-CN"/>
                    </w:rPr>
                    <w:t>严禁入驻企业抽取地下水作为生产、生活用水。</w:t>
                  </w:r>
                </w:p>
                <w:p w14:paraId="678EB8BD">
                  <w:pPr>
                    <w:pStyle w:val="6"/>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default" w:ascii="Times New Roman" w:hAnsi="Times New Roman" w:eastAsia="宋体" w:cs="Times New Roman"/>
                      <w:b w:val="0"/>
                      <w:bCs w:val="0"/>
                      <w:i w:val="0"/>
                      <w:iCs w:val="0"/>
                      <w:color w:val="auto"/>
                      <w:kern w:val="0"/>
                      <w:sz w:val="21"/>
                      <w:szCs w:val="21"/>
                      <w:lang w:val="en-US" w:eastAsia="zh-CN"/>
                    </w:rPr>
                    <w:t>③</w:t>
                  </w:r>
                  <w:r>
                    <w:rPr>
                      <w:rFonts w:hint="default" w:ascii="Times New Roman" w:hAnsi="Times New Roman" w:eastAsia="宋体" w:cs="Times New Roman"/>
                      <w:b w:val="0"/>
                      <w:bCs w:val="0"/>
                      <w:i w:val="0"/>
                      <w:iCs w:val="0"/>
                      <w:color w:val="auto"/>
                      <w:kern w:val="0"/>
                      <w:sz w:val="21"/>
                      <w:szCs w:val="21"/>
                      <w:lang w:eastAsia="zh-CN"/>
                    </w:rPr>
                    <w:t>规范各入驻企业废水处理设施、生产车间产污工段的地面应为硬化防渗地面，厂内污水沟应有相应防渗措施。</w:t>
                  </w:r>
                </w:p>
                <w:p w14:paraId="40743FBB">
                  <w:pPr>
                    <w:pStyle w:val="6"/>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default" w:ascii="Times New Roman" w:hAnsi="Times New Roman" w:eastAsia="宋体" w:cs="Times New Roman"/>
                      <w:b w:val="0"/>
                      <w:bCs w:val="0"/>
                      <w:i w:val="0"/>
                      <w:iCs w:val="0"/>
                      <w:color w:val="auto"/>
                      <w:kern w:val="0"/>
                      <w:sz w:val="21"/>
                      <w:szCs w:val="21"/>
                      <w:lang w:val="en-US" w:eastAsia="zh-CN"/>
                    </w:rPr>
                    <w:t>④</w:t>
                  </w:r>
                  <w:r>
                    <w:rPr>
                      <w:rFonts w:hint="default" w:ascii="Times New Roman" w:hAnsi="Times New Roman" w:eastAsia="宋体" w:cs="Times New Roman"/>
                      <w:b w:val="0"/>
                      <w:bCs w:val="0"/>
                      <w:i w:val="0"/>
                      <w:iCs w:val="0"/>
                      <w:color w:val="auto"/>
                      <w:kern w:val="0"/>
                      <w:sz w:val="21"/>
                      <w:szCs w:val="21"/>
                      <w:lang w:eastAsia="zh-CN"/>
                    </w:rPr>
                    <w:t>生活垃圾临时堆存点和厂内固废临时堆存点，必须具有防风、防雨、防渗措施，严禁露天乱堆放。堆存点应做到上有雨棚、底有混凝土层防渗，周边至少有1.5~2m高的挡墙和环形截雨沟。</w:t>
                  </w:r>
                </w:p>
                <w:p w14:paraId="2962BCA3">
                  <w:pPr>
                    <w:pStyle w:val="6"/>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default" w:ascii="Times New Roman" w:hAnsi="Times New Roman" w:eastAsia="宋体" w:cs="Times New Roman"/>
                      <w:b w:val="0"/>
                      <w:bCs w:val="0"/>
                      <w:i w:val="0"/>
                      <w:iCs w:val="0"/>
                      <w:color w:val="auto"/>
                      <w:kern w:val="0"/>
                      <w:sz w:val="21"/>
                      <w:szCs w:val="21"/>
                      <w:lang w:val="en-US" w:eastAsia="zh-CN"/>
                    </w:rPr>
                    <w:t>⑤</w:t>
                  </w:r>
                  <w:r>
                    <w:rPr>
                      <w:rFonts w:hint="default" w:ascii="Times New Roman" w:hAnsi="Times New Roman" w:eastAsia="宋体" w:cs="Times New Roman"/>
                      <w:b w:val="0"/>
                      <w:bCs w:val="0"/>
                      <w:i w:val="0"/>
                      <w:iCs w:val="0"/>
                      <w:color w:val="auto"/>
                      <w:kern w:val="0"/>
                      <w:sz w:val="21"/>
                      <w:szCs w:val="21"/>
                      <w:lang w:eastAsia="zh-CN"/>
                    </w:rPr>
                    <w:t>浸出毒性是I类一般工业固废和危险固废则需严格按国家有关规定、规范处理处置，杜绝乱堆放或混堆现象。</w:t>
                  </w:r>
                </w:p>
                <w:p w14:paraId="7F15EB56">
                  <w:pPr>
                    <w:pStyle w:val="6"/>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default" w:ascii="Times New Roman" w:hAnsi="Times New Roman" w:eastAsia="宋体" w:cs="Times New Roman"/>
                      <w:b w:val="0"/>
                      <w:bCs w:val="0"/>
                      <w:i w:val="0"/>
                      <w:iCs w:val="0"/>
                      <w:color w:val="auto"/>
                      <w:kern w:val="0"/>
                      <w:sz w:val="21"/>
                      <w:szCs w:val="21"/>
                      <w:lang w:val="en-US" w:eastAsia="zh-CN"/>
                    </w:rPr>
                    <w:t>⑥</w:t>
                  </w:r>
                  <w:r>
                    <w:rPr>
                      <w:rFonts w:hint="default" w:ascii="Times New Roman" w:hAnsi="Times New Roman" w:eastAsia="宋体" w:cs="Times New Roman"/>
                      <w:b w:val="0"/>
                      <w:bCs w:val="0"/>
                      <w:i w:val="0"/>
                      <w:iCs w:val="0"/>
                      <w:color w:val="auto"/>
                      <w:kern w:val="0"/>
                      <w:sz w:val="21"/>
                      <w:szCs w:val="21"/>
                      <w:lang w:eastAsia="zh-CN"/>
                    </w:rPr>
                    <w:t>严禁入园企业向地下渗坑、岩溶洼地排水、落水洞排污。严禁入驻企业在园区内新建永久性固废处置场，危险废物委托有资质单位进行清运处置。</w:t>
                  </w:r>
                </w:p>
                <w:p w14:paraId="2B521C54">
                  <w:pPr>
                    <w:pStyle w:val="6"/>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default" w:ascii="Times New Roman" w:hAnsi="Times New Roman" w:eastAsia="宋体" w:cs="Times New Roman"/>
                      <w:b w:val="0"/>
                      <w:bCs w:val="0"/>
                      <w:i w:val="0"/>
                      <w:iCs w:val="0"/>
                      <w:color w:val="auto"/>
                      <w:kern w:val="0"/>
                      <w:sz w:val="21"/>
                      <w:szCs w:val="21"/>
                      <w:lang w:val="en-US" w:eastAsia="zh-CN"/>
                    </w:rPr>
                    <w:t>⑦</w:t>
                  </w:r>
                  <w:r>
                    <w:rPr>
                      <w:rFonts w:hint="default" w:ascii="Times New Roman" w:hAnsi="Times New Roman" w:eastAsia="宋体" w:cs="Times New Roman"/>
                      <w:b w:val="0"/>
                      <w:bCs w:val="0"/>
                      <w:i w:val="0"/>
                      <w:iCs w:val="0"/>
                      <w:color w:val="auto"/>
                      <w:kern w:val="0"/>
                      <w:sz w:val="21"/>
                      <w:szCs w:val="21"/>
                      <w:lang w:eastAsia="zh-CN"/>
                    </w:rPr>
                    <w:t>杜绝各企业生产废水、生活污水及废油、废酸、固体废弃物任意乱排放进入岩溶(洼地、落水洞)环境或农田、水体中，保护地下水环境免受污染。</w:t>
                  </w:r>
                </w:p>
                <w:p w14:paraId="6C9D0DD3">
                  <w:pPr>
                    <w:pStyle w:val="34"/>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default" w:ascii="Times New Roman" w:hAnsi="Times New Roman" w:eastAsia="宋体" w:cs="Times New Roman"/>
                      <w:b w:val="0"/>
                      <w:bCs w:val="0"/>
                      <w:i w:val="0"/>
                      <w:iCs w:val="0"/>
                      <w:color w:val="auto"/>
                      <w:kern w:val="0"/>
                      <w:sz w:val="21"/>
                      <w:szCs w:val="21"/>
                      <w:lang w:val="en-US" w:eastAsia="zh-CN"/>
                    </w:rPr>
                    <w:t>⑧</w:t>
                  </w:r>
                  <w:r>
                    <w:rPr>
                      <w:rFonts w:hint="default" w:ascii="Times New Roman" w:hAnsi="Times New Roman" w:eastAsia="宋体" w:cs="Times New Roman"/>
                      <w:b w:val="0"/>
                      <w:bCs w:val="0"/>
                      <w:i w:val="0"/>
                      <w:iCs w:val="0"/>
                      <w:color w:val="auto"/>
                      <w:kern w:val="0"/>
                      <w:sz w:val="21"/>
                      <w:szCs w:val="21"/>
                      <w:lang w:eastAsia="zh-CN"/>
                    </w:rPr>
                    <w:t>工程建设前应进行厂区岩土工程地质详细勘察和进一步的详细水文地质勘察，查明厂区所在处及其附近的断裂构造详情、地下水位埋深及水位动态变化等情况，取得更加详细的工程地质及水文地质资料，为工程设计提供资料。</w:t>
                  </w:r>
                </w:p>
                <w:p w14:paraId="06943ED7">
                  <w:pPr>
                    <w:pStyle w:val="34"/>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val="0"/>
                      <w:bCs w:val="0"/>
                      <w:i w:val="0"/>
                      <w:iCs w:val="0"/>
                      <w:color w:val="auto"/>
                      <w:kern w:val="0"/>
                      <w:sz w:val="21"/>
                      <w:szCs w:val="21"/>
                      <w:lang w:eastAsia="zh-CN"/>
                    </w:rPr>
                    <w:t>涉及重金属及危险化学品的企业在平面布局时需考虑场地地下水含水层分布情况，尽量使重大风险源、废水收集治理等可能出现渗漏风险的设施设置于泥岩隔水层之上。</w:t>
                  </w:r>
                </w:p>
                <w:p w14:paraId="538EB635">
                  <w:pPr>
                    <w:keepNext w:val="0"/>
                    <w:keepLines w:val="0"/>
                    <w:pageBreakBefore w:val="0"/>
                    <w:kinsoku/>
                    <w:overflowPunct/>
                    <w:topLinePunct w:val="0"/>
                    <w:bidi w:val="0"/>
                    <w:spacing w:line="240" w:lineRule="auto"/>
                    <w:ind w:firstLine="0" w:firstLineChars="0"/>
                    <w:jc w:val="left"/>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b w:val="0"/>
                      <w:bCs w:val="0"/>
                      <w:i w:val="0"/>
                      <w:iCs w:val="0"/>
                      <w:color w:val="auto"/>
                      <w:kern w:val="0"/>
                      <w:sz w:val="21"/>
                      <w:szCs w:val="21"/>
                      <w:lang w:val="en-US" w:eastAsia="zh-CN"/>
                    </w:rPr>
                    <w:t>⑨</w:t>
                  </w:r>
                  <w:r>
                    <w:rPr>
                      <w:rFonts w:hint="default" w:ascii="Times New Roman" w:hAnsi="Times New Roman" w:eastAsia="宋体" w:cs="Times New Roman"/>
                      <w:b w:val="0"/>
                      <w:bCs w:val="0"/>
                      <w:i w:val="0"/>
                      <w:iCs w:val="0"/>
                      <w:color w:val="auto"/>
                      <w:kern w:val="0"/>
                      <w:sz w:val="21"/>
                      <w:szCs w:val="21"/>
                      <w:lang w:eastAsia="zh-CN"/>
                    </w:rPr>
                    <w:t>企业场地、各生产车间及原料、废渣临时堆放场地、污水处理设施等区域按照国家标准或行业防渗技术规范、《环境影响评价技术导则 地下水环境》(HJ610-2016)中的防渗要求进行防渗设计，固废处置应符合相关法规和技术规范要求，渗滤液不得任意外排，避免渗滤液下渗污染地下水环境。</w:t>
                  </w:r>
                </w:p>
              </w:tc>
              <w:tc>
                <w:tcPr>
                  <w:tcW w:w="2287" w:type="dxa"/>
                  <w:noWrap w:val="0"/>
                  <w:vAlign w:val="center"/>
                </w:tcPr>
                <w:p w14:paraId="2665C74A">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本项目区内进行分区防渗，</w:t>
                  </w:r>
                  <w:r>
                    <w:rPr>
                      <w:rFonts w:hint="default" w:ascii="Times New Roman" w:hAnsi="Times New Roman" w:eastAsia="宋体" w:cs="Times New Roman"/>
                      <w:b w:val="0"/>
                      <w:bCs w:val="0"/>
                      <w:color w:val="auto"/>
                      <w:sz w:val="21"/>
                      <w:szCs w:val="21"/>
                      <w:highlight w:val="none"/>
                      <w:lang w:val="en-US" w:eastAsia="zh-CN"/>
                    </w:rPr>
                    <w:t>①重点防渗：</w:t>
                  </w:r>
                  <w:r>
                    <w:rPr>
                      <w:rFonts w:hint="default" w:ascii="Times New Roman" w:hAnsi="Times New Roman" w:eastAsia="宋体" w:cs="Times New Roman"/>
                      <w:b w:val="0"/>
                      <w:bCs w:val="0"/>
                      <w:color w:val="auto"/>
                      <w:sz w:val="21"/>
                      <w:szCs w:val="21"/>
                      <w:highlight w:val="none"/>
                      <w:lang w:val="zh-CN"/>
                    </w:rPr>
                    <w:t>危废暂存间地面及</w:t>
                  </w:r>
                  <w:r>
                    <w:rPr>
                      <w:rFonts w:hint="default" w:ascii="Times New Roman" w:hAnsi="Times New Roman" w:eastAsia="宋体" w:cs="Times New Roman"/>
                      <w:b w:val="0"/>
                      <w:bCs w:val="0"/>
                      <w:color w:val="auto"/>
                      <w:sz w:val="21"/>
                      <w:szCs w:val="21"/>
                      <w:highlight w:val="none"/>
                      <w:lang w:val="en-US" w:eastAsia="zh-CN"/>
                    </w:rPr>
                    <w:t>四周墙裙脚</w:t>
                  </w:r>
                  <w:r>
                    <w:rPr>
                      <w:rFonts w:hint="default" w:ascii="Times New Roman" w:hAnsi="Times New Roman" w:eastAsia="宋体" w:cs="Times New Roman"/>
                      <w:b w:val="0"/>
                      <w:bCs w:val="0"/>
                      <w:color w:val="auto"/>
                      <w:sz w:val="21"/>
                      <w:szCs w:val="21"/>
                      <w:highlight w:val="none"/>
                      <w:lang w:val="zh-CN"/>
                    </w:rPr>
                    <w:t>采用“</w:t>
                  </w:r>
                  <w:r>
                    <w:rPr>
                      <w:rFonts w:hint="default" w:ascii="Times New Roman" w:hAnsi="Times New Roman" w:eastAsia="宋体" w:cs="Times New Roman"/>
                      <w:b w:val="0"/>
                      <w:bCs w:val="0"/>
                      <w:color w:val="auto"/>
                      <w:sz w:val="21"/>
                      <w:szCs w:val="21"/>
                      <w:highlight w:val="none"/>
                      <w:lang w:val="en-US" w:eastAsia="zh-CN"/>
                    </w:rPr>
                    <w:t>抗渗混凝土</w:t>
                  </w:r>
                  <w:r>
                    <w:rPr>
                      <w:rFonts w:hint="default" w:ascii="Times New Roman" w:hAnsi="Times New Roman" w:eastAsia="宋体" w:cs="Times New Roman"/>
                      <w:b w:val="0"/>
                      <w:bCs w:val="0"/>
                      <w:color w:val="auto"/>
                      <w:sz w:val="21"/>
                      <w:szCs w:val="21"/>
                      <w:highlight w:val="none"/>
                      <w:lang w:val="zh-CN"/>
                    </w:rPr>
                    <w:t>+2mm厚HDPE+环氧树脂”</w:t>
                  </w:r>
                  <w:r>
                    <w:rPr>
                      <w:rFonts w:hint="default" w:ascii="Times New Roman" w:hAnsi="Times New Roman" w:eastAsia="宋体" w:cs="Times New Roman"/>
                      <w:b w:val="0"/>
                      <w:bCs w:val="0"/>
                      <w:color w:val="auto"/>
                      <w:sz w:val="21"/>
                      <w:szCs w:val="21"/>
                      <w:highlight w:val="none"/>
                      <w:lang w:val="en-US" w:eastAsia="zh-CN"/>
                    </w:rPr>
                    <w:t>进行重点防渗处理</w:t>
                  </w:r>
                  <w:r>
                    <w:rPr>
                      <w:rFonts w:hint="default" w:ascii="Times New Roman" w:hAnsi="Times New Roman" w:eastAsia="宋体" w:cs="Times New Roman"/>
                      <w:b w:val="0"/>
                      <w:bCs w:val="0"/>
                      <w:color w:val="auto"/>
                      <w:sz w:val="21"/>
                      <w:szCs w:val="21"/>
                      <w:highlight w:val="none"/>
                      <w:lang w:val="zh-CN"/>
                    </w:rPr>
                    <w:t>，渗透系数≤10</w:t>
                  </w:r>
                  <w:r>
                    <w:rPr>
                      <w:rFonts w:hint="default" w:ascii="Times New Roman" w:hAnsi="Times New Roman" w:eastAsia="宋体" w:cs="Times New Roman"/>
                      <w:b w:val="0"/>
                      <w:bCs w:val="0"/>
                      <w:color w:val="auto"/>
                      <w:sz w:val="21"/>
                      <w:szCs w:val="21"/>
                      <w:highlight w:val="none"/>
                      <w:vertAlign w:val="superscript"/>
                      <w:lang w:val="zh-CN"/>
                    </w:rPr>
                    <w:t>-10</w:t>
                  </w:r>
                  <w:r>
                    <w:rPr>
                      <w:rFonts w:hint="default" w:ascii="Times New Roman" w:hAnsi="Times New Roman" w:eastAsia="宋体" w:cs="Times New Roman"/>
                      <w:b w:val="0"/>
                      <w:bCs w:val="0"/>
                      <w:color w:val="auto"/>
                      <w:sz w:val="21"/>
                      <w:szCs w:val="21"/>
                      <w:highlight w:val="none"/>
                      <w:lang w:val="zh-CN"/>
                    </w:rPr>
                    <w:t>cm/s</w:t>
                  </w:r>
                  <w:r>
                    <w:rPr>
                      <w:rFonts w:hint="default" w:ascii="Times New Roman" w:hAnsi="Times New Roman" w:eastAsia="宋体" w:cs="Times New Roman"/>
                      <w:b w:val="0"/>
                      <w:bCs w:val="0"/>
                      <w:color w:val="auto"/>
                      <w:sz w:val="21"/>
                      <w:szCs w:val="21"/>
                      <w:highlight w:val="none"/>
                    </w:rPr>
                    <w:t>，并按照要求设置规范的标识</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标牌</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②一般防渗区：</w:t>
                  </w:r>
                  <w:r>
                    <w:rPr>
                      <w:rFonts w:hint="default" w:ascii="Times New Roman" w:hAnsi="Times New Roman" w:eastAsia="宋体" w:cs="Times New Roman"/>
                      <w:color w:val="auto"/>
                      <w:sz w:val="21"/>
                      <w:szCs w:val="21"/>
                      <w:highlight w:val="none"/>
                      <w:lang w:val="en-US" w:eastAsia="zh-CN"/>
                    </w:rPr>
                    <w:t>冷却</w:t>
                  </w:r>
                  <w:r>
                    <w:rPr>
                      <w:rFonts w:hint="eastAsia" w:cs="Times New Roman"/>
                      <w:color w:val="auto"/>
                      <w:sz w:val="21"/>
                      <w:szCs w:val="21"/>
                      <w:highlight w:val="none"/>
                      <w:lang w:val="en-US" w:eastAsia="zh-CN"/>
                    </w:rPr>
                    <w:t>循环</w:t>
                  </w:r>
                  <w:r>
                    <w:rPr>
                      <w:rFonts w:hint="default" w:ascii="Times New Roman" w:hAnsi="Times New Roman" w:eastAsia="宋体" w:cs="Times New Roman"/>
                      <w:color w:val="auto"/>
                      <w:sz w:val="21"/>
                      <w:szCs w:val="21"/>
                      <w:highlight w:val="none"/>
                      <w:lang w:val="en-US" w:eastAsia="zh-CN"/>
                    </w:rPr>
                    <w:t>水池、隔油池、</w:t>
                  </w:r>
                  <w:r>
                    <w:rPr>
                      <w:rFonts w:hint="default" w:ascii="Times New Roman" w:hAnsi="Times New Roman" w:eastAsia="宋体" w:cs="Times New Roman"/>
                      <w:color w:val="auto"/>
                      <w:highlight w:val="none"/>
                      <w:lang w:val="en-US" w:eastAsia="zh-CN"/>
                    </w:rPr>
                    <w:t>一般固体废物暂存区</w:t>
                  </w:r>
                  <w:r>
                    <w:rPr>
                      <w:rFonts w:hint="default" w:ascii="Times New Roman" w:hAnsi="Times New Roman" w:eastAsia="宋体" w:cs="Times New Roman"/>
                      <w:b w:val="0"/>
                      <w:bCs w:val="0"/>
                      <w:color w:val="auto"/>
                      <w:sz w:val="21"/>
                      <w:szCs w:val="21"/>
                      <w:highlight w:val="none"/>
                      <w:lang w:val="zh-CN"/>
                    </w:rPr>
                    <w:t>防渗技术要求达到等效黏土防渗层Mb≥1.5m，渗透系数≤10</w:t>
                  </w:r>
                  <w:r>
                    <w:rPr>
                      <w:rFonts w:hint="default" w:ascii="Times New Roman" w:hAnsi="Times New Roman" w:eastAsia="宋体" w:cs="Times New Roman"/>
                      <w:b w:val="0"/>
                      <w:bCs w:val="0"/>
                      <w:color w:val="auto"/>
                      <w:sz w:val="21"/>
                      <w:szCs w:val="21"/>
                      <w:highlight w:val="none"/>
                      <w:vertAlign w:val="superscript"/>
                      <w:lang w:val="zh-CN"/>
                    </w:rPr>
                    <w:t>-</w:t>
                  </w:r>
                  <w:r>
                    <w:rPr>
                      <w:rFonts w:hint="default" w:ascii="Times New Roman" w:hAnsi="Times New Roman" w:eastAsia="宋体" w:cs="Times New Roman"/>
                      <w:b w:val="0"/>
                      <w:bCs w:val="0"/>
                      <w:color w:val="auto"/>
                      <w:sz w:val="21"/>
                      <w:szCs w:val="21"/>
                      <w:highlight w:val="none"/>
                      <w:vertAlign w:val="superscript"/>
                      <w:lang w:val="en-US" w:eastAsia="zh-CN"/>
                    </w:rPr>
                    <w:t>7</w:t>
                  </w:r>
                  <w:r>
                    <w:rPr>
                      <w:rFonts w:hint="default" w:ascii="Times New Roman" w:hAnsi="Times New Roman" w:eastAsia="宋体" w:cs="Times New Roman"/>
                      <w:b w:val="0"/>
                      <w:bCs w:val="0"/>
                      <w:color w:val="auto"/>
                      <w:sz w:val="21"/>
                      <w:szCs w:val="21"/>
                      <w:highlight w:val="none"/>
                      <w:lang w:val="zh-CN"/>
                    </w:rPr>
                    <w:t>cm/s。</w:t>
                  </w:r>
                  <w:r>
                    <w:rPr>
                      <w:rFonts w:hint="default" w:ascii="Times New Roman" w:hAnsi="Times New Roman" w:eastAsia="宋体" w:cs="Times New Roman"/>
                      <w:b w:val="0"/>
                      <w:bCs w:val="0"/>
                      <w:color w:val="auto"/>
                      <w:sz w:val="21"/>
                      <w:szCs w:val="21"/>
                      <w:highlight w:val="none"/>
                      <w:lang w:val="en-US" w:eastAsia="zh-CN"/>
                    </w:rPr>
                    <w:t>③简单防渗区：</w:t>
                  </w:r>
                  <w:r>
                    <w:rPr>
                      <w:rFonts w:hint="default" w:ascii="Times New Roman" w:hAnsi="Times New Roman" w:eastAsia="宋体" w:cs="Times New Roman"/>
                      <w:color w:val="auto"/>
                      <w:sz w:val="21"/>
                      <w:szCs w:val="21"/>
                      <w:highlight w:val="none"/>
                      <w:lang w:val="zh-CN"/>
                    </w:rPr>
                    <w:t>其余生产区、</w:t>
                  </w:r>
                  <w:r>
                    <w:rPr>
                      <w:rFonts w:hint="default" w:ascii="Times New Roman" w:hAnsi="Times New Roman" w:eastAsia="宋体" w:cs="Times New Roman"/>
                      <w:color w:val="auto"/>
                      <w:sz w:val="21"/>
                      <w:szCs w:val="21"/>
                      <w:highlight w:val="none"/>
                    </w:rPr>
                    <w:t>道路及</w:t>
                  </w:r>
                  <w:r>
                    <w:rPr>
                      <w:rFonts w:hint="default" w:ascii="Times New Roman" w:hAnsi="Times New Roman" w:eastAsia="宋体"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rPr>
                    <w:t>区域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除绿化外</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zh-CN"/>
                    </w:rPr>
                    <w:t>进行一般</w:t>
                  </w:r>
                  <w:r>
                    <w:rPr>
                      <w:rFonts w:hint="default" w:ascii="Times New Roman" w:hAnsi="Times New Roman" w:eastAsia="宋体" w:cs="Times New Roman"/>
                      <w:b w:val="0"/>
                      <w:bCs w:val="0"/>
                      <w:color w:val="auto"/>
                      <w:sz w:val="21"/>
                      <w:szCs w:val="21"/>
                      <w:highlight w:val="none"/>
                      <w:lang w:val="en-US" w:eastAsia="zh-CN"/>
                    </w:rPr>
                    <w:t>硬化处理。本项目不属于高污染、高排水及淘汰落后的生产工艺，用水为市政管网供水。</w:t>
                  </w:r>
                </w:p>
              </w:tc>
              <w:tc>
                <w:tcPr>
                  <w:tcW w:w="664" w:type="dxa"/>
                  <w:noWrap w:val="0"/>
                  <w:vAlign w:val="center"/>
                </w:tcPr>
                <w:p w14:paraId="1FAFE3BD">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14:paraId="66FC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9" w:type="dxa"/>
                  <w:noWrap w:val="0"/>
                  <w:vAlign w:val="center"/>
                </w:tcPr>
                <w:p w14:paraId="361ABA5E">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土壤环境影响</w:t>
                  </w:r>
                  <w:r>
                    <w:rPr>
                      <w:rFonts w:hint="default" w:ascii="Times New Roman" w:hAnsi="Times New Roman" w:eastAsia="宋体" w:cs="Times New Roman"/>
                      <w:color w:val="auto"/>
                      <w:sz w:val="21"/>
                      <w:szCs w:val="21"/>
                      <w:highlight w:val="none"/>
                      <w:lang w:val="zh-CN"/>
                    </w:rPr>
                    <w:t>减缓措施</w:t>
                  </w:r>
                </w:p>
              </w:tc>
              <w:tc>
                <w:tcPr>
                  <w:tcW w:w="4278" w:type="dxa"/>
                  <w:noWrap w:val="0"/>
                  <w:vAlign w:val="center"/>
                </w:tcPr>
                <w:p w14:paraId="4205C2AD">
                  <w:pPr>
                    <w:pStyle w:val="34"/>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val="en-US" w:eastAsia="zh-CN"/>
                    </w:rPr>
                  </w:pPr>
                  <w:r>
                    <w:rPr>
                      <w:rFonts w:hint="default" w:ascii="Times New Roman" w:hAnsi="Times New Roman" w:eastAsia="宋体" w:cs="Times New Roman"/>
                      <w:b w:val="0"/>
                      <w:bCs w:val="0"/>
                      <w:i w:val="0"/>
                      <w:iCs w:val="0"/>
                      <w:color w:val="auto"/>
                      <w:kern w:val="0"/>
                      <w:sz w:val="21"/>
                      <w:szCs w:val="21"/>
                      <w:lang w:val="en-US" w:eastAsia="zh-CN"/>
                    </w:rPr>
                    <w:t>①源头控制措施：选用合格的生产原料，从源头上控制污染物的产生。</w:t>
                  </w:r>
                </w:p>
                <w:p w14:paraId="2D4403E9">
                  <w:pPr>
                    <w:pStyle w:val="34"/>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val="en-US" w:eastAsia="zh-CN"/>
                    </w:rPr>
                  </w:pPr>
                  <w:r>
                    <w:rPr>
                      <w:rFonts w:hint="default" w:ascii="Times New Roman" w:hAnsi="Times New Roman" w:eastAsia="宋体" w:cs="Times New Roman"/>
                      <w:b w:val="0"/>
                      <w:bCs w:val="0"/>
                      <w:i w:val="0"/>
                      <w:iCs w:val="0"/>
                      <w:color w:val="auto"/>
                      <w:kern w:val="0"/>
                      <w:sz w:val="21"/>
                      <w:szCs w:val="21"/>
                      <w:lang w:val="en-US" w:eastAsia="zh-CN"/>
                    </w:rPr>
                    <w:t>②末端控制措施：废气经处理后外排，减少废气中的污染物排放。</w:t>
                  </w:r>
                </w:p>
                <w:p w14:paraId="06EEA314">
                  <w:pPr>
                    <w:pStyle w:val="34"/>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val="en-US" w:eastAsia="zh-CN"/>
                    </w:rPr>
                  </w:pPr>
                  <w:r>
                    <w:rPr>
                      <w:rFonts w:hint="default" w:ascii="Times New Roman" w:hAnsi="Times New Roman" w:eastAsia="宋体" w:cs="Times New Roman"/>
                      <w:b w:val="0"/>
                      <w:bCs w:val="0"/>
                      <w:i w:val="0"/>
                      <w:iCs w:val="0"/>
                      <w:color w:val="auto"/>
                      <w:kern w:val="0"/>
                      <w:sz w:val="21"/>
                      <w:szCs w:val="21"/>
                      <w:lang w:val="en-US" w:eastAsia="zh-CN"/>
                    </w:rPr>
                    <w:t>③污染监控体系：实施覆盖生产区的土壤污染监控系统，及时发现污染、及时控制。</w:t>
                  </w:r>
                </w:p>
                <w:p w14:paraId="7EB3FF9A">
                  <w:pPr>
                    <w:pStyle w:val="34"/>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val="en-US" w:eastAsia="zh-CN"/>
                    </w:rPr>
                  </w:pPr>
                  <w:r>
                    <w:rPr>
                      <w:rFonts w:hint="default" w:ascii="Times New Roman" w:hAnsi="Times New Roman" w:eastAsia="宋体" w:cs="Times New Roman"/>
                      <w:b w:val="0"/>
                      <w:bCs w:val="0"/>
                      <w:i w:val="0"/>
                      <w:iCs w:val="0"/>
                      <w:color w:val="auto"/>
                      <w:kern w:val="0"/>
                      <w:sz w:val="21"/>
                      <w:szCs w:val="21"/>
                      <w:lang w:val="en-US" w:eastAsia="zh-CN"/>
                    </w:rPr>
                    <w:t>④应急响应措施：一旦发现污染事故，立即启动应急预案、采取应急措施控制土壤，并使污染</w:t>
                  </w:r>
                  <w:r>
                    <w:rPr>
                      <w:rFonts w:hint="eastAsia" w:cs="Times New Roman"/>
                      <w:b w:val="0"/>
                      <w:bCs w:val="0"/>
                      <w:i w:val="0"/>
                      <w:iCs w:val="0"/>
                      <w:color w:val="auto"/>
                      <w:kern w:val="0"/>
                      <w:sz w:val="21"/>
                      <w:szCs w:val="21"/>
                      <w:lang w:val="en-US" w:eastAsia="zh-CN"/>
                    </w:rPr>
                    <w:t>得</w:t>
                  </w:r>
                  <w:r>
                    <w:rPr>
                      <w:rFonts w:hint="default" w:ascii="Times New Roman" w:hAnsi="Times New Roman" w:eastAsia="宋体" w:cs="Times New Roman"/>
                      <w:b w:val="0"/>
                      <w:bCs w:val="0"/>
                      <w:i w:val="0"/>
                      <w:iCs w:val="0"/>
                      <w:color w:val="auto"/>
                      <w:kern w:val="0"/>
                      <w:sz w:val="21"/>
                      <w:szCs w:val="21"/>
                      <w:lang w:val="en-US" w:eastAsia="zh-CN"/>
                    </w:rPr>
                    <w:t>到治理。</w:t>
                  </w:r>
                </w:p>
                <w:p w14:paraId="0B176DAA">
                  <w:pPr>
                    <w:pStyle w:val="34"/>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val="en-US" w:eastAsia="zh-CN"/>
                    </w:rPr>
                  </w:pPr>
                  <w:r>
                    <w:rPr>
                      <w:rFonts w:hint="default" w:ascii="Times New Roman" w:hAnsi="Times New Roman" w:eastAsia="宋体" w:cs="Times New Roman"/>
                      <w:b w:val="0"/>
                      <w:bCs w:val="0"/>
                      <w:i w:val="0"/>
                      <w:iCs w:val="0"/>
                      <w:color w:val="auto"/>
                      <w:kern w:val="0"/>
                      <w:sz w:val="21"/>
                      <w:szCs w:val="21"/>
                      <w:lang w:val="en-US" w:eastAsia="zh-CN"/>
                    </w:rPr>
                    <w:t>⑤绿化措施：合理利用项目区的空余空间，加强项目区的绿化。</w:t>
                  </w:r>
                </w:p>
                <w:p w14:paraId="5476AD87">
                  <w:pPr>
                    <w:pStyle w:val="34"/>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val="en-US" w:eastAsia="zh-CN"/>
                    </w:rPr>
                  </w:pPr>
                  <w:r>
                    <w:rPr>
                      <w:rFonts w:hint="default" w:ascii="Times New Roman" w:hAnsi="Times New Roman" w:eastAsia="宋体" w:cs="Times New Roman"/>
                      <w:b w:val="0"/>
                      <w:bCs w:val="0"/>
                      <w:i w:val="0"/>
                      <w:iCs w:val="0"/>
                      <w:color w:val="auto"/>
                      <w:kern w:val="0"/>
                      <w:sz w:val="21"/>
                      <w:szCs w:val="21"/>
                      <w:lang w:val="en-US" w:eastAsia="zh-CN"/>
                    </w:rPr>
                    <w:t>⑥加强对厂区周围土壤环境的定期监测，建立土壤环境质量动态监测系统，及时反馈污染控制信息。</w:t>
                  </w:r>
                </w:p>
                <w:p w14:paraId="622CED98">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b w:val="0"/>
                      <w:bCs w:val="0"/>
                      <w:i w:val="0"/>
                      <w:iCs w:val="0"/>
                      <w:color w:val="auto"/>
                      <w:kern w:val="0"/>
                      <w:sz w:val="21"/>
                      <w:szCs w:val="21"/>
                      <w:lang w:val="en-US" w:eastAsia="zh-CN"/>
                    </w:rPr>
                    <w:t>⑦严格固体废物运输管理，避免在运输过程中的散落。一旦发生散落事件，及时清理收集，防止进入农田。</w:t>
                  </w:r>
                </w:p>
              </w:tc>
              <w:tc>
                <w:tcPr>
                  <w:tcW w:w="2287" w:type="dxa"/>
                  <w:noWrap w:val="0"/>
                  <w:vAlign w:val="center"/>
                </w:tcPr>
                <w:p w14:paraId="49765F4F">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本项目使用的生产原料均为合格品；废气均经过有效的治理措施处理后达标排放；</w:t>
                  </w:r>
                  <w:r>
                    <w:rPr>
                      <w:rFonts w:hint="default" w:ascii="Times New Roman" w:hAnsi="Times New Roman" w:eastAsia="宋体" w:cs="Times New Roman"/>
                      <w:color w:val="auto"/>
                      <w:sz w:val="21"/>
                      <w:szCs w:val="21"/>
                      <w:highlight w:val="none"/>
                    </w:rPr>
                    <w:t>危险废物设置危险废物暂存间暂存，委托有资质单位定期清运处置，危废间地面和四周墙裙</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kern w:val="2"/>
                      <w:sz w:val="21"/>
                      <w:szCs w:val="21"/>
                      <w:highlight w:val="none"/>
                    </w:rPr>
                    <w:t>“抗渗混凝土+2mm厚HDPE+环氧树脂涂料”</w:t>
                  </w:r>
                  <w:r>
                    <w:rPr>
                      <w:rFonts w:hint="default" w:ascii="Times New Roman" w:hAnsi="Times New Roman" w:eastAsia="宋体" w:cs="Times New Roman"/>
                      <w:color w:val="auto"/>
                      <w:sz w:val="21"/>
                      <w:szCs w:val="21"/>
                      <w:highlight w:val="none"/>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w:t>
                  </w:r>
                  <w:r>
                    <w:rPr>
                      <w:rFonts w:hint="default" w:ascii="Times New Roman" w:hAnsi="Times New Roman" w:eastAsia="宋体" w:cs="Times New Roman"/>
                      <w:color w:val="auto"/>
                      <w:sz w:val="21"/>
                      <w:szCs w:val="21"/>
                      <w:highlight w:val="none"/>
                      <w:vertAlign w:val="superscript"/>
                      <w:lang w:val="en-US" w:eastAsia="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，并设置围堰等应急设施。项目</w:t>
                  </w:r>
                  <w:r>
                    <w:rPr>
                      <w:rFonts w:hint="default" w:ascii="Times New Roman" w:hAnsi="Times New Roman" w:eastAsia="宋体" w:cs="Times New Roman"/>
                      <w:color w:val="auto"/>
                      <w:sz w:val="21"/>
                      <w:szCs w:val="21"/>
                      <w:highlight w:val="none"/>
                      <w:lang w:val="en-US" w:eastAsia="zh-CN"/>
                    </w:rPr>
                    <w:t>进行分区防渗，即</w:t>
                  </w:r>
                  <w:r>
                    <w:rPr>
                      <w:rFonts w:hint="default" w:ascii="Times New Roman" w:hAnsi="Times New Roman" w:eastAsia="宋体" w:cs="Times New Roman"/>
                      <w:color w:val="auto"/>
                      <w:szCs w:val="21"/>
                    </w:rPr>
                    <w:t>危废暂存间</w:t>
                  </w:r>
                  <w:r>
                    <w:rPr>
                      <w:rFonts w:hint="default" w:ascii="Times New Roman" w:hAnsi="Times New Roman" w:eastAsia="宋体" w:cs="Times New Roman"/>
                      <w:color w:val="auto"/>
                      <w:szCs w:val="21"/>
                      <w:lang w:val="en-US" w:eastAsia="zh-CN"/>
                    </w:rPr>
                    <w:t>进行重点防渗，</w:t>
                  </w:r>
                  <w:r>
                    <w:rPr>
                      <w:rFonts w:hint="default" w:ascii="Times New Roman" w:hAnsi="Times New Roman" w:eastAsia="宋体" w:cs="Times New Roman"/>
                      <w:color w:val="auto"/>
                      <w:szCs w:val="21"/>
                    </w:rPr>
                    <w:t>冷却</w:t>
                  </w:r>
                  <w:r>
                    <w:rPr>
                      <w:rFonts w:hint="eastAsia" w:cs="Times New Roman"/>
                      <w:color w:val="auto"/>
                      <w:szCs w:val="21"/>
                      <w:lang w:val="en-US" w:eastAsia="zh-CN"/>
                    </w:rPr>
                    <w:t>循环</w:t>
                  </w:r>
                  <w:r>
                    <w:rPr>
                      <w:rFonts w:hint="default" w:ascii="Times New Roman" w:hAnsi="Times New Roman" w:eastAsia="宋体" w:cs="Times New Roman"/>
                      <w:color w:val="auto"/>
                      <w:szCs w:val="21"/>
                    </w:rPr>
                    <w:t>水池、隔油池、</w:t>
                  </w:r>
                  <w:r>
                    <w:rPr>
                      <w:rFonts w:hint="default" w:ascii="Times New Roman" w:hAnsi="Times New Roman" w:eastAsia="宋体" w:cs="Times New Roman"/>
                      <w:color w:val="auto"/>
                    </w:rPr>
                    <w:t>一般固体废物暂存区</w:t>
                  </w:r>
                  <w:r>
                    <w:rPr>
                      <w:rFonts w:hint="default" w:ascii="Times New Roman" w:hAnsi="Times New Roman" w:eastAsia="宋体" w:cs="Times New Roman"/>
                      <w:color w:val="auto"/>
                      <w:lang w:val="en-US" w:eastAsia="zh-CN"/>
                    </w:rPr>
                    <w:t>进行一般防渗；其他区域为简单防渗等</w:t>
                  </w:r>
                  <w:r>
                    <w:rPr>
                      <w:rFonts w:hint="default" w:ascii="Times New Roman" w:hAnsi="Times New Roman" w:eastAsia="宋体" w:cs="Times New Roman"/>
                      <w:color w:val="auto"/>
                      <w:sz w:val="21"/>
                      <w:szCs w:val="21"/>
                      <w:highlight w:val="none"/>
                    </w:rPr>
                    <w:t>土壤污染防控措施</w:t>
                  </w:r>
                  <w:r>
                    <w:rPr>
                      <w:rFonts w:hint="default" w:ascii="Times New Roman" w:hAnsi="Times New Roman" w:eastAsia="宋体" w:cs="Times New Roman"/>
                      <w:color w:val="auto"/>
                      <w:sz w:val="21"/>
                      <w:szCs w:val="21"/>
                      <w:highlight w:val="none"/>
                      <w:lang w:eastAsia="zh-CN"/>
                    </w:rPr>
                    <w:t>。</w:t>
                  </w:r>
                </w:p>
              </w:tc>
              <w:tc>
                <w:tcPr>
                  <w:tcW w:w="664" w:type="dxa"/>
                  <w:noWrap w:val="0"/>
                  <w:vAlign w:val="center"/>
                </w:tcPr>
                <w:p w14:paraId="31C90492">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14:paraId="7CBE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9" w:type="dxa"/>
                  <w:noWrap w:val="0"/>
                  <w:vAlign w:val="center"/>
                </w:tcPr>
                <w:p w14:paraId="34F232DD">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噪声影响减缓措施</w:t>
                  </w:r>
                </w:p>
              </w:tc>
              <w:tc>
                <w:tcPr>
                  <w:tcW w:w="4278" w:type="dxa"/>
                  <w:noWrap w:val="0"/>
                  <w:vAlign w:val="center"/>
                </w:tcPr>
                <w:p w14:paraId="2DF20546">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①</w:t>
                  </w:r>
                  <w:r>
                    <w:rPr>
                      <w:rFonts w:hint="default" w:ascii="Times New Roman" w:hAnsi="Times New Roman" w:eastAsia="宋体" w:cs="Times New Roman"/>
                      <w:color w:val="auto"/>
                      <w:kern w:val="0"/>
                      <w:sz w:val="21"/>
                      <w:szCs w:val="21"/>
                    </w:rPr>
                    <w:t>根据规划实施后对声环境的影响分析，本评价提出规划区应合理布局各企业位置，要将工业用地、公共设施用地等噪声污染较高的用地与住宅等需要安静的用地分隔开来，居住区应尽</w:t>
                  </w:r>
                  <w:r>
                    <w:rPr>
                      <w:rFonts w:hint="eastAsia" w:cs="Times New Roman"/>
                      <w:color w:val="auto"/>
                      <w:kern w:val="0"/>
                      <w:sz w:val="21"/>
                      <w:szCs w:val="21"/>
                      <w:lang w:eastAsia="zh-CN"/>
                    </w:rPr>
                    <w:t>量</w:t>
                  </w:r>
                  <w:r>
                    <w:rPr>
                      <w:rFonts w:hint="default" w:ascii="Times New Roman" w:hAnsi="Times New Roman" w:eastAsia="宋体" w:cs="Times New Roman"/>
                      <w:color w:val="auto"/>
                      <w:kern w:val="0"/>
                      <w:sz w:val="21"/>
                      <w:szCs w:val="21"/>
                    </w:rPr>
                    <w:t>离开交通干线40m以上，将仓储用地放于交通干道两侧，入园企业也要注意将生产区与办公区分离开来</w:t>
                  </w:r>
                  <w:r>
                    <w:rPr>
                      <w:rFonts w:hint="default" w:ascii="Times New Roman" w:hAnsi="Times New Roman" w:eastAsia="宋体" w:cs="Times New Roman"/>
                      <w:color w:val="auto"/>
                      <w:kern w:val="0"/>
                      <w:sz w:val="21"/>
                      <w:szCs w:val="21"/>
                      <w:lang w:eastAsia="zh-CN"/>
                    </w:rPr>
                    <w:t>；</w:t>
                  </w:r>
                </w:p>
                <w:p w14:paraId="510DAF27">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②道路建设设计应预留绿化带，加强园区道路修缮工作以及交通管理；</w:t>
                  </w:r>
                </w:p>
                <w:p w14:paraId="1E1A3FCF">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kern w:val="0"/>
                      <w:sz w:val="21"/>
                      <w:szCs w:val="21"/>
                      <w:lang w:val="en-US" w:eastAsia="zh-CN"/>
                    </w:rPr>
                    <w:t>③入园企业如果使用一些高噪声设备如风机、空压机、冷却塔、发电机等，应做好消音降噪措施，建设过程中一定要对高噪声设备实行“同时设计、同时施工、同时验收”的原则，杜绝先污染后治理的现象出现</w:t>
                  </w:r>
                  <w:r>
                    <w:rPr>
                      <w:rFonts w:hint="default" w:ascii="Times New Roman" w:hAnsi="Times New Roman" w:eastAsia="宋体" w:cs="Times New Roman"/>
                      <w:color w:val="auto"/>
                      <w:kern w:val="0"/>
                      <w:sz w:val="21"/>
                      <w:szCs w:val="21"/>
                    </w:rPr>
                    <w:t>。</w:t>
                  </w:r>
                </w:p>
              </w:tc>
              <w:tc>
                <w:tcPr>
                  <w:tcW w:w="2287" w:type="dxa"/>
                  <w:noWrap w:val="0"/>
                  <w:vAlign w:val="center"/>
                </w:tcPr>
                <w:p w14:paraId="0D6CA46A">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val="en-US" w:eastAsia="zh-CN"/>
                    </w:rPr>
                    <w:t>所有设备均设置于厂房内部，高噪声设备安装消声、减震装置</w:t>
                  </w:r>
                  <w:r>
                    <w:rPr>
                      <w:rFonts w:hint="default" w:ascii="Times New Roman" w:hAnsi="Times New Roman" w:eastAsia="宋体" w:cs="Times New Roman"/>
                      <w:color w:val="auto"/>
                      <w:sz w:val="21"/>
                      <w:szCs w:val="21"/>
                      <w:highlight w:val="none"/>
                    </w:rPr>
                    <w:t>。根据预测结果，在采取噪声防治措施后，项目</w:t>
                  </w:r>
                  <w:r>
                    <w:rPr>
                      <w:rFonts w:hint="default" w:ascii="Times New Roman" w:hAnsi="Times New Roman" w:eastAsia="宋体" w:cs="Times New Roman"/>
                      <w:color w:val="auto"/>
                      <w:sz w:val="21"/>
                      <w:szCs w:val="21"/>
                      <w:highlight w:val="none"/>
                      <w:lang w:val="en-US" w:eastAsia="zh-CN"/>
                    </w:rPr>
                    <w:t>厂界</w:t>
                  </w:r>
                  <w:r>
                    <w:rPr>
                      <w:rFonts w:hint="default" w:ascii="Times New Roman" w:hAnsi="Times New Roman" w:eastAsia="宋体" w:cs="Times New Roman"/>
                      <w:color w:val="auto"/>
                      <w:sz w:val="21"/>
                      <w:szCs w:val="21"/>
                      <w:highlight w:val="none"/>
                    </w:rPr>
                    <w:t>噪声</w:t>
                  </w:r>
                  <w:r>
                    <w:rPr>
                      <w:rFonts w:hint="default" w:ascii="Times New Roman" w:hAnsi="Times New Roman" w:eastAsia="宋体" w:cs="Times New Roman"/>
                      <w:color w:val="auto"/>
                      <w:sz w:val="21"/>
                      <w:szCs w:val="21"/>
                      <w:highlight w:val="none"/>
                      <w:lang w:val="en-US" w:eastAsia="zh-CN"/>
                    </w:rPr>
                    <w:t>均可满足</w:t>
                  </w:r>
                  <w:r>
                    <w:rPr>
                      <w:rFonts w:hint="default" w:ascii="Times New Roman" w:hAnsi="Times New Roman" w:eastAsia="宋体" w:cs="Times New Roman"/>
                      <w:color w:val="auto"/>
                      <w:sz w:val="21"/>
                      <w:szCs w:val="21"/>
                      <w:highlight w:val="none"/>
                    </w:rPr>
                    <w:t>《工业企业厂界环境噪声排放标准》（GB12348-2008）</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类标准要求。项目周边</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0m范围无声环境敏感目标，不会降低区域声环境质量现状。</w:t>
                  </w:r>
                </w:p>
              </w:tc>
              <w:tc>
                <w:tcPr>
                  <w:tcW w:w="664" w:type="dxa"/>
                  <w:noWrap w:val="0"/>
                  <w:vAlign w:val="center"/>
                </w:tcPr>
                <w:p w14:paraId="060A58D6">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14:paraId="41D5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9" w:type="dxa"/>
                  <w:noWrap w:val="0"/>
                  <w:vAlign w:val="center"/>
                </w:tcPr>
                <w:p w14:paraId="54DCAB35">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固体废物污染防治措施</w:t>
                  </w:r>
                </w:p>
              </w:tc>
              <w:tc>
                <w:tcPr>
                  <w:tcW w:w="4278" w:type="dxa"/>
                  <w:noWrap w:val="0"/>
                  <w:vAlign w:val="center"/>
                </w:tcPr>
                <w:p w14:paraId="15252AD0">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①</w:t>
                  </w:r>
                  <w:r>
                    <w:rPr>
                      <w:rFonts w:hint="default" w:ascii="Times New Roman" w:hAnsi="Times New Roman" w:eastAsia="宋体" w:cs="Times New Roman"/>
                      <w:color w:val="auto"/>
                      <w:kern w:val="0"/>
                      <w:sz w:val="21"/>
                      <w:szCs w:val="21"/>
                    </w:rPr>
                    <w:t>园区不统一设置渣场，现有企业及未来入驻企业，禁止在园区内新建永久性固废处置渣场。临时渣场建设应严格按照《一般工业固体废物贮存和填埋污染控制标准》(GB18599-2020)的相关规定进行设置，充分采取防渗，防雨淋等措施</w:t>
                  </w:r>
                  <w:r>
                    <w:rPr>
                      <w:rFonts w:hint="default" w:ascii="Times New Roman" w:hAnsi="Times New Roman" w:eastAsia="宋体" w:cs="Times New Roman"/>
                      <w:color w:val="auto"/>
                      <w:kern w:val="0"/>
                      <w:sz w:val="21"/>
                      <w:szCs w:val="21"/>
                      <w:lang w:eastAsia="zh-CN"/>
                    </w:rPr>
                    <w:t>；</w:t>
                  </w:r>
                </w:p>
                <w:p w14:paraId="7E1889A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②</w:t>
                  </w:r>
                  <w:r>
                    <w:rPr>
                      <w:rFonts w:hint="default" w:ascii="Times New Roman" w:hAnsi="Times New Roman" w:eastAsia="宋体" w:cs="Times New Roman"/>
                      <w:color w:val="auto"/>
                      <w:kern w:val="0"/>
                      <w:sz w:val="21"/>
                      <w:szCs w:val="21"/>
                    </w:rPr>
                    <w:t>对工业固体废物中可以回收利用的进行充分综合利用，立足于在园区内加以消化。园区应加强工业固废管理，按“谁产生、谁负责”原则，要求园区企业对产生固体废物进行处置、储存，应将固体废物的性质、产生量、处置去向等向环保主管部门进行申报登记，严禁随意倾倒。调整产业结构，减少高资源消耗、高能耗企业，减少固废的产生。从清洁生产、循环经济角度控制工业固体废物产生量，引导企业系统内部减量化和循环利用，降低单位产品固体废物产量。提高综合利用率，加大工业固体废物综合利用技术的开发力度，促进固体废物重新进入生产循环系统，实现固体废物的回收、循环、利用及资源。</w:t>
                  </w:r>
                </w:p>
                <w:p w14:paraId="6333CC6D">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③</w:t>
                  </w:r>
                  <w:r>
                    <w:rPr>
                      <w:rFonts w:hint="default" w:ascii="Times New Roman" w:hAnsi="Times New Roman" w:eastAsia="宋体" w:cs="Times New Roman"/>
                      <w:color w:val="auto"/>
                      <w:kern w:val="0"/>
                      <w:sz w:val="21"/>
                      <w:szCs w:val="21"/>
                    </w:rPr>
                    <w:t>对于危险固废，需要按《危险废物贮存污染控制标准》(GB18597</w:t>
                  </w:r>
                  <w:r>
                    <w:rPr>
                      <w:rFonts w:hint="default"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rPr>
                    <w:t>2023)的要求进行贮存，委托危险废物中心处理</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目前不能处置的废物，应在项目内妥善贮存。</w:t>
                  </w:r>
                  <w:r>
                    <w:rPr>
                      <w:rFonts w:hint="default" w:ascii="Times New Roman" w:hAnsi="Times New Roman" w:eastAsia="宋体" w:cs="Times New Roman"/>
                      <w:color w:val="auto"/>
                      <w:kern w:val="0"/>
                      <w:sz w:val="21"/>
                      <w:szCs w:val="21"/>
                      <w:lang w:val="en-US" w:eastAsia="zh-CN"/>
                    </w:rPr>
                    <w:t>严</w:t>
                  </w:r>
                  <w:r>
                    <w:rPr>
                      <w:rFonts w:hint="default" w:ascii="Times New Roman" w:hAnsi="Times New Roman" w:eastAsia="宋体" w:cs="Times New Roman"/>
                      <w:color w:val="auto"/>
                      <w:kern w:val="0"/>
                      <w:sz w:val="21"/>
                      <w:szCs w:val="21"/>
                    </w:rPr>
                    <w:t>格按照《</w:t>
                  </w:r>
                  <w:r>
                    <w:rPr>
                      <w:rFonts w:hint="eastAsia" w:cs="Times New Roman"/>
                      <w:color w:val="auto"/>
                      <w:kern w:val="0"/>
                      <w:sz w:val="21"/>
                      <w:szCs w:val="21"/>
                      <w:lang w:eastAsia="zh-CN"/>
                    </w:rPr>
                    <w:t>中华人民共和国固体废物污染环境防治法</w:t>
                  </w:r>
                  <w:r>
                    <w:rPr>
                      <w:rFonts w:hint="default" w:ascii="Times New Roman" w:hAnsi="Times New Roman" w:eastAsia="宋体" w:cs="Times New Roman"/>
                      <w:color w:val="auto"/>
                      <w:kern w:val="0"/>
                      <w:sz w:val="21"/>
                      <w:szCs w:val="21"/>
                    </w:rPr>
                    <w:t>》对危险废物污染环境污染防治的特别规定，做好危险废物的申报登记、处置和管理。强化危险废物管理。</w:t>
                  </w:r>
                </w:p>
                <w:p w14:paraId="5748076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④</w:t>
                  </w:r>
                  <w:r>
                    <w:rPr>
                      <w:rFonts w:hint="default" w:ascii="Times New Roman" w:hAnsi="Times New Roman" w:eastAsia="宋体" w:cs="Times New Roman"/>
                      <w:color w:val="auto"/>
                      <w:kern w:val="0"/>
                      <w:sz w:val="21"/>
                      <w:szCs w:val="21"/>
                    </w:rPr>
                    <w:t>规划区产生的生活垃圾则委托环卫部门统一收集并运至城市生活垃圾卫生填埋场进行处置</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制定地方商品进入和消费的指导性政策，限制过度包装商品的进入，建立消费品包装物回收体系，逐步取缔一次性餐具类商品的销售和使用。鼓励净菜类产业和相关服务体系的发展，减少厨房残余垃圾产生量</w:t>
                  </w:r>
                  <w:r>
                    <w:rPr>
                      <w:rFonts w:hint="default" w:ascii="Times New Roman" w:hAnsi="Times New Roman" w:eastAsia="宋体" w:cs="Times New Roman"/>
                      <w:color w:val="auto"/>
                      <w:kern w:val="0"/>
                      <w:sz w:val="21"/>
                      <w:szCs w:val="21"/>
                      <w:lang w:eastAsia="zh-CN"/>
                    </w:rPr>
                    <w:t>；</w:t>
                  </w:r>
                </w:p>
                <w:p w14:paraId="7F56434B">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kern w:val="0"/>
                      <w:sz w:val="21"/>
                      <w:szCs w:val="21"/>
                      <w:lang w:val="en-US" w:eastAsia="zh-CN"/>
                    </w:rPr>
                    <w:t>⑤</w:t>
                  </w:r>
                  <w:r>
                    <w:rPr>
                      <w:rFonts w:hint="default" w:ascii="Times New Roman" w:hAnsi="Times New Roman" w:eastAsia="宋体" w:cs="Times New Roman"/>
                      <w:color w:val="auto"/>
                      <w:kern w:val="0"/>
                      <w:sz w:val="21"/>
                      <w:szCs w:val="21"/>
                    </w:rPr>
                    <w:t>工程开挖土石方、建筑垃圾和施工人员生活垃圾要及时清运，以免给周围环境带来影响。</w:t>
                  </w:r>
                </w:p>
              </w:tc>
              <w:tc>
                <w:tcPr>
                  <w:tcW w:w="2287" w:type="dxa"/>
                  <w:noWrap w:val="0"/>
                  <w:vAlign w:val="center"/>
                </w:tcPr>
                <w:p w14:paraId="29CBB1C9">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lang w:val="zh-CN"/>
                    </w:rPr>
                    <w:t>固体废弃物100%处置。</w:t>
                  </w:r>
                </w:p>
              </w:tc>
              <w:tc>
                <w:tcPr>
                  <w:tcW w:w="664" w:type="dxa"/>
                  <w:noWrap w:val="0"/>
                  <w:vAlign w:val="center"/>
                </w:tcPr>
                <w:p w14:paraId="1B242DFB">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14:paraId="5E02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9" w:type="dxa"/>
                  <w:noWrap w:val="0"/>
                  <w:vAlign w:val="center"/>
                </w:tcPr>
                <w:p w14:paraId="04DE7E02">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生态环境影响减缓措施</w:t>
                  </w:r>
                </w:p>
              </w:tc>
              <w:tc>
                <w:tcPr>
                  <w:tcW w:w="4278" w:type="dxa"/>
                  <w:noWrap w:val="0"/>
                  <w:vAlign w:val="center"/>
                </w:tcPr>
                <w:p w14:paraId="625E8223">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①</w:t>
                  </w:r>
                  <w:r>
                    <w:rPr>
                      <w:rFonts w:hint="default" w:ascii="Times New Roman" w:hAnsi="Times New Roman" w:eastAsia="宋体" w:cs="Times New Roman"/>
                      <w:color w:val="auto"/>
                      <w:kern w:val="0"/>
                      <w:sz w:val="21"/>
                      <w:szCs w:val="21"/>
                    </w:rPr>
                    <w:t>强化规划区内项目建设施工期生态保护</w:t>
                  </w:r>
                  <w:r>
                    <w:rPr>
                      <w:rFonts w:hint="default" w:ascii="Times New Roman" w:hAnsi="Times New Roman" w:eastAsia="宋体" w:cs="Times New Roman"/>
                      <w:color w:val="auto"/>
                      <w:kern w:val="0"/>
                      <w:sz w:val="21"/>
                      <w:szCs w:val="21"/>
                      <w:lang w:eastAsia="zh-CN"/>
                    </w:rPr>
                    <w:t>；</w:t>
                  </w:r>
                </w:p>
                <w:p w14:paraId="36372603">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②</w:t>
                  </w:r>
                  <w:r>
                    <w:rPr>
                      <w:rFonts w:hint="default" w:ascii="Times New Roman" w:hAnsi="Times New Roman" w:eastAsia="宋体" w:cs="Times New Roman"/>
                      <w:color w:val="auto"/>
                      <w:kern w:val="0"/>
                      <w:sz w:val="21"/>
                      <w:szCs w:val="21"/>
                    </w:rPr>
                    <w:t>优先进行生态</w:t>
                  </w:r>
                  <w:r>
                    <w:rPr>
                      <w:rFonts w:hint="eastAsia" w:cs="Times New Roman"/>
                      <w:color w:val="auto"/>
                      <w:kern w:val="0"/>
                      <w:sz w:val="21"/>
                      <w:szCs w:val="21"/>
                      <w:lang w:eastAsia="zh-CN"/>
                    </w:rPr>
                    <w:t>基础设施</w:t>
                  </w:r>
                  <w:r>
                    <w:rPr>
                      <w:rFonts w:hint="default" w:ascii="Times New Roman" w:hAnsi="Times New Roman" w:eastAsia="宋体" w:cs="Times New Roman"/>
                      <w:color w:val="auto"/>
                      <w:kern w:val="0"/>
                      <w:sz w:val="21"/>
                      <w:szCs w:val="21"/>
                    </w:rPr>
                    <w:t>建设</w:t>
                  </w:r>
                  <w:r>
                    <w:rPr>
                      <w:rFonts w:hint="default" w:ascii="Times New Roman" w:hAnsi="Times New Roman" w:eastAsia="宋体" w:cs="Times New Roman"/>
                      <w:color w:val="auto"/>
                      <w:kern w:val="0"/>
                      <w:sz w:val="21"/>
                      <w:szCs w:val="21"/>
                      <w:lang w:eastAsia="zh-CN"/>
                    </w:rPr>
                    <w:t>；</w:t>
                  </w:r>
                </w:p>
                <w:p w14:paraId="3C00AD6F">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③</w:t>
                  </w:r>
                  <w:r>
                    <w:rPr>
                      <w:rFonts w:hint="default" w:ascii="Times New Roman" w:hAnsi="Times New Roman" w:eastAsia="宋体" w:cs="Times New Roman"/>
                      <w:color w:val="auto"/>
                      <w:kern w:val="0"/>
                      <w:sz w:val="21"/>
                      <w:szCs w:val="21"/>
                    </w:rPr>
                    <w:t>建立长效而稳定的生态保护和生态建设机制</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强化城乡建设、土地利用、环境保护、文物保护、林地保护、综合交通</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水资源、文化旅游、社会事业等各类规划的衔接，确保产业园区的保护空间</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开发边界、建设规模等重要参数一致</w:t>
                  </w:r>
                  <w:r>
                    <w:rPr>
                      <w:rFonts w:hint="default" w:ascii="Times New Roman" w:hAnsi="Times New Roman" w:eastAsia="宋体" w:cs="Times New Roman"/>
                      <w:color w:val="auto"/>
                      <w:kern w:val="0"/>
                      <w:sz w:val="21"/>
                      <w:szCs w:val="21"/>
                      <w:lang w:eastAsia="zh-CN"/>
                    </w:rPr>
                    <w:t>；</w:t>
                  </w:r>
                </w:p>
                <w:p w14:paraId="4DAB2C75">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④</w:t>
                  </w:r>
                  <w:r>
                    <w:rPr>
                      <w:rFonts w:hint="default" w:ascii="Times New Roman" w:hAnsi="Times New Roman" w:eastAsia="宋体" w:cs="Times New Roman"/>
                      <w:color w:val="auto"/>
                      <w:kern w:val="0"/>
                      <w:sz w:val="21"/>
                      <w:szCs w:val="21"/>
                    </w:rPr>
                    <w:t>注重生态环境保护的管理和宣传教育</w:t>
                  </w:r>
                  <w:r>
                    <w:rPr>
                      <w:rFonts w:hint="default" w:ascii="Times New Roman" w:hAnsi="Times New Roman" w:eastAsia="宋体" w:cs="Times New Roman"/>
                      <w:color w:val="auto"/>
                      <w:kern w:val="0"/>
                      <w:sz w:val="21"/>
                      <w:szCs w:val="21"/>
                      <w:lang w:eastAsia="zh-CN"/>
                    </w:rPr>
                    <w:t>；</w:t>
                  </w:r>
                </w:p>
                <w:p w14:paraId="7E3444BE">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⑤</w:t>
                  </w:r>
                  <w:r>
                    <w:rPr>
                      <w:rFonts w:hint="default" w:ascii="Times New Roman" w:hAnsi="Times New Roman" w:eastAsia="宋体" w:cs="Times New Roman"/>
                      <w:color w:val="auto"/>
                      <w:kern w:val="0"/>
                      <w:sz w:val="21"/>
                      <w:szCs w:val="21"/>
                    </w:rPr>
                    <w:t>规划实施建设活动时应尽量避开耕地、林地，尽量选择在灌草丛、荒地等植被较差或未开发利用的区域，以减少对植被的破坏</w:t>
                  </w:r>
                  <w:r>
                    <w:rPr>
                      <w:rFonts w:hint="default" w:ascii="Times New Roman" w:hAnsi="Times New Roman" w:eastAsia="宋体" w:cs="Times New Roman"/>
                      <w:color w:val="auto"/>
                      <w:kern w:val="0"/>
                      <w:sz w:val="21"/>
                      <w:szCs w:val="21"/>
                      <w:lang w:eastAsia="zh-CN"/>
                    </w:rPr>
                    <w:t>，</w:t>
                  </w:r>
                </w:p>
                <w:p w14:paraId="3C8EAA98">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rPr>
                    <w:t>⑥</w:t>
                  </w:r>
                  <w:r>
                    <w:rPr>
                      <w:rFonts w:hint="default" w:ascii="Times New Roman" w:hAnsi="Times New Roman" w:eastAsia="宋体" w:cs="Times New Roman"/>
                      <w:color w:val="auto"/>
                      <w:kern w:val="0"/>
                      <w:sz w:val="21"/>
                      <w:szCs w:val="21"/>
                    </w:rPr>
                    <w:t>在保证质量的情况下尽量缩短工期，从而尽量减少对占地范围环境的扰动</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施工结束后，对施工现场进行迹地清理，尽早开展植被恢复和复垦，植被的恢复必须按照当地的实际情况，针对不同的土壤条件、气候条件以及坡度、海拔等条件进行乔灌草的合理配置，建立起植被与生境水分条件相符合的群落生态关系，优先选用乡土物种进行植被恢复，禁止引入外来入侵物种。</w:t>
                  </w:r>
                </w:p>
                <w:p w14:paraId="754B2F5E">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kern w:val="0"/>
                      <w:sz w:val="21"/>
                      <w:szCs w:val="21"/>
                      <w:lang w:val="en-US" w:eastAsia="zh-CN"/>
                    </w:rPr>
                    <w:t>⑦</w:t>
                  </w:r>
                  <w:r>
                    <w:rPr>
                      <w:rFonts w:hint="default" w:ascii="Times New Roman" w:hAnsi="Times New Roman" w:eastAsia="宋体" w:cs="Times New Roman"/>
                      <w:color w:val="auto"/>
                      <w:kern w:val="0"/>
                      <w:sz w:val="21"/>
                      <w:szCs w:val="21"/>
                    </w:rPr>
                    <w:t>工程施工应分散分区进行，开挖面要及时种上草皮，缩短裸露面的暴露时间，减少水土流失。在施工过程中，控制地表破坏程度，尽量保护周围的土壤和植被，要严格按照施工规划尽可能少占地。合理布设施工场地，减少土地占用。施工单位要做好相应的施工组织与管理工作，尽量缩短工期。及时清理施工现场，不得遗留任何固体废物、建(构)筑物的残体、生活垃圾和(石)方等，某些关键节点采取临时围挡进行封闭施工。</w:t>
                  </w:r>
                </w:p>
              </w:tc>
              <w:tc>
                <w:tcPr>
                  <w:tcW w:w="2287" w:type="dxa"/>
                  <w:noWrap w:val="0"/>
                  <w:vAlign w:val="center"/>
                </w:tcPr>
                <w:p w14:paraId="3F2A2A37">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w:t>
                  </w:r>
                  <w:r>
                    <w:rPr>
                      <w:rFonts w:hint="eastAsia" w:cs="Times New Roman"/>
                      <w:color w:val="auto"/>
                      <w:sz w:val="21"/>
                      <w:szCs w:val="21"/>
                      <w:highlight w:val="none"/>
                      <w:lang w:val="en-US" w:eastAsia="zh-CN"/>
                    </w:rPr>
                    <w:t>租用已建标准厂房进行生产，施工期仅对厂房进行装修及安装环保设备，项目区地面均已硬化，对生态环境影响较小。</w:t>
                  </w:r>
                </w:p>
              </w:tc>
              <w:tc>
                <w:tcPr>
                  <w:tcW w:w="664" w:type="dxa"/>
                  <w:noWrap w:val="0"/>
                  <w:vAlign w:val="center"/>
                </w:tcPr>
                <w:p w14:paraId="3D8BCBFF">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14:paraId="775E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9" w:type="dxa"/>
                  <w:noWrap w:val="0"/>
                  <w:vAlign w:val="center"/>
                </w:tcPr>
                <w:p w14:paraId="673CDE4A">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事故及风险防范措施</w:t>
                  </w:r>
                </w:p>
              </w:tc>
              <w:tc>
                <w:tcPr>
                  <w:tcW w:w="4278" w:type="dxa"/>
                  <w:noWrap w:val="0"/>
                  <w:vAlign w:val="center"/>
                </w:tcPr>
                <w:p w14:paraId="75ABFC4A">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①</w:t>
                  </w:r>
                  <w:r>
                    <w:rPr>
                      <w:rFonts w:hint="default" w:ascii="Times New Roman" w:hAnsi="Times New Roman" w:eastAsia="宋体" w:cs="Times New Roman"/>
                      <w:color w:val="auto"/>
                      <w:kern w:val="0"/>
                      <w:sz w:val="21"/>
                      <w:szCs w:val="21"/>
                    </w:rPr>
                    <w:t>园区管委会应建立完善的安全、环保管理体制。</w:t>
                  </w:r>
                </w:p>
                <w:p w14:paraId="3D64C687">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②</w:t>
                  </w:r>
                  <w:r>
                    <w:rPr>
                      <w:rFonts w:hint="default" w:ascii="Times New Roman" w:hAnsi="Times New Roman" w:eastAsia="宋体" w:cs="Times New Roman"/>
                      <w:color w:val="auto"/>
                      <w:kern w:val="0"/>
                      <w:sz w:val="21"/>
                      <w:szCs w:val="21"/>
                    </w:rPr>
                    <w:t>加强园区内企业的环境监督管理。</w:t>
                  </w:r>
                </w:p>
                <w:p w14:paraId="09417A14">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③</w:t>
                  </w:r>
                  <w:r>
                    <w:rPr>
                      <w:rFonts w:hint="default" w:ascii="Times New Roman" w:hAnsi="Times New Roman" w:eastAsia="宋体" w:cs="Times New Roman"/>
                      <w:color w:val="auto"/>
                      <w:kern w:val="0"/>
                      <w:sz w:val="21"/>
                      <w:szCs w:val="21"/>
                    </w:rPr>
                    <w:t>规划实施过程中，园区管委会和环保部门对进驻园区企业进行风险排查，掌握园区企业危险化学品使用、贮存和生产情况。</w:t>
                  </w:r>
                </w:p>
                <w:p w14:paraId="6845943A">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④</w:t>
                  </w:r>
                  <w:r>
                    <w:rPr>
                      <w:rFonts w:hint="default" w:ascii="Times New Roman" w:hAnsi="Times New Roman" w:eastAsia="宋体" w:cs="Times New Roman"/>
                      <w:color w:val="auto"/>
                      <w:kern w:val="0"/>
                      <w:sz w:val="21"/>
                      <w:szCs w:val="21"/>
                    </w:rPr>
                    <w:t>企业进驻园区时，根据进驻企业的生产规模、产品方案、工艺流程以及危险化学品使用、贮存和生产情况，对进驻企业按照HJ/T169-2018《建设项目环境风险评价技术导则》的要求进行环境风险评价，提出各项目的环境风险防范措施和应急预案，确定各项目的安全防护距离。</w:t>
                  </w:r>
                </w:p>
                <w:p w14:paraId="7BE0031A">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⑤</w:t>
                  </w:r>
                  <w:r>
                    <w:rPr>
                      <w:rFonts w:hint="default" w:ascii="Times New Roman" w:hAnsi="Times New Roman" w:eastAsia="宋体" w:cs="Times New Roman"/>
                      <w:color w:val="auto"/>
                      <w:kern w:val="0"/>
                      <w:sz w:val="21"/>
                      <w:szCs w:val="21"/>
                    </w:rPr>
                    <w:t>根据进驻项目可能发生的风险事故和清消废水产生量，对存在环境风险的项目，在进行设计施工时，设置清消废水收集池，清消废水经收集处理达标后才能外排。</w:t>
                  </w:r>
                </w:p>
                <w:p w14:paraId="3826311A">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⑥</w:t>
                  </w:r>
                  <w:r>
                    <w:rPr>
                      <w:rFonts w:hint="default" w:ascii="Times New Roman" w:hAnsi="Times New Roman" w:eastAsia="宋体" w:cs="Times New Roman"/>
                      <w:color w:val="auto"/>
                      <w:kern w:val="0"/>
                      <w:sz w:val="21"/>
                      <w:szCs w:val="21"/>
                    </w:rPr>
                    <w:t>对于涉及使用易燃易爆危险化学品的企业进驻园区时，园区管委会应要求企业做好该距离范围内的火灾、爆炸防护工作，通过对进驻企业进行安全或风险评价，提出合理的防护距离，在该距离范围内，不得堆放易燃、易爆、有毒有害等危险化学品，并预留消防通道。</w:t>
                  </w:r>
                </w:p>
                <w:p w14:paraId="77227E8F">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kern w:val="0"/>
                      <w:sz w:val="21"/>
                      <w:szCs w:val="21"/>
                      <w:lang w:val="en-US" w:eastAsia="zh-CN"/>
                    </w:rPr>
                    <w:t>⑦</w:t>
                  </w:r>
                  <w:r>
                    <w:rPr>
                      <w:rFonts w:hint="default" w:ascii="Times New Roman" w:hAnsi="Times New Roman" w:eastAsia="宋体" w:cs="Times New Roman"/>
                      <w:color w:val="auto"/>
                      <w:kern w:val="0"/>
                      <w:sz w:val="21"/>
                      <w:szCs w:val="21"/>
                    </w:rPr>
                    <w:t>园区周围环境目标众多，环境敏感程度较高，限制根据HJ/T169-2018《建设项目环境风险评价技术导则》判定的极高危害企业(P1)入驻</w:t>
                  </w:r>
                  <w:r>
                    <w:rPr>
                      <w:rFonts w:hint="default" w:ascii="Times New Roman" w:hAnsi="Times New Roman" w:eastAsia="宋体" w:cs="Times New Roman"/>
                      <w:color w:val="auto"/>
                      <w:kern w:val="0"/>
                      <w:sz w:val="21"/>
                      <w:szCs w:val="21"/>
                      <w:lang w:val="en-US" w:eastAsia="zh-CN"/>
                    </w:rPr>
                    <w:t>。</w:t>
                  </w:r>
                </w:p>
              </w:tc>
              <w:tc>
                <w:tcPr>
                  <w:tcW w:w="2287" w:type="dxa"/>
                  <w:noWrap w:val="0"/>
                  <w:vAlign w:val="center"/>
                </w:tcPr>
                <w:p w14:paraId="573F7C9C">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本项目建设完成后按照要求编制突发环境事件应急预案，并报当地环保部门备案。</w:t>
                  </w:r>
                </w:p>
              </w:tc>
              <w:tc>
                <w:tcPr>
                  <w:tcW w:w="664" w:type="dxa"/>
                  <w:noWrap w:val="0"/>
                  <w:vAlign w:val="center"/>
                </w:tcPr>
                <w:p w14:paraId="2604D3D9">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bl>
          <w:p w14:paraId="6F33D0A8">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综上</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zh-CN"/>
              </w:rPr>
              <w:t>符合《云南寻甸产业园区总体规划修编（2021-2035）环境影响报告书》</w:t>
            </w:r>
            <w:r>
              <w:rPr>
                <w:rFonts w:hint="default" w:ascii="Times New Roman" w:hAnsi="Times New Roman" w:eastAsia="宋体" w:cs="Times New Roman"/>
                <w:color w:val="auto"/>
                <w:sz w:val="24"/>
                <w:szCs w:val="24"/>
                <w:highlight w:val="none"/>
                <w:lang w:val="en-US" w:eastAsia="zh-CN"/>
              </w:rPr>
              <w:t>中的</w:t>
            </w:r>
            <w:r>
              <w:rPr>
                <w:rFonts w:hint="default" w:ascii="Times New Roman" w:hAnsi="Times New Roman" w:eastAsia="宋体" w:cs="Times New Roman"/>
                <w:color w:val="auto"/>
                <w:sz w:val="24"/>
                <w:szCs w:val="24"/>
                <w:highlight w:val="none"/>
                <w:lang w:val="zh-CN"/>
              </w:rPr>
              <w:t>环境影响减缓措施相关要求。</w:t>
            </w:r>
          </w:p>
          <w:p w14:paraId="2DE2C72B">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）园区</w:t>
            </w:r>
            <w:r>
              <w:rPr>
                <w:rFonts w:hint="default" w:ascii="Times New Roman" w:hAnsi="Times New Roman" w:eastAsia="宋体" w:cs="Times New Roman"/>
                <w:b/>
                <w:bCs/>
                <w:color w:val="auto"/>
                <w:sz w:val="24"/>
                <w:szCs w:val="24"/>
                <w:highlight w:val="none"/>
                <w:lang w:val="en-US" w:eastAsia="zh-CN"/>
              </w:rPr>
              <w:t>环境</w:t>
            </w:r>
            <w:r>
              <w:rPr>
                <w:rFonts w:hint="default" w:ascii="Times New Roman" w:hAnsi="Times New Roman" w:eastAsia="宋体" w:cs="Times New Roman"/>
                <w:b/>
                <w:bCs/>
                <w:color w:val="auto"/>
                <w:sz w:val="24"/>
                <w:szCs w:val="24"/>
                <w:highlight w:val="none"/>
                <w:lang w:val="zh-CN"/>
              </w:rPr>
              <w:t>准入负面清单</w:t>
            </w:r>
            <w:r>
              <w:rPr>
                <w:rFonts w:hint="default" w:ascii="Times New Roman" w:hAnsi="Times New Roman" w:eastAsia="宋体" w:cs="Times New Roman"/>
                <w:b/>
                <w:bCs/>
                <w:color w:val="auto"/>
                <w:sz w:val="24"/>
                <w:szCs w:val="24"/>
                <w:highlight w:val="none"/>
                <w:lang w:val="en-US" w:eastAsia="zh-CN"/>
              </w:rPr>
              <w:t>符合性分析</w:t>
            </w:r>
          </w:p>
          <w:p w14:paraId="538811E3">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color w:val="auto"/>
                <w:sz w:val="24"/>
                <w:szCs w:val="24"/>
                <w:highlight w:val="none"/>
                <w:lang w:val="zh-CN"/>
              </w:rPr>
              <w:t>根据《云南寻甸产业园区总体规划修编（2021-2035）环境影响报告书》，园区</w:t>
            </w:r>
            <w:r>
              <w:rPr>
                <w:rFonts w:hint="default" w:ascii="Times New Roman" w:hAnsi="Times New Roman" w:eastAsia="宋体" w:cs="Times New Roman"/>
                <w:color w:val="auto"/>
                <w:sz w:val="24"/>
                <w:szCs w:val="24"/>
                <w:highlight w:val="none"/>
                <w:lang w:val="en-US" w:eastAsia="zh-CN"/>
              </w:rPr>
              <w:t>环境</w:t>
            </w:r>
            <w:r>
              <w:rPr>
                <w:rFonts w:hint="default" w:ascii="Times New Roman" w:hAnsi="Times New Roman" w:eastAsia="宋体" w:cs="Times New Roman"/>
                <w:color w:val="auto"/>
                <w:sz w:val="24"/>
                <w:szCs w:val="24"/>
                <w:highlight w:val="none"/>
                <w:lang w:val="zh-CN"/>
              </w:rPr>
              <w:t>准入负面清单及对照情况如下：</w:t>
            </w:r>
          </w:p>
          <w:p w14:paraId="1672141F">
            <w:pPr>
              <w:keepNext w:val="0"/>
              <w:keepLines w:val="0"/>
              <w:pageBreakBefore w:val="0"/>
              <w:widowControl/>
              <w:shd w:val="clear"/>
              <w:kinsoku/>
              <w:wordWrap/>
              <w:overflowPunct/>
              <w:topLinePunct w:val="0"/>
              <w:autoSpaceDE/>
              <w:autoSpaceDN/>
              <w:bidi w:val="0"/>
              <w:adjustRightInd w:val="0"/>
              <w:snapToGrid w:val="0"/>
              <w:spacing w:line="276"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表1-3  本项目与规划区环境准入条件负面清单对照情况表</w:t>
            </w:r>
          </w:p>
          <w:tbl>
            <w:tblPr>
              <w:tblStyle w:val="26"/>
              <w:tblW w:w="7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36"/>
              <w:gridCol w:w="3170"/>
              <w:gridCol w:w="3178"/>
              <w:gridCol w:w="462"/>
            </w:tblGrid>
            <w:tr w14:paraId="3379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2" w:type="dxa"/>
                  <w:gridSpan w:val="3"/>
                  <w:vAlign w:val="center"/>
                </w:tcPr>
                <w:p w14:paraId="4C221991">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限制和禁止引进的项目和行业</w:t>
                  </w:r>
                </w:p>
              </w:tc>
              <w:tc>
                <w:tcPr>
                  <w:tcW w:w="3178" w:type="dxa"/>
                  <w:vAlign w:val="center"/>
                </w:tcPr>
                <w:p w14:paraId="113C478C">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462" w:type="dxa"/>
                  <w:vAlign w:val="center"/>
                </w:tcPr>
                <w:p w14:paraId="28B0A1A6">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14:paraId="4285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restart"/>
                  <w:vAlign w:val="center"/>
                </w:tcPr>
                <w:p w14:paraId="464167EC">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总体要求</w:t>
                  </w:r>
                </w:p>
              </w:tc>
              <w:tc>
                <w:tcPr>
                  <w:tcW w:w="636" w:type="dxa"/>
                  <w:vAlign w:val="center"/>
                </w:tcPr>
                <w:p w14:paraId="1DEDE679">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禁入行业</w:t>
                  </w:r>
                </w:p>
              </w:tc>
              <w:tc>
                <w:tcPr>
                  <w:tcW w:w="3170" w:type="dxa"/>
                  <w:vAlign w:val="center"/>
                </w:tcPr>
                <w:p w14:paraId="02D2CD7B">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（1）《产业结构调整指导目录（201</w:t>
                  </w:r>
                  <w:r>
                    <w:rPr>
                      <w:rFonts w:hint="default"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年本）》（或更新）中禁止、限制类的行业。</w:t>
                  </w:r>
                </w:p>
                <w:p w14:paraId="13D76E3C">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》（或更新）中</w:t>
                  </w:r>
                  <w:r>
                    <w:rPr>
                      <w:rFonts w:hint="default" w:ascii="Times New Roman" w:hAnsi="Times New Roman"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rPr>
                    <w:t>禁止类。</w:t>
                  </w:r>
                </w:p>
                <w:p w14:paraId="032DBBF6">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（3）严禁不符合要求的高风险高污染行业入驻。</w:t>
                  </w:r>
                </w:p>
                <w:p w14:paraId="42884285">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（4）禁止引入其他不在园区产业定位、不符合园区环保要求项目，如造纸制浆、印染、染料、制革、炼焦、炼硫、炼砷、炼油、有色金属等项目。</w:t>
                  </w:r>
                </w:p>
                <w:p w14:paraId="352B260B">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（5）污水成分复杂或废水、废液按现有技术无法妥善处置的产业。</w:t>
                  </w:r>
                </w:p>
                <w:p w14:paraId="1CCD7E11">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（6）物耗、能耗相对较高，产生的大气污染类型复杂、环境风险较大的产业、项目或工艺；且产生的大气污染物无法自身治理或妥善处置或处理成本较高的产生。</w:t>
                  </w:r>
                </w:p>
                <w:p w14:paraId="05FC68FD">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（7）不能严格按“三同时”要求建厂的企业，无法满足卫生防护距离、大气环境防护距离的企业。</w:t>
                  </w:r>
                </w:p>
                <w:p w14:paraId="67703C49">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（8）与《云南省牛栏江保护条例》存在冲突的项目。</w:t>
                  </w:r>
                </w:p>
                <w:p w14:paraId="013DACE9">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（9）《长江经济带发展负面清单指南（试行，2022 年版）》和《云南省推动长江经济带发展负面清单指南实施细则（试行，2022 年版）》中的禁止项目。</w:t>
                  </w:r>
                </w:p>
                <w:p w14:paraId="6A4073AD">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禁止引入单位产品能耗、物耗、污染物产生量和排放量等清洁生产指标达不到国内先进水平的产业（项目）；资源综合利用率低、产生废物量大，且按近期技术水平不能综合利用的行业；高耗水且排放污水、废液按现有技术经济无法治理或妥善处置的产业。</w:t>
                  </w:r>
                </w:p>
                <w:p w14:paraId="5ABC41B6">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（11）未来入驻企业禁止在园区内新建永久性工业固废处置场。</w:t>
                  </w:r>
                </w:p>
                <w:p w14:paraId="49159A40">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严禁引入物耗、水耗和能耗相对较高，但符合园区总体规划产业类别的其他产业（①属于规划既定行业，但污染类型复杂、环境风险较大的产业、项目或工艺；②产生废物，且按自有技术水平无法治理或妥善处置的；③现有污染治理技术不成熟，或现有技术经济条件难以承受污染物治理成本的）。</w:t>
                  </w:r>
                </w:p>
                <w:p w14:paraId="657B004A">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（13）禁止入园企业开采地下水作为生产、生活用水。</w:t>
                  </w:r>
                </w:p>
              </w:tc>
              <w:tc>
                <w:tcPr>
                  <w:tcW w:w="3178" w:type="dxa"/>
                  <w:vAlign w:val="center"/>
                </w:tcPr>
                <w:p w14:paraId="69DCB00A">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（1）本项目为</w:t>
                  </w:r>
                  <w:r>
                    <w:rPr>
                      <w:rFonts w:hint="eastAsia" w:ascii="Times New Roman" w:hAnsi="Times New Roman" w:eastAsia="宋体" w:cs="Times New Roman"/>
                      <w:color w:val="auto"/>
                      <w:sz w:val="21"/>
                      <w:szCs w:val="21"/>
                      <w:highlight w:val="none"/>
                      <w:lang w:val="zh-CN" w:eastAsia="zh-CN"/>
                    </w:rPr>
                    <w:t>竹木纤维集成墙板及扣板</w:t>
                  </w:r>
                  <w:r>
                    <w:rPr>
                      <w:rFonts w:hint="default" w:ascii="Times New Roman" w:hAnsi="Times New Roman" w:eastAsia="宋体" w:cs="Times New Roman"/>
                      <w:color w:val="auto"/>
                      <w:sz w:val="21"/>
                      <w:szCs w:val="21"/>
                      <w:highlight w:val="none"/>
                      <w:lang w:val="en-US" w:eastAsia="zh-CN"/>
                    </w:rPr>
                    <w:t>等生产制造项目，</w:t>
                  </w:r>
                  <w:r>
                    <w:rPr>
                      <w:rFonts w:hint="default" w:ascii="Times New Roman" w:hAnsi="Times New Roman" w:eastAsia="宋体" w:cs="Times New Roman"/>
                      <w:color w:val="auto"/>
                      <w:sz w:val="21"/>
                      <w:szCs w:val="21"/>
                      <w:highlight w:val="none"/>
                    </w:rPr>
                    <w:t>根据《产业结构调整指导目录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eastAsia"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项目不属于限制类和淘汰类项目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为允许类</w:t>
                  </w:r>
                  <w:r>
                    <w:rPr>
                      <w:rFonts w:hint="default" w:ascii="Times New Roman" w:hAnsi="Times New Roman" w:eastAsia="宋体" w:cs="Times New Roman"/>
                      <w:color w:val="auto"/>
                      <w:sz w:val="21"/>
                      <w:szCs w:val="21"/>
                      <w:highlight w:val="none"/>
                    </w:rPr>
                    <w:t>；</w:t>
                  </w:r>
                </w:p>
                <w:p w14:paraId="4C2D7696">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不属于《外商投资产业指导目录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》中禁止类项目；</w:t>
                  </w:r>
                </w:p>
                <w:p w14:paraId="77BF8B3E">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本项目不属于</w:t>
                  </w:r>
                  <w:r>
                    <w:rPr>
                      <w:rFonts w:hint="default" w:ascii="Times New Roman" w:hAnsi="Times New Roman" w:eastAsia="宋体" w:cs="Times New Roman"/>
                      <w:color w:val="auto"/>
                      <w:sz w:val="21"/>
                      <w:szCs w:val="21"/>
                    </w:rPr>
                    <w:t>高风险高污染</w:t>
                  </w:r>
                  <w:r>
                    <w:rPr>
                      <w:rFonts w:hint="default" w:ascii="Times New Roman" w:hAnsi="Times New Roman" w:eastAsia="宋体" w:cs="Times New Roman"/>
                      <w:color w:val="auto"/>
                      <w:sz w:val="21"/>
                      <w:szCs w:val="21"/>
                      <w:lang w:val="en-US" w:eastAsia="zh-CN"/>
                    </w:rPr>
                    <w:t>类行业；</w:t>
                  </w:r>
                </w:p>
                <w:p w14:paraId="5CBC6556">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（4）项目</w:t>
                  </w:r>
                  <w:r>
                    <w:rPr>
                      <w:rFonts w:hint="default" w:ascii="Times New Roman" w:hAnsi="Times New Roman" w:eastAsia="宋体" w:cs="Times New Roman"/>
                      <w:color w:val="auto"/>
                      <w:sz w:val="21"/>
                      <w:szCs w:val="21"/>
                      <w:highlight w:val="none"/>
                    </w:rPr>
                    <w:t>不属于</w:t>
                  </w:r>
                  <w:r>
                    <w:rPr>
                      <w:rFonts w:hint="default" w:ascii="Times New Roman" w:hAnsi="Times New Roman" w:eastAsia="宋体" w:cs="Times New Roman"/>
                      <w:color w:val="auto"/>
                      <w:sz w:val="21"/>
                      <w:szCs w:val="21"/>
                    </w:rPr>
                    <w:t>造纸制浆、印染、染料、制革、炼焦、炼硫、炼砷、炼油、有色金属等</w:t>
                  </w:r>
                  <w:r>
                    <w:rPr>
                      <w:rFonts w:hint="default" w:ascii="Times New Roman" w:hAnsi="Times New Roman" w:eastAsia="宋体" w:cs="Times New Roman"/>
                      <w:color w:val="auto"/>
                      <w:sz w:val="21"/>
                      <w:szCs w:val="21"/>
                      <w:highlight w:val="none"/>
                    </w:rPr>
                    <w:t>其他不在园区产业定位、不符合园区环保要求项目；</w:t>
                  </w:r>
                </w:p>
                <w:p w14:paraId="0E2D5E7B">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本项目冷却废水经循环水冷却池冷却后循环使用</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不外排；</w:t>
                  </w:r>
                  <w:r>
                    <w:rPr>
                      <w:rFonts w:hint="default" w:ascii="Times New Roman" w:hAnsi="Times New Roman" w:eastAsia="宋体" w:cs="Times New Roman"/>
                      <w:color w:val="auto"/>
                      <w:sz w:val="21"/>
                      <w:szCs w:val="21"/>
                      <w:highlight w:val="none"/>
                    </w:rPr>
                    <w:t>运营期</w:t>
                  </w:r>
                  <w:r>
                    <w:rPr>
                      <w:rFonts w:hint="default" w:ascii="Times New Roman" w:hAnsi="Times New Roman" w:eastAsia="宋体" w:cs="Times New Roman"/>
                      <w:color w:val="auto"/>
                      <w:sz w:val="21"/>
                      <w:szCs w:val="21"/>
                      <w:highlight w:val="none"/>
                      <w:lang w:val="en-US" w:eastAsia="zh-CN"/>
                    </w:rPr>
                    <w:t>生产</w:t>
                  </w:r>
                  <w:r>
                    <w:rPr>
                      <w:rFonts w:hint="default" w:ascii="Times New Roman" w:hAnsi="Times New Roman" w:eastAsia="宋体" w:cs="Times New Roman"/>
                      <w:color w:val="auto"/>
                      <w:sz w:val="21"/>
                      <w:szCs w:val="21"/>
                      <w:highlight w:val="none"/>
                    </w:rPr>
                    <w:t>废水不属于污水成分复杂或废水、废液按现有技术无法</w:t>
                  </w:r>
                  <w:r>
                    <w:rPr>
                      <w:rFonts w:hint="eastAsia" w:cs="Times New Roman"/>
                      <w:color w:val="auto"/>
                      <w:sz w:val="21"/>
                      <w:szCs w:val="21"/>
                      <w:highlight w:val="none"/>
                      <w:lang w:eastAsia="zh-CN"/>
                    </w:rPr>
                    <w:t>完善</w:t>
                  </w:r>
                  <w:r>
                    <w:rPr>
                      <w:rFonts w:hint="default" w:ascii="Times New Roman" w:hAnsi="Times New Roman" w:eastAsia="宋体" w:cs="Times New Roman"/>
                      <w:color w:val="auto"/>
                      <w:sz w:val="21"/>
                      <w:szCs w:val="21"/>
                      <w:highlight w:val="none"/>
                    </w:rPr>
                    <w:t>处置的产业；</w:t>
                  </w:r>
                </w:p>
                <w:p w14:paraId="0CAA9EAB">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本项目物耗、能耗相对较低，产生的大气污染类型主要为</w:t>
                  </w:r>
                  <w:r>
                    <w:rPr>
                      <w:rFonts w:hint="default" w:ascii="Times New Roman" w:hAnsi="Times New Roman" w:eastAsia="宋体" w:cs="Times New Roman"/>
                      <w:b w:val="0"/>
                      <w:bCs w:val="0"/>
                      <w:color w:val="auto"/>
                      <w:kern w:val="0"/>
                      <w:sz w:val="21"/>
                      <w:szCs w:val="21"/>
                      <w:highlight w:val="none"/>
                      <w:vertAlign w:val="baseline"/>
                      <w:lang w:val="en-US" w:eastAsia="zh-CN"/>
                    </w:rPr>
                    <w:t>颗粒物、</w:t>
                  </w:r>
                  <w:r>
                    <w:rPr>
                      <w:rFonts w:hint="default" w:ascii="Times New Roman" w:hAnsi="Times New Roman" w:eastAsia="宋体" w:cs="Times New Roman"/>
                      <w:b w:val="0"/>
                      <w:bCs/>
                      <w:color w:val="auto"/>
                      <w:spacing w:val="-10"/>
                      <w:sz w:val="21"/>
                      <w:szCs w:val="21"/>
                      <w:highlight w:val="none"/>
                      <w:vertAlign w:val="baseline"/>
                      <w:lang w:val="en-US" w:eastAsia="zh-CN"/>
                    </w:rPr>
                    <w:t>非甲烷总烃、</w:t>
                  </w:r>
                  <w:r>
                    <w:rPr>
                      <w:rFonts w:hint="eastAsia" w:cs="Times New Roman"/>
                      <w:b w:val="0"/>
                      <w:bCs/>
                      <w:color w:val="auto"/>
                      <w:spacing w:val="-10"/>
                      <w:sz w:val="21"/>
                      <w:szCs w:val="21"/>
                      <w:highlight w:val="none"/>
                      <w:vertAlign w:val="baseline"/>
                      <w:lang w:val="en-US" w:eastAsia="zh-CN"/>
                    </w:rPr>
                    <w:t>氯化氢、氯乙烯、</w:t>
                  </w:r>
                  <w:r>
                    <w:rPr>
                      <w:rFonts w:hint="default" w:ascii="Times New Roman" w:hAnsi="Times New Roman" w:eastAsia="宋体" w:cs="Times New Roman"/>
                      <w:b w:val="0"/>
                      <w:bCs/>
                      <w:color w:val="auto"/>
                      <w:spacing w:val="-10"/>
                      <w:sz w:val="21"/>
                      <w:szCs w:val="21"/>
                      <w:highlight w:val="none"/>
                      <w:vertAlign w:val="baseline"/>
                      <w:lang w:val="en-US" w:eastAsia="zh-CN"/>
                    </w:rPr>
                    <w:t>臭气浓度</w:t>
                  </w:r>
                  <w:r>
                    <w:rPr>
                      <w:rFonts w:hint="default" w:ascii="Times New Roman" w:hAnsi="Times New Roman" w:eastAsia="宋体" w:cs="Times New Roman"/>
                      <w:color w:val="auto"/>
                      <w:sz w:val="21"/>
                      <w:szCs w:val="21"/>
                      <w:highlight w:val="none"/>
                      <w:lang w:val="en-US" w:eastAsia="zh-CN"/>
                    </w:rPr>
                    <w:t>等</w:t>
                  </w:r>
                  <w:r>
                    <w:rPr>
                      <w:rFonts w:hint="default" w:ascii="Times New Roman" w:hAnsi="Times New Roman" w:eastAsia="宋体" w:cs="Times New Roman"/>
                      <w:color w:val="auto"/>
                      <w:sz w:val="21"/>
                      <w:szCs w:val="21"/>
                      <w:highlight w:val="none"/>
                    </w:rPr>
                    <w:t>，大气污染物</w:t>
                  </w:r>
                  <w:r>
                    <w:rPr>
                      <w:rFonts w:hint="default" w:ascii="Times New Roman" w:hAnsi="Times New Roman" w:eastAsia="宋体" w:cs="Times New Roman"/>
                      <w:color w:val="auto"/>
                      <w:sz w:val="21"/>
                      <w:szCs w:val="21"/>
                      <w:highlight w:val="none"/>
                      <w:lang w:val="en-US" w:eastAsia="zh-CN"/>
                    </w:rPr>
                    <w:t>经采取措施治理后</w:t>
                  </w:r>
                  <w:r>
                    <w:rPr>
                      <w:rFonts w:hint="default" w:ascii="Times New Roman" w:hAnsi="Times New Roman" w:eastAsia="宋体" w:cs="Times New Roman"/>
                      <w:color w:val="auto"/>
                      <w:sz w:val="21"/>
                      <w:szCs w:val="21"/>
                      <w:highlight w:val="none"/>
                    </w:rPr>
                    <w:t>达标排放，处理成本一般；环境风险为一般环境风险</w:t>
                  </w:r>
                  <w:r>
                    <w:rPr>
                      <w:rFonts w:hint="default" w:ascii="Times New Roman" w:hAnsi="Times New Roman" w:eastAsia="宋体" w:cs="Times New Roman"/>
                      <w:color w:val="auto"/>
                      <w:sz w:val="21"/>
                      <w:szCs w:val="21"/>
                      <w:highlight w:val="none"/>
                      <w:lang w:eastAsia="zh-CN"/>
                    </w:rPr>
                    <w:t>；</w:t>
                  </w:r>
                </w:p>
                <w:p w14:paraId="36F85577">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本项目为</w:t>
                  </w:r>
                  <w:r>
                    <w:rPr>
                      <w:rFonts w:hint="default" w:ascii="Times New Roman" w:hAnsi="Times New Roman" w:eastAsia="宋体" w:cs="Times New Roman"/>
                      <w:color w:val="auto"/>
                      <w:sz w:val="21"/>
                      <w:szCs w:val="21"/>
                      <w:highlight w:val="none"/>
                      <w:lang w:val="en-US" w:eastAsia="zh-CN"/>
                    </w:rPr>
                    <w:t>新建</w:t>
                  </w:r>
                  <w:r>
                    <w:rPr>
                      <w:rFonts w:hint="default" w:ascii="Times New Roman" w:hAnsi="Times New Roman" w:eastAsia="宋体" w:cs="Times New Roman"/>
                      <w:color w:val="auto"/>
                      <w:sz w:val="21"/>
                      <w:szCs w:val="21"/>
                      <w:highlight w:val="none"/>
                    </w:rPr>
                    <w:t>项目，能严格按“三同时”要求</w:t>
                  </w:r>
                  <w:r>
                    <w:rPr>
                      <w:rFonts w:hint="default" w:ascii="Times New Roman" w:hAnsi="Times New Roman" w:eastAsia="宋体" w:cs="Times New Roman"/>
                      <w:color w:val="auto"/>
                      <w:sz w:val="21"/>
                      <w:szCs w:val="21"/>
                      <w:highlight w:val="none"/>
                      <w:lang w:val="en-US" w:eastAsia="zh-CN"/>
                    </w:rPr>
                    <w:t>进行建设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本项目不设置</w:t>
                  </w:r>
                  <w:r>
                    <w:rPr>
                      <w:rFonts w:hint="default" w:ascii="Times New Roman" w:hAnsi="Times New Roman" w:eastAsia="宋体" w:cs="Times New Roman"/>
                      <w:color w:val="auto"/>
                      <w:sz w:val="21"/>
                      <w:szCs w:val="21"/>
                      <w:highlight w:val="none"/>
                    </w:rPr>
                    <w:t>卫生防护距离</w:t>
                  </w:r>
                  <w:r>
                    <w:rPr>
                      <w:rFonts w:hint="default" w:ascii="Times New Roman" w:hAnsi="Times New Roman" w:eastAsia="宋体" w:cs="Times New Roman"/>
                      <w:color w:val="auto"/>
                      <w:sz w:val="21"/>
                      <w:szCs w:val="21"/>
                      <w:highlight w:val="none"/>
                      <w:lang w:val="en-US" w:eastAsia="zh-CN"/>
                    </w:rPr>
                    <w:t>和</w:t>
                  </w:r>
                  <w:r>
                    <w:rPr>
                      <w:rFonts w:hint="default" w:ascii="Times New Roman" w:hAnsi="Times New Roman" w:eastAsia="宋体" w:cs="Times New Roman"/>
                      <w:color w:val="auto"/>
                      <w:sz w:val="21"/>
                      <w:szCs w:val="21"/>
                      <w:highlight w:val="none"/>
                    </w:rPr>
                    <w:t>大气环境防护距离；</w:t>
                  </w:r>
                </w:p>
                <w:p w14:paraId="283C2259">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项目与《云南省牛栏江保护条例》不冲突；</w:t>
                  </w:r>
                </w:p>
                <w:p w14:paraId="7C6E9FAC">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本项目不属于</w:t>
                  </w:r>
                  <w:r>
                    <w:rPr>
                      <w:rFonts w:hint="default" w:ascii="Times New Roman" w:hAnsi="Times New Roman" w:eastAsia="宋体" w:cs="Times New Roman"/>
                      <w:color w:val="auto"/>
                      <w:sz w:val="21"/>
                      <w:szCs w:val="21"/>
                    </w:rPr>
                    <w:t>《长江经济带发展负面清单指南（试行，2022年版）》和《云南省推动长江经济带发展负面清单指南实施细则（试行，2022 年版）》中的禁止项目</w:t>
                  </w:r>
                  <w:r>
                    <w:rPr>
                      <w:rFonts w:hint="default" w:ascii="Times New Roman" w:hAnsi="Times New Roman" w:eastAsia="宋体" w:cs="Times New Roman"/>
                      <w:color w:val="auto"/>
                      <w:sz w:val="21"/>
                      <w:szCs w:val="21"/>
                      <w:lang w:eastAsia="zh-CN"/>
                    </w:rPr>
                    <w:t>；</w:t>
                  </w:r>
                </w:p>
                <w:p w14:paraId="792032EE">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本项目不属于单位产品能耗、物耗、污染物产生量和排放量等清洁生产指标达不到国内先进水平的产业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；资源综合利用率低、产生废物量大，且按近期技术水平不能综合利用的行业；高耗水且排放污水、废液按现有技术经济无法治理或妥善处置的产业</w:t>
                  </w:r>
                  <w:r>
                    <w:rPr>
                      <w:rFonts w:hint="default" w:ascii="Times New Roman" w:hAnsi="Times New Roman" w:eastAsia="宋体" w:cs="Times New Roman"/>
                      <w:color w:val="auto"/>
                      <w:sz w:val="21"/>
                      <w:szCs w:val="21"/>
                      <w:highlight w:val="none"/>
                      <w:lang w:eastAsia="zh-CN"/>
                    </w:rPr>
                    <w:t>；</w:t>
                  </w:r>
                </w:p>
                <w:p w14:paraId="2F64F480">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本项目不涉及</w:t>
                  </w:r>
                  <w:r>
                    <w:rPr>
                      <w:rFonts w:hint="default" w:ascii="Times New Roman" w:hAnsi="Times New Roman" w:eastAsia="宋体" w:cs="Times New Roman"/>
                      <w:color w:val="auto"/>
                      <w:sz w:val="21"/>
                      <w:szCs w:val="21"/>
                    </w:rPr>
                    <w:t>新建永久性工业固废处置场</w:t>
                  </w:r>
                  <w:r>
                    <w:rPr>
                      <w:rFonts w:hint="default" w:ascii="Times New Roman" w:hAnsi="Times New Roman" w:eastAsia="宋体" w:cs="Times New Roman"/>
                      <w:color w:val="auto"/>
                      <w:sz w:val="21"/>
                      <w:szCs w:val="21"/>
                      <w:lang w:eastAsia="zh-CN"/>
                    </w:rPr>
                    <w:t>；</w:t>
                  </w:r>
                </w:p>
                <w:p w14:paraId="0D4928E3">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本项目不属于</w:t>
                  </w:r>
                  <w:r>
                    <w:rPr>
                      <w:rFonts w:hint="default" w:ascii="Times New Roman" w:hAnsi="Times New Roman" w:eastAsia="宋体" w:cs="Times New Roman"/>
                      <w:color w:val="auto"/>
                      <w:sz w:val="21"/>
                      <w:szCs w:val="21"/>
                    </w:rPr>
                    <w:t>物耗、水耗和能耗相对较高</w:t>
                  </w:r>
                  <w:r>
                    <w:rPr>
                      <w:rFonts w:hint="default" w:ascii="Times New Roman" w:hAnsi="Times New Roman" w:eastAsia="宋体" w:cs="Times New Roman"/>
                      <w:color w:val="auto"/>
                      <w:sz w:val="21"/>
                      <w:szCs w:val="21"/>
                      <w:lang w:val="en-US" w:eastAsia="zh-CN"/>
                    </w:rPr>
                    <w:t>的生产企业；</w:t>
                  </w:r>
                </w:p>
                <w:p w14:paraId="02062331">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（13）本项目用水为市政管网供给，不进行地下水的开采。</w:t>
                  </w:r>
                </w:p>
              </w:tc>
              <w:tc>
                <w:tcPr>
                  <w:tcW w:w="462" w:type="dxa"/>
                  <w:vAlign w:val="center"/>
                </w:tcPr>
                <w:p w14:paraId="3657908B">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1C1B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26" w:type="dxa"/>
                  <w:vMerge w:val="continue"/>
                  <w:vAlign w:val="center"/>
                </w:tcPr>
                <w:p w14:paraId="77C1035B">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14:paraId="7813941E">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禁入工艺</w:t>
                  </w:r>
                </w:p>
              </w:tc>
              <w:tc>
                <w:tcPr>
                  <w:tcW w:w="3170" w:type="dxa"/>
                  <w:vAlign w:val="center"/>
                </w:tcPr>
                <w:p w14:paraId="161C7020">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《产业结构调整指导目录（201</w:t>
                  </w:r>
                  <w:r>
                    <w:rPr>
                      <w:rFonts w:hint="default"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年本）》（或更新）中淘汰、落后的生产工艺</w:t>
                  </w:r>
                  <w:r>
                    <w:rPr>
                      <w:rFonts w:hint="default" w:ascii="Times New Roman" w:hAnsi="Times New Roman" w:eastAsia="宋体" w:cs="Times New Roman"/>
                      <w:color w:val="auto"/>
                      <w:sz w:val="21"/>
                      <w:szCs w:val="21"/>
                      <w:highlight w:val="none"/>
                      <w:lang w:eastAsia="zh-CN"/>
                    </w:rPr>
                    <w:t>。</w:t>
                  </w:r>
                </w:p>
                <w:p w14:paraId="5F6B9BC1">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default" w:ascii="Times New Roman" w:hAnsi="Times New Roman" w:eastAsia="宋体"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》（或更新）的生产工艺</w:t>
                  </w:r>
                  <w:r>
                    <w:rPr>
                      <w:rFonts w:hint="default" w:ascii="Times New Roman" w:hAnsi="Times New Roman" w:eastAsia="宋体" w:cs="Times New Roman"/>
                      <w:color w:val="auto"/>
                      <w:sz w:val="21"/>
                      <w:szCs w:val="21"/>
                      <w:highlight w:val="none"/>
                      <w:lang w:eastAsia="zh-CN"/>
                    </w:rPr>
                    <w:t>。</w:t>
                  </w:r>
                </w:p>
              </w:tc>
              <w:tc>
                <w:tcPr>
                  <w:tcW w:w="3178" w:type="dxa"/>
                  <w:vAlign w:val="center"/>
                </w:tcPr>
                <w:p w14:paraId="2457D58E">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经查阅《产业结构调整指导目录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eastAsia"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》，本项目所用工艺不属于该目录中淘汰、落后的生产工艺；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不属于《部分工业行业淘汰落后生产工艺装备和产品指导目录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2022</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》的生产工艺</w:t>
                  </w:r>
                  <w:r>
                    <w:rPr>
                      <w:rFonts w:hint="default" w:ascii="Times New Roman" w:hAnsi="Times New Roman" w:eastAsia="宋体" w:cs="Times New Roman"/>
                      <w:color w:val="auto"/>
                      <w:sz w:val="21"/>
                      <w:szCs w:val="21"/>
                      <w:highlight w:val="none"/>
                      <w:lang w:eastAsia="zh-CN"/>
                    </w:rPr>
                    <w:t>。</w:t>
                  </w:r>
                </w:p>
              </w:tc>
              <w:tc>
                <w:tcPr>
                  <w:tcW w:w="462" w:type="dxa"/>
                  <w:vAlign w:val="center"/>
                </w:tcPr>
                <w:p w14:paraId="290156E0">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4B0C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14:paraId="39144D1F">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14:paraId="505A1313">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禁入产品</w:t>
                  </w:r>
                </w:p>
              </w:tc>
              <w:tc>
                <w:tcPr>
                  <w:tcW w:w="3170" w:type="dxa"/>
                  <w:vAlign w:val="center"/>
                </w:tcPr>
                <w:p w14:paraId="1FA59901">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default" w:ascii="Times New Roman" w:hAnsi="Times New Roman" w:eastAsia="宋体"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》（或更新）的产品</w:t>
                  </w:r>
                  <w:r>
                    <w:rPr>
                      <w:rFonts w:hint="default" w:ascii="Times New Roman" w:hAnsi="Times New Roman" w:eastAsia="宋体" w:cs="Times New Roman"/>
                      <w:color w:val="auto"/>
                      <w:sz w:val="21"/>
                      <w:szCs w:val="21"/>
                      <w:highlight w:val="none"/>
                      <w:lang w:eastAsia="zh-CN"/>
                    </w:rPr>
                    <w:t>。</w:t>
                  </w:r>
                </w:p>
              </w:tc>
              <w:tc>
                <w:tcPr>
                  <w:tcW w:w="3178" w:type="dxa"/>
                  <w:vAlign w:val="center"/>
                </w:tcPr>
                <w:p w14:paraId="40C643D0">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本项目产品不属于《部分工业行业淘汰落后生产工艺装备和产品指导目录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default" w:ascii="Times New Roman" w:hAnsi="Times New Roman" w:eastAsia="宋体"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》的产品。</w:t>
                  </w:r>
                </w:p>
              </w:tc>
              <w:tc>
                <w:tcPr>
                  <w:tcW w:w="462" w:type="dxa"/>
                  <w:vAlign w:val="center"/>
                </w:tcPr>
                <w:p w14:paraId="5886AED5">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0FDA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14:paraId="35B1ECEB">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14:paraId="18E38619">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清洁生产水平</w:t>
                  </w:r>
                </w:p>
              </w:tc>
              <w:tc>
                <w:tcPr>
                  <w:tcW w:w="3170" w:type="dxa"/>
                  <w:vAlign w:val="center"/>
                </w:tcPr>
                <w:p w14:paraId="4EEEC492">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清洁生产水平低于国家清洁生产标准的国内先进水平。</w:t>
                  </w:r>
                </w:p>
              </w:tc>
              <w:tc>
                <w:tcPr>
                  <w:tcW w:w="3178" w:type="dxa"/>
                  <w:vAlign w:val="center"/>
                </w:tcPr>
                <w:p w14:paraId="20AEB524">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本项目清洁生产水平不低于国家清洁生产标准的国内先进水平。</w:t>
                  </w:r>
                </w:p>
              </w:tc>
              <w:tc>
                <w:tcPr>
                  <w:tcW w:w="462" w:type="dxa"/>
                  <w:vAlign w:val="center"/>
                </w:tcPr>
                <w:p w14:paraId="14225EE7">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0931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14:paraId="11F2A6D5">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14:paraId="57EDADD7">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限制禁入</w:t>
                  </w:r>
                </w:p>
              </w:tc>
              <w:tc>
                <w:tcPr>
                  <w:tcW w:w="3170" w:type="dxa"/>
                  <w:vAlign w:val="center"/>
                </w:tcPr>
                <w:p w14:paraId="209621BE">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（1）严格限制引进《产业结构调整指导目录（2019 年本）》（或更新）中所列的限制类项目。</w:t>
                  </w:r>
                </w:p>
                <w:p w14:paraId="670E2DA0">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（2）《外商投资产业指导目录（2017 年修订）》（或更新）中所列的限制类项目。</w:t>
                  </w:r>
                </w:p>
                <w:p w14:paraId="1DD6A916">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（3）严格限制引进涉及《中国严格限制进出口的有毒化学品目录（2020年本）》（或更新）中所列有毒化学品的项目。</w:t>
                  </w:r>
                </w:p>
              </w:tc>
              <w:tc>
                <w:tcPr>
                  <w:tcW w:w="3178" w:type="dxa"/>
                  <w:vAlign w:val="center"/>
                </w:tcPr>
                <w:p w14:paraId="23BBA8E5">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本项目不属于《产业结构调整指导目录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eastAsia"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rPr>
                    <w:t>不属于《外商投资产业指导目录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w:t>
                  </w: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w:t>
                  </w:r>
                </w:p>
                <w:p w14:paraId="5AFF32D9">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rPr>
                    <w:t>不涉及《中国严格限制进出口的有毒化学品目录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default"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》中所列有毒化学品</w:t>
                  </w:r>
                  <w:r>
                    <w:rPr>
                      <w:rFonts w:hint="default" w:ascii="Times New Roman" w:hAnsi="Times New Roman" w:eastAsia="宋体" w:cs="Times New Roman"/>
                      <w:color w:val="auto"/>
                      <w:sz w:val="21"/>
                      <w:szCs w:val="21"/>
                      <w:highlight w:val="none"/>
                      <w:lang w:eastAsia="zh-CN"/>
                    </w:rPr>
                    <w:t>。</w:t>
                  </w:r>
                </w:p>
              </w:tc>
              <w:tc>
                <w:tcPr>
                  <w:tcW w:w="462" w:type="dxa"/>
                  <w:vAlign w:val="center"/>
                </w:tcPr>
                <w:p w14:paraId="56F1DA50">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498F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6" w:type="dxa"/>
                  <w:vMerge w:val="restart"/>
                  <w:vAlign w:val="center"/>
                </w:tcPr>
                <w:p w14:paraId="283B0856">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规划产业要求</w:t>
                  </w:r>
                </w:p>
              </w:tc>
              <w:tc>
                <w:tcPr>
                  <w:tcW w:w="636" w:type="dxa"/>
                  <w:vAlign w:val="center"/>
                </w:tcPr>
                <w:p w14:paraId="6906CD3B">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现状产业区</w:t>
                  </w:r>
                </w:p>
              </w:tc>
              <w:tc>
                <w:tcPr>
                  <w:tcW w:w="3170" w:type="dxa"/>
                  <w:vAlign w:val="center"/>
                </w:tcPr>
                <w:p w14:paraId="566720C1">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允许现有煤磷盐化工及配套产业进行环保提升改造。</w:t>
                  </w:r>
                </w:p>
              </w:tc>
              <w:tc>
                <w:tcPr>
                  <w:tcW w:w="3178" w:type="dxa"/>
                  <w:vAlign w:val="center"/>
                </w:tcPr>
                <w:p w14:paraId="3DB13EF6">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本项目为</w:t>
                  </w:r>
                  <w:r>
                    <w:rPr>
                      <w:rFonts w:hint="default" w:ascii="Times New Roman" w:hAnsi="Times New Roman" w:eastAsia="宋体" w:cs="Times New Roman"/>
                      <w:color w:val="auto"/>
                      <w:sz w:val="21"/>
                      <w:szCs w:val="21"/>
                      <w:highlight w:val="none"/>
                      <w:lang w:val="en-US" w:eastAsia="zh-CN"/>
                    </w:rPr>
                    <w:t>新建</w:t>
                  </w:r>
                  <w:r>
                    <w:rPr>
                      <w:rFonts w:hint="default" w:ascii="Times New Roman" w:hAnsi="Times New Roman" w:eastAsia="宋体" w:cs="Times New Roman"/>
                      <w:color w:val="auto"/>
                      <w:sz w:val="21"/>
                      <w:szCs w:val="21"/>
                      <w:highlight w:val="none"/>
                    </w:rPr>
                    <w:t>项目，不涉及</w:t>
                  </w:r>
                  <w:r>
                    <w:rPr>
                      <w:rFonts w:hint="default" w:ascii="Times New Roman" w:hAnsi="Times New Roman" w:eastAsia="宋体" w:cs="Times New Roman"/>
                      <w:color w:val="auto"/>
                      <w:sz w:val="21"/>
                      <w:szCs w:val="21"/>
                      <w:highlight w:val="none"/>
                      <w:lang w:val="en-US" w:eastAsia="zh-CN"/>
                    </w:rPr>
                    <w:t>该条内容</w:t>
                  </w:r>
                  <w:r>
                    <w:rPr>
                      <w:rFonts w:hint="default" w:ascii="Times New Roman" w:hAnsi="Times New Roman" w:eastAsia="宋体" w:cs="Times New Roman"/>
                      <w:color w:val="auto"/>
                      <w:sz w:val="21"/>
                      <w:szCs w:val="21"/>
                      <w:highlight w:val="none"/>
                    </w:rPr>
                    <w:t>。</w:t>
                  </w:r>
                </w:p>
              </w:tc>
              <w:tc>
                <w:tcPr>
                  <w:tcW w:w="462" w:type="dxa"/>
                  <w:vAlign w:val="center"/>
                </w:tcPr>
                <w:p w14:paraId="21A0E2D7">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0AD0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6" w:type="dxa"/>
                  <w:vMerge w:val="continue"/>
                  <w:vAlign w:val="center"/>
                </w:tcPr>
                <w:p w14:paraId="2EF3D4DB">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14:paraId="4A9FC11A">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绿色建材产业</w:t>
                  </w:r>
                </w:p>
              </w:tc>
              <w:tc>
                <w:tcPr>
                  <w:tcW w:w="3170" w:type="dxa"/>
                  <w:vMerge w:val="restart"/>
                  <w:vAlign w:val="center"/>
                </w:tcPr>
                <w:p w14:paraId="0879BBB9">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禁止生产废水不能循环回用，且向牛栏江流域排放生产废水的企业入驻。</w:t>
                  </w:r>
                </w:p>
              </w:tc>
              <w:tc>
                <w:tcPr>
                  <w:tcW w:w="3178" w:type="dxa"/>
                  <w:vMerge w:val="restart"/>
                  <w:vAlign w:val="center"/>
                </w:tcPr>
                <w:p w14:paraId="75602BBE">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本项目冷却废水经循环水冷却池冷却后循环使用，不外排。</w:t>
                  </w:r>
                </w:p>
              </w:tc>
              <w:tc>
                <w:tcPr>
                  <w:tcW w:w="462" w:type="dxa"/>
                  <w:vMerge w:val="restart"/>
                  <w:vAlign w:val="center"/>
                </w:tcPr>
                <w:p w14:paraId="7921E6CA">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14:paraId="0FCA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6" w:type="dxa"/>
                  <w:vMerge w:val="continue"/>
                  <w:vAlign w:val="center"/>
                </w:tcPr>
                <w:p w14:paraId="61F35B95">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14:paraId="6B3812F5">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先进装备制造产业</w:t>
                  </w:r>
                </w:p>
              </w:tc>
              <w:tc>
                <w:tcPr>
                  <w:tcW w:w="3170" w:type="dxa"/>
                  <w:vMerge w:val="continue"/>
                  <w:vAlign w:val="center"/>
                </w:tcPr>
                <w:p w14:paraId="4E2B0BDD">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rPr>
                  </w:pPr>
                </w:p>
              </w:tc>
              <w:tc>
                <w:tcPr>
                  <w:tcW w:w="3178" w:type="dxa"/>
                  <w:vMerge w:val="continue"/>
                  <w:vAlign w:val="center"/>
                </w:tcPr>
                <w:p w14:paraId="62C6E81F">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462" w:type="dxa"/>
                  <w:vMerge w:val="continue"/>
                  <w:vAlign w:val="center"/>
                </w:tcPr>
                <w:p w14:paraId="3FFA5B01">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r>
            <w:tr w14:paraId="1535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6" w:type="dxa"/>
                  <w:vMerge w:val="continue"/>
                  <w:vAlign w:val="center"/>
                </w:tcPr>
                <w:p w14:paraId="2D888B07">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14:paraId="6501E2DF">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非烟轻工产业</w:t>
                  </w:r>
                </w:p>
              </w:tc>
              <w:tc>
                <w:tcPr>
                  <w:tcW w:w="3170" w:type="dxa"/>
                  <w:vAlign w:val="center"/>
                </w:tcPr>
                <w:p w14:paraId="096DFA1F">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①木材加工及家具制造业：禁止含有制胶工艺的企业入驻。</w:t>
                  </w:r>
                </w:p>
                <w:p w14:paraId="4EFEF2E9">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②食品业：要求规上企业工业用水重复利用率＞65%。</w:t>
                  </w:r>
                </w:p>
              </w:tc>
              <w:tc>
                <w:tcPr>
                  <w:tcW w:w="3178" w:type="dxa"/>
                  <w:vAlign w:val="center"/>
                </w:tcPr>
                <w:p w14:paraId="3CBBE1B9">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①本项目不属于含有制胶工艺的木材加工及家具制造。</w:t>
                  </w:r>
                </w:p>
                <w:p w14:paraId="3948271F">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②本项目不属于食品业。</w:t>
                  </w:r>
                </w:p>
              </w:tc>
              <w:tc>
                <w:tcPr>
                  <w:tcW w:w="462" w:type="dxa"/>
                  <w:vAlign w:val="center"/>
                </w:tcPr>
                <w:p w14:paraId="5DCF08C6">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14:paraId="73F4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6" w:type="dxa"/>
                  <w:vMerge w:val="continue"/>
                  <w:vAlign w:val="center"/>
                </w:tcPr>
                <w:p w14:paraId="08265F5E">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14:paraId="1C86D732">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绿色化工</w:t>
                  </w:r>
                </w:p>
              </w:tc>
              <w:tc>
                <w:tcPr>
                  <w:tcW w:w="3170" w:type="dxa"/>
                  <w:vAlign w:val="center"/>
                </w:tcPr>
                <w:p w14:paraId="6272ACA6">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①园区规划在金所片区天生桥组团设置化工园区，建议园区尽快按化工园区的设立要求设立化工园区，并申请省级业务主管部门进行认定。</w:t>
                  </w:r>
                </w:p>
                <w:p w14:paraId="187D36A8">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②金所片区金所组团禁止新建、改建、扩建化工生产线项目。</w:t>
                  </w:r>
                </w:p>
              </w:tc>
              <w:tc>
                <w:tcPr>
                  <w:tcW w:w="3178" w:type="dxa"/>
                  <w:vAlign w:val="center"/>
                </w:tcPr>
                <w:p w14:paraId="5448947D">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本项目位于</w:t>
                  </w:r>
                  <w:r>
                    <w:rPr>
                      <w:rFonts w:hint="default" w:ascii="Times New Roman" w:hAnsi="Times New Roman" w:eastAsia="宋体" w:cs="Times New Roman"/>
                      <w:color w:val="auto"/>
                      <w:sz w:val="21"/>
                      <w:szCs w:val="21"/>
                      <w:highlight w:val="none"/>
                      <w:u w:val="none"/>
                      <w:lang w:val="en-US" w:eastAsia="zh-CN"/>
                    </w:rPr>
                    <w:t>云南寻甸产业园区金所片区金所组团</w:t>
                  </w:r>
                  <w:r>
                    <w:rPr>
                      <w:rFonts w:hint="eastAsia" w:cs="Times New Roman"/>
                      <w:color w:val="auto"/>
                      <w:sz w:val="21"/>
                      <w:szCs w:val="21"/>
                      <w:highlight w:val="none"/>
                      <w:u w:val="none"/>
                      <w:lang w:val="en-US" w:eastAsia="zh-CN"/>
                    </w:rPr>
                    <w:t>绿色建材产业区</w:t>
                  </w:r>
                  <w:r>
                    <w:rPr>
                      <w:rFonts w:hint="default" w:ascii="Times New Roman" w:hAnsi="Times New Roman" w:eastAsia="宋体" w:cs="Times New Roman"/>
                      <w:color w:val="auto"/>
                      <w:sz w:val="21"/>
                      <w:szCs w:val="21"/>
                      <w:highlight w:val="none"/>
                      <w:u w:val="none"/>
                      <w:lang w:val="en-US" w:eastAsia="zh-CN"/>
                    </w:rPr>
                    <w:t>，不属于化工生产线项目。</w:t>
                  </w:r>
                </w:p>
              </w:tc>
              <w:tc>
                <w:tcPr>
                  <w:tcW w:w="462" w:type="dxa"/>
                  <w:vAlign w:val="center"/>
                </w:tcPr>
                <w:p w14:paraId="38017FDA">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69BD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6" w:type="dxa"/>
                  <w:vMerge w:val="continue"/>
                  <w:vAlign w:val="center"/>
                </w:tcPr>
                <w:p w14:paraId="658FBC8F">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14:paraId="224FD72D">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生物医药</w:t>
                  </w:r>
                </w:p>
              </w:tc>
              <w:tc>
                <w:tcPr>
                  <w:tcW w:w="3170" w:type="dxa"/>
                  <w:vAlign w:val="center"/>
                </w:tcPr>
                <w:p w14:paraId="395E19EE">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满足《云南省“十四五”生物医药产业创新发展规划要求》。</w:t>
                  </w:r>
                </w:p>
              </w:tc>
              <w:tc>
                <w:tcPr>
                  <w:tcW w:w="3178" w:type="dxa"/>
                  <w:vAlign w:val="center"/>
                </w:tcPr>
                <w:p w14:paraId="5152EE3C">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本项目不属于生物医疗项目，</w:t>
                  </w:r>
                  <w:r>
                    <w:rPr>
                      <w:rFonts w:hint="default" w:ascii="Times New Roman" w:hAnsi="Times New Roman" w:eastAsia="宋体" w:cs="Times New Roman"/>
                      <w:color w:val="auto"/>
                      <w:sz w:val="21"/>
                      <w:szCs w:val="21"/>
                      <w:highlight w:val="none"/>
                    </w:rPr>
                    <w:t>不涉及</w:t>
                  </w:r>
                  <w:r>
                    <w:rPr>
                      <w:rFonts w:hint="default" w:ascii="Times New Roman" w:hAnsi="Times New Roman" w:eastAsia="宋体" w:cs="Times New Roman"/>
                      <w:color w:val="auto"/>
                      <w:sz w:val="21"/>
                      <w:szCs w:val="21"/>
                      <w:highlight w:val="none"/>
                      <w:lang w:val="en-US" w:eastAsia="zh-CN"/>
                    </w:rPr>
                    <w:t>该条内容</w:t>
                  </w:r>
                  <w:r>
                    <w:rPr>
                      <w:rFonts w:hint="default" w:ascii="Times New Roman" w:hAnsi="Times New Roman" w:eastAsia="宋体" w:cs="Times New Roman"/>
                      <w:color w:val="auto"/>
                      <w:sz w:val="21"/>
                      <w:szCs w:val="21"/>
                      <w:highlight w:val="none"/>
                    </w:rPr>
                    <w:t>。</w:t>
                  </w:r>
                </w:p>
              </w:tc>
              <w:tc>
                <w:tcPr>
                  <w:tcW w:w="462" w:type="dxa"/>
                  <w:vAlign w:val="center"/>
                </w:tcPr>
                <w:p w14:paraId="6A673E88">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bl>
          <w:p w14:paraId="66B5135C">
            <w:pPr>
              <w:pStyle w:val="71"/>
              <w:shd w:val="clea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根据上表分析</w:t>
            </w:r>
            <w:r>
              <w:rPr>
                <w:rFonts w:hint="default" w:ascii="Times New Roman" w:hAnsi="Times New Roman" w:eastAsia="宋体" w:cs="Times New Roman"/>
                <w:color w:val="auto"/>
                <w:sz w:val="24"/>
                <w:szCs w:val="24"/>
                <w:highlight w:val="none"/>
              </w:rPr>
              <w:t>，本项目不属于园区</w:t>
            </w:r>
            <w:r>
              <w:rPr>
                <w:rFonts w:hint="default" w:ascii="Times New Roman" w:hAnsi="Times New Roman" w:eastAsia="宋体" w:cs="Times New Roman"/>
                <w:color w:val="auto"/>
                <w:sz w:val="24"/>
                <w:szCs w:val="24"/>
                <w:highlight w:val="none"/>
                <w:lang w:val="en-US" w:eastAsia="zh-CN"/>
              </w:rPr>
              <w:t>环境准入</w:t>
            </w:r>
            <w:r>
              <w:rPr>
                <w:rFonts w:hint="default" w:ascii="Times New Roman" w:hAnsi="Times New Roman" w:eastAsia="宋体" w:cs="Times New Roman"/>
                <w:color w:val="auto"/>
                <w:sz w:val="24"/>
                <w:szCs w:val="24"/>
                <w:highlight w:val="none"/>
              </w:rPr>
              <w:t>负面清单规定的范围内，符合环境准入负面清单要求。</w:t>
            </w:r>
          </w:p>
          <w:p w14:paraId="6F782CFE">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（3）本项目与规划环评审查意见（昆环审[2023]5号）的符合性分析</w:t>
            </w:r>
          </w:p>
          <w:p w14:paraId="74F86F48">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项目与规划环评审查意见</w:t>
            </w:r>
            <w:r>
              <w:rPr>
                <w:rFonts w:hint="default" w:ascii="Times New Roman" w:hAnsi="Times New Roman" w:eastAsia="宋体" w:cs="Times New Roman"/>
                <w:color w:val="auto"/>
                <w:sz w:val="24"/>
                <w:szCs w:val="24"/>
                <w:highlight w:val="none"/>
                <w:lang w:val="zh-CN"/>
              </w:rPr>
              <w:t>对照情况如下：</w:t>
            </w:r>
          </w:p>
          <w:p w14:paraId="7A8F5AB9">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表1-4  与审查意见相符性分析</w:t>
            </w:r>
          </w:p>
          <w:tbl>
            <w:tblPr>
              <w:tblStyle w:val="26"/>
              <w:tblW w:w="7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0"/>
              <w:gridCol w:w="3138"/>
              <w:gridCol w:w="726"/>
            </w:tblGrid>
            <w:tr w14:paraId="3ADC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0" w:type="dxa"/>
                  <w:vAlign w:val="center"/>
                </w:tcPr>
                <w:p w14:paraId="601E2BF2">
                  <w:pPr>
                    <w:shd w:val="clea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审查意见提出要求</w:t>
                  </w:r>
                </w:p>
              </w:tc>
              <w:tc>
                <w:tcPr>
                  <w:tcW w:w="3138" w:type="dxa"/>
                  <w:vAlign w:val="center"/>
                </w:tcPr>
                <w:p w14:paraId="2B8A817F">
                  <w:pPr>
                    <w:shd w:val="clea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726" w:type="dxa"/>
                  <w:vAlign w:val="center"/>
                </w:tcPr>
                <w:p w14:paraId="34B14A88">
                  <w:pPr>
                    <w:shd w:val="clea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相符性</w:t>
                  </w:r>
                </w:p>
              </w:tc>
            </w:tr>
            <w:tr w14:paraId="5BAE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0" w:type="dxa"/>
                  <w:vAlign w:val="center"/>
                </w:tcPr>
                <w:p w14:paraId="783E10D5">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严守环境质量底线、严格新入园项目及现有项目环境管理。制定主要污染物区域削减方案，建立健全主要污染物管理台账，采取有效措施减少氮氧化物、二氧化硫、挥发性有机物、化学需氧量、氨氮等污染物排放总量，确保区域环境质量持续改善。</w:t>
                  </w:r>
                </w:p>
                <w:p w14:paraId="046F315A">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入园企业应采用先进的生产工艺路线、设备、清洁能源与原料，从源头上控制污染物的产生。高度重视园区废水收集.处理、回用、排放的环境管理。实施“雨污分流”，加强天生桥组团、金所组团初期雨水的收集、处理，加快园区污水处理厂再生水处理设施及配套管网建设。严格落实牛栏江流域严禁新改扩建工业废水排污口的要求:强化园区生活污水收集处理回用，加强区域水环境综合整治，确保实现区域水环境质量改善</w:t>
                  </w:r>
                  <w:r>
                    <w:rPr>
                      <w:rFonts w:hint="default" w:ascii="Times New Roman" w:hAnsi="Times New Roman" w:eastAsia="宋体" w:cs="Times New Roman"/>
                      <w:color w:val="auto"/>
                      <w:sz w:val="21"/>
                      <w:szCs w:val="21"/>
                      <w:highlight w:val="none"/>
                      <w:lang w:val="en-US" w:eastAsia="zh-CN"/>
                    </w:rPr>
                    <w:t>目标。</w:t>
                  </w:r>
                </w:p>
                <w:p w14:paraId="29969A4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园区在产业布局和入园项目建设时应充分考虑对地下水环境影响，按照《报告书》提出的重点保护区、重点控制区、其他区域三类区域进行分级管控。严格水文地质、工程地质勘察做好地下水污染防治和监控，按相关规范要求采取针对性防渗措施，严格执行《地下水管理条例》等相关规定。</w:t>
                  </w:r>
                </w:p>
                <w:p w14:paraId="470EEC7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将土壤污染防治工作纳入园区规划及相关生态环境保护规划，采取有效预防措施，防止、减少土壤污染，确保满足土壤环境管控要求。</w:t>
                  </w:r>
                </w:p>
              </w:tc>
              <w:tc>
                <w:tcPr>
                  <w:tcW w:w="3138" w:type="dxa"/>
                  <w:vAlign w:val="center"/>
                </w:tcPr>
                <w:p w14:paraId="2D2F9E56">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本项目冷却废水经循环水冷却池冷却后循环使用，不外排。</w:t>
                  </w:r>
                  <w:r>
                    <w:rPr>
                      <w:rFonts w:hint="eastAsia" w:cs="Times New Roman"/>
                      <w:color w:val="auto"/>
                      <w:sz w:val="21"/>
                      <w:szCs w:val="21"/>
                      <w:highlight w:val="none"/>
                      <w:lang w:val="en-US" w:eastAsia="zh-CN"/>
                    </w:rPr>
                    <w:t>混料、破碎、磨粉</w:t>
                  </w:r>
                  <w:r>
                    <w:rPr>
                      <w:rFonts w:hint="default" w:ascii="Times New Roman" w:hAnsi="Times New Roman" w:eastAsia="宋体" w:cs="Times New Roman"/>
                      <w:color w:val="auto"/>
                      <w:sz w:val="21"/>
                      <w:szCs w:val="21"/>
                      <w:highlight w:val="none"/>
                    </w:rPr>
                    <w:t>粉尘</w:t>
                  </w:r>
                  <w:r>
                    <w:rPr>
                      <w:rFonts w:hint="eastAsia" w:cs="Times New Roman"/>
                      <w:color w:val="auto"/>
                      <w:sz w:val="21"/>
                      <w:szCs w:val="21"/>
                      <w:highlight w:val="none"/>
                      <w:lang w:eastAsia="zh-CN"/>
                    </w:rPr>
                    <w:t>通过</w:t>
                  </w:r>
                  <w:r>
                    <w:rPr>
                      <w:rFonts w:hint="eastAsia" w:cs="Times New Roman"/>
                      <w:color w:val="auto"/>
                      <w:sz w:val="21"/>
                      <w:szCs w:val="21"/>
                      <w:highlight w:val="none"/>
                      <w:lang w:val="en-US" w:eastAsia="zh-CN"/>
                    </w:rPr>
                    <w:t>14布袋</w:t>
                  </w:r>
                  <w:r>
                    <w:rPr>
                      <w:rFonts w:hint="default" w:ascii="Times New Roman" w:hAnsi="Times New Roman" w:eastAsia="宋体" w:cs="Times New Roman"/>
                      <w:color w:val="auto"/>
                      <w:sz w:val="21"/>
                      <w:szCs w:val="21"/>
                      <w:highlight w:val="none"/>
                    </w:rPr>
                    <w:t>滤筒除尘器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处理</w:t>
                  </w:r>
                  <w:r>
                    <w:rPr>
                      <w:rFonts w:hint="default" w:ascii="Times New Roman" w:hAnsi="Times New Roman" w:eastAsia="宋体" w:cs="Times New Roman"/>
                      <w:color w:val="auto"/>
                      <w:sz w:val="21"/>
                      <w:szCs w:val="21"/>
                      <w:highlight w:val="none"/>
                      <w:lang w:val="en-US" w:eastAsia="zh-CN"/>
                    </w:rPr>
                    <w:t>达标</w:t>
                  </w:r>
                  <w:r>
                    <w:rPr>
                      <w:rFonts w:hint="default" w:ascii="Times New Roman" w:hAnsi="Times New Roman" w:eastAsia="宋体" w:cs="Times New Roman"/>
                      <w:color w:val="auto"/>
                      <w:sz w:val="21"/>
                      <w:szCs w:val="21"/>
                      <w:highlight w:val="none"/>
                      <w:lang w:eastAsia="zh-CN"/>
                    </w:rPr>
                    <w:t>后</w:t>
                  </w:r>
                  <w:r>
                    <w:rPr>
                      <w:rFonts w:hint="default" w:ascii="Times New Roman" w:hAnsi="Times New Roman" w:eastAsia="宋体" w:cs="Times New Roman"/>
                      <w:color w:val="auto"/>
                      <w:sz w:val="21"/>
                      <w:szCs w:val="21"/>
                      <w:highlight w:val="none"/>
                      <w:lang w:val="en-US" w:eastAsia="zh-CN"/>
                    </w:rPr>
                    <w:t>由1根15m高的排气筒（DA001）排放；</w:t>
                  </w:r>
                  <w:r>
                    <w:rPr>
                      <w:rFonts w:hint="eastAsia" w:cs="Times New Roman"/>
                      <w:color w:val="auto"/>
                      <w:sz w:val="21"/>
                      <w:szCs w:val="21"/>
                      <w:highlight w:val="none"/>
                      <w:lang w:val="en-US" w:eastAsia="zh-CN"/>
                    </w:rPr>
                    <w:t>挤出、覆膜</w:t>
                  </w:r>
                  <w:r>
                    <w:rPr>
                      <w:rFonts w:hint="default" w:ascii="Times New Roman" w:hAnsi="Times New Roman" w:eastAsia="宋体" w:cs="Times New Roman"/>
                      <w:color w:val="auto"/>
                      <w:sz w:val="21"/>
                      <w:szCs w:val="21"/>
                      <w:highlight w:val="none"/>
                      <w:lang w:val="en-US" w:eastAsia="zh-CN"/>
                    </w:rPr>
                    <w:t>有机</w:t>
                  </w:r>
                  <w:r>
                    <w:rPr>
                      <w:rFonts w:hint="default" w:ascii="Times New Roman" w:hAnsi="Times New Roman" w:eastAsia="宋体" w:cs="Times New Roman"/>
                      <w:color w:val="auto"/>
                      <w:sz w:val="21"/>
                      <w:szCs w:val="21"/>
                      <w:highlight w:val="none"/>
                    </w:rPr>
                    <w:t>废气</w:t>
                  </w:r>
                  <w:r>
                    <w:rPr>
                      <w:rFonts w:hint="eastAsia" w:cs="Times New Roman"/>
                      <w:color w:val="auto"/>
                      <w:sz w:val="21"/>
                      <w:szCs w:val="21"/>
                      <w:highlight w:val="none"/>
                      <w:lang w:eastAsia="zh-CN"/>
                    </w:rPr>
                    <w:t>通过</w:t>
                  </w: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个</w:t>
                  </w:r>
                  <w:r>
                    <w:rPr>
                      <w:rFonts w:hint="default" w:ascii="Times New Roman" w:hAnsi="Times New Roman" w:eastAsia="宋体" w:cs="Times New Roman"/>
                      <w:color w:val="auto"/>
                      <w:sz w:val="21"/>
                      <w:szCs w:val="21"/>
                      <w:highlight w:val="none"/>
                      <w:lang w:eastAsia="zh-CN"/>
                    </w:rPr>
                    <w:t>集气罩</w:t>
                  </w:r>
                  <w:r>
                    <w:rPr>
                      <w:rFonts w:hint="eastAsia" w:cs="Times New Roman"/>
                      <w:color w:val="auto"/>
                      <w:sz w:val="21"/>
                      <w:szCs w:val="21"/>
                      <w:highlight w:val="none"/>
                      <w:lang w:eastAsia="zh-CN"/>
                    </w:rPr>
                    <w:t>收集后经“一套</w:t>
                  </w:r>
                  <w:r>
                    <w:rPr>
                      <w:rFonts w:hint="default" w:ascii="Times New Roman" w:hAnsi="Times New Roman" w:eastAsia="宋体" w:cs="Times New Roman"/>
                      <w:color w:val="auto"/>
                      <w:sz w:val="21"/>
                      <w:szCs w:val="21"/>
                      <w:highlight w:val="none"/>
                      <w:lang w:val="en-US" w:eastAsia="zh-CN"/>
                    </w:rPr>
                    <w:t>三级</w:t>
                  </w:r>
                  <w:r>
                    <w:rPr>
                      <w:rFonts w:hint="default" w:ascii="Times New Roman" w:hAnsi="Times New Roman" w:eastAsia="宋体" w:cs="Times New Roman"/>
                      <w:color w:val="auto"/>
                      <w:sz w:val="21"/>
                      <w:szCs w:val="21"/>
                      <w:highlight w:val="none"/>
                      <w:lang w:eastAsia="zh-CN"/>
                    </w:rPr>
                    <w:t>活性炭吸附装置</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处理</w:t>
                  </w:r>
                  <w:r>
                    <w:rPr>
                      <w:rFonts w:hint="default" w:ascii="Times New Roman" w:hAnsi="Times New Roman" w:eastAsia="宋体" w:cs="Times New Roman"/>
                      <w:color w:val="auto"/>
                      <w:sz w:val="21"/>
                      <w:szCs w:val="21"/>
                      <w:highlight w:val="none"/>
                      <w:lang w:val="en-US" w:eastAsia="zh-CN"/>
                    </w:rPr>
                    <w:t>达标</w:t>
                  </w:r>
                  <w:r>
                    <w:rPr>
                      <w:rFonts w:hint="default" w:ascii="Times New Roman" w:hAnsi="Times New Roman" w:eastAsia="宋体" w:cs="Times New Roman"/>
                      <w:color w:val="auto"/>
                      <w:sz w:val="21"/>
                      <w:szCs w:val="21"/>
                      <w:highlight w:val="none"/>
                    </w:rPr>
                    <w:t>后由</w:t>
                  </w:r>
                  <w:r>
                    <w:rPr>
                      <w:rFonts w:hint="default" w:ascii="Times New Roman" w:hAnsi="Times New Roman" w:eastAsia="宋体" w:cs="Times New Roman"/>
                      <w:color w:val="auto"/>
                      <w:sz w:val="21"/>
                      <w:szCs w:val="21"/>
                      <w:highlight w:val="none"/>
                      <w:lang w:val="en-US" w:eastAsia="zh-CN"/>
                    </w:rPr>
                    <w:t>1根15m高的</w:t>
                  </w:r>
                  <w:r>
                    <w:rPr>
                      <w:rFonts w:hint="default" w:ascii="Times New Roman" w:hAnsi="Times New Roman" w:eastAsia="宋体" w:cs="Times New Roman"/>
                      <w:color w:val="auto"/>
                      <w:sz w:val="21"/>
                      <w:szCs w:val="21"/>
                      <w:highlight w:val="none"/>
                    </w:rPr>
                    <w:t>排气筒</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排放</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项目采取的污染治理措施</w:t>
                  </w:r>
                  <w:r>
                    <w:rPr>
                      <w:rFonts w:hint="default" w:ascii="Times New Roman" w:hAnsi="Times New Roman" w:eastAsia="宋体" w:cs="Times New Roman"/>
                      <w:color w:val="auto"/>
                      <w:sz w:val="21"/>
                      <w:szCs w:val="21"/>
                      <w:highlight w:val="none"/>
                    </w:rPr>
                    <w:t>可有效减少主要污染物、挥发性有机物等特征污染物的排放总量，</w:t>
                  </w:r>
                  <w:r>
                    <w:rPr>
                      <w:rFonts w:hint="default" w:ascii="Times New Roman" w:hAnsi="Times New Roman" w:eastAsia="宋体" w:cs="Times New Roman"/>
                      <w:color w:val="auto"/>
                      <w:sz w:val="21"/>
                      <w:szCs w:val="21"/>
                      <w:highlight w:val="none"/>
                      <w:lang w:val="en-US" w:eastAsia="zh-CN"/>
                    </w:rPr>
                    <w:t>能够确保</w:t>
                  </w:r>
                  <w:r>
                    <w:rPr>
                      <w:rFonts w:hint="default" w:ascii="Times New Roman" w:hAnsi="Times New Roman" w:eastAsia="宋体" w:cs="Times New Roman"/>
                      <w:color w:val="auto"/>
                      <w:sz w:val="21"/>
                      <w:szCs w:val="21"/>
                      <w:highlight w:val="none"/>
                    </w:rPr>
                    <w:t>区域环境质量</w:t>
                  </w:r>
                  <w:r>
                    <w:rPr>
                      <w:rFonts w:hint="default" w:ascii="Times New Roman" w:hAnsi="Times New Roman" w:eastAsia="宋体" w:cs="Times New Roman"/>
                      <w:color w:val="auto"/>
                      <w:sz w:val="21"/>
                      <w:szCs w:val="21"/>
                      <w:highlight w:val="none"/>
                      <w:lang w:val="en-US" w:eastAsia="zh-CN"/>
                    </w:rPr>
                    <w:t>得到改善</w:t>
                  </w:r>
                  <w:r>
                    <w:rPr>
                      <w:rFonts w:hint="default" w:ascii="Times New Roman" w:hAnsi="Times New Roman" w:eastAsia="宋体" w:cs="Times New Roman"/>
                      <w:color w:val="auto"/>
                      <w:sz w:val="21"/>
                      <w:szCs w:val="21"/>
                      <w:highlight w:val="none"/>
                    </w:rPr>
                    <w:t>。</w:t>
                  </w:r>
                </w:p>
                <w:p w14:paraId="3EC1D57E">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本项目选用先进的生产设备及工艺，同时选用清洁能源为</w:t>
                  </w:r>
                  <w:r>
                    <w:rPr>
                      <w:rFonts w:hint="eastAsia" w:cs="Times New Roman"/>
                      <w:color w:val="auto"/>
                      <w:sz w:val="21"/>
                      <w:szCs w:val="21"/>
                      <w:highlight w:val="none"/>
                      <w:lang w:val="en-US" w:eastAsia="zh-CN"/>
                    </w:rPr>
                    <w:t>生产耗能</w:t>
                  </w:r>
                  <w:r>
                    <w:rPr>
                      <w:rFonts w:hint="default" w:ascii="Times New Roman" w:hAnsi="Times New Roman" w:eastAsia="宋体" w:cs="Times New Roman"/>
                      <w:color w:val="auto"/>
                      <w:sz w:val="21"/>
                      <w:szCs w:val="21"/>
                      <w:highlight w:val="none"/>
                      <w:lang w:val="en-US" w:eastAsia="zh-CN"/>
                    </w:rPr>
                    <w:t>，从源头上控制了污染物的产生；本项目生产及生活污水均处理达标后全部回用，不外排。</w:t>
                  </w:r>
                </w:p>
                <w:p w14:paraId="5FDB16A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本项目的建设</w:t>
                  </w:r>
                  <w:r>
                    <w:rPr>
                      <w:rFonts w:hint="default" w:ascii="Times New Roman" w:hAnsi="Times New Roman" w:eastAsia="宋体" w:cs="Times New Roman"/>
                      <w:color w:val="auto"/>
                      <w:sz w:val="21"/>
                      <w:szCs w:val="21"/>
                      <w:highlight w:val="none"/>
                    </w:rPr>
                    <w:t>符合国家和云南省有关</w:t>
                  </w:r>
                  <w:r>
                    <w:rPr>
                      <w:rFonts w:hint="default" w:ascii="Times New Roman" w:hAnsi="Times New Roman" w:eastAsia="宋体" w:cs="Times New Roman"/>
                      <w:color w:val="auto"/>
                      <w:sz w:val="21"/>
                      <w:szCs w:val="21"/>
                      <w:highlight w:val="none"/>
                      <w:lang w:val="en-US" w:eastAsia="zh-CN"/>
                    </w:rPr>
                    <w:t>地下水</w:t>
                  </w:r>
                  <w:r>
                    <w:rPr>
                      <w:rFonts w:hint="default" w:ascii="Times New Roman" w:hAnsi="Times New Roman" w:eastAsia="宋体" w:cs="Times New Roman"/>
                      <w:color w:val="auto"/>
                      <w:sz w:val="21"/>
                      <w:szCs w:val="21"/>
                      <w:highlight w:val="none"/>
                    </w:rPr>
                    <w:t>、土壤污染防治</w:t>
                  </w:r>
                  <w:r>
                    <w:rPr>
                      <w:rFonts w:hint="default" w:ascii="Times New Roman" w:hAnsi="Times New Roman" w:eastAsia="宋体" w:cs="Times New Roman"/>
                      <w:color w:val="auto"/>
                      <w:sz w:val="21"/>
                      <w:szCs w:val="21"/>
                      <w:highlight w:val="none"/>
                      <w:lang w:val="en-US" w:eastAsia="zh-CN"/>
                    </w:rPr>
                    <w:t>措施及</w:t>
                  </w:r>
                  <w:r>
                    <w:rPr>
                      <w:rFonts w:hint="default" w:ascii="Times New Roman" w:hAnsi="Times New Roman" w:eastAsia="宋体" w:cs="Times New Roman"/>
                      <w:color w:val="auto"/>
                      <w:sz w:val="21"/>
                      <w:szCs w:val="21"/>
                      <w:highlight w:val="none"/>
                    </w:rPr>
                    <w:t>相关要求。</w:t>
                  </w:r>
                  <w:r>
                    <w:rPr>
                      <w:rFonts w:hint="default" w:ascii="Times New Roman" w:hAnsi="Times New Roman" w:eastAsia="宋体" w:cs="Times New Roman"/>
                      <w:color w:val="auto"/>
                      <w:sz w:val="21"/>
                      <w:szCs w:val="21"/>
                      <w:highlight w:val="none"/>
                      <w:lang w:eastAsia="zh-CN"/>
                    </w:rPr>
                    <w:t>本项目使用自来水，不</w:t>
                  </w:r>
                  <w:r>
                    <w:rPr>
                      <w:rFonts w:hint="default" w:ascii="Times New Roman" w:hAnsi="Times New Roman" w:eastAsia="宋体" w:cs="Times New Roman"/>
                      <w:color w:val="auto"/>
                      <w:sz w:val="21"/>
                      <w:szCs w:val="21"/>
                      <w:highlight w:val="none"/>
                    </w:rPr>
                    <w:t>抽取地下水</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严格执行土壤及生态保护措施。</w:t>
                  </w:r>
                </w:p>
              </w:tc>
              <w:tc>
                <w:tcPr>
                  <w:tcW w:w="726" w:type="dxa"/>
                  <w:vAlign w:val="center"/>
                </w:tcPr>
                <w:p w14:paraId="13ACB4C1">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14:paraId="7A22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0" w:type="dxa"/>
                  <w:vAlign w:val="center"/>
                </w:tcPr>
                <w:p w14:paraId="51E042C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建立环境风险防控体系，提高环境应急能力，加强区内重要环境风险源管控，严控高风险产业发展规模。强化园区危险化学品储运的环境风险管理，加强金所组团现有煤、磷盐化工企业和天生桥组团磷化工企业环境风险管控。制定厂区园区、区域三级防控措施，强化园区环境监测与预警能力建设环境风险应急与防范措施，建立应急响应联动机制和风险防控体系。重点关注地表水环境风险防控措施，应确保事故状态下工业废水零排放。编制突发环境事件应急预案，防范环境风险避免事故排放，保障区域环境安全。</w:t>
                  </w:r>
                </w:p>
              </w:tc>
              <w:tc>
                <w:tcPr>
                  <w:tcW w:w="3138" w:type="dxa"/>
                  <w:vAlign w:val="center"/>
                </w:tcPr>
                <w:p w14:paraId="4B6E58A9">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本项目不涉及危险化学品储运，也不属于煤、磷盐化工企业，环境风险一般，在采取相应的措施后，环境风险能达可接受水平。</w:t>
                  </w:r>
                </w:p>
              </w:tc>
              <w:tc>
                <w:tcPr>
                  <w:tcW w:w="726" w:type="dxa"/>
                  <w:vAlign w:val="center"/>
                </w:tcPr>
                <w:p w14:paraId="41C71C8C">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14:paraId="37D4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0" w:type="dxa"/>
                  <w:vAlign w:val="center"/>
                </w:tcPr>
                <w:p w14:paraId="24F1FC84">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拟入园建设项目，应结合规划环评提出的指导意见做好环境影响评价工作，严格落实《报告书》提出的要求，加强与规划环评的联动。在项目环境影响评价中应重点开展工程分析、污染物允许排放量测算和环保措施的可行性论证等内容，执行污染物排放总量控制制度，强化环境监测和环境管理措施的落实。对符合规划环评环境管控要求和生态环境准入清单的具体建设项目，环评文件中选址、环境现状调查与评价结果仍具有时效性时，建设项目相应环境影响评价内容可结合实际情况</w:t>
                  </w:r>
                  <w:r>
                    <w:rPr>
                      <w:rFonts w:hint="eastAsia" w:cs="Times New Roman"/>
                      <w:color w:val="auto"/>
                      <w:sz w:val="21"/>
                      <w:szCs w:val="21"/>
                      <w:highlight w:val="none"/>
                      <w:lang w:eastAsia="zh-CN"/>
                    </w:rPr>
                    <w:t>予以</w:t>
                  </w:r>
                  <w:r>
                    <w:rPr>
                      <w:rFonts w:hint="default" w:ascii="Times New Roman" w:hAnsi="Times New Roman" w:eastAsia="宋体" w:cs="Times New Roman"/>
                      <w:color w:val="auto"/>
                      <w:sz w:val="21"/>
                      <w:szCs w:val="21"/>
                      <w:highlight w:val="none"/>
                    </w:rPr>
                    <w:t>简化。</w:t>
                  </w:r>
                </w:p>
              </w:tc>
              <w:tc>
                <w:tcPr>
                  <w:tcW w:w="3138" w:type="dxa"/>
                  <w:vAlign w:val="center"/>
                </w:tcPr>
                <w:p w14:paraId="50E2F52B">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次评价结合了规划环评提出的指导意见，落实了规划环评提出的要求，加强与规划环评的联动，重点开展了工程分析、污染物允许排放量测算和环保措施的可行性论证等内容，强化环境监测和环境保护相关措施的落实。</w:t>
                  </w:r>
                </w:p>
              </w:tc>
              <w:tc>
                <w:tcPr>
                  <w:tcW w:w="726" w:type="dxa"/>
                  <w:vAlign w:val="center"/>
                </w:tcPr>
                <w:p w14:paraId="09E29A96">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bl>
          <w:p w14:paraId="3680DCA7">
            <w:pPr>
              <w:pStyle w:val="71"/>
              <w:shd w:val="clear"/>
              <w:adjustRightInd/>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综上所述，项目建设与《云南寻甸产业园区总体规划修编（2021-2035）环境影响报告书》</w:t>
            </w:r>
            <w:r>
              <w:rPr>
                <w:rFonts w:hint="default" w:ascii="Times New Roman" w:hAnsi="Times New Roman" w:eastAsia="宋体" w:cs="Times New Roman"/>
                <w:color w:val="auto"/>
                <w:sz w:val="24"/>
                <w:szCs w:val="24"/>
                <w:highlight w:val="none"/>
                <w:lang w:val="en-US" w:eastAsia="zh-CN"/>
              </w:rPr>
              <w:t>及</w:t>
            </w:r>
            <w:r>
              <w:rPr>
                <w:rFonts w:hint="default" w:ascii="Times New Roman" w:hAnsi="Times New Roman" w:eastAsia="宋体" w:cs="Times New Roman"/>
                <w:color w:val="auto"/>
                <w:sz w:val="24"/>
                <w:szCs w:val="24"/>
                <w:highlight w:val="none"/>
              </w:rPr>
              <w:t>审查意见的函（昆环审[2023]5号）</w:t>
            </w:r>
            <w:r>
              <w:rPr>
                <w:rFonts w:hint="default" w:ascii="Times New Roman" w:hAnsi="Times New Roman" w:eastAsia="宋体" w:cs="Times New Roman"/>
                <w:b w:val="0"/>
                <w:bCs w:val="0"/>
                <w:color w:val="auto"/>
                <w:sz w:val="24"/>
                <w:highlight w:val="none"/>
              </w:rPr>
              <w:t>相</w:t>
            </w:r>
            <w:r>
              <w:rPr>
                <w:rFonts w:hint="default" w:ascii="Times New Roman" w:hAnsi="Times New Roman" w:eastAsia="宋体" w:cs="Times New Roman"/>
                <w:color w:val="auto"/>
                <w:sz w:val="24"/>
                <w:highlight w:val="none"/>
              </w:rPr>
              <w:t>符。</w:t>
            </w:r>
          </w:p>
        </w:tc>
      </w:tr>
      <w:tr w14:paraId="566B17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77" w:type="dxa"/>
            <w:vAlign w:val="center"/>
          </w:tcPr>
          <w:p w14:paraId="2AB3539F">
            <w:pPr>
              <w:shd w:val="clea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其他符合性分析</w:t>
            </w:r>
          </w:p>
        </w:tc>
        <w:tc>
          <w:tcPr>
            <w:tcW w:w="8209" w:type="dxa"/>
            <w:gridSpan w:val="4"/>
            <w:vAlign w:val="center"/>
          </w:tcPr>
          <w:p w14:paraId="69C1DD52">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1、项目与</w:t>
            </w:r>
            <w:bookmarkStart w:id="7" w:name="_Toc14631_WPSOffice_Level2"/>
            <w:bookmarkStart w:id="8" w:name="_Toc11005"/>
            <w:bookmarkStart w:id="9" w:name="_Toc1839"/>
            <w:r>
              <w:rPr>
                <w:rFonts w:hint="default" w:ascii="Times New Roman" w:hAnsi="Times New Roman" w:eastAsia="宋体" w:cs="Times New Roman"/>
                <w:b/>
                <w:bCs w:val="0"/>
                <w:color w:val="auto"/>
                <w:sz w:val="24"/>
                <w:szCs w:val="24"/>
                <w:highlight w:val="none"/>
                <w:lang w:val="zh-CN" w:eastAsia="zh-CN"/>
              </w:rPr>
              <w:t>《昆明市人民政府关于昆明市“三线一单”生态环境分区管控的实施意见》（</w:t>
            </w:r>
            <w:r>
              <w:rPr>
                <w:rFonts w:hint="default" w:ascii="Times New Roman" w:hAnsi="Times New Roman" w:eastAsia="宋体" w:cs="Times New Roman"/>
                <w:b/>
                <w:bCs w:val="0"/>
                <w:color w:val="auto"/>
                <w:sz w:val="24"/>
                <w:szCs w:val="24"/>
                <w:highlight w:val="none"/>
                <w:lang w:val="en-US" w:eastAsia="zh-CN"/>
              </w:rPr>
              <w:t>昆政发2021[21号]</w:t>
            </w:r>
            <w:r>
              <w:rPr>
                <w:rFonts w:hint="default" w:ascii="Times New Roman" w:hAnsi="Times New Roman" w:eastAsia="宋体" w:cs="Times New Roman"/>
                <w:b/>
                <w:bCs w:val="0"/>
                <w:color w:val="auto"/>
                <w:sz w:val="24"/>
                <w:szCs w:val="24"/>
                <w:highlight w:val="none"/>
                <w:lang w:val="zh-CN" w:eastAsia="zh-CN"/>
              </w:rPr>
              <w:t>）</w:t>
            </w:r>
            <w:r>
              <w:rPr>
                <w:rFonts w:hint="default" w:ascii="Times New Roman" w:hAnsi="Times New Roman" w:eastAsia="宋体" w:cs="Times New Roman"/>
                <w:b/>
                <w:bCs w:val="0"/>
                <w:color w:val="auto"/>
                <w:sz w:val="24"/>
                <w:szCs w:val="24"/>
                <w:highlight w:val="none"/>
                <w:lang w:val="en-US" w:eastAsia="zh-CN"/>
              </w:rPr>
              <w:t>符合性分析</w:t>
            </w:r>
          </w:p>
          <w:p w14:paraId="03AEE635">
            <w:pPr>
              <w:pStyle w:val="79"/>
              <w:shd w:val="clea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4"/>
                <w:highlight w:val="none"/>
              </w:rPr>
              <w:t>项目与</w:t>
            </w:r>
            <w:r>
              <w:rPr>
                <w:rFonts w:hint="default" w:ascii="Times New Roman" w:hAnsi="Times New Roman" w:eastAsia="宋体" w:cs="Times New Roman"/>
                <w:color w:val="auto"/>
                <w:szCs w:val="24"/>
                <w:highlight w:val="none"/>
                <w:lang w:val="zh-CN"/>
              </w:rPr>
              <w:t>《</w:t>
            </w:r>
            <w:r>
              <w:rPr>
                <w:rFonts w:hint="default" w:ascii="Times New Roman" w:hAnsi="Times New Roman" w:eastAsia="宋体" w:cs="Times New Roman"/>
                <w:color w:val="auto"/>
                <w:highlight w:val="none"/>
                <w:lang w:val="zh-CN"/>
              </w:rPr>
              <w:t>昆明市人民政府关于昆明市“三线一单”生态环境分区管控的实施意见</w:t>
            </w:r>
            <w:r>
              <w:rPr>
                <w:rFonts w:hint="default" w:ascii="Times New Roman" w:hAnsi="Times New Roman" w:eastAsia="宋体" w:cs="Times New Roman"/>
                <w:color w:val="auto"/>
                <w:szCs w:val="24"/>
                <w:highlight w:val="none"/>
                <w:lang w:val="zh-CN"/>
              </w:rPr>
              <w:t>》（</w:t>
            </w:r>
            <w:r>
              <w:rPr>
                <w:rFonts w:hint="default" w:ascii="Times New Roman" w:hAnsi="Times New Roman" w:eastAsia="宋体" w:cs="Times New Roman"/>
                <w:color w:val="auto"/>
                <w:szCs w:val="24"/>
                <w:highlight w:val="none"/>
              </w:rPr>
              <w:t>昆政发2021[21号]</w:t>
            </w:r>
            <w:r>
              <w:rPr>
                <w:rFonts w:hint="default" w:ascii="Times New Roman" w:hAnsi="Times New Roman" w:eastAsia="宋体" w:cs="Times New Roman"/>
                <w:color w:val="auto"/>
                <w:szCs w:val="24"/>
                <w:highlight w:val="none"/>
                <w:lang w:val="zh-CN"/>
              </w:rPr>
              <w:t>）</w:t>
            </w:r>
            <w:r>
              <w:rPr>
                <w:rFonts w:hint="default" w:ascii="Times New Roman" w:hAnsi="Times New Roman" w:eastAsia="宋体" w:cs="Times New Roman"/>
                <w:color w:val="auto"/>
                <w:szCs w:val="24"/>
                <w:highlight w:val="none"/>
              </w:rPr>
              <w:t>符合性分析详见下表。</w:t>
            </w:r>
          </w:p>
          <w:p w14:paraId="17BA34F8">
            <w:pPr>
              <w:pStyle w:val="97"/>
              <w:shd w:val="clear"/>
              <w:spacing w:before="120" w:after="48"/>
              <w:outlineLvl w:val="9"/>
              <w:rPr>
                <w:rFonts w:hint="default" w:ascii="Times New Roman" w:hAnsi="Times New Roman" w:eastAsia="宋体" w:cs="Times New Roman"/>
                <w:bCs/>
                <w:snapToGrid w:val="0"/>
                <w:color w:val="auto"/>
                <w:kern w:val="0"/>
                <w:szCs w:val="21"/>
                <w:highlight w:val="none"/>
              </w:rPr>
            </w:pPr>
            <w:bookmarkStart w:id="10" w:name="_Toc2480"/>
            <w:r>
              <w:rPr>
                <w:rFonts w:hint="default" w:ascii="Times New Roman" w:hAnsi="Times New Roman" w:eastAsia="宋体" w:cs="Times New Roman"/>
                <w:bCs/>
                <w:snapToGrid w:val="0"/>
                <w:color w:val="auto"/>
                <w:kern w:val="0"/>
                <w:szCs w:val="21"/>
                <w:highlight w:val="none"/>
              </w:rPr>
              <w:t>表</w:t>
            </w:r>
            <w:r>
              <w:rPr>
                <w:rFonts w:hint="default" w:ascii="Times New Roman" w:hAnsi="Times New Roman" w:eastAsia="宋体" w:cs="Times New Roman"/>
                <w:bCs/>
                <w:snapToGrid w:val="0"/>
                <w:color w:val="auto"/>
                <w:kern w:val="0"/>
                <w:szCs w:val="21"/>
                <w:highlight w:val="none"/>
                <w:lang w:val="en-US" w:eastAsia="zh-CN"/>
              </w:rPr>
              <w:t xml:space="preserve">1-5 </w:t>
            </w:r>
            <w:r>
              <w:rPr>
                <w:rFonts w:hint="default" w:ascii="Times New Roman" w:hAnsi="Times New Roman" w:eastAsia="宋体" w:cs="Times New Roman"/>
                <w:bCs/>
                <w:snapToGrid w:val="0"/>
                <w:color w:val="auto"/>
                <w:kern w:val="0"/>
                <w:szCs w:val="21"/>
                <w:highlight w:val="none"/>
              </w:rPr>
              <w:t xml:space="preserve"> 项目与昆明市“三线一单”文件相符性分析</w:t>
            </w:r>
            <w:bookmarkEnd w:id="10"/>
          </w:p>
          <w:tbl>
            <w:tblPr>
              <w:tblStyle w:val="26"/>
              <w:tblW w:w="7982"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90"/>
              <w:gridCol w:w="426"/>
              <w:gridCol w:w="3028"/>
              <w:gridCol w:w="2710"/>
              <w:gridCol w:w="702"/>
            </w:tblGrid>
            <w:tr w14:paraId="6644C07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16" w:type="dxa"/>
                  <w:gridSpan w:val="2"/>
                  <w:tcBorders>
                    <w:tl2br w:val="nil"/>
                    <w:tr2bl w:val="nil"/>
                  </w:tcBorders>
                  <w:noWrap w:val="0"/>
                  <w:vAlign w:val="center"/>
                </w:tcPr>
                <w:p w14:paraId="15AC6CED">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类别</w:t>
                  </w:r>
                </w:p>
              </w:tc>
              <w:tc>
                <w:tcPr>
                  <w:tcW w:w="3454" w:type="dxa"/>
                  <w:gridSpan w:val="2"/>
                  <w:tcBorders>
                    <w:tl2br w:val="nil"/>
                    <w:tr2bl w:val="nil"/>
                  </w:tcBorders>
                  <w:noWrap w:val="0"/>
                  <w:vAlign w:val="center"/>
                </w:tcPr>
                <w:p w14:paraId="4CCD6049">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文件要求</w:t>
                  </w:r>
                </w:p>
              </w:tc>
              <w:tc>
                <w:tcPr>
                  <w:tcW w:w="2710" w:type="dxa"/>
                  <w:tcBorders>
                    <w:tl2br w:val="nil"/>
                    <w:tr2bl w:val="nil"/>
                  </w:tcBorders>
                  <w:noWrap w:val="0"/>
                  <w:vAlign w:val="center"/>
                </w:tcPr>
                <w:p w14:paraId="7088C352">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相符性分析</w:t>
                  </w:r>
                </w:p>
              </w:tc>
              <w:tc>
                <w:tcPr>
                  <w:tcW w:w="702" w:type="dxa"/>
                  <w:tcBorders>
                    <w:tl2br w:val="nil"/>
                    <w:tr2bl w:val="nil"/>
                  </w:tcBorders>
                  <w:noWrap w:val="0"/>
                  <w:vAlign w:val="center"/>
                </w:tcPr>
                <w:p w14:paraId="2D21D4CC">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符合性</w:t>
                  </w:r>
                </w:p>
              </w:tc>
            </w:tr>
            <w:tr w14:paraId="605B786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gridSpan w:val="2"/>
                  <w:tcBorders>
                    <w:tl2br w:val="nil"/>
                    <w:tr2bl w:val="nil"/>
                  </w:tcBorders>
                  <w:noWrap w:val="0"/>
                  <w:vAlign w:val="center"/>
                </w:tcPr>
                <w:p w14:paraId="05573114">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生态保护红线</w:t>
                  </w:r>
                </w:p>
              </w:tc>
              <w:tc>
                <w:tcPr>
                  <w:tcW w:w="3454" w:type="dxa"/>
                  <w:gridSpan w:val="2"/>
                  <w:tcBorders>
                    <w:tl2br w:val="nil"/>
                    <w:tr2bl w:val="nil"/>
                  </w:tcBorders>
                  <w:noWrap w:val="0"/>
                  <w:vAlign w:val="center"/>
                </w:tcPr>
                <w:p w14:paraId="445506F8">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执行《云南省人民政府关于发布云南省生态保护红线的通知》（云政发〔2018〕32号），将未划入生态保护红线的自然保护区、国家公园、森林公园、风景名胜区、地质公园、湿地公园、县城集中式饮用水水源地、水产种质资源保护区等生态功能重要区、生态环境敏感区划入一般生态空间。</w:t>
                  </w:r>
                </w:p>
              </w:tc>
              <w:tc>
                <w:tcPr>
                  <w:tcW w:w="2710" w:type="dxa"/>
                  <w:tcBorders>
                    <w:tl2br w:val="nil"/>
                    <w:tr2bl w:val="nil"/>
                  </w:tcBorders>
                  <w:noWrap w:val="0"/>
                  <w:vAlign w:val="center"/>
                </w:tcPr>
                <w:p w14:paraId="096BDB81">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经</w:t>
                  </w:r>
                  <w:r>
                    <w:rPr>
                      <w:rFonts w:hint="default" w:ascii="Times New Roman" w:hAnsi="Times New Roman" w:eastAsia="宋体" w:cs="Times New Roman"/>
                      <w:color w:val="auto"/>
                      <w:szCs w:val="21"/>
                      <w:highlight w:val="none"/>
                      <w:lang w:val="zh-CN"/>
                    </w:rPr>
                    <w:t>查阅《云南省生态保护红线分布图》可知，项目位于</w:t>
                  </w:r>
                  <w:r>
                    <w:rPr>
                      <w:rFonts w:hint="default" w:ascii="Times New Roman" w:hAnsi="Times New Roman" w:eastAsia="宋体" w:cs="Times New Roman"/>
                      <w:color w:val="auto"/>
                      <w:sz w:val="21"/>
                      <w:szCs w:val="21"/>
                      <w:highlight w:val="none"/>
                      <w:u w:val="none"/>
                      <w:lang w:val="en-US" w:eastAsia="zh-CN"/>
                    </w:rPr>
                    <w:t>云南寻甸产业园区金所片区金所组团</w:t>
                  </w:r>
                  <w:r>
                    <w:rPr>
                      <w:rFonts w:hint="eastAsia" w:cs="Times New Roman"/>
                      <w:color w:val="auto"/>
                      <w:sz w:val="21"/>
                      <w:szCs w:val="21"/>
                      <w:highlight w:val="none"/>
                      <w:u w:val="none"/>
                      <w:lang w:val="en-US" w:eastAsia="zh-CN"/>
                    </w:rPr>
                    <w:t>绿色建材产业区</w:t>
                  </w:r>
                  <w:r>
                    <w:rPr>
                      <w:rFonts w:hint="default" w:ascii="Times New Roman" w:hAnsi="Times New Roman" w:eastAsia="宋体" w:cs="Times New Roman"/>
                      <w:color w:val="auto"/>
                      <w:szCs w:val="21"/>
                      <w:highlight w:val="none"/>
                      <w:lang w:val="zh-CN"/>
                    </w:rPr>
                    <w:t>，属规划的工业用地，不在生态红线范围内，项目符合生态保护红线的相关要求。</w:t>
                  </w:r>
                </w:p>
              </w:tc>
              <w:tc>
                <w:tcPr>
                  <w:tcW w:w="702" w:type="dxa"/>
                  <w:tcBorders>
                    <w:tl2br w:val="nil"/>
                    <w:tr2bl w:val="nil"/>
                  </w:tcBorders>
                  <w:noWrap w:val="0"/>
                  <w:vAlign w:val="center"/>
                </w:tcPr>
                <w:p w14:paraId="40757FDB">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2356399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tcBorders>
                    <w:tl2br w:val="nil"/>
                    <w:tr2bl w:val="nil"/>
                  </w:tcBorders>
                  <w:noWrap w:val="0"/>
                  <w:vAlign w:val="center"/>
                </w:tcPr>
                <w:p w14:paraId="48211AAE">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环境质量底线</w:t>
                  </w:r>
                </w:p>
              </w:tc>
              <w:tc>
                <w:tcPr>
                  <w:tcW w:w="690" w:type="dxa"/>
                  <w:tcBorders>
                    <w:tl2br w:val="nil"/>
                    <w:tr2bl w:val="nil"/>
                  </w:tcBorders>
                  <w:noWrap w:val="0"/>
                  <w:vAlign w:val="center"/>
                </w:tcPr>
                <w:p w14:paraId="7128D649">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生态环境质量</w:t>
                  </w:r>
                </w:p>
              </w:tc>
              <w:tc>
                <w:tcPr>
                  <w:tcW w:w="3454" w:type="dxa"/>
                  <w:gridSpan w:val="2"/>
                  <w:tcBorders>
                    <w:tl2br w:val="nil"/>
                    <w:tr2bl w:val="nil"/>
                  </w:tcBorders>
                  <w:noWrap w:val="0"/>
                  <w:vAlign w:val="center"/>
                </w:tcPr>
                <w:p w14:paraId="26A11960">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生态环境质量。</w:t>
                  </w:r>
                  <w:r>
                    <w:rPr>
                      <w:rFonts w:hint="default" w:ascii="Times New Roman" w:hAnsi="Times New Roman" w:eastAsia="宋体" w:cs="Times New Roman"/>
                      <w:color w:val="auto"/>
                      <w:szCs w:val="21"/>
                      <w:highlight w:val="none"/>
                      <w:lang w:val="zh-CN"/>
                    </w:rPr>
                    <w:t>到2025年，全市生态环境质量持续改善，生态空间得到优化和有效保护，区域生态安全屏障更加牢固。到2035年，全市生态环境质量实现根本好转，生态功能显著提升，区域生态安全得到全面保障。</w:t>
                  </w:r>
                </w:p>
              </w:tc>
              <w:tc>
                <w:tcPr>
                  <w:tcW w:w="2710" w:type="dxa"/>
                  <w:tcBorders>
                    <w:tl2br w:val="nil"/>
                    <w:tr2bl w:val="nil"/>
                  </w:tcBorders>
                  <w:noWrap w:val="0"/>
                  <w:vAlign w:val="center"/>
                </w:tcPr>
                <w:p w14:paraId="35F4E105">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本项目为新建项目，租赁已建成标准厂房安装设备后进行生产，不新增征地，对生态环境影响较小，不会突破当地生态环境质量底线。</w:t>
                  </w:r>
                </w:p>
              </w:tc>
              <w:tc>
                <w:tcPr>
                  <w:tcW w:w="702" w:type="dxa"/>
                  <w:tcBorders>
                    <w:tl2br w:val="nil"/>
                    <w:tr2bl w:val="nil"/>
                  </w:tcBorders>
                  <w:noWrap w:val="0"/>
                  <w:vAlign w:val="center"/>
                </w:tcPr>
                <w:p w14:paraId="21E16C85">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4EE8F5B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l2br w:val="nil"/>
                    <w:tr2bl w:val="nil"/>
                  </w:tcBorders>
                  <w:noWrap w:val="0"/>
                  <w:vAlign w:val="center"/>
                </w:tcPr>
                <w:p w14:paraId="795B219A">
                  <w:pPr>
                    <w:shd w:val="clear"/>
                    <w:jc w:val="center"/>
                    <w:rPr>
                      <w:rFonts w:hint="default" w:ascii="Times New Roman" w:hAnsi="Times New Roman" w:eastAsia="宋体" w:cs="Times New Roman"/>
                      <w:color w:val="auto"/>
                      <w:szCs w:val="21"/>
                      <w:highlight w:val="none"/>
                    </w:rPr>
                  </w:pPr>
                </w:p>
              </w:tc>
              <w:tc>
                <w:tcPr>
                  <w:tcW w:w="690" w:type="dxa"/>
                  <w:tcBorders>
                    <w:tl2br w:val="nil"/>
                    <w:tr2bl w:val="nil"/>
                  </w:tcBorders>
                  <w:noWrap w:val="0"/>
                  <w:vAlign w:val="center"/>
                </w:tcPr>
                <w:p w14:paraId="0A897F62">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大气环境质量底线</w:t>
                  </w:r>
                </w:p>
              </w:tc>
              <w:tc>
                <w:tcPr>
                  <w:tcW w:w="3454" w:type="dxa"/>
                  <w:gridSpan w:val="2"/>
                  <w:tcBorders>
                    <w:tl2br w:val="nil"/>
                    <w:tr2bl w:val="nil"/>
                  </w:tcBorders>
                  <w:noWrap w:val="0"/>
                  <w:vAlign w:val="center"/>
                </w:tcPr>
                <w:p w14:paraId="7ED71F35">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大气环境质量底线。</w:t>
                  </w:r>
                  <w:r>
                    <w:rPr>
                      <w:rFonts w:hint="default" w:ascii="Times New Roman" w:hAnsi="Times New Roman" w:eastAsia="宋体" w:cs="Times New Roman"/>
                      <w:color w:val="auto"/>
                      <w:szCs w:val="21"/>
                      <w:highlight w:val="none"/>
                      <w:lang w:val="zh-CN"/>
                    </w:rPr>
                    <w:t>到2025年，全市环境空气质量总体保持优良，主城建成区空气质量优良天数占比达99%以上，二氧化硫（SO</w:t>
                  </w:r>
                  <w:r>
                    <w:rPr>
                      <w:rFonts w:hint="default" w:ascii="Times New Roman" w:hAnsi="Times New Roman" w:eastAsia="宋体" w:cs="Times New Roman"/>
                      <w:color w:val="auto"/>
                      <w:szCs w:val="21"/>
                      <w:highlight w:val="none"/>
                      <w:vertAlign w:val="subscript"/>
                      <w:lang w:val="zh-CN"/>
                    </w:rPr>
                    <w:t>2</w:t>
                  </w:r>
                  <w:r>
                    <w:rPr>
                      <w:rFonts w:hint="default" w:ascii="Times New Roman" w:hAnsi="Times New Roman" w:eastAsia="宋体" w:cs="Times New Roman"/>
                      <w:color w:val="auto"/>
                      <w:szCs w:val="21"/>
                      <w:highlight w:val="none"/>
                      <w:lang w:val="zh-CN"/>
                    </w:rPr>
                    <w:t>）和氮氧化物（NOx）排放总量控制在省下达的目标以内，主城区空气中颗粒物（PM</w:t>
                  </w:r>
                  <w:r>
                    <w:rPr>
                      <w:rFonts w:hint="default" w:ascii="Times New Roman" w:hAnsi="Times New Roman" w:eastAsia="宋体" w:cs="Times New Roman"/>
                      <w:color w:val="auto"/>
                      <w:szCs w:val="21"/>
                      <w:highlight w:val="none"/>
                      <w:vertAlign w:val="subscript"/>
                      <w:lang w:val="zh-CN"/>
                    </w:rPr>
                    <w:t>10</w:t>
                  </w:r>
                  <w:r>
                    <w:rPr>
                      <w:rFonts w:hint="default" w:ascii="Times New Roman" w:hAnsi="Times New Roman" w:eastAsia="宋体" w:cs="Times New Roman"/>
                      <w:color w:val="auto"/>
                      <w:szCs w:val="21"/>
                      <w:highlight w:val="none"/>
                      <w:lang w:val="zh-CN"/>
                    </w:rPr>
                    <w:t>、PM</w:t>
                  </w:r>
                  <w:r>
                    <w:rPr>
                      <w:rFonts w:hint="default" w:ascii="Times New Roman" w:hAnsi="Times New Roman" w:eastAsia="宋体" w:cs="Times New Roman"/>
                      <w:color w:val="auto"/>
                      <w:szCs w:val="21"/>
                      <w:highlight w:val="none"/>
                      <w:vertAlign w:val="subscript"/>
                      <w:lang w:val="en-US" w:eastAsia="zh-CN"/>
                    </w:rPr>
                    <w:t>2.5</w:t>
                  </w:r>
                  <w:r>
                    <w:rPr>
                      <w:rFonts w:hint="default" w:ascii="Times New Roman" w:hAnsi="Times New Roman" w:eastAsia="宋体" w:cs="Times New Roman"/>
                      <w:color w:val="auto"/>
                      <w:szCs w:val="21"/>
                      <w:highlight w:val="none"/>
                      <w:lang w:val="zh-CN"/>
                    </w:rPr>
                    <w:t>）稳定达《环境空气质量标准》二级标准以上。到2035年，全市环境空气质量全面改善，各县（市）区、开发（度假）区环境空气质量稳定达到国家二级标准。</w:t>
                  </w:r>
                </w:p>
              </w:tc>
              <w:tc>
                <w:tcPr>
                  <w:tcW w:w="2710" w:type="dxa"/>
                  <w:tcBorders>
                    <w:tl2br w:val="nil"/>
                    <w:tr2bl w:val="nil"/>
                  </w:tcBorders>
                  <w:noWrap w:val="0"/>
                  <w:vAlign w:val="center"/>
                </w:tcPr>
                <w:p w14:paraId="467125F9">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项目区属于环境空气质量达标区，</w:t>
                  </w:r>
                  <w:r>
                    <w:rPr>
                      <w:rFonts w:hint="default" w:ascii="Times New Roman" w:hAnsi="Times New Roman" w:eastAsia="宋体" w:cs="Times New Roman"/>
                      <w:color w:val="auto"/>
                      <w:szCs w:val="21"/>
                      <w:highlight w:val="none"/>
                      <w:lang w:val="zh-CN"/>
                    </w:rPr>
                    <w:t>本项目建设排放的废气均经过有效治理，实现达标排放，满足区域环境质量要求，不会改变区域大气环境功能区划</w:t>
                  </w:r>
                  <w:r>
                    <w:rPr>
                      <w:rFonts w:hint="default" w:ascii="Times New Roman" w:hAnsi="Times New Roman" w:eastAsia="宋体" w:cs="Times New Roman"/>
                      <w:color w:val="auto"/>
                      <w:szCs w:val="21"/>
                      <w:highlight w:val="none"/>
                    </w:rPr>
                    <w:t>，对大气环境质量影响较小，不会突破当地环境质量底线。</w:t>
                  </w:r>
                </w:p>
              </w:tc>
              <w:tc>
                <w:tcPr>
                  <w:tcW w:w="702" w:type="dxa"/>
                  <w:tcBorders>
                    <w:tl2br w:val="nil"/>
                    <w:tr2bl w:val="nil"/>
                  </w:tcBorders>
                  <w:noWrap w:val="0"/>
                  <w:vAlign w:val="center"/>
                </w:tcPr>
                <w:p w14:paraId="41F71330">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1C350E1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l2br w:val="nil"/>
                    <w:tr2bl w:val="nil"/>
                  </w:tcBorders>
                  <w:noWrap w:val="0"/>
                  <w:vAlign w:val="center"/>
                </w:tcPr>
                <w:p w14:paraId="17921B02">
                  <w:pPr>
                    <w:shd w:val="clear"/>
                    <w:jc w:val="center"/>
                    <w:rPr>
                      <w:rFonts w:hint="default" w:ascii="Times New Roman" w:hAnsi="Times New Roman" w:eastAsia="宋体" w:cs="Times New Roman"/>
                      <w:color w:val="auto"/>
                      <w:szCs w:val="21"/>
                      <w:highlight w:val="none"/>
                    </w:rPr>
                  </w:pPr>
                </w:p>
              </w:tc>
              <w:tc>
                <w:tcPr>
                  <w:tcW w:w="690" w:type="dxa"/>
                  <w:tcBorders>
                    <w:tl2br w:val="nil"/>
                    <w:tr2bl w:val="nil"/>
                  </w:tcBorders>
                  <w:noWrap w:val="0"/>
                  <w:vAlign w:val="center"/>
                </w:tcPr>
                <w:p w14:paraId="4560E398">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水环境质量底线</w:t>
                  </w:r>
                </w:p>
              </w:tc>
              <w:tc>
                <w:tcPr>
                  <w:tcW w:w="3454" w:type="dxa"/>
                  <w:gridSpan w:val="2"/>
                  <w:tcBorders>
                    <w:tl2br w:val="nil"/>
                    <w:tr2bl w:val="nil"/>
                  </w:tcBorders>
                  <w:noWrap w:val="0"/>
                  <w:vAlign w:val="center"/>
                </w:tcPr>
                <w:p w14:paraId="10DE4699">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到2025年，</w:t>
                  </w:r>
                  <w:r>
                    <w:rPr>
                      <w:rFonts w:hint="default" w:ascii="Times New Roman" w:hAnsi="Times New Roman" w:eastAsia="宋体" w:cs="Times New Roman"/>
                      <w:color w:val="auto"/>
                      <w:sz w:val="21"/>
                      <w:szCs w:val="21"/>
                      <w:highlight w:val="none"/>
                      <w:lang w:val="zh-CN"/>
                    </w:rPr>
                    <w:t>纳入国家和省级考核的地表水监测断面水质优良率稳步提升，滇池流域、阳宗海流域水环境质量明显改善，水生态系统功能逐步恢复，滇池草海水质达IV类，滇池外海水质达IV类（化学需氧量≤40毫克/升），阳宗海水质达Ⅲ类，集中式饮用水源水质巩固改善。</w:t>
                  </w:r>
                  <w:r>
                    <w:rPr>
                      <w:rFonts w:hint="default" w:ascii="Times New Roman" w:hAnsi="Times New Roman" w:eastAsia="宋体" w:cs="Times New Roman"/>
                      <w:color w:val="auto"/>
                      <w:sz w:val="21"/>
                      <w:szCs w:val="21"/>
                      <w:highlight w:val="none"/>
                    </w:rPr>
                    <w:t>到2035年，</w:t>
                  </w:r>
                  <w:r>
                    <w:rPr>
                      <w:rFonts w:hint="default" w:ascii="Times New Roman" w:hAnsi="Times New Roman" w:eastAsia="宋体" w:cs="Times New Roman"/>
                      <w:color w:val="auto"/>
                      <w:sz w:val="21"/>
                      <w:szCs w:val="21"/>
                      <w:highlight w:val="none"/>
                      <w:lang w:val="zh-CN"/>
                    </w:rPr>
                    <w:t>地表水体水质优良率全面提升，各监测断面水质达到水环境功能要求，消除劣V类水体，集中式饮用水水源水质稳定达标。</w:t>
                  </w:r>
                </w:p>
              </w:tc>
              <w:tc>
                <w:tcPr>
                  <w:tcW w:w="2710" w:type="dxa"/>
                  <w:tcBorders>
                    <w:tl2br w:val="nil"/>
                    <w:tr2bl w:val="nil"/>
                  </w:tcBorders>
                  <w:noWrap w:val="0"/>
                  <w:vAlign w:val="center"/>
                </w:tcPr>
                <w:p w14:paraId="15091AE4">
                  <w:pPr>
                    <w:pStyle w:val="72"/>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本</w:t>
                  </w:r>
                  <w:r>
                    <w:rPr>
                      <w:rFonts w:hint="default" w:ascii="Times New Roman" w:hAnsi="Times New Roman" w:eastAsia="宋体" w:cs="Times New Roman"/>
                      <w:color w:val="auto"/>
                      <w:kern w:val="2"/>
                      <w:sz w:val="21"/>
                      <w:szCs w:val="21"/>
                      <w:highlight w:val="none"/>
                      <w:lang w:val="zh-CN" w:eastAsia="zh-CN" w:bidi="ar-SA"/>
                    </w:rPr>
                    <w:t>项目</w:t>
                  </w:r>
                  <w:r>
                    <w:rPr>
                      <w:rFonts w:hint="default" w:ascii="Times New Roman" w:hAnsi="Times New Roman" w:eastAsia="宋体" w:cs="Times New Roman"/>
                      <w:color w:val="auto"/>
                      <w:kern w:val="2"/>
                      <w:sz w:val="21"/>
                      <w:szCs w:val="21"/>
                      <w:highlight w:val="none"/>
                      <w:lang w:val="en-US" w:eastAsia="zh-CN" w:bidi="ar-SA"/>
                    </w:rPr>
                    <w:t>排水采用雨污分流的排水方式，项目区建筑物屋面及地面雨水经厂区雨水沟收集后排入园区雨水市政管网；冷却废水经循环水冷却池冷却后循环使用，不外排；食堂废水经隔油池处理后，与生活污水一同进入</w:t>
                  </w:r>
                  <w:r>
                    <w:rPr>
                      <w:rFonts w:hint="eastAsia" w:ascii="Times New Roman" w:hAnsi="Times New Roman" w:eastAsia="宋体" w:cs="Times New Roman"/>
                      <w:color w:val="auto"/>
                      <w:kern w:val="2"/>
                      <w:sz w:val="21"/>
                      <w:szCs w:val="21"/>
                      <w:highlight w:val="none"/>
                      <w:lang w:val="en-US" w:eastAsia="zh-CN" w:bidi="ar-SA"/>
                    </w:rPr>
                    <w:t>依托的</w:t>
                  </w:r>
                  <w:r>
                    <w:rPr>
                      <w:rFonts w:hint="default" w:ascii="Times New Roman" w:hAnsi="Times New Roman" w:eastAsia="宋体" w:cs="Times New Roman"/>
                      <w:color w:val="auto"/>
                      <w:kern w:val="2"/>
                      <w:sz w:val="21"/>
                      <w:szCs w:val="21"/>
                      <w:highlight w:val="none"/>
                      <w:lang w:val="en-US" w:eastAsia="zh-CN" w:bidi="ar-SA"/>
                    </w:rPr>
                    <w:t>化粪池处理</w:t>
                  </w:r>
                  <w:r>
                    <w:rPr>
                      <w:rFonts w:hint="eastAsia" w:ascii="Times New Roman" w:hAnsi="Times New Roman" w:eastAsia="宋体" w:cs="Times New Roman"/>
                      <w:color w:val="auto"/>
                      <w:kern w:val="2"/>
                      <w:sz w:val="21"/>
                      <w:szCs w:val="21"/>
                      <w:highlight w:val="none"/>
                      <w:lang w:val="en-US" w:eastAsia="zh-CN" w:bidi="ar-SA"/>
                    </w:rPr>
                    <w:t>后</w:t>
                  </w:r>
                  <w:r>
                    <w:rPr>
                      <w:rFonts w:hint="default" w:ascii="Times New Roman" w:hAnsi="Times New Roman" w:eastAsia="宋体" w:cs="Times New Roman"/>
                      <w:color w:val="auto"/>
                      <w:kern w:val="2"/>
                      <w:sz w:val="21"/>
                      <w:szCs w:val="21"/>
                      <w:highlight w:val="none"/>
                      <w:lang w:val="en-US" w:eastAsia="zh-CN" w:bidi="ar-SA"/>
                    </w:rPr>
                    <w:t>再进入到厂区</w:t>
                  </w:r>
                  <w:r>
                    <w:rPr>
                      <w:rFonts w:hint="eastAsia" w:ascii="Times New Roman" w:hAnsi="Times New Roman" w:eastAsia="宋体" w:cs="Times New Roman"/>
                      <w:color w:val="auto"/>
                      <w:kern w:val="2"/>
                      <w:sz w:val="21"/>
                      <w:szCs w:val="21"/>
                      <w:highlight w:val="none"/>
                      <w:lang w:val="en-US" w:eastAsia="zh-CN" w:bidi="ar-SA"/>
                    </w:rPr>
                    <w:t>依托的一体化污水处理站</w:t>
                  </w:r>
                  <w:r>
                    <w:rPr>
                      <w:rFonts w:hint="default" w:ascii="Times New Roman" w:hAnsi="Times New Roman" w:eastAsia="宋体" w:cs="Times New Roman"/>
                      <w:color w:val="auto"/>
                      <w:kern w:val="2"/>
                      <w:sz w:val="21"/>
                      <w:szCs w:val="21"/>
                      <w:highlight w:val="none"/>
                      <w:lang w:val="en-US" w:eastAsia="zh-CN" w:bidi="ar-SA"/>
                    </w:rPr>
                    <w:t>处理后，达到《城市污水再生利用 城市杂用水水质》（GB/T18920-2020）中的城市绿化、道路清扫、消防、建筑施工标准后，用于项目区内绿化及道路场地洒水降尘，不外排。</w:t>
                  </w:r>
                </w:p>
                <w:p w14:paraId="3A636A69">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不会对区域地表水环境造成影响，不会改变区域地表水环境功能区划</w:t>
                  </w:r>
                  <w:r>
                    <w:rPr>
                      <w:rFonts w:hint="default" w:ascii="Times New Roman" w:hAnsi="Times New Roman" w:eastAsia="宋体" w:cs="Times New Roman"/>
                      <w:color w:val="auto"/>
                      <w:sz w:val="21"/>
                      <w:szCs w:val="21"/>
                      <w:highlight w:val="none"/>
                    </w:rPr>
                    <w:t>。</w:t>
                  </w:r>
                </w:p>
              </w:tc>
              <w:tc>
                <w:tcPr>
                  <w:tcW w:w="702" w:type="dxa"/>
                  <w:tcBorders>
                    <w:tl2br w:val="nil"/>
                    <w:tr2bl w:val="nil"/>
                  </w:tcBorders>
                  <w:noWrap w:val="0"/>
                  <w:vAlign w:val="center"/>
                </w:tcPr>
                <w:p w14:paraId="3FD083FE">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746FCB9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l2br w:val="nil"/>
                    <w:tr2bl w:val="nil"/>
                  </w:tcBorders>
                  <w:noWrap w:val="0"/>
                  <w:vAlign w:val="center"/>
                </w:tcPr>
                <w:p w14:paraId="1DDD0AA4">
                  <w:pPr>
                    <w:shd w:val="clear"/>
                    <w:jc w:val="center"/>
                    <w:rPr>
                      <w:rFonts w:hint="default" w:ascii="Times New Roman" w:hAnsi="Times New Roman" w:eastAsia="宋体" w:cs="Times New Roman"/>
                      <w:color w:val="auto"/>
                      <w:szCs w:val="21"/>
                      <w:highlight w:val="none"/>
                    </w:rPr>
                  </w:pPr>
                </w:p>
              </w:tc>
              <w:tc>
                <w:tcPr>
                  <w:tcW w:w="690" w:type="dxa"/>
                  <w:tcBorders>
                    <w:tl2br w:val="nil"/>
                    <w:tr2bl w:val="nil"/>
                  </w:tcBorders>
                  <w:noWrap w:val="0"/>
                  <w:vAlign w:val="center"/>
                </w:tcPr>
                <w:p w14:paraId="13644817">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土壤环境风险防控底线</w:t>
                  </w:r>
                </w:p>
              </w:tc>
              <w:tc>
                <w:tcPr>
                  <w:tcW w:w="3454" w:type="dxa"/>
                  <w:gridSpan w:val="2"/>
                  <w:tcBorders>
                    <w:tl2br w:val="nil"/>
                    <w:tr2bl w:val="nil"/>
                  </w:tcBorders>
                  <w:noWrap w:val="0"/>
                  <w:vAlign w:val="center"/>
                </w:tcPr>
                <w:p w14:paraId="47B0611C">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到2025年，</w:t>
                  </w:r>
                  <w:r>
                    <w:rPr>
                      <w:rFonts w:hint="default" w:ascii="Times New Roman" w:hAnsi="Times New Roman" w:eastAsia="宋体" w:cs="Times New Roman"/>
                      <w:color w:val="auto"/>
                      <w:szCs w:val="21"/>
                      <w:highlight w:val="none"/>
                      <w:lang w:val="zh-CN"/>
                    </w:rPr>
                    <w:t>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r>
                    <w:rPr>
                      <w:rFonts w:hint="default" w:ascii="Times New Roman" w:hAnsi="Times New Roman" w:eastAsia="宋体" w:cs="Times New Roman"/>
                      <w:color w:val="auto"/>
                      <w:szCs w:val="21"/>
                      <w:highlight w:val="none"/>
                    </w:rPr>
                    <w:t>到2035年，</w:t>
                  </w:r>
                  <w:r>
                    <w:rPr>
                      <w:rFonts w:hint="default" w:ascii="Times New Roman" w:hAnsi="Times New Roman" w:eastAsia="宋体" w:cs="Times New Roman"/>
                      <w:color w:val="auto"/>
                      <w:szCs w:val="21"/>
                      <w:highlight w:val="none"/>
                      <w:lang w:val="zh-CN"/>
                    </w:rPr>
                    <w:t>土壤环境质量稳中向好，农用地和建设用地土壤环境安全得到有效保障，土壤环境风险得到全面管控。</w:t>
                  </w:r>
                </w:p>
              </w:tc>
              <w:tc>
                <w:tcPr>
                  <w:tcW w:w="2710" w:type="dxa"/>
                  <w:tcBorders>
                    <w:tl2br w:val="nil"/>
                    <w:tr2bl w:val="nil"/>
                  </w:tcBorders>
                  <w:noWrap w:val="0"/>
                  <w:vAlign w:val="center"/>
                </w:tcPr>
                <w:p w14:paraId="67E1EF54">
                  <w:pPr>
                    <w:widowControl/>
                    <w:jc w:val="center"/>
                    <w:rPr>
                      <w:rFonts w:hint="default" w:ascii="Times New Roman" w:hAnsi="Times New Roman" w:eastAsia="宋体" w:cs="Times New Roman"/>
                    </w:rPr>
                  </w:pPr>
                  <w:r>
                    <w:rPr>
                      <w:rFonts w:hint="default" w:ascii="Times New Roman" w:hAnsi="Times New Roman" w:eastAsia="宋体" w:cs="Times New Roman"/>
                      <w:color w:val="auto"/>
                      <w:sz w:val="21"/>
                      <w:szCs w:val="21"/>
                      <w:highlight w:val="none"/>
                    </w:rPr>
                    <w:t>危险废物设置危险废物暂存间暂存，委托有资质单位定期清运处置，危废间地面和四周墙裙</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kern w:val="2"/>
                      <w:sz w:val="21"/>
                      <w:szCs w:val="21"/>
                      <w:highlight w:val="none"/>
                    </w:rPr>
                    <w:t>“抗渗混凝土+2mm厚HDPE+环氧树脂涂料”</w:t>
                  </w:r>
                  <w:r>
                    <w:rPr>
                      <w:rFonts w:hint="default" w:ascii="Times New Roman" w:hAnsi="Times New Roman" w:eastAsia="宋体" w:cs="Times New Roman"/>
                      <w:color w:val="auto"/>
                      <w:sz w:val="21"/>
                      <w:szCs w:val="21"/>
                      <w:highlight w:val="none"/>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w:t>
                  </w:r>
                  <w:r>
                    <w:rPr>
                      <w:rFonts w:hint="default" w:ascii="Times New Roman" w:hAnsi="Times New Roman" w:eastAsia="宋体" w:cs="Times New Roman"/>
                      <w:color w:val="auto"/>
                      <w:sz w:val="21"/>
                      <w:szCs w:val="21"/>
                      <w:highlight w:val="none"/>
                      <w:vertAlign w:val="superscript"/>
                      <w:lang w:val="en-US" w:eastAsia="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，并设置围堰等应急设施</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冷却</w:t>
                  </w:r>
                  <w:r>
                    <w:rPr>
                      <w:rFonts w:hint="eastAsia" w:cs="Times New Roman"/>
                      <w:color w:val="auto"/>
                      <w:sz w:val="21"/>
                      <w:szCs w:val="21"/>
                      <w:highlight w:val="none"/>
                      <w:lang w:val="en-US" w:eastAsia="zh-CN"/>
                    </w:rPr>
                    <w:t>循环</w:t>
                  </w:r>
                  <w:r>
                    <w:rPr>
                      <w:rFonts w:hint="default" w:ascii="Times New Roman" w:hAnsi="Times New Roman" w:eastAsia="宋体" w:cs="Times New Roman"/>
                      <w:color w:val="auto"/>
                      <w:sz w:val="21"/>
                      <w:szCs w:val="21"/>
                      <w:highlight w:val="none"/>
                      <w:lang w:val="en-US" w:eastAsia="zh-CN"/>
                    </w:rPr>
                    <w:t>水池、隔油池、</w:t>
                  </w:r>
                  <w:r>
                    <w:rPr>
                      <w:rFonts w:hint="default" w:ascii="Times New Roman" w:hAnsi="Times New Roman" w:eastAsia="宋体" w:cs="Times New Roman"/>
                      <w:color w:val="auto"/>
                      <w:highlight w:val="none"/>
                      <w:lang w:val="en-US" w:eastAsia="zh-CN"/>
                    </w:rPr>
                    <w:t>一般固体废物暂存区进行一般防渗，</w:t>
                  </w:r>
                  <w:r>
                    <w:rPr>
                      <w:rFonts w:hint="default" w:ascii="Times New Roman" w:hAnsi="Times New Roman" w:eastAsia="宋体" w:cs="Times New Roman"/>
                      <w:b w:val="0"/>
                      <w:bCs w:val="0"/>
                      <w:color w:val="auto"/>
                      <w:sz w:val="21"/>
                      <w:szCs w:val="21"/>
                      <w:highlight w:val="none"/>
                      <w:lang w:val="zh-CN"/>
                    </w:rPr>
                    <w:t>防渗技术要求达到等效黏土防渗层Mb≥1.5m，渗透系数≤10</w:t>
                  </w:r>
                  <w:r>
                    <w:rPr>
                      <w:rFonts w:hint="default" w:ascii="Times New Roman" w:hAnsi="Times New Roman" w:eastAsia="宋体" w:cs="Times New Roman"/>
                      <w:b w:val="0"/>
                      <w:bCs w:val="0"/>
                      <w:color w:val="auto"/>
                      <w:sz w:val="21"/>
                      <w:szCs w:val="21"/>
                      <w:highlight w:val="none"/>
                      <w:vertAlign w:val="superscript"/>
                      <w:lang w:val="zh-CN"/>
                    </w:rPr>
                    <w:t>-</w:t>
                  </w:r>
                  <w:r>
                    <w:rPr>
                      <w:rFonts w:hint="default" w:ascii="Times New Roman" w:hAnsi="Times New Roman" w:eastAsia="宋体" w:cs="Times New Roman"/>
                      <w:b w:val="0"/>
                      <w:bCs w:val="0"/>
                      <w:color w:val="auto"/>
                      <w:sz w:val="21"/>
                      <w:szCs w:val="21"/>
                      <w:highlight w:val="none"/>
                      <w:vertAlign w:val="superscript"/>
                      <w:lang w:val="en-US" w:eastAsia="zh-CN"/>
                    </w:rPr>
                    <w:t>7</w:t>
                  </w:r>
                  <w:r>
                    <w:rPr>
                      <w:rFonts w:hint="default" w:ascii="Times New Roman" w:hAnsi="Times New Roman" w:eastAsia="宋体" w:cs="Times New Roman"/>
                      <w:b w:val="0"/>
                      <w:bCs w:val="0"/>
                      <w:color w:val="auto"/>
                      <w:sz w:val="21"/>
                      <w:szCs w:val="21"/>
                      <w:highlight w:val="none"/>
                      <w:lang w:val="zh-CN"/>
                    </w:rPr>
                    <w:t>cm/s；</w:t>
                  </w:r>
                  <w:r>
                    <w:rPr>
                      <w:rFonts w:hint="default" w:ascii="Times New Roman" w:hAnsi="Times New Roman" w:eastAsia="宋体" w:cs="Times New Roman"/>
                      <w:color w:val="auto"/>
                      <w:sz w:val="21"/>
                      <w:szCs w:val="21"/>
                      <w:highlight w:val="none"/>
                      <w:lang w:val="zh-CN"/>
                    </w:rPr>
                    <w:t>其余生产区、</w:t>
                  </w:r>
                  <w:r>
                    <w:rPr>
                      <w:rFonts w:hint="default" w:ascii="Times New Roman" w:hAnsi="Times New Roman" w:eastAsia="宋体" w:cs="Times New Roman"/>
                      <w:color w:val="auto"/>
                      <w:sz w:val="21"/>
                      <w:szCs w:val="21"/>
                      <w:highlight w:val="none"/>
                    </w:rPr>
                    <w:t>道路及</w:t>
                  </w:r>
                  <w:r>
                    <w:rPr>
                      <w:rFonts w:hint="default" w:ascii="Times New Roman" w:hAnsi="Times New Roman" w:eastAsia="宋体"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rPr>
                    <w:t>区域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除绿化外</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zh-CN"/>
                    </w:rPr>
                    <w:t>进行一般</w:t>
                  </w:r>
                  <w:r>
                    <w:rPr>
                      <w:rFonts w:hint="default" w:ascii="Times New Roman" w:hAnsi="Times New Roman" w:eastAsia="宋体" w:cs="Times New Roman"/>
                      <w:color w:val="auto"/>
                      <w:sz w:val="21"/>
                      <w:szCs w:val="21"/>
                      <w:highlight w:val="none"/>
                      <w:lang w:val="en-US" w:eastAsia="zh-CN"/>
                    </w:rPr>
                    <w:t>硬化处理。</w:t>
                  </w:r>
                  <w:r>
                    <w:rPr>
                      <w:rFonts w:hint="default" w:ascii="Times New Roman" w:hAnsi="Times New Roman" w:eastAsia="宋体" w:cs="Times New Roman"/>
                      <w:color w:val="auto"/>
                      <w:sz w:val="21"/>
                      <w:szCs w:val="21"/>
                      <w:highlight w:val="none"/>
                    </w:rPr>
                    <w:t>项目采取了土壤污染防控措施，对土壤环境质量影响较小。</w:t>
                  </w:r>
                </w:p>
              </w:tc>
              <w:tc>
                <w:tcPr>
                  <w:tcW w:w="702" w:type="dxa"/>
                  <w:tcBorders>
                    <w:tl2br w:val="nil"/>
                    <w:tr2bl w:val="nil"/>
                  </w:tcBorders>
                  <w:noWrap w:val="0"/>
                  <w:vAlign w:val="center"/>
                </w:tcPr>
                <w:p w14:paraId="6FC6E5E3">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5CBC0BA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26" w:type="dxa"/>
                  <w:vMerge w:val="restart"/>
                  <w:tcBorders>
                    <w:tl2br w:val="nil"/>
                    <w:tr2bl w:val="nil"/>
                  </w:tcBorders>
                  <w:noWrap w:val="0"/>
                  <w:vAlign w:val="center"/>
                </w:tcPr>
                <w:p w14:paraId="20E9BF1D">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资源利用上线</w:t>
                  </w:r>
                </w:p>
              </w:tc>
              <w:tc>
                <w:tcPr>
                  <w:tcW w:w="690" w:type="dxa"/>
                  <w:tcBorders>
                    <w:tl2br w:val="nil"/>
                    <w:tr2bl w:val="nil"/>
                  </w:tcBorders>
                  <w:noWrap w:val="0"/>
                  <w:vAlign w:val="center"/>
                </w:tcPr>
                <w:p w14:paraId="1B5ADE22">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水资源利用上线</w:t>
                  </w:r>
                </w:p>
              </w:tc>
              <w:tc>
                <w:tcPr>
                  <w:tcW w:w="3454" w:type="dxa"/>
                  <w:gridSpan w:val="2"/>
                  <w:tcBorders>
                    <w:tl2br w:val="nil"/>
                    <w:tr2bl w:val="nil"/>
                  </w:tcBorders>
                  <w:noWrap w:val="0"/>
                  <w:vAlign w:val="center"/>
                </w:tcPr>
                <w:p w14:paraId="4F825FFA">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按照国家、省、市有关要求和规划，按时完成全市用水总量、用水效率、限制纳污“三条红线”水资源上限控制指标；</w:t>
                  </w:r>
                </w:p>
              </w:tc>
              <w:tc>
                <w:tcPr>
                  <w:tcW w:w="2710" w:type="dxa"/>
                  <w:tcBorders>
                    <w:tl2br w:val="nil"/>
                    <w:tr2bl w:val="nil"/>
                  </w:tcBorders>
                  <w:noWrap w:val="0"/>
                  <w:vAlign w:val="center"/>
                </w:tcPr>
                <w:p w14:paraId="15F6C78E">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冷却废水经循环水冷却池冷却后循环使用，不外排；食堂含油废水经隔油池预处理后与其他办公生活污水一并进入化粪池、一体化生活污水处理站处理达标后，用于项目区内绿化及道路场地洒水降尘，不外排。</w:t>
                  </w:r>
                  <w:r>
                    <w:rPr>
                      <w:rFonts w:hint="default" w:ascii="Times New Roman" w:hAnsi="Times New Roman" w:eastAsia="宋体" w:cs="Times New Roman"/>
                      <w:color w:val="auto"/>
                      <w:sz w:val="21"/>
                      <w:szCs w:val="21"/>
                      <w:highlight w:val="none"/>
                    </w:rPr>
                    <w:t>不属于高耗水项目。</w:t>
                  </w:r>
                </w:p>
              </w:tc>
              <w:tc>
                <w:tcPr>
                  <w:tcW w:w="702" w:type="dxa"/>
                  <w:tcBorders>
                    <w:tl2br w:val="nil"/>
                    <w:tr2bl w:val="nil"/>
                  </w:tcBorders>
                  <w:noWrap w:val="0"/>
                  <w:vAlign w:val="center"/>
                </w:tcPr>
                <w:p w14:paraId="39BBEBDB">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7B7F8B3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26" w:type="dxa"/>
                  <w:vMerge w:val="continue"/>
                  <w:tcBorders>
                    <w:tl2br w:val="nil"/>
                    <w:tr2bl w:val="nil"/>
                  </w:tcBorders>
                  <w:noWrap w:val="0"/>
                  <w:vAlign w:val="center"/>
                </w:tcPr>
                <w:p w14:paraId="4FBFA03F">
                  <w:pPr>
                    <w:shd w:val="clear"/>
                    <w:jc w:val="center"/>
                    <w:rPr>
                      <w:rFonts w:hint="default" w:ascii="Times New Roman" w:hAnsi="Times New Roman" w:eastAsia="宋体" w:cs="Times New Roman"/>
                      <w:color w:val="auto"/>
                      <w:szCs w:val="21"/>
                      <w:highlight w:val="none"/>
                    </w:rPr>
                  </w:pPr>
                </w:p>
              </w:tc>
              <w:tc>
                <w:tcPr>
                  <w:tcW w:w="690" w:type="dxa"/>
                  <w:tcBorders>
                    <w:tl2br w:val="nil"/>
                    <w:tr2bl w:val="nil"/>
                  </w:tcBorders>
                  <w:noWrap w:val="0"/>
                  <w:vAlign w:val="center"/>
                </w:tcPr>
                <w:p w14:paraId="1C7B7485">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能源利用上线</w:t>
                  </w:r>
                </w:p>
              </w:tc>
              <w:tc>
                <w:tcPr>
                  <w:tcW w:w="3454" w:type="dxa"/>
                  <w:gridSpan w:val="2"/>
                  <w:tcBorders>
                    <w:tl2br w:val="nil"/>
                    <w:tr2bl w:val="nil"/>
                  </w:tcBorders>
                  <w:noWrap w:val="0"/>
                  <w:vAlign w:val="center"/>
                </w:tcPr>
                <w:p w14:paraId="6DBB8F59">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按时完成单位GDP能耗下降率、能源消费总量等能源控制指标。</w:t>
                  </w:r>
                </w:p>
              </w:tc>
              <w:tc>
                <w:tcPr>
                  <w:tcW w:w="2710" w:type="dxa"/>
                  <w:tcBorders>
                    <w:tl2br w:val="nil"/>
                    <w:tr2bl w:val="nil"/>
                  </w:tcBorders>
                  <w:noWrap w:val="0"/>
                  <w:vAlign w:val="center"/>
                </w:tcPr>
                <w:p w14:paraId="165AAE9B">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项目生产过程中使用电能</w:t>
                  </w:r>
                  <w:r>
                    <w:rPr>
                      <w:rFonts w:hint="eastAsia" w:cs="Times New Roman"/>
                      <w:color w:val="auto"/>
                      <w:szCs w:val="21"/>
                      <w:highlight w:val="none"/>
                      <w:lang w:val="en-US" w:eastAsia="zh-CN"/>
                    </w:rPr>
                    <w:t>作为能耗</w:t>
                  </w:r>
                  <w:r>
                    <w:rPr>
                      <w:rFonts w:hint="default" w:ascii="Times New Roman" w:hAnsi="Times New Roman" w:eastAsia="宋体" w:cs="Times New Roman"/>
                      <w:color w:val="auto"/>
                      <w:szCs w:val="21"/>
                      <w:highlight w:val="none"/>
                    </w:rPr>
                    <w:t>，不属于高耗能项目。</w:t>
                  </w:r>
                </w:p>
              </w:tc>
              <w:tc>
                <w:tcPr>
                  <w:tcW w:w="702" w:type="dxa"/>
                  <w:tcBorders>
                    <w:tl2br w:val="nil"/>
                    <w:tr2bl w:val="nil"/>
                  </w:tcBorders>
                  <w:noWrap w:val="0"/>
                  <w:vAlign w:val="center"/>
                </w:tcPr>
                <w:p w14:paraId="16B4639A">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0572A89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26" w:type="dxa"/>
                  <w:vMerge w:val="continue"/>
                  <w:tcBorders>
                    <w:tl2br w:val="nil"/>
                    <w:tr2bl w:val="nil"/>
                  </w:tcBorders>
                  <w:noWrap w:val="0"/>
                  <w:vAlign w:val="center"/>
                </w:tcPr>
                <w:p w14:paraId="32F871A0">
                  <w:pPr>
                    <w:shd w:val="clear"/>
                    <w:jc w:val="center"/>
                    <w:rPr>
                      <w:rFonts w:hint="default" w:ascii="Times New Roman" w:hAnsi="Times New Roman" w:eastAsia="宋体" w:cs="Times New Roman"/>
                      <w:color w:val="auto"/>
                      <w:szCs w:val="21"/>
                      <w:highlight w:val="none"/>
                    </w:rPr>
                  </w:pPr>
                </w:p>
              </w:tc>
              <w:tc>
                <w:tcPr>
                  <w:tcW w:w="690" w:type="dxa"/>
                  <w:tcBorders>
                    <w:tl2br w:val="nil"/>
                    <w:tr2bl w:val="nil"/>
                  </w:tcBorders>
                  <w:noWrap w:val="0"/>
                  <w:vAlign w:val="center"/>
                </w:tcPr>
                <w:p w14:paraId="79A9D5B4">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土地资源利用上线</w:t>
                  </w:r>
                </w:p>
              </w:tc>
              <w:tc>
                <w:tcPr>
                  <w:tcW w:w="3454" w:type="dxa"/>
                  <w:gridSpan w:val="2"/>
                  <w:tcBorders>
                    <w:tl2br w:val="nil"/>
                    <w:tr2bl w:val="nil"/>
                  </w:tcBorders>
                  <w:noWrap w:val="0"/>
                  <w:vAlign w:val="center"/>
                </w:tcPr>
                <w:p w14:paraId="2BE9E251">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按时完成耕地保有量、基本农田保护面积、建设用地总规模等土地资源利用上限控制指标。</w:t>
                  </w:r>
                </w:p>
              </w:tc>
              <w:tc>
                <w:tcPr>
                  <w:tcW w:w="2710" w:type="dxa"/>
                  <w:tcBorders>
                    <w:tl2br w:val="nil"/>
                    <w:tr2bl w:val="nil"/>
                  </w:tcBorders>
                  <w:noWrap w:val="0"/>
                  <w:vAlign w:val="center"/>
                </w:tcPr>
                <w:p w14:paraId="65525B39">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项目不占用耕地及基本农田，用地类型为工业工地，不会突破当地土地资源利用上线。</w:t>
                  </w:r>
                </w:p>
              </w:tc>
              <w:tc>
                <w:tcPr>
                  <w:tcW w:w="702" w:type="dxa"/>
                  <w:tcBorders>
                    <w:tl2br w:val="nil"/>
                    <w:tr2bl w:val="nil"/>
                  </w:tcBorders>
                  <w:noWrap w:val="0"/>
                  <w:vAlign w:val="center"/>
                </w:tcPr>
                <w:p w14:paraId="0DB8ED3E">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32B2891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tcBorders>
                    <w:tl2br w:val="nil"/>
                    <w:tr2bl w:val="nil"/>
                  </w:tcBorders>
                  <w:noWrap w:val="0"/>
                  <w:vAlign w:val="center"/>
                </w:tcPr>
                <w:p w14:paraId="236161AB">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生态环境准入清单</w:t>
                  </w:r>
                </w:p>
              </w:tc>
              <w:tc>
                <w:tcPr>
                  <w:tcW w:w="690" w:type="dxa"/>
                  <w:vMerge w:val="restart"/>
                  <w:tcBorders>
                    <w:tl2br w:val="nil"/>
                    <w:tr2bl w:val="nil"/>
                  </w:tcBorders>
                  <w:noWrap w:val="0"/>
                  <w:vAlign w:val="center"/>
                </w:tcPr>
                <w:p w14:paraId="6A76B688">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重点管控单元（云南寻甸特色产业园区重点管控单元）</w:t>
                  </w:r>
                </w:p>
              </w:tc>
              <w:tc>
                <w:tcPr>
                  <w:tcW w:w="426" w:type="dxa"/>
                  <w:tcBorders>
                    <w:tl2br w:val="nil"/>
                    <w:tr2bl w:val="nil"/>
                  </w:tcBorders>
                  <w:noWrap w:val="0"/>
                  <w:vAlign w:val="center"/>
                </w:tcPr>
                <w:p w14:paraId="59B7F5A8">
                  <w:pPr>
                    <w:shd w:val="clear"/>
                    <w:snapToGrid w:val="0"/>
                    <w:jc w:val="center"/>
                    <w:rPr>
                      <w:rStyle w:val="98"/>
                      <w:rFonts w:hint="default" w:ascii="Times New Roman" w:hAnsi="Times New Roman" w:eastAsia="宋体" w:cs="Times New Roman"/>
                      <w:color w:val="auto"/>
                      <w:kern w:val="0"/>
                      <w:szCs w:val="21"/>
                      <w:highlight w:val="none"/>
                    </w:rPr>
                  </w:pPr>
                  <w:r>
                    <w:rPr>
                      <w:rStyle w:val="98"/>
                      <w:rFonts w:hint="default" w:ascii="Times New Roman" w:hAnsi="Times New Roman" w:eastAsia="宋体" w:cs="Times New Roman"/>
                      <w:color w:val="auto"/>
                      <w:kern w:val="0"/>
                      <w:szCs w:val="21"/>
                      <w:highlight w:val="none"/>
                    </w:rPr>
                    <w:t>空间布局</w:t>
                  </w:r>
                </w:p>
                <w:p w14:paraId="25CC6CE1">
                  <w:pPr>
                    <w:shd w:val="clear"/>
                    <w:snapToGrid w:val="0"/>
                    <w:jc w:val="center"/>
                    <w:rPr>
                      <w:rFonts w:hint="default" w:ascii="Times New Roman" w:hAnsi="Times New Roman" w:eastAsia="宋体" w:cs="Times New Roman"/>
                      <w:color w:val="auto"/>
                      <w:szCs w:val="21"/>
                      <w:highlight w:val="none"/>
                    </w:rPr>
                  </w:pPr>
                  <w:r>
                    <w:rPr>
                      <w:rStyle w:val="98"/>
                      <w:rFonts w:hint="default" w:ascii="Times New Roman" w:hAnsi="Times New Roman" w:eastAsia="宋体" w:cs="Times New Roman"/>
                      <w:color w:val="auto"/>
                      <w:kern w:val="0"/>
                      <w:szCs w:val="21"/>
                      <w:highlight w:val="none"/>
                    </w:rPr>
                    <w:t>约束</w:t>
                  </w:r>
                </w:p>
              </w:tc>
              <w:tc>
                <w:tcPr>
                  <w:tcW w:w="3028" w:type="dxa"/>
                  <w:tcBorders>
                    <w:tl2br w:val="nil"/>
                    <w:tr2bl w:val="nil"/>
                  </w:tcBorders>
                  <w:noWrap w:val="0"/>
                  <w:vAlign w:val="center"/>
                </w:tcPr>
                <w:p w14:paraId="76EB0D37">
                  <w:pPr>
                    <w:shd w:val="clear"/>
                    <w:snapToGrid/>
                    <w:spacing w:line="240" w:lineRule="auto"/>
                    <w:jc w:val="center"/>
                    <w:outlineLvl w:val="9"/>
                    <w:rPr>
                      <w:rStyle w:val="98"/>
                      <w:rFonts w:hint="default" w:ascii="Times New Roman" w:hAnsi="Times New Roman" w:eastAsia="宋体" w:cs="Times New Roman"/>
                      <w:color w:val="auto"/>
                      <w:kern w:val="0"/>
                      <w:sz w:val="21"/>
                      <w:szCs w:val="21"/>
                      <w:highlight w:val="none"/>
                    </w:rPr>
                  </w:pPr>
                  <w:r>
                    <w:rPr>
                      <w:rStyle w:val="98"/>
                      <w:rFonts w:hint="default" w:ascii="Times New Roman" w:hAnsi="Times New Roman" w:eastAsia="宋体" w:cs="Times New Roman"/>
                      <w:color w:val="auto"/>
                      <w:kern w:val="0"/>
                      <w:sz w:val="21"/>
                      <w:szCs w:val="21"/>
                      <w:highlight w:val="none"/>
                    </w:rPr>
                    <w:t>1.金所片区重点发展新型材料和家具制造产业，羊街片区重点发展先进装备制造和家具制造产业。</w:t>
                  </w:r>
                </w:p>
                <w:p w14:paraId="78BDC6F6">
                  <w:pPr>
                    <w:shd w:val="clear"/>
                    <w:snapToGrid/>
                    <w:spacing w:line="240" w:lineRule="auto"/>
                    <w:jc w:val="center"/>
                    <w:outlineLvl w:val="9"/>
                    <w:rPr>
                      <w:rStyle w:val="98"/>
                      <w:rFonts w:hint="default" w:ascii="Times New Roman" w:hAnsi="Times New Roman" w:eastAsia="宋体" w:cs="Times New Roman"/>
                      <w:color w:val="auto"/>
                      <w:spacing w:val="-6"/>
                      <w:kern w:val="0"/>
                      <w:sz w:val="21"/>
                      <w:szCs w:val="21"/>
                      <w:highlight w:val="none"/>
                    </w:rPr>
                  </w:pPr>
                  <w:r>
                    <w:rPr>
                      <w:rStyle w:val="98"/>
                      <w:rFonts w:hint="default" w:ascii="Times New Roman" w:hAnsi="Times New Roman" w:eastAsia="宋体" w:cs="Times New Roman"/>
                      <w:color w:val="auto"/>
                      <w:kern w:val="0"/>
                      <w:sz w:val="21"/>
                      <w:szCs w:val="21"/>
                      <w:highlight w:val="none"/>
                    </w:rPr>
                    <w:t>2.禁止引入造纸、印染等需水量大，生产废水不能实现循环回用不外排的企业。</w:t>
                  </w:r>
                </w:p>
              </w:tc>
              <w:tc>
                <w:tcPr>
                  <w:tcW w:w="2710" w:type="dxa"/>
                  <w:tcBorders>
                    <w:tl2br w:val="nil"/>
                    <w:tr2bl w:val="nil"/>
                  </w:tcBorders>
                  <w:noWrap w:val="0"/>
                  <w:vAlign w:val="center"/>
                </w:tcPr>
                <w:p w14:paraId="1DEF0DD3">
                  <w:pPr>
                    <w:shd w:val="clear"/>
                    <w:snapToGrid/>
                    <w:spacing w:line="240" w:lineRule="auto"/>
                    <w:jc w:val="center"/>
                    <w:outlineLvl w:val="9"/>
                    <w:rPr>
                      <w:rStyle w:val="98"/>
                      <w:rFonts w:hint="default" w:ascii="Times New Roman" w:hAnsi="Times New Roman" w:eastAsia="宋体" w:cs="Times New Roman"/>
                      <w:color w:val="auto"/>
                      <w:kern w:val="0"/>
                      <w:sz w:val="21"/>
                      <w:szCs w:val="21"/>
                      <w:highlight w:val="none"/>
                      <w:lang w:val="en-US" w:eastAsia="zh-CN"/>
                    </w:rPr>
                  </w:pPr>
                  <w:r>
                    <w:rPr>
                      <w:rStyle w:val="98"/>
                      <w:rFonts w:hint="default" w:ascii="Times New Roman" w:hAnsi="Times New Roman" w:eastAsia="宋体" w:cs="Times New Roman"/>
                      <w:color w:val="auto"/>
                      <w:kern w:val="0"/>
                      <w:sz w:val="21"/>
                      <w:szCs w:val="21"/>
                      <w:highlight w:val="none"/>
                      <w:lang w:val="en-US" w:eastAsia="zh-CN"/>
                    </w:rPr>
                    <w:t>1.本项目位于</w:t>
                  </w:r>
                  <w:r>
                    <w:rPr>
                      <w:rFonts w:hint="default" w:ascii="Times New Roman" w:hAnsi="Times New Roman" w:eastAsia="宋体" w:cs="Times New Roman"/>
                      <w:color w:val="auto"/>
                      <w:sz w:val="21"/>
                      <w:szCs w:val="21"/>
                      <w:highlight w:val="none"/>
                      <w:u w:val="none"/>
                      <w:lang w:val="en-US" w:eastAsia="zh-CN"/>
                    </w:rPr>
                    <w:t>云南寻甸产业园区金所片区金所组团</w:t>
                  </w:r>
                  <w:r>
                    <w:rPr>
                      <w:rFonts w:hint="eastAsia" w:cs="Times New Roman"/>
                      <w:color w:val="auto"/>
                      <w:sz w:val="21"/>
                      <w:szCs w:val="21"/>
                      <w:highlight w:val="none"/>
                      <w:u w:val="none"/>
                      <w:lang w:val="en-US" w:eastAsia="zh-CN"/>
                    </w:rPr>
                    <w:t>绿色建材产业区</w:t>
                  </w:r>
                  <w:r>
                    <w:rPr>
                      <w:rStyle w:val="98"/>
                      <w:rFonts w:hint="default" w:ascii="Times New Roman" w:hAnsi="Times New Roman" w:eastAsia="宋体" w:cs="Times New Roman"/>
                      <w:color w:val="auto"/>
                      <w:kern w:val="0"/>
                      <w:sz w:val="21"/>
                      <w:szCs w:val="21"/>
                      <w:highlight w:val="none"/>
                      <w:lang w:val="en-US" w:eastAsia="zh-CN"/>
                    </w:rPr>
                    <w:t>，属于</w:t>
                  </w:r>
                  <w:r>
                    <w:rPr>
                      <w:rFonts w:hint="default" w:ascii="Times New Roman" w:hAnsi="Times New Roman" w:eastAsia="宋体" w:cs="Times New Roman"/>
                      <w:color w:val="auto"/>
                      <w:sz w:val="21"/>
                      <w:szCs w:val="21"/>
                      <w:highlight w:val="none"/>
                    </w:rPr>
                    <w:t>塑料板、管、型材制造</w:t>
                  </w:r>
                  <w:r>
                    <w:rPr>
                      <w:rFonts w:hint="default" w:ascii="Times New Roman" w:hAnsi="Times New Roman" w:eastAsia="宋体" w:cs="Times New Roman"/>
                      <w:color w:val="auto"/>
                      <w:sz w:val="21"/>
                      <w:szCs w:val="21"/>
                      <w:highlight w:val="none"/>
                      <w:lang w:val="en-US" w:eastAsia="zh-CN"/>
                    </w:rPr>
                    <w:t>，</w:t>
                  </w:r>
                  <w:r>
                    <w:rPr>
                      <w:rStyle w:val="98"/>
                      <w:rFonts w:hint="default" w:ascii="Times New Roman" w:hAnsi="Times New Roman" w:eastAsia="宋体" w:cs="Times New Roman"/>
                      <w:color w:val="auto"/>
                      <w:kern w:val="0"/>
                      <w:sz w:val="21"/>
                      <w:szCs w:val="21"/>
                      <w:highlight w:val="none"/>
                      <w:lang w:val="en-US" w:eastAsia="zh-CN"/>
                    </w:rPr>
                    <w:t>与金所片区发展规划不冲突</w:t>
                  </w:r>
                  <w:r>
                    <w:rPr>
                      <w:rStyle w:val="98"/>
                      <w:rFonts w:hint="default" w:ascii="Times New Roman" w:hAnsi="Times New Roman" w:eastAsia="宋体" w:cs="Times New Roman"/>
                      <w:color w:val="auto"/>
                      <w:kern w:val="0"/>
                      <w:sz w:val="21"/>
                      <w:szCs w:val="21"/>
                      <w:highlight w:val="none"/>
                    </w:rPr>
                    <w:t>。</w:t>
                  </w:r>
                </w:p>
                <w:p w14:paraId="6C0C3D0F">
                  <w:pPr>
                    <w:shd w:val="clear"/>
                    <w:snapToGrid/>
                    <w:spacing w:line="240" w:lineRule="auto"/>
                    <w:jc w:val="center"/>
                    <w:outlineLvl w:val="9"/>
                    <w:rPr>
                      <w:rStyle w:val="98"/>
                      <w:rFonts w:hint="default" w:ascii="Times New Roman" w:hAnsi="Times New Roman" w:eastAsia="宋体" w:cs="Times New Roman"/>
                      <w:color w:val="auto"/>
                      <w:kern w:val="0"/>
                      <w:sz w:val="21"/>
                      <w:szCs w:val="21"/>
                      <w:highlight w:val="none"/>
                    </w:rPr>
                  </w:pPr>
                  <w:r>
                    <w:rPr>
                      <w:rStyle w:val="98"/>
                      <w:rFonts w:hint="default" w:ascii="Times New Roman" w:hAnsi="Times New Roman" w:eastAsia="宋体" w:cs="Times New Roman"/>
                      <w:color w:val="auto"/>
                      <w:kern w:val="0"/>
                      <w:sz w:val="21"/>
                      <w:szCs w:val="21"/>
                      <w:highlight w:val="none"/>
                      <w:lang w:val="en-US" w:eastAsia="zh-CN"/>
                    </w:rPr>
                    <w:t>2</w:t>
                  </w:r>
                  <w:r>
                    <w:rPr>
                      <w:rStyle w:val="98"/>
                      <w:rFonts w:hint="default" w:ascii="Times New Roman" w:hAnsi="Times New Roman" w:eastAsia="宋体" w:cs="Times New Roman"/>
                      <w:color w:val="auto"/>
                      <w:kern w:val="0"/>
                      <w:sz w:val="21"/>
                      <w:szCs w:val="21"/>
                      <w:highlight w:val="none"/>
                    </w:rPr>
                    <w:t>.</w:t>
                  </w:r>
                  <w:r>
                    <w:rPr>
                      <w:rStyle w:val="98"/>
                      <w:rFonts w:hint="default" w:ascii="Times New Roman" w:hAnsi="Times New Roman" w:eastAsia="宋体" w:cs="Times New Roman"/>
                      <w:color w:val="auto"/>
                      <w:kern w:val="0"/>
                      <w:sz w:val="21"/>
                      <w:szCs w:val="21"/>
                      <w:highlight w:val="none"/>
                      <w:lang w:val="en-US" w:eastAsia="zh-CN"/>
                    </w:rPr>
                    <w:t>本项目不属于造纸、印染类企业，</w:t>
                  </w:r>
                  <w:r>
                    <w:rPr>
                      <w:rFonts w:hint="default" w:ascii="Times New Roman" w:hAnsi="Times New Roman" w:eastAsia="宋体" w:cs="Times New Roman"/>
                      <w:color w:val="auto"/>
                      <w:sz w:val="21"/>
                      <w:szCs w:val="21"/>
                      <w:highlight w:val="none"/>
                      <w:lang w:val="en-US" w:eastAsia="zh-CN"/>
                    </w:rPr>
                    <w:t>冷却废水经循环水冷却池冷却后循环使用</w:t>
                  </w:r>
                  <w:r>
                    <w:rPr>
                      <w:rStyle w:val="98"/>
                      <w:rFonts w:hint="default" w:ascii="Times New Roman" w:hAnsi="Times New Roman" w:eastAsia="宋体" w:cs="Times New Roman"/>
                      <w:color w:val="auto"/>
                      <w:kern w:val="0"/>
                      <w:sz w:val="21"/>
                      <w:szCs w:val="21"/>
                      <w:highlight w:val="none"/>
                      <w:lang w:val="en-US" w:eastAsia="zh-CN"/>
                    </w:rPr>
                    <w:t>，不外排</w:t>
                  </w:r>
                  <w:r>
                    <w:rPr>
                      <w:rStyle w:val="98"/>
                      <w:rFonts w:hint="default" w:ascii="Times New Roman" w:hAnsi="Times New Roman" w:eastAsia="宋体" w:cs="Times New Roman"/>
                      <w:color w:val="auto"/>
                      <w:kern w:val="0"/>
                      <w:sz w:val="21"/>
                      <w:szCs w:val="21"/>
                      <w:highlight w:val="none"/>
                    </w:rPr>
                    <w:t>。</w:t>
                  </w:r>
                </w:p>
              </w:tc>
              <w:tc>
                <w:tcPr>
                  <w:tcW w:w="702" w:type="dxa"/>
                  <w:tcBorders>
                    <w:tl2br w:val="nil"/>
                    <w:tr2bl w:val="nil"/>
                  </w:tcBorders>
                  <w:noWrap w:val="0"/>
                  <w:vAlign w:val="center"/>
                </w:tcPr>
                <w:p w14:paraId="46F0E39D">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16FB334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l2br w:val="nil"/>
                    <w:tr2bl w:val="nil"/>
                  </w:tcBorders>
                  <w:noWrap w:val="0"/>
                  <w:vAlign w:val="center"/>
                </w:tcPr>
                <w:p w14:paraId="1EEF189E">
                  <w:pPr>
                    <w:shd w:val="clear"/>
                    <w:jc w:val="center"/>
                    <w:rPr>
                      <w:rFonts w:hint="default" w:ascii="Times New Roman" w:hAnsi="Times New Roman" w:eastAsia="宋体" w:cs="Times New Roman"/>
                      <w:color w:val="auto"/>
                      <w:szCs w:val="21"/>
                      <w:highlight w:val="none"/>
                    </w:rPr>
                  </w:pPr>
                </w:p>
              </w:tc>
              <w:tc>
                <w:tcPr>
                  <w:tcW w:w="690" w:type="dxa"/>
                  <w:vMerge w:val="continue"/>
                  <w:tcBorders>
                    <w:tl2br w:val="nil"/>
                    <w:tr2bl w:val="nil"/>
                  </w:tcBorders>
                  <w:noWrap w:val="0"/>
                  <w:vAlign w:val="center"/>
                </w:tcPr>
                <w:p w14:paraId="345894B7">
                  <w:pPr>
                    <w:shd w:val="clear"/>
                    <w:jc w:val="center"/>
                    <w:rPr>
                      <w:rFonts w:hint="default" w:ascii="Times New Roman" w:hAnsi="Times New Roman" w:eastAsia="宋体" w:cs="Times New Roman"/>
                      <w:color w:val="auto"/>
                      <w:szCs w:val="21"/>
                      <w:highlight w:val="none"/>
                    </w:rPr>
                  </w:pPr>
                </w:p>
              </w:tc>
              <w:tc>
                <w:tcPr>
                  <w:tcW w:w="426" w:type="dxa"/>
                  <w:tcBorders>
                    <w:tl2br w:val="nil"/>
                    <w:tr2bl w:val="nil"/>
                  </w:tcBorders>
                  <w:noWrap w:val="0"/>
                  <w:vAlign w:val="center"/>
                </w:tcPr>
                <w:p w14:paraId="6F6B10DE">
                  <w:pPr>
                    <w:shd w:val="clear"/>
                    <w:snapToGrid w:val="0"/>
                    <w:spacing w:line="240" w:lineRule="auto"/>
                    <w:jc w:val="center"/>
                    <w:rPr>
                      <w:rStyle w:val="98"/>
                      <w:rFonts w:hint="default" w:ascii="Times New Roman" w:hAnsi="Times New Roman" w:eastAsia="宋体" w:cs="Times New Roman"/>
                      <w:color w:val="auto"/>
                      <w:kern w:val="0"/>
                      <w:szCs w:val="21"/>
                      <w:highlight w:val="none"/>
                    </w:rPr>
                  </w:pPr>
                  <w:r>
                    <w:rPr>
                      <w:rStyle w:val="98"/>
                      <w:rFonts w:hint="default" w:ascii="Times New Roman" w:hAnsi="Times New Roman" w:eastAsia="宋体" w:cs="Times New Roman"/>
                      <w:color w:val="auto"/>
                      <w:kern w:val="0"/>
                      <w:szCs w:val="21"/>
                      <w:highlight w:val="none"/>
                    </w:rPr>
                    <w:t>污染物</w:t>
                  </w:r>
                </w:p>
                <w:p w14:paraId="2C78F590">
                  <w:pPr>
                    <w:shd w:val="clear"/>
                    <w:bidi w:val="0"/>
                    <w:snapToGrid w:val="0"/>
                    <w:jc w:val="center"/>
                    <w:outlineLvl w:val="9"/>
                    <w:rPr>
                      <w:rFonts w:hint="default" w:ascii="Times New Roman" w:hAnsi="Times New Roman" w:eastAsia="宋体" w:cs="Times New Roman"/>
                      <w:color w:val="auto"/>
                      <w:szCs w:val="21"/>
                      <w:highlight w:val="none"/>
                    </w:rPr>
                  </w:pPr>
                  <w:r>
                    <w:rPr>
                      <w:rStyle w:val="98"/>
                      <w:rFonts w:hint="default" w:ascii="Times New Roman" w:hAnsi="Times New Roman" w:eastAsia="宋体" w:cs="Times New Roman"/>
                      <w:color w:val="auto"/>
                      <w:kern w:val="0"/>
                      <w:szCs w:val="21"/>
                      <w:highlight w:val="none"/>
                    </w:rPr>
                    <w:t>排放管控</w:t>
                  </w:r>
                </w:p>
              </w:tc>
              <w:tc>
                <w:tcPr>
                  <w:tcW w:w="3028" w:type="dxa"/>
                  <w:tcBorders>
                    <w:tl2br w:val="nil"/>
                    <w:tr2bl w:val="nil"/>
                  </w:tcBorders>
                  <w:noWrap w:val="0"/>
                  <w:vAlign w:val="center"/>
                </w:tcPr>
                <w:p w14:paraId="54B8D67D">
                  <w:pPr>
                    <w:shd w:val="clear"/>
                    <w:snapToGrid/>
                    <w:spacing w:line="240" w:lineRule="auto"/>
                    <w:jc w:val="center"/>
                    <w:outlineLvl w:val="9"/>
                    <w:rPr>
                      <w:rStyle w:val="98"/>
                      <w:rFonts w:hint="default" w:ascii="Times New Roman" w:hAnsi="Times New Roman" w:eastAsia="宋体" w:cs="Times New Roman"/>
                      <w:color w:val="auto"/>
                      <w:kern w:val="0"/>
                      <w:szCs w:val="21"/>
                      <w:highlight w:val="none"/>
                    </w:rPr>
                  </w:pPr>
                  <w:r>
                    <w:rPr>
                      <w:rStyle w:val="98"/>
                      <w:rFonts w:hint="default" w:ascii="Times New Roman" w:hAnsi="Times New Roman" w:eastAsia="宋体" w:cs="Times New Roman"/>
                      <w:color w:val="auto"/>
                      <w:kern w:val="0"/>
                      <w:szCs w:val="21"/>
                      <w:highlight w:val="none"/>
                    </w:rPr>
                    <w:t>1.主要指标二氧化硫、二氧化氮、可吸入颗粒物达到《环境空气质量标准》（GB3095-2012）Ⅱ级标准。</w:t>
                  </w:r>
                </w:p>
                <w:p w14:paraId="68522FD2">
                  <w:pPr>
                    <w:shd w:val="clear"/>
                    <w:snapToGrid/>
                    <w:spacing w:line="240" w:lineRule="auto"/>
                    <w:jc w:val="center"/>
                    <w:outlineLvl w:val="9"/>
                    <w:rPr>
                      <w:rStyle w:val="98"/>
                      <w:rFonts w:hint="default" w:ascii="Times New Roman" w:hAnsi="Times New Roman" w:eastAsia="宋体" w:cs="Times New Roman"/>
                      <w:color w:val="auto"/>
                      <w:kern w:val="0"/>
                      <w:szCs w:val="21"/>
                      <w:highlight w:val="none"/>
                      <w:lang w:eastAsia="zh-CN"/>
                    </w:rPr>
                  </w:pPr>
                  <w:r>
                    <w:rPr>
                      <w:rStyle w:val="98"/>
                      <w:rFonts w:hint="default" w:ascii="Times New Roman" w:hAnsi="Times New Roman" w:eastAsia="宋体" w:cs="Times New Roman"/>
                      <w:color w:val="auto"/>
                      <w:kern w:val="0"/>
                      <w:szCs w:val="21"/>
                      <w:highlight w:val="none"/>
                    </w:rPr>
                    <w:t>2.现状已发展成熟的煤磷盐化工企业及目前做到零排放的企业按现状方式排水，未来</w:t>
                  </w:r>
                  <w:r>
                    <w:rPr>
                      <w:rStyle w:val="98"/>
                      <w:rFonts w:hint="eastAsia" w:cs="Times New Roman"/>
                      <w:color w:val="auto"/>
                      <w:kern w:val="0"/>
                      <w:szCs w:val="21"/>
                      <w:highlight w:val="none"/>
                      <w:lang w:eastAsia="zh-CN"/>
                    </w:rPr>
                    <w:t>入驻</w:t>
                  </w:r>
                  <w:r>
                    <w:rPr>
                      <w:rStyle w:val="98"/>
                      <w:rFonts w:hint="default" w:ascii="Times New Roman" w:hAnsi="Times New Roman" w:eastAsia="宋体" w:cs="Times New Roman"/>
                      <w:color w:val="auto"/>
                      <w:kern w:val="0"/>
                      <w:szCs w:val="21"/>
                      <w:highlight w:val="none"/>
                    </w:rPr>
                    <w:t>企业生产废水由企业自行处理达标后循环回用不外排。</w:t>
                  </w:r>
                </w:p>
                <w:p w14:paraId="55FCF9B3">
                  <w:pPr>
                    <w:shd w:val="clear"/>
                    <w:snapToGrid/>
                    <w:spacing w:line="240" w:lineRule="auto"/>
                    <w:jc w:val="center"/>
                    <w:outlineLvl w:val="9"/>
                    <w:rPr>
                      <w:rStyle w:val="98"/>
                      <w:rFonts w:hint="default" w:ascii="Times New Roman" w:hAnsi="Times New Roman" w:eastAsia="宋体" w:cs="Times New Roman"/>
                      <w:color w:val="auto"/>
                      <w:spacing w:val="-6"/>
                      <w:kern w:val="0"/>
                      <w:szCs w:val="21"/>
                      <w:highlight w:val="none"/>
                    </w:rPr>
                  </w:pPr>
                  <w:r>
                    <w:rPr>
                      <w:rStyle w:val="98"/>
                      <w:rFonts w:hint="default" w:ascii="Times New Roman" w:hAnsi="Times New Roman" w:eastAsia="宋体" w:cs="Times New Roman"/>
                      <w:color w:val="auto"/>
                      <w:kern w:val="0"/>
                      <w:szCs w:val="21"/>
                      <w:highlight w:val="none"/>
                    </w:rPr>
                    <w:t>3.生活垃圾无害化处理率90%以上，工业固废处置利用率不小于95%。</w:t>
                  </w:r>
                </w:p>
              </w:tc>
              <w:tc>
                <w:tcPr>
                  <w:tcW w:w="2710" w:type="dxa"/>
                  <w:tcBorders>
                    <w:tl2br w:val="nil"/>
                    <w:tr2bl w:val="nil"/>
                  </w:tcBorders>
                  <w:noWrap w:val="0"/>
                  <w:vAlign w:val="center"/>
                </w:tcPr>
                <w:p w14:paraId="3C7D1E99">
                  <w:pPr>
                    <w:shd w:val="clear"/>
                    <w:snapToGrid/>
                    <w:spacing w:line="240" w:lineRule="auto"/>
                    <w:jc w:val="center"/>
                    <w:outlineLvl w:val="9"/>
                    <w:rPr>
                      <w:rStyle w:val="98"/>
                      <w:rFonts w:hint="default" w:ascii="Times New Roman" w:hAnsi="Times New Roman" w:eastAsia="宋体" w:cs="Times New Roman"/>
                      <w:color w:val="auto"/>
                      <w:kern w:val="0"/>
                      <w:sz w:val="21"/>
                      <w:szCs w:val="21"/>
                      <w:highlight w:val="none"/>
                    </w:rPr>
                  </w:pPr>
                  <w:r>
                    <w:rPr>
                      <w:rStyle w:val="98"/>
                      <w:rFonts w:hint="default" w:ascii="Times New Roman" w:hAnsi="Times New Roman" w:eastAsia="宋体" w:cs="Times New Roman"/>
                      <w:color w:val="auto"/>
                      <w:kern w:val="0"/>
                      <w:szCs w:val="21"/>
                      <w:highlight w:val="none"/>
                    </w:rPr>
                    <w:t>1.</w:t>
                  </w:r>
                  <w:r>
                    <w:rPr>
                      <w:rStyle w:val="98"/>
                      <w:rFonts w:hint="default" w:ascii="Times New Roman" w:hAnsi="Times New Roman" w:eastAsia="宋体" w:cs="Times New Roman"/>
                      <w:color w:val="auto"/>
                      <w:kern w:val="0"/>
                      <w:szCs w:val="21"/>
                      <w:highlight w:val="none"/>
                      <w:lang w:val="en-US" w:eastAsia="zh-CN"/>
                    </w:rPr>
                    <w:t>项目所在</w:t>
                  </w:r>
                  <w:r>
                    <w:rPr>
                      <w:rStyle w:val="98"/>
                      <w:rFonts w:hint="default" w:ascii="Times New Roman" w:hAnsi="Times New Roman" w:eastAsia="宋体" w:cs="Times New Roman"/>
                      <w:color w:val="auto"/>
                      <w:kern w:val="0"/>
                      <w:szCs w:val="21"/>
                      <w:highlight w:val="none"/>
                    </w:rPr>
                    <w:t>园区空气质量</w:t>
                  </w:r>
                  <w:r>
                    <w:rPr>
                      <w:rStyle w:val="98"/>
                      <w:rFonts w:hint="default" w:ascii="Times New Roman" w:hAnsi="Times New Roman" w:eastAsia="宋体" w:cs="Times New Roman"/>
                      <w:color w:val="auto"/>
                      <w:kern w:val="0"/>
                      <w:szCs w:val="21"/>
                      <w:highlight w:val="none"/>
                      <w:lang w:val="en-US" w:eastAsia="zh-CN"/>
                    </w:rPr>
                    <w:t>满足</w:t>
                  </w:r>
                  <w:r>
                    <w:rPr>
                      <w:rStyle w:val="98"/>
                      <w:rFonts w:hint="default" w:ascii="Times New Roman" w:hAnsi="Times New Roman" w:eastAsia="宋体" w:cs="Times New Roman"/>
                      <w:color w:val="auto"/>
                      <w:kern w:val="0"/>
                      <w:szCs w:val="21"/>
                      <w:highlight w:val="none"/>
                    </w:rPr>
                    <w:t>《环境空气质量标准》（GB3095</w:t>
                  </w:r>
                  <w:r>
                    <w:rPr>
                      <w:rStyle w:val="98"/>
                      <w:rFonts w:hint="default" w:ascii="Times New Roman" w:hAnsi="Times New Roman" w:eastAsia="宋体" w:cs="Times New Roman"/>
                      <w:color w:val="auto"/>
                      <w:kern w:val="0"/>
                      <w:sz w:val="21"/>
                      <w:szCs w:val="21"/>
                      <w:highlight w:val="none"/>
                    </w:rPr>
                    <w:t>－2012）中二级标准</w:t>
                  </w:r>
                  <w:r>
                    <w:rPr>
                      <w:rStyle w:val="98"/>
                      <w:rFonts w:hint="default" w:ascii="Times New Roman" w:hAnsi="Times New Roman" w:eastAsia="宋体" w:cs="Times New Roman"/>
                      <w:color w:val="auto"/>
                      <w:kern w:val="0"/>
                      <w:sz w:val="21"/>
                      <w:szCs w:val="21"/>
                      <w:highlight w:val="none"/>
                      <w:lang w:val="en-US" w:eastAsia="zh-CN"/>
                    </w:rPr>
                    <w:t>要求</w:t>
                  </w:r>
                  <w:r>
                    <w:rPr>
                      <w:rStyle w:val="98"/>
                      <w:rFonts w:hint="default" w:ascii="Times New Roman" w:hAnsi="Times New Roman" w:eastAsia="宋体" w:cs="Times New Roman"/>
                      <w:color w:val="auto"/>
                      <w:kern w:val="0"/>
                      <w:sz w:val="21"/>
                      <w:szCs w:val="21"/>
                      <w:highlight w:val="none"/>
                    </w:rPr>
                    <w:t>。</w:t>
                  </w:r>
                </w:p>
                <w:p w14:paraId="093E7E79">
                  <w:pPr>
                    <w:shd w:val="clear"/>
                    <w:snapToGrid/>
                    <w:spacing w:line="240" w:lineRule="auto"/>
                    <w:jc w:val="center"/>
                    <w:outlineLvl w:val="9"/>
                    <w:rPr>
                      <w:rStyle w:val="98"/>
                      <w:rFonts w:hint="default" w:ascii="Times New Roman" w:hAnsi="Times New Roman" w:eastAsia="宋体" w:cs="Times New Roman"/>
                      <w:color w:val="auto"/>
                      <w:kern w:val="0"/>
                      <w:sz w:val="21"/>
                      <w:szCs w:val="21"/>
                      <w:highlight w:val="none"/>
                      <w:lang w:val="en-US" w:eastAsia="zh-CN"/>
                    </w:rPr>
                  </w:pPr>
                  <w:r>
                    <w:rPr>
                      <w:rStyle w:val="98"/>
                      <w:rFonts w:hint="default" w:ascii="Times New Roman" w:hAnsi="Times New Roman" w:eastAsia="宋体" w:cs="Times New Roman"/>
                      <w:color w:val="auto"/>
                      <w:kern w:val="0"/>
                      <w:sz w:val="21"/>
                      <w:szCs w:val="21"/>
                      <w:highlight w:val="none"/>
                    </w:rPr>
                    <w:t>2.</w:t>
                  </w:r>
                  <w:r>
                    <w:rPr>
                      <w:rFonts w:hint="default" w:ascii="Times New Roman" w:hAnsi="Times New Roman" w:eastAsia="宋体" w:cs="Times New Roman"/>
                      <w:color w:val="auto"/>
                      <w:sz w:val="21"/>
                      <w:szCs w:val="21"/>
                      <w:highlight w:val="none"/>
                      <w:lang w:val="en-US" w:eastAsia="zh-CN"/>
                    </w:rPr>
                    <w:t>冷却废水经循环水冷却池冷却后循环使用</w:t>
                  </w:r>
                  <w:r>
                    <w:rPr>
                      <w:rStyle w:val="98"/>
                      <w:rFonts w:hint="default" w:ascii="Times New Roman" w:hAnsi="Times New Roman" w:eastAsia="宋体" w:cs="Times New Roman"/>
                      <w:color w:val="auto"/>
                      <w:kern w:val="0"/>
                      <w:sz w:val="21"/>
                      <w:szCs w:val="21"/>
                      <w:highlight w:val="none"/>
                      <w:lang w:val="en-US" w:eastAsia="zh-CN"/>
                    </w:rPr>
                    <w:t>，不外排；生活污水经生活污水处理站处理达标后用于项目区绿化或道路洒水降尘，不外排；</w:t>
                  </w:r>
                </w:p>
                <w:p w14:paraId="0C89F13B">
                  <w:pPr>
                    <w:shd w:val="clear"/>
                    <w:snapToGrid/>
                    <w:spacing w:line="240" w:lineRule="auto"/>
                    <w:jc w:val="center"/>
                    <w:outlineLvl w:val="9"/>
                    <w:rPr>
                      <w:rStyle w:val="98"/>
                      <w:rFonts w:hint="default" w:ascii="Times New Roman" w:hAnsi="Times New Roman" w:eastAsia="宋体" w:cs="Times New Roman"/>
                      <w:color w:val="auto"/>
                      <w:kern w:val="0"/>
                      <w:szCs w:val="21"/>
                      <w:highlight w:val="none"/>
                    </w:rPr>
                  </w:pPr>
                  <w:r>
                    <w:rPr>
                      <w:rStyle w:val="98"/>
                      <w:rFonts w:hint="default" w:ascii="Times New Roman" w:hAnsi="Times New Roman" w:eastAsia="宋体" w:cs="Times New Roman"/>
                      <w:color w:val="auto"/>
                      <w:kern w:val="0"/>
                      <w:sz w:val="21"/>
                      <w:szCs w:val="21"/>
                      <w:highlight w:val="none"/>
                    </w:rPr>
                    <w:t>3.</w:t>
                  </w:r>
                  <w:r>
                    <w:rPr>
                      <w:rStyle w:val="98"/>
                      <w:rFonts w:hint="default" w:ascii="Times New Roman" w:hAnsi="Times New Roman" w:eastAsia="宋体" w:cs="Times New Roman"/>
                      <w:color w:val="auto"/>
                      <w:kern w:val="0"/>
                      <w:sz w:val="21"/>
                      <w:szCs w:val="21"/>
                      <w:highlight w:val="none"/>
                      <w:lang w:val="en-US" w:eastAsia="zh-CN"/>
                    </w:rPr>
                    <w:t>本项目产生的生活垃圾委托</w:t>
                  </w:r>
                  <w:r>
                    <w:rPr>
                      <w:rStyle w:val="98"/>
                      <w:rFonts w:hint="default" w:ascii="Times New Roman" w:hAnsi="Times New Roman" w:eastAsia="宋体" w:cs="Times New Roman"/>
                      <w:color w:val="auto"/>
                      <w:kern w:val="0"/>
                      <w:sz w:val="21"/>
                      <w:szCs w:val="21"/>
                      <w:highlight w:val="none"/>
                    </w:rPr>
                    <w:t>工业园区</w:t>
                  </w:r>
                  <w:r>
                    <w:rPr>
                      <w:rStyle w:val="98"/>
                      <w:rFonts w:hint="default" w:ascii="Times New Roman" w:hAnsi="Times New Roman" w:eastAsia="宋体" w:cs="Times New Roman"/>
                      <w:color w:val="auto"/>
                      <w:kern w:val="0"/>
                      <w:sz w:val="21"/>
                      <w:szCs w:val="21"/>
                      <w:highlight w:val="none"/>
                      <w:lang w:val="en-US" w:eastAsia="zh-CN"/>
                    </w:rPr>
                    <w:t>环卫部门</w:t>
                  </w:r>
                  <w:r>
                    <w:rPr>
                      <w:rStyle w:val="98"/>
                      <w:rFonts w:hint="default" w:ascii="Times New Roman" w:hAnsi="Times New Roman" w:eastAsia="宋体" w:cs="Times New Roman"/>
                      <w:color w:val="auto"/>
                      <w:kern w:val="0"/>
                      <w:szCs w:val="21"/>
                      <w:highlight w:val="none"/>
                      <w:lang w:val="en-US" w:eastAsia="zh-CN"/>
                    </w:rPr>
                    <w:t>统一收集后进行</w:t>
                  </w:r>
                  <w:r>
                    <w:rPr>
                      <w:rStyle w:val="98"/>
                      <w:rFonts w:hint="default" w:ascii="Times New Roman" w:hAnsi="Times New Roman" w:eastAsia="宋体" w:cs="Times New Roman"/>
                      <w:color w:val="auto"/>
                      <w:kern w:val="0"/>
                      <w:szCs w:val="21"/>
                      <w:highlight w:val="none"/>
                    </w:rPr>
                    <w:t>无害化处理</w:t>
                  </w:r>
                  <w:r>
                    <w:rPr>
                      <w:rStyle w:val="98"/>
                      <w:rFonts w:hint="default" w:ascii="Times New Roman" w:hAnsi="Times New Roman" w:eastAsia="宋体" w:cs="Times New Roman"/>
                      <w:color w:val="auto"/>
                      <w:kern w:val="0"/>
                      <w:szCs w:val="21"/>
                      <w:highlight w:val="none"/>
                      <w:lang w:eastAsia="zh-CN"/>
                    </w:rPr>
                    <w:t>，</w:t>
                  </w:r>
                  <w:r>
                    <w:rPr>
                      <w:rStyle w:val="98"/>
                      <w:rFonts w:hint="default" w:ascii="Times New Roman" w:hAnsi="Times New Roman" w:eastAsia="宋体" w:cs="Times New Roman"/>
                      <w:color w:val="auto"/>
                      <w:kern w:val="0"/>
                      <w:szCs w:val="21"/>
                      <w:highlight w:val="none"/>
                      <w:lang w:val="en-US" w:eastAsia="zh-CN"/>
                    </w:rPr>
                    <w:t>处理</w:t>
                  </w:r>
                  <w:r>
                    <w:rPr>
                      <w:rStyle w:val="98"/>
                      <w:rFonts w:hint="default" w:ascii="Times New Roman" w:hAnsi="Times New Roman" w:eastAsia="宋体" w:cs="Times New Roman"/>
                      <w:color w:val="auto"/>
                      <w:kern w:val="0"/>
                      <w:szCs w:val="21"/>
                      <w:highlight w:val="none"/>
                    </w:rPr>
                    <w:t>率达到100%。</w:t>
                  </w:r>
                </w:p>
              </w:tc>
              <w:tc>
                <w:tcPr>
                  <w:tcW w:w="702" w:type="dxa"/>
                  <w:tcBorders>
                    <w:tl2br w:val="nil"/>
                    <w:tr2bl w:val="nil"/>
                  </w:tcBorders>
                  <w:noWrap w:val="0"/>
                  <w:vAlign w:val="center"/>
                </w:tcPr>
                <w:p w14:paraId="4F2F9999">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532EF88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l2br w:val="nil"/>
                    <w:tr2bl w:val="nil"/>
                  </w:tcBorders>
                  <w:noWrap w:val="0"/>
                  <w:vAlign w:val="center"/>
                </w:tcPr>
                <w:p w14:paraId="0F018646">
                  <w:pPr>
                    <w:shd w:val="clear"/>
                    <w:jc w:val="center"/>
                    <w:rPr>
                      <w:rFonts w:hint="default" w:ascii="Times New Roman" w:hAnsi="Times New Roman" w:eastAsia="宋体" w:cs="Times New Roman"/>
                      <w:color w:val="auto"/>
                      <w:szCs w:val="21"/>
                      <w:highlight w:val="none"/>
                    </w:rPr>
                  </w:pPr>
                </w:p>
              </w:tc>
              <w:tc>
                <w:tcPr>
                  <w:tcW w:w="690" w:type="dxa"/>
                  <w:vMerge w:val="continue"/>
                  <w:tcBorders>
                    <w:tl2br w:val="nil"/>
                    <w:tr2bl w:val="nil"/>
                  </w:tcBorders>
                  <w:noWrap w:val="0"/>
                  <w:vAlign w:val="center"/>
                </w:tcPr>
                <w:p w14:paraId="03B2D43D">
                  <w:pPr>
                    <w:shd w:val="clear"/>
                    <w:jc w:val="center"/>
                    <w:rPr>
                      <w:rFonts w:hint="default" w:ascii="Times New Roman" w:hAnsi="Times New Roman" w:eastAsia="宋体" w:cs="Times New Roman"/>
                      <w:color w:val="auto"/>
                      <w:szCs w:val="21"/>
                      <w:highlight w:val="none"/>
                    </w:rPr>
                  </w:pPr>
                </w:p>
              </w:tc>
              <w:tc>
                <w:tcPr>
                  <w:tcW w:w="426" w:type="dxa"/>
                  <w:tcBorders>
                    <w:tl2br w:val="nil"/>
                    <w:tr2bl w:val="nil"/>
                  </w:tcBorders>
                  <w:noWrap w:val="0"/>
                  <w:vAlign w:val="center"/>
                </w:tcPr>
                <w:p w14:paraId="7345D988">
                  <w:pPr>
                    <w:shd w:val="clear"/>
                    <w:snapToGrid w:val="0"/>
                    <w:jc w:val="center"/>
                    <w:rPr>
                      <w:rStyle w:val="98"/>
                      <w:rFonts w:hint="default" w:ascii="Times New Roman" w:hAnsi="Times New Roman" w:eastAsia="宋体" w:cs="Times New Roman"/>
                      <w:color w:val="auto"/>
                      <w:kern w:val="0"/>
                      <w:szCs w:val="21"/>
                      <w:highlight w:val="none"/>
                    </w:rPr>
                  </w:pPr>
                  <w:r>
                    <w:rPr>
                      <w:rStyle w:val="98"/>
                      <w:rFonts w:hint="default" w:ascii="Times New Roman" w:hAnsi="Times New Roman" w:eastAsia="宋体" w:cs="Times New Roman"/>
                      <w:color w:val="auto"/>
                      <w:kern w:val="0"/>
                      <w:szCs w:val="21"/>
                      <w:highlight w:val="none"/>
                    </w:rPr>
                    <w:t>环境风险</w:t>
                  </w:r>
                </w:p>
                <w:p w14:paraId="6FF36881">
                  <w:pPr>
                    <w:shd w:val="clear"/>
                    <w:bidi w:val="0"/>
                    <w:snapToGrid w:val="0"/>
                    <w:jc w:val="center"/>
                    <w:outlineLvl w:val="9"/>
                    <w:rPr>
                      <w:rFonts w:hint="default" w:ascii="Times New Roman" w:hAnsi="Times New Roman" w:eastAsia="宋体" w:cs="Times New Roman"/>
                      <w:color w:val="auto"/>
                      <w:szCs w:val="21"/>
                      <w:highlight w:val="none"/>
                    </w:rPr>
                  </w:pPr>
                  <w:r>
                    <w:rPr>
                      <w:rStyle w:val="98"/>
                      <w:rFonts w:hint="default" w:ascii="Times New Roman" w:hAnsi="Times New Roman" w:eastAsia="宋体" w:cs="Times New Roman"/>
                      <w:color w:val="auto"/>
                      <w:kern w:val="0"/>
                      <w:szCs w:val="21"/>
                      <w:highlight w:val="none"/>
                    </w:rPr>
                    <w:t>防控</w:t>
                  </w:r>
                </w:p>
              </w:tc>
              <w:tc>
                <w:tcPr>
                  <w:tcW w:w="3028" w:type="dxa"/>
                  <w:tcBorders>
                    <w:tl2br w:val="nil"/>
                    <w:tr2bl w:val="nil"/>
                  </w:tcBorders>
                  <w:noWrap w:val="0"/>
                  <w:vAlign w:val="center"/>
                </w:tcPr>
                <w:p w14:paraId="16316698">
                  <w:pPr>
                    <w:shd w:val="clear"/>
                    <w:snapToGrid/>
                    <w:spacing w:line="240" w:lineRule="auto"/>
                    <w:jc w:val="center"/>
                    <w:outlineLvl w:val="9"/>
                    <w:rPr>
                      <w:rStyle w:val="98"/>
                      <w:rFonts w:hint="default" w:ascii="Times New Roman" w:hAnsi="Times New Roman" w:eastAsia="宋体" w:cs="Times New Roman"/>
                      <w:color w:val="auto"/>
                      <w:kern w:val="0"/>
                      <w:szCs w:val="21"/>
                      <w:highlight w:val="none"/>
                    </w:rPr>
                  </w:pPr>
                  <w:r>
                    <w:rPr>
                      <w:rStyle w:val="98"/>
                      <w:rFonts w:hint="default" w:ascii="Times New Roman" w:hAnsi="Times New Roman" w:eastAsia="宋体" w:cs="Times New Roman"/>
                      <w:color w:val="auto"/>
                      <w:kern w:val="0"/>
                      <w:szCs w:val="21"/>
                      <w:highlight w:val="none"/>
                    </w:rPr>
                    <w:t>1.组织编制环境风险应急预案，通过风险源的识别，制定不同风险源的应急处理处置方案，形成应对突发事故应急处理处置能力。</w:t>
                  </w:r>
                </w:p>
                <w:p w14:paraId="63582D39">
                  <w:pPr>
                    <w:shd w:val="clear"/>
                    <w:snapToGrid/>
                    <w:spacing w:line="240" w:lineRule="auto"/>
                    <w:jc w:val="center"/>
                    <w:outlineLvl w:val="9"/>
                    <w:rPr>
                      <w:rStyle w:val="98"/>
                      <w:rFonts w:hint="default" w:ascii="Times New Roman" w:hAnsi="Times New Roman" w:eastAsia="宋体" w:cs="Times New Roman"/>
                      <w:color w:val="auto"/>
                      <w:spacing w:val="-6"/>
                      <w:kern w:val="0"/>
                      <w:szCs w:val="21"/>
                      <w:highlight w:val="none"/>
                    </w:rPr>
                  </w:pPr>
                  <w:r>
                    <w:rPr>
                      <w:rStyle w:val="98"/>
                      <w:rFonts w:hint="default" w:ascii="Times New Roman" w:hAnsi="Times New Roman" w:eastAsia="宋体" w:cs="Times New Roman"/>
                      <w:color w:val="auto"/>
                      <w:kern w:val="0"/>
                      <w:szCs w:val="21"/>
                      <w:highlight w:val="none"/>
                    </w:rPr>
                    <w:t>2.建设风险事故废水排放管道及处置池。</w:t>
                  </w:r>
                </w:p>
              </w:tc>
              <w:tc>
                <w:tcPr>
                  <w:tcW w:w="2710" w:type="dxa"/>
                  <w:tcBorders>
                    <w:tl2br w:val="nil"/>
                    <w:tr2bl w:val="nil"/>
                  </w:tcBorders>
                  <w:noWrap w:val="0"/>
                  <w:vAlign w:val="center"/>
                </w:tcPr>
                <w:p w14:paraId="36C768DE">
                  <w:pPr>
                    <w:shd w:val="clear"/>
                    <w:snapToGrid/>
                    <w:spacing w:line="240" w:lineRule="auto"/>
                    <w:jc w:val="center"/>
                    <w:outlineLvl w:val="9"/>
                    <w:rPr>
                      <w:rStyle w:val="98"/>
                      <w:rFonts w:hint="default" w:ascii="Times New Roman" w:hAnsi="Times New Roman" w:eastAsia="宋体" w:cs="Times New Roman"/>
                      <w:color w:val="auto"/>
                      <w:kern w:val="0"/>
                      <w:szCs w:val="21"/>
                      <w:highlight w:val="none"/>
                      <w:lang w:val="en-US" w:eastAsia="zh-CN"/>
                    </w:rPr>
                  </w:pPr>
                  <w:r>
                    <w:rPr>
                      <w:rStyle w:val="98"/>
                      <w:rFonts w:hint="default" w:ascii="Times New Roman" w:hAnsi="Times New Roman" w:eastAsia="宋体" w:cs="Times New Roman"/>
                      <w:color w:val="auto"/>
                      <w:kern w:val="0"/>
                      <w:szCs w:val="21"/>
                      <w:highlight w:val="none"/>
                      <w:lang w:val="en-US" w:eastAsia="zh-CN"/>
                    </w:rPr>
                    <w:t>1.本次环评提出企业建成后按照要求编制</w:t>
                  </w:r>
                  <w:r>
                    <w:rPr>
                      <w:rStyle w:val="98"/>
                      <w:rFonts w:hint="default" w:ascii="Times New Roman" w:hAnsi="Times New Roman" w:eastAsia="宋体" w:cs="Times New Roman"/>
                      <w:color w:val="auto"/>
                      <w:kern w:val="0"/>
                      <w:szCs w:val="21"/>
                      <w:highlight w:val="none"/>
                    </w:rPr>
                    <w:t>环境风险应急预案，</w:t>
                  </w:r>
                  <w:r>
                    <w:rPr>
                      <w:rStyle w:val="98"/>
                      <w:rFonts w:hint="default" w:ascii="Times New Roman" w:hAnsi="Times New Roman" w:eastAsia="宋体" w:cs="Times New Roman"/>
                      <w:color w:val="auto"/>
                      <w:kern w:val="0"/>
                      <w:szCs w:val="21"/>
                      <w:highlight w:val="none"/>
                      <w:lang w:val="en-US" w:eastAsia="zh-CN"/>
                    </w:rPr>
                    <w:t>并报当地环保部门备案。</w:t>
                  </w:r>
                </w:p>
                <w:p w14:paraId="4C6B31C7">
                  <w:pPr>
                    <w:shd w:val="clear"/>
                    <w:snapToGrid/>
                    <w:spacing w:line="240" w:lineRule="auto"/>
                    <w:jc w:val="center"/>
                    <w:outlineLvl w:val="9"/>
                    <w:rPr>
                      <w:rStyle w:val="98"/>
                      <w:rFonts w:hint="default" w:ascii="Times New Roman" w:hAnsi="Times New Roman" w:eastAsia="宋体" w:cs="Times New Roman"/>
                      <w:color w:val="auto"/>
                      <w:kern w:val="0"/>
                      <w:szCs w:val="21"/>
                      <w:highlight w:val="none"/>
                    </w:rPr>
                  </w:pPr>
                  <w:r>
                    <w:rPr>
                      <w:rStyle w:val="98"/>
                      <w:rFonts w:hint="default" w:ascii="Times New Roman" w:hAnsi="Times New Roman" w:eastAsia="宋体" w:cs="Times New Roman"/>
                      <w:color w:val="auto"/>
                      <w:kern w:val="0"/>
                      <w:szCs w:val="21"/>
                      <w:highlight w:val="none"/>
                      <w:lang w:val="en-US" w:eastAsia="zh-CN"/>
                    </w:rPr>
                    <w:t>2.本项目后期按照实际需求进行风险事故废水排放管道及处置池的建设。</w:t>
                  </w:r>
                </w:p>
              </w:tc>
              <w:tc>
                <w:tcPr>
                  <w:tcW w:w="702" w:type="dxa"/>
                  <w:tcBorders>
                    <w:tl2br w:val="nil"/>
                    <w:tr2bl w:val="nil"/>
                  </w:tcBorders>
                  <w:noWrap w:val="0"/>
                  <w:vAlign w:val="center"/>
                </w:tcPr>
                <w:p w14:paraId="4F3736C6">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753C0B2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l2br w:val="nil"/>
                    <w:tr2bl w:val="nil"/>
                  </w:tcBorders>
                  <w:noWrap w:val="0"/>
                  <w:vAlign w:val="center"/>
                </w:tcPr>
                <w:p w14:paraId="37B32EED">
                  <w:pPr>
                    <w:shd w:val="clear"/>
                    <w:jc w:val="center"/>
                    <w:rPr>
                      <w:rFonts w:hint="default" w:ascii="Times New Roman" w:hAnsi="Times New Roman" w:eastAsia="宋体" w:cs="Times New Roman"/>
                      <w:color w:val="auto"/>
                      <w:szCs w:val="21"/>
                      <w:highlight w:val="none"/>
                    </w:rPr>
                  </w:pPr>
                </w:p>
              </w:tc>
              <w:tc>
                <w:tcPr>
                  <w:tcW w:w="690" w:type="dxa"/>
                  <w:vMerge w:val="continue"/>
                  <w:tcBorders>
                    <w:tl2br w:val="nil"/>
                    <w:tr2bl w:val="nil"/>
                  </w:tcBorders>
                  <w:noWrap w:val="0"/>
                  <w:vAlign w:val="center"/>
                </w:tcPr>
                <w:p w14:paraId="582A0E2A">
                  <w:pPr>
                    <w:shd w:val="clear"/>
                    <w:jc w:val="center"/>
                    <w:rPr>
                      <w:rFonts w:hint="default" w:ascii="Times New Roman" w:hAnsi="Times New Roman" w:eastAsia="宋体" w:cs="Times New Roman"/>
                      <w:color w:val="auto"/>
                      <w:szCs w:val="21"/>
                      <w:highlight w:val="none"/>
                    </w:rPr>
                  </w:pPr>
                </w:p>
              </w:tc>
              <w:tc>
                <w:tcPr>
                  <w:tcW w:w="426" w:type="dxa"/>
                  <w:tcBorders>
                    <w:tl2br w:val="nil"/>
                    <w:tr2bl w:val="nil"/>
                  </w:tcBorders>
                  <w:noWrap w:val="0"/>
                  <w:vAlign w:val="center"/>
                </w:tcPr>
                <w:p w14:paraId="1A83F039">
                  <w:pPr>
                    <w:shd w:val="clear"/>
                    <w:bidi w:val="0"/>
                    <w:snapToGrid w:val="0"/>
                    <w:jc w:val="center"/>
                    <w:outlineLvl w:val="9"/>
                    <w:rPr>
                      <w:rFonts w:hint="default" w:ascii="Times New Roman" w:hAnsi="Times New Roman" w:eastAsia="宋体" w:cs="Times New Roman"/>
                      <w:color w:val="auto"/>
                      <w:szCs w:val="21"/>
                      <w:highlight w:val="none"/>
                    </w:rPr>
                  </w:pPr>
                  <w:r>
                    <w:rPr>
                      <w:rStyle w:val="98"/>
                      <w:rFonts w:hint="default" w:ascii="Times New Roman" w:hAnsi="Times New Roman" w:eastAsia="宋体" w:cs="Times New Roman"/>
                      <w:color w:val="auto"/>
                      <w:kern w:val="0"/>
                      <w:szCs w:val="21"/>
                      <w:highlight w:val="none"/>
                    </w:rPr>
                    <w:t>资源开发效率要求</w:t>
                  </w:r>
                </w:p>
              </w:tc>
              <w:tc>
                <w:tcPr>
                  <w:tcW w:w="3028" w:type="dxa"/>
                  <w:tcBorders>
                    <w:tl2br w:val="nil"/>
                    <w:tr2bl w:val="nil"/>
                  </w:tcBorders>
                  <w:noWrap w:val="0"/>
                  <w:vAlign w:val="center"/>
                </w:tcPr>
                <w:p w14:paraId="2AADD12B">
                  <w:pPr>
                    <w:shd w:val="clear"/>
                    <w:bidi w:val="0"/>
                    <w:jc w:val="center"/>
                    <w:outlineLvl w:val="9"/>
                    <w:rPr>
                      <w:rStyle w:val="98"/>
                      <w:rFonts w:hint="default" w:ascii="Times New Roman" w:hAnsi="Times New Roman" w:eastAsia="宋体" w:cs="Times New Roman"/>
                      <w:color w:val="auto"/>
                      <w:spacing w:val="-6"/>
                      <w:kern w:val="0"/>
                      <w:szCs w:val="21"/>
                      <w:highlight w:val="none"/>
                      <w:lang w:val="en-US" w:eastAsia="zh-CN"/>
                    </w:rPr>
                  </w:pPr>
                  <w:r>
                    <w:rPr>
                      <w:rStyle w:val="98"/>
                      <w:rFonts w:hint="default" w:ascii="Times New Roman" w:hAnsi="Times New Roman" w:eastAsia="宋体" w:cs="Times New Roman"/>
                      <w:color w:val="auto"/>
                      <w:spacing w:val="-6"/>
                      <w:kern w:val="0"/>
                      <w:szCs w:val="21"/>
                      <w:highlight w:val="none"/>
                      <w:lang w:val="en-US" w:eastAsia="zh-CN"/>
                    </w:rPr>
                    <w:t>1.清洁生产水平不低于国家清洁生产标准规定的国内先进水平。</w:t>
                  </w:r>
                </w:p>
                <w:p w14:paraId="3176326A">
                  <w:pPr>
                    <w:shd w:val="clear"/>
                    <w:bidi w:val="0"/>
                    <w:jc w:val="center"/>
                    <w:outlineLvl w:val="9"/>
                    <w:rPr>
                      <w:rStyle w:val="98"/>
                      <w:rFonts w:hint="default" w:ascii="Times New Roman" w:hAnsi="Times New Roman" w:eastAsia="宋体" w:cs="Times New Roman"/>
                      <w:color w:val="auto"/>
                      <w:spacing w:val="-6"/>
                      <w:kern w:val="0"/>
                      <w:szCs w:val="21"/>
                      <w:highlight w:val="none"/>
                    </w:rPr>
                  </w:pPr>
                  <w:r>
                    <w:rPr>
                      <w:rStyle w:val="98"/>
                      <w:rFonts w:hint="default" w:ascii="Times New Roman" w:hAnsi="Times New Roman" w:eastAsia="宋体" w:cs="Times New Roman"/>
                      <w:color w:val="auto"/>
                      <w:spacing w:val="-6"/>
                      <w:kern w:val="0"/>
                      <w:szCs w:val="21"/>
                      <w:highlight w:val="none"/>
                      <w:lang w:val="en-US" w:eastAsia="zh-CN"/>
                    </w:rPr>
                    <w:t>2.工业固废综合利用率≥70%，再生水回用率100%，工业用水重复利用率100%，单位工业增加值综合耗能≤0.5吨标煤/万元。</w:t>
                  </w:r>
                </w:p>
              </w:tc>
              <w:tc>
                <w:tcPr>
                  <w:tcW w:w="2710" w:type="dxa"/>
                  <w:tcBorders>
                    <w:tl2br w:val="nil"/>
                    <w:tr2bl w:val="nil"/>
                  </w:tcBorders>
                  <w:noWrap w:val="0"/>
                  <w:vAlign w:val="center"/>
                </w:tcPr>
                <w:p w14:paraId="10CE8635">
                  <w:pPr>
                    <w:shd w:val="clear"/>
                    <w:bidi w:val="0"/>
                    <w:jc w:val="center"/>
                    <w:outlineLvl w:val="9"/>
                    <w:rPr>
                      <w:rStyle w:val="98"/>
                      <w:rFonts w:hint="default" w:ascii="Times New Roman" w:hAnsi="Times New Roman" w:eastAsia="宋体" w:cs="Times New Roman"/>
                      <w:color w:val="auto"/>
                      <w:spacing w:val="-6"/>
                      <w:kern w:val="0"/>
                      <w:szCs w:val="21"/>
                      <w:highlight w:val="none"/>
                      <w:lang w:val="en-US" w:eastAsia="zh-CN"/>
                    </w:rPr>
                  </w:pPr>
                  <w:r>
                    <w:rPr>
                      <w:rStyle w:val="98"/>
                      <w:rFonts w:hint="default" w:ascii="Times New Roman" w:hAnsi="Times New Roman" w:eastAsia="宋体" w:cs="Times New Roman"/>
                      <w:color w:val="auto"/>
                      <w:spacing w:val="-6"/>
                      <w:kern w:val="0"/>
                      <w:szCs w:val="21"/>
                      <w:highlight w:val="none"/>
                      <w:lang w:val="en-US" w:eastAsia="zh-CN"/>
                    </w:rPr>
                    <w:t>1.本项目清洁生产水平不低于国家清洁生产标准规定的国内先进水平。</w:t>
                  </w:r>
                </w:p>
                <w:p w14:paraId="08F4AAF1">
                  <w:pPr>
                    <w:shd w:val="clear"/>
                    <w:bidi w:val="0"/>
                    <w:jc w:val="center"/>
                    <w:outlineLvl w:val="9"/>
                    <w:rPr>
                      <w:rStyle w:val="98"/>
                      <w:rFonts w:hint="default" w:ascii="Times New Roman" w:hAnsi="Times New Roman" w:eastAsia="宋体" w:cs="Times New Roman"/>
                      <w:color w:val="auto"/>
                      <w:spacing w:val="-6"/>
                      <w:kern w:val="0"/>
                      <w:szCs w:val="21"/>
                      <w:highlight w:val="none"/>
                    </w:rPr>
                  </w:pPr>
                  <w:r>
                    <w:rPr>
                      <w:rStyle w:val="98"/>
                      <w:rFonts w:hint="default" w:ascii="Times New Roman" w:hAnsi="Times New Roman" w:eastAsia="宋体" w:cs="Times New Roman"/>
                      <w:color w:val="auto"/>
                      <w:spacing w:val="-6"/>
                      <w:kern w:val="0"/>
                      <w:szCs w:val="21"/>
                      <w:highlight w:val="none"/>
                      <w:lang w:val="en-US" w:eastAsia="zh-CN"/>
                    </w:rPr>
                    <w:t>2.工业固体</w:t>
                  </w:r>
                  <w:r>
                    <w:rPr>
                      <w:rStyle w:val="98"/>
                      <w:rFonts w:hint="default" w:ascii="Times New Roman" w:hAnsi="Times New Roman" w:eastAsia="宋体" w:cs="Times New Roman"/>
                      <w:color w:val="auto"/>
                      <w:spacing w:val="-6"/>
                      <w:kern w:val="0"/>
                      <w:sz w:val="21"/>
                      <w:szCs w:val="21"/>
                      <w:highlight w:val="none"/>
                      <w:lang w:val="en-US" w:eastAsia="zh-CN"/>
                    </w:rPr>
                    <w:t>废物综合利用率≥70%。</w:t>
                  </w:r>
                  <w:r>
                    <w:rPr>
                      <w:rStyle w:val="98"/>
                      <w:rFonts w:hint="default" w:ascii="Times New Roman" w:hAnsi="Times New Roman" w:eastAsia="宋体" w:cs="Times New Roman"/>
                      <w:color w:val="auto"/>
                      <w:kern w:val="0"/>
                      <w:sz w:val="21"/>
                      <w:szCs w:val="21"/>
                      <w:highlight w:val="none"/>
                      <w:lang w:val="en-US" w:eastAsia="zh-CN"/>
                    </w:rPr>
                    <w:t>前处理废水及冷却系统定期排污水经处理达标后回用于生产补充水，生产废水不外排</w:t>
                  </w:r>
                  <w:r>
                    <w:rPr>
                      <w:rStyle w:val="98"/>
                      <w:rFonts w:hint="default" w:ascii="Times New Roman" w:hAnsi="Times New Roman" w:eastAsia="宋体" w:cs="Times New Roman"/>
                      <w:color w:val="auto"/>
                      <w:kern w:val="0"/>
                      <w:sz w:val="21"/>
                      <w:szCs w:val="21"/>
                      <w:highlight w:val="none"/>
                    </w:rPr>
                    <w:t>。</w:t>
                  </w:r>
                  <w:r>
                    <w:rPr>
                      <w:rStyle w:val="98"/>
                      <w:rFonts w:hint="default" w:ascii="Times New Roman" w:hAnsi="Times New Roman" w:eastAsia="宋体" w:cs="Times New Roman"/>
                      <w:color w:val="auto"/>
                      <w:spacing w:val="-6"/>
                      <w:kern w:val="0"/>
                      <w:sz w:val="21"/>
                      <w:szCs w:val="21"/>
                      <w:highlight w:val="none"/>
                      <w:lang w:val="en-US" w:eastAsia="zh-CN"/>
                    </w:rPr>
                    <w:t>单位工业增加值综</w:t>
                  </w:r>
                  <w:r>
                    <w:rPr>
                      <w:rStyle w:val="98"/>
                      <w:rFonts w:hint="default" w:ascii="Times New Roman" w:hAnsi="Times New Roman" w:eastAsia="宋体" w:cs="Times New Roman"/>
                      <w:color w:val="auto"/>
                      <w:spacing w:val="-6"/>
                      <w:kern w:val="0"/>
                      <w:szCs w:val="21"/>
                      <w:highlight w:val="none"/>
                      <w:lang w:val="en-US" w:eastAsia="zh-CN"/>
                    </w:rPr>
                    <w:t>合能耗≤0.5吨标煤/万元。</w:t>
                  </w:r>
                </w:p>
              </w:tc>
              <w:tc>
                <w:tcPr>
                  <w:tcW w:w="702" w:type="dxa"/>
                  <w:tcBorders>
                    <w:tl2br w:val="nil"/>
                    <w:tr2bl w:val="nil"/>
                  </w:tcBorders>
                  <w:noWrap w:val="0"/>
                  <w:vAlign w:val="center"/>
                </w:tcPr>
                <w:p w14:paraId="75489F58">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bl>
          <w:p w14:paraId="3D4045EA">
            <w:pPr>
              <w:pStyle w:val="79"/>
              <w:shd w:val="clear"/>
              <w:ind w:firstLine="482"/>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highlight w:val="none"/>
              </w:rPr>
              <w:t>由上表可知，本项目建设符合</w:t>
            </w:r>
            <w:r>
              <w:rPr>
                <w:rFonts w:hint="default" w:ascii="Times New Roman" w:hAnsi="Times New Roman" w:eastAsia="宋体" w:cs="Times New Roman"/>
                <w:color w:val="auto"/>
                <w:sz w:val="24"/>
                <w:highlight w:val="none"/>
                <w:lang w:val="zh-CN"/>
              </w:rPr>
              <w:t>《昆明市人民政府关于昆明市“三线一单”生态环境分区管控的实施意见》（</w:t>
            </w:r>
            <w:r>
              <w:rPr>
                <w:rFonts w:hint="default" w:ascii="Times New Roman" w:hAnsi="Times New Roman" w:eastAsia="宋体" w:cs="Times New Roman"/>
                <w:color w:val="auto"/>
                <w:sz w:val="24"/>
                <w:highlight w:val="none"/>
              </w:rPr>
              <w:t>昆政发2021[21号]</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中相关要求。</w:t>
            </w:r>
          </w:p>
          <w:bookmarkEnd w:id="7"/>
          <w:bookmarkEnd w:id="8"/>
          <w:bookmarkEnd w:id="9"/>
          <w:p w14:paraId="45911934">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2、产业政策符合性分析</w:t>
            </w:r>
          </w:p>
          <w:p w14:paraId="284BC639">
            <w:pPr>
              <w:pStyle w:val="25"/>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宋体" w:cs="Times New Roman"/>
                <w:color w:val="auto"/>
                <w:spacing w:val="-3"/>
                <w:sz w:val="24"/>
                <w:highlight w:val="none"/>
              </w:rPr>
            </w:pPr>
            <w:r>
              <w:rPr>
                <w:rFonts w:hint="default" w:ascii="Times New Roman" w:hAnsi="Times New Roman" w:eastAsia="宋体" w:cs="Times New Roman"/>
                <w:color w:val="auto"/>
                <w:sz w:val="24"/>
                <w:szCs w:val="24"/>
                <w:highlight w:val="none"/>
                <w:lang w:eastAsia="zh-CN"/>
              </w:rPr>
              <w:t>本项目为</w:t>
            </w:r>
            <w:r>
              <w:rPr>
                <w:rFonts w:hint="eastAsia" w:cs="Times New Roman"/>
                <w:color w:val="auto"/>
                <w:sz w:val="24"/>
                <w:szCs w:val="24"/>
                <w:highlight w:val="none"/>
                <w:lang w:val="zh-CN"/>
              </w:rPr>
              <w:t>竹木纤维集成墙板及扣板</w:t>
            </w:r>
            <w:r>
              <w:rPr>
                <w:rFonts w:hint="default" w:ascii="Times New Roman" w:hAnsi="Times New Roman" w:eastAsia="宋体" w:cs="Times New Roman"/>
                <w:color w:val="auto"/>
                <w:sz w:val="24"/>
                <w:szCs w:val="24"/>
                <w:highlight w:val="none"/>
                <w:lang w:eastAsia="zh-CN"/>
              </w:rPr>
              <w:t>等生产制造项目。</w:t>
            </w:r>
            <w:r>
              <w:rPr>
                <w:rFonts w:hint="default" w:ascii="Times New Roman" w:hAnsi="Times New Roman" w:eastAsia="宋体" w:cs="Times New Roman"/>
                <w:color w:val="auto"/>
                <w:sz w:val="24"/>
                <w:szCs w:val="24"/>
                <w:highlight w:val="none"/>
              </w:rPr>
              <w:t>根据《产业结构调整指导目录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20</w:t>
            </w:r>
            <w:r>
              <w:rPr>
                <w:rFonts w:hint="eastAsia" w:ascii="Times New Roman" w:hAnsi="Times New Roman"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年本</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rPr>
              <w:t>不属于产业结构调整政策内的</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限制</w:t>
            </w:r>
            <w:r>
              <w:rPr>
                <w:rFonts w:hint="default" w:ascii="Times New Roman" w:hAnsi="Times New Roman" w:eastAsia="宋体" w:cs="Times New Roman"/>
                <w:color w:val="auto"/>
                <w:sz w:val="24"/>
                <w:szCs w:val="24"/>
                <w:highlight w:val="none"/>
                <w:lang w:val="en-US" w:eastAsia="zh-CN"/>
              </w:rPr>
              <w:t>类</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淘汰类</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及</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鼓励类</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行业，为允许类项目</w:t>
            </w:r>
            <w:r>
              <w:rPr>
                <w:rFonts w:hint="default" w:ascii="Times New Roman" w:hAnsi="Times New Roman" w:eastAsia="宋体" w:cs="Times New Roman"/>
                <w:color w:val="auto"/>
                <w:sz w:val="24"/>
                <w:szCs w:val="24"/>
                <w:highlight w:val="none"/>
                <w:lang w:val="en-US" w:eastAsia="zh-CN"/>
              </w:rPr>
              <w:t>。同时，</w:t>
            </w:r>
            <w:r>
              <w:rPr>
                <w:rFonts w:hint="default" w:ascii="Times New Roman" w:hAnsi="Times New Roman" w:eastAsia="宋体" w:cs="Times New Roman"/>
                <w:color w:val="auto"/>
                <w:kern w:val="0"/>
                <w:sz w:val="24"/>
                <w:highlight w:val="none"/>
                <w:lang w:eastAsia="zh-CN"/>
              </w:rPr>
              <w:t>本项目设备不属于国家明令淘汰的落后设备</w:t>
            </w:r>
            <w:r>
              <w:rPr>
                <w:rFonts w:hint="default" w:ascii="Times New Roman" w:hAnsi="Times New Roman" w:eastAsia="宋体" w:cs="Times New Roman"/>
                <w:color w:val="auto"/>
                <w:spacing w:val="-3"/>
                <w:sz w:val="24"/>
                <w:highlight w:val="none"/>
              </w:rPr>
              <w:t>，符合国家和云南省</w:t>
            </w:r>
            <w:r>
              <w:rPr>
                <w:rFonts w:hint="default" w:ascii="Times New Roman" w:hAnsi="Times New Roman" w:eastAsia="宋体" w:cs="Times New Roman"/>
                <w:color w:val="auto"/>
                <w:spacing w:val="-3"/>
                <w:sz w:val="24"/>
                <w:highlight w:val="none"/>
                <w:lang w:val="en-US" w:eastAsia="zh-CN"/>
              </w:rPr>
              <w:t>现行相关</w:t>
            </w:r>
            <w:r>
              <w:rPr>
                <w:rFonts w:hint="default" w:ascii="Times New Roman" w:hAnsi="Times New Roman" w:eastAsia="宋体" w:cs="Times New Roman"/>
                <w:color w:val="auto"/>
                <w:spacing w:val="-3"/>
                <w:sz w:val="24"/>
                <w:highlight w:val="none"/>
              </w:rPr>
              <w:t>产业政策。</w:t>
            </w:r>
          </w:p>
          <w:p w14:paraId="01A52A7B">
            <w:pPr>
              <w:pStyle w:val="25"/>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firstLine="468"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pacing w:val="-3"/>
                <w:sz w:val="24"/>
                <w:highlight w:val="none"/>
                <w:lang w:val="en-US" w:eastAsia="zh-CN"/>
              </w:rPr>
              <w:t>综上，本项目</w:t>
            </w:r>
            <w:r>
              <w:rPr>
                <w:rFonts w:hint="default" w:ascii="Times New Roman" w:hAnsi="Times New Roman" w:eastAsia="宋体" w:cs="Times New Roman"/>
                <w:color w:val="auto"/>
                <w:sz w:val="24"/>
                <w:szCs w:val="24"/>
                <w:highlight w:val="none"/>
                <w:lang w:val="en-US" w:eastAsia="zh-CN"/>
              </w:rPr>
              <w:t>符合国家和地方相关产业政策。</w:t>
            </w:r>
          </w:p>
          <w:p w14:paraId="4F086DE1">
            <w:pPr>
              <w:keepNext w:val="0"/>
              <w:keepLines w:val="0"/>
              <w:pageBreakBefore w:val="0"/>
              <w:shd w:val="clear"/>
              <w:kinsoku/>
              <w:wordWrap/>
              <w:overflowPunct/>
              <w:topLinePunct w:val="0"/>
              <w:bidi w:val="0"/>
              <w:spacing w:line="360" w:lineRule="auto"/>
              <w:ind w:firstLine="482"/>
              <w:textAlignment w:val="auto"/>
              <w:rPr>
                <w:rFonts w:hint="default" w:ascii="Times New Roman" w:hAnsi="Times New Roman" w:eastAsia="宋体" w:cs="Times New Roman"/>
                <w:b/>
                <w:bCs w:val="0"/>
                <w:color w:val="auto"/>
                <w:kern w:val="2"/>
                <w:sz w:val="24"/>
                <w:szCs w:val="24"/>
                <w:highlight w:val="none"/>
                <w:lang w:val="en-US" w:eastAsia="zh-CN" w:bidi="ar-SA"/>
              </w:rPr>
            </w:pPr>
            <w:r>
              <w:rPr>
                <w:rFonts w:hint="default" w:ascii="Times New Roman" w:hAnsi="Times New Roman" w:eastAsia="宋体" w:cs="Times New Roman"/>
                <w:b/>
                <w:bCs w:val="0"/>
                <w:color w:val="auto"/>
                <w:kern w:val="2"/>
                <w:sz w:val="24"/>
                <w:szCs w:val="24"/>
                <w:highlight w:val="none"/>
                <w:lang w:val="en-US" w:eastAsia="zh-CN" w:bidi="ar-SA"/>
              </w:rPr>
              <w:t>3、与《云南省牛栏江保护条例》符合性分析</w:t>
            </w:r>
          </w:p>
          <w:p w14:paraId="70578CE5">
            <w:pPr>
              <w:pStyle w:val="71"/>
              <w:keepNext w:val="0"/>
              <w:keepLines w:val="0"/>
              <w:pageBreakBefore w:val="0"/>
              <w:shd w:val="clear"/>
              <w:kinsoku/>
              <w:wordWrap/>
              <w:overflowPunct/>
              <w:topLinePunct w:val="0"/>
              <w:bidi w:val="0"/>
              <w:spacing w:line="360" w:lineRule="auto"/>
              <w:textAlignment w:val="auto"/>
              <w:rPr>
                <w:rStyle w:val="70"/>
                <w:rFonts w:hint="default" w:ascii="Times New Roman" w:hAnsi="Times New Roman" w:eastAsia="宋体" w:cs="Times New Roman"/>
                <w:color w:val="auto"/>
                <w:sz w:val="24"/>
                <w:highlight w:val="none"/>
              </w:rPr>
            </w:pPr>
            <w:r>
              <w:rPr>
                <w:rStyle w:val="70"/>
                <w:rFonts w:hint="default" w:ascii="Times New Roman" w:hAnsi="Times New Roman" w:eastAsia="宋体" w:cs="Times New Roman"/>
                <w:color w:val="auto"/>
                <w:sz w:val="24"/>
                <w:highlight w:val="none"/>
              </w:rPr>
              <w:t>根据《云南省牛栏江保护条例》牛栏江流域上游保护区划分为水源保护核心区、重点污染控制区和重点水源涵养区。</w:t>
            </w:r>
          </w:p>
          <w:p w14:paraId="18937636">
            <w:pPr>
              <w:pStyle w:val="71"/>
              <w:keepNext w:val="0"/>
              <w:keepLines w:val="0"/>
              <w:pageBreakBefore w:val="0"/>
              <w:shd w:val="clear"/>
              <w:kinsoku/>
              <w:wordWrap/>
              <w:overflowPunct/>
              <w:topLinePunct w:val="0"/>
              <w:bidi w:val="0"/>
              <w:spacing w:line="360" w:lineRule="auto"/>
              <w:textAlignment w:val="auto"/>
              <w:rPr>
                <w:rStyle w:val="70"/>
                <w:rFonts w:hint="default" w:ascii="Times New Roman" w:hAnsi="Times New Roman" w:eastAsia="宋体" w:cs="Times New Roman"/>
                <w:color w:val="auto"/>
                <w:sz w:val="24"/>
                <w:highlight w:val="none"/>
              </w:rPr>
            </w:pPr>
            <w:r>
              <w:rPr>
                <w:rStyle w:val="70"/>
                <w:rFonts w:hint="default" w:ascii="Times New Roman" w:hAnsi="Times New Roman" w:eastAsia="宋体" w:cs="Times New Roman"/>
                <w:color w:val="auto"/>
                <w:sz w:val="24"/>
                <w:highlight w:val="none"/>
              </w:rPr>
              <w:t>（一）水源保护核心区包括德泽水库库区和德泽水库以上牛栏江干流区。德泽水库库区为德泽水库正常蓄水位1790m水面及沿岸外延2000m的范围，区域范围超过一级山脊线的，按照一级山脊线划定；德泽水库以上牛栏江干流区指德泽水库以上干流（包括干流源头矣纳岔口至嘉丽泽对龙河河段）水域及两岸外延1000m的范围，区域范围超过一级山脊线的，按照一级山脊线划定。</w:t>
            </w:r>
          </w:p>
          <w:p w14:paraId="288CA7CC">
            <w:pPr>
              <w:pStyle w:val="71"/>
              <w:shd w:val="clear"/>
              <w:rPr>
                <w:rStyle w:val="70"/>
                <w:rFonts w:hint="default" w:ascii="Times New Roman" w:hAnsi="Times New Roman" w:eastAsia="宋体" w:cs="Times New Roman"/>
                <w:color w:val="auto"/>
                <w:sz w:val="24"/>
                <w:highlight w:val="none"/>
              </w:rPr>
            </w:pPr>
            <w:r>
              <w:rPr>
                <w:rStyle w:val="70"/>
                <w:rFonts w:hint="default" w:ascii="Times New Roman" w:hAnsi="Times New Roman" w:eastAsia="宋体" w:cs="Times New Roman"/>
                <w:color w:val="auto"/>
                <w:sz w:val="24"/>
                <w:highlight w:val="none"/>
              </w:rPr>
              <w:t>（二）重点污染控制区为水源保护核心区以外，流域范围内的坝区以及花庄河、果马河、普沙河、弥良河、对龙河、杨林河、匡郎河、前进河、马龙河水域及两岸外延3000m的区域，区域范围超过一级山脊线的，按照一级山脊线划定。</w:t>
            </w:r>
          </w:p>
          <w:p w14:paraId="2EB9166B">
            <w:pPr>
              <w:pStyle w:val="71"/>
              <w:shd w:val="clear"/>
              <w:rPr>
                <w:rStyle w:val="70"/>
                <w:rFonts w:hint="default" w:ascii="Times New Roman" w:hAnsi="Times New Roman" w:eastAsia="宋体" w:cs="Times New Roman"/>
                <w:color w:val="auto"/>
                <w:sz w:val="24"/>
                <w:highlight w:val="none"/>
              </w:rPr>
            </w:pPr>
            <w:r>
              <w:rPr>
                <w:rStyle w:val="70"/>
                <w:rFonts w:hint="default" w:ascii="Times New Roman" w:hAnsi="Times New Roman" w:eastAsia="宋体" w:cs="Times New Roman"/>
                <w:color w:val="auto"/>
                <w:sz w:val="24"/>
                <w:highlight w:val="none"/>
              </w:rPr>
              <w:t>（三）重点水源涵养区为流域范围内除水源保护核心区、重点污染控制区以外的集水区域。</w:t>
            </w:r>
          </w:p>
          <w:p w14:paraId="03B7819E">
            <w:pPr>
              <w:pStyle w:val="71"/>
              <w:shd w:val="clear"/>
              <w:rPr>
                <w:rStyle w:val="70"/>
                <w:rFonts w:hint="default" w:ascii="Times New Roman" w:hAnsi="Times New Roman" w:eastAsia="宋体" w:cs="Times New Roman"/>
                <w:color w:val="auto"/>
                <w:sz w:val="24"/>
                <w:highlight w:val="none"/>
              </w:rPr>
            </w:pPr>
            <w:r>
              <w:rPr>
                <w:rStyle w:val="70"/>
                <w:rFonts w:hint="default" w:ascii="Times New Roman" w:hAnsi="Times New Roman" w:eastAsia="宋体" w:cs="Times New Roman"/>
                <w:color w:val="auto"/>
                <w:sz w:val="24"/>
                <w:highlight w:val="none"/>
              </w:rPr>
              <w:t>本项目位于</w:t>
            </w:r>
            <w:r>
              <w:rPr>
                <w:rFonts w:hint="default" w:ascii="Times New Roman" w:hAnsi="Times New Roman" w:eastAsia="宋体" w:cs="Times New Roman"/>
                <w:color w:val="auto"/>
                <w:sz w:val="24"/>
                <w:szCs w:val="24"/>
                <w:highlight w:val="none"/>
                <w:u w:val="none"/>
                <w:lang w:val="en-US" w:eastAsia="zh-CN"/>
              </w:rPr>
              <w:t>云南寻甸产业园区金所片区金所组团</w:t>
            </w:r>
            <w:r>
              <w:rPr>
                <w:rFonts w:hint="eastAsia" w:cs="Times New Roman"/>
                <w:color w:val="auto"/>
                <w:sz w:val="24"/>
                <w:szCs w:val="24"/>
                <w:highlight w:val="none"/>
                <w:u w:val="none"/>
                <w:lang w:val="en-US" w:eastAsia="zh-CN"/>
              </w:rPr>
              <w:t>绿色建材产业区</w:t>
            </w:r>
            <w:r>
              <w:rPr>
                <w:rStyle w:val="70"/>
                <w:rFonts w:hint="default" w:ascii="Times New Roman" w:hAnsi="Times New Roman" w:eastAsia="宋体" w:cs="Times New Roman"/>
                <w:color w:val="auto"/>
                <w:sz w:val="24"/>
                <w:highlight w:val="none"/>
              </w:rPr>
              <w:t>，根据牛栏江水系功能规划图可知，项目区属于</w:t>
            </w:r>
            <w:r>
              <w:rPr>
                <w:rStyle w:val="70"/>
                <w:rFonts w:hint="default" w:ascii="Times New Roman" w:hAnsi="Times New Roman" w:eastAsia="宋体" w:cs="Times New Roman"/>
                <w:color w:val="auto"/>
                <w:sz w:val="24"/>
                <w:highlight w:val="none"/>
                <w:lang w:val="en-US"/>
              </w:rPr>
              <w:t>重点</w:t>
            </w:r>
            <w:r>
              <w:rPr>
                <w:rStyle w:val="70"/>
                <w:rFonts w:hint="default" w:ascii="Times New Roman" w:hAnsi="Times New Roman" w:eastAsia="宋体" w:cs="Times New Roman"/>
                <w:color w:val="auto"/>
                <w:sz w:val="24"/>
                <w:highlight w:val="none"/>
              </w:rPr>
              <w:t>污染控制区，本项目与牛栏江流域的位置关系详见附图</w:t>
            </w:r>
            <w:r>
              <w:rPr>
                <w:rStyle w:val="70"/>
                <w:rFonts w:hint="eastAsia" w:cs="Times New Roman"/>
                <w:color w:val="auto"/>
                <w:sz w:val="24"/>
                <w:highlight w:val="none"/>
                <w:lang w:val="en-US"/>
              </w:rPr>
              <w:t>5</w:t>
            </w:r>
            <w:r>
              <w:rPr>
                <w:rStyle w:val="70"/>
                <w:rFonts w:hint="default" w:ascii="Times New Roman" w:hAnsi="Times New Roman" w:eastAsia="宋体" w:cs="Times New Roman"/>
                <w:color w:val="auto"/>
                <w:sz w:val="24"/>
                <w:highlight w:val="none"/>
              </w:rPr>
              <w:t>。根据《云南省牛栏江保护条例》中第三十二、三十三条中规定的禁止行为分析项目选址符合性。</w:t>
            </w:r>
          </w:p>
          <w:p w14:paraId="460D932A">
            <w:pPr>
              <w:shd w:val="clea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1-6</w:t>
            </w:r>
            <w:r>
              <w:rPr>
                <w:rFonts w:hint="default" w:ascii="Times New Roman" w:hAnsi="Times New Roman" w:eastAsia="宋体" w:cs="Times New Roman"/>
                <w:b/>
                <w:bCs/>
                <w:color w:val="auto"/>
                <w:spacing w:val="-2"/>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建设内容与《云南省牛栏江保护条例》符合性分析</w:t>
            </w:r>
          </w:p>
          <w:tbl>
            <w:tblPr>
              <w:tblStyle w:val="26"/>
              <w:tblW w:w="7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195"/>
              <w:gridCol w:w="3267"/>
              <w:gridCol w:w="688"/>
            </w:tblGrid>
            <w:tr w14:paraId="1837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center"/>
                </w:tcPr>
                <w:p w14:paraId="0D05838E">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b/>
                      <w:bCs/>
                      <w:color w:val="auto"/>
                      <w:sz w:val="21"/>
                      <w:szCs w:val="21"/>
                      <w:highlight w:val="none"/>
                    </w:rPr>
                  </w:pPr>
                  <w:r>
                    <w:rPr>
                      <w:rStyle w:val="70"/>
                      <w:rFonts w:hint="default" w:ascii="Times New Roman" w:hAnsi="Times New Roman" w:eastAsia="宋体" w:cs="Times New Roman"/>
                      <w:b/>
                      <w:bCs/>
                      <w:color w:val="auto"/>
                      <w:sz w:val="21"/>
                      <w:szCs w:val="21"/>
                      <w:highlight w:val="none"/>
                    </w:rPr>
                    <w:t>保护区划分</w:t>
                  </w:r>
                </w:p>
              </w:tc>
              <w:tc>
                <w:tcPr>
                  <w:tcW w:w="3195" w:type="dxa"/>
                  <w:noWrap w:val="0"/>
                  <w:vAlign w:val="center"/>
                </w:tcPr>
                <w:p w14:paraId="26819EA7">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b/>
                      <w:bCs/>
                      <w:color w:val="auto"/>
                      <w:sz w:val="21"/>
                      <w:szCs w:val="21"/>
                      <w:highlight w:val="none"/>
                    </w:rPr>
                  </w:pPr>
                  <w:r>
                    <w:rPr>
                      <w:rStyle w:val="70"/>
                      <w:rFonts w:hint="default" w:ascii="Times New Roman" w:hAnsi="Times New Roman" w:eastAsia="宋体" w:cs="Times New Roman"/>
                      <w:b/>
                      <w:bCs/>
                      <w:color w:val="auto"/>
                      <w:sz w:val="21"/>
                      <w:szCs w:val="21"/>
                      <w:highlight w:val="none"/>
                    </w:rPr>
                    <w:t>禁止行为</w:t>
                  </w:r>
                </w:p>
              </w:tc>
              <w:tc>
                <w:tcPr>
                  <w:tcW w:w="3267" w:type="dxa"/>
                  <w:noWrap w:val="0"/>
                  <w:vAlign w:val="center"/>
                </w:tcPr>
                <w:p w14:paraId="237AE783">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b/>
                      <w:bCs/>
                      <w:color w:val="auto"/>
                      <w:sz w:val="21"/>
                      <w:szCs w:val="21"/>
                      <w:highlight w:val="none"/>
                    </w:rPr>
                  </w:pPr>
                  <w:r>
                    <w:rPr>
                      <w:rStyle w:val="70"/>
                      <w:rFonts w:hint="default" w:ascii="Times New Roman" w:hAnsi="Times New Roman" w:eastAsia="宋体" w:cs="Times New Roman"/>
                      <w:b/>
                      <w:bCs/>
                      <w:color w:val="auto"/>
                      <w:sz w:val="21"/>
                      <w:szCs w:val="21"/>
                      <w:highlight w:val="none"/>
                    </w:rPr>
                    <w:t>建设内容</w:t>
                  </w:r>
                </w:p>
              </w:tc>
              <w:tc>
                <w:tcPr>
                  <w:tcW w:w="688" w:type="dxa"/>
                  <w:noWrap w:val="0"/>
                  <w:vAlign w:val="center"/>
                </w:tcPr>
                <w:p w14:paraId="1C45E978">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b/>
                      <w:bCs/>
                      <w:color w:val="auto"/>
                      <w:sz w:val="21"/>
                      <w:szCs w:val="21"/>
                      <w:highlight w:val="none"/>
                    </w:rPr>
                  </w:pPr>
                  <w:r>
                    <w:rPr>
                      <w:rStyle w:val="70"/>
                      <w:rFonts w:hint="default" w:ascii="Times New Roman" w:hAnsi="Times New Roman" w:eastAsia="宋体" w:cs="Times New Roman"/>
                      <w:b/>
                      <w:bCs/>
                      <w:color w:val="auto"/>
                      <w:sz w:val="21"/>
                      <w:szCs w:val="21"/>
                      <w:highlight w:val="none"/>
                    </w:rPr>
                    <w:t>符合性</w:t>
                  </w:r>
                </w:p>
              </w:tc>
            </w:tr>
            <w:tr w14:paraId="6355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30" w:type="dxa"/>
                  <w:vMerge w:val="restart"/>
                  <w:noWrap w:val="0"/>
                  <w:vAlign w:val="center"/>
                </w:tcPr>
                <w:p w14:paraId="0A11F098">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lang w:val="en-US"/>
                    </w:rPr>
                    <w:t>重点</w:t>
                  </w:r>
                  <w:r>
                    <w:rPr>
                      <w:rStyle w:val="70"/>
                      <w:rFonts w:hint="default" w:ascii="Times New Roman" w:hAnsi="Times New Roman" w:eastAsia="宋体" w:cs="Times New Roman"/>
                      <w:color w:val="auto"/>
                      <w:sz w:val="21"/>
                      <w:szCs w:val="21"/>
                      <w:highlight w:val="none"/>
                    </w:rPr>
                    <w:t>污染控制区</w:t>
                  </w:r>
                </w:p>
              </w:tc>
              <w:tc>
                <w:tcPr>
                  <w:tcW w:w="3195" w:type="dxa"/>
                  <w:noWrap w:val="0"/>
                  <w:vAlign w:val="center"/>
                </w:tcPr>
                <w:p w14:paraId="0AE9C564">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（一）盗伐、滥伐林木和破坏草地；</w:t>
                  </w:r>
                </w:p>
              </w:tc>
              <w:tc>
                <w:tcPr>
                  <w:tcW w:w="3267" w:type="dxa"/>
                  <w:noWrap w:val="0"/>
                  <w:vAlign w:val="center"/>
                </w:tcPr>
                <w:p w14:paraId="20DD612A">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项目位于</w:t>
                  </w:r>
                  <w:r>
                    <w:rPr>
                      <w:rFonts w:hint="default" w:ascii="Times New Roman" w:hAnsi="Times New Roman" w:eastAsia="宋体" w:cs="Times New Roman"/>
                      <w:color w:val="auto"/>
                      <w:sz w:val="21"/>
                      <w:szCs w:val="21"/>
                      <w:highlight w:val="none"/>
                      <w:u w:val="none"/>
                      <w:lang w:val="en-US" w:eastAsia="zh-CN"/>
                    </w:rPr>
                    <w:t>云南寻甸产业园区金所片区金所组团</w:t>
                  </w:r>
                  <w:r>
                    <w:rPr>
                      <w:rFonts w:hint="eastAsia" w:cs="Times New Roman"/>
                      <w:color w:val="auto"/>
                      <w:sz w:val="21"/>
                      <w:szCs w:val="21"/>
                      <w:highlight w:val="none"/>
                      <w:u w:val="none"/>
                      <w:lang w:val="en-US" w:eastAsia="zh-CN"/>
                    </w:rPr>
                    <w:t>绿色建材产业区</w:t>
                  </w:r>
                  <w:r>
                    <w:rPr>
                      <w:rStyle w:val="70"/>
                      <w:rFonts w:hint="default" w:ascii="Times New Roman" w:hAnsi="Times New Roman" w:eastAsia="宋体" w:cs="Times New Roman"/>
                      <w:color w:val="auto"/>
                      <w:sz w:val="21"/>
                      <w:szCs w:val="21"/>
                      <w:highlight w:val="none"/>
                    </w:rPr>
                    <w:t>，为</w:t>
                  </w:r>
                  <w:r>
                    <w:rPr>
                      <w:rStyle w:val="70"/>
                      <w:rFonts w:hint="default" w:ascii="Times New Roman" w:hAnsi="Times New Roman" w:eastAsia="宋体" w:cs="Times New Roman"/>
                      <w:color w:val="auto"/>
                      <w:sz w:val="21"/>
                      <w:szCs w:val="21"/>
                      <w:highlight w:val="none"/>
                      <w:lang w:val="en-US"/>
                    </w:rPr>
                    <w:t>新建</w:t>
                  </w:r>
                  <w:r>
                    <w:rPr>
                      <w:rStyle w:val="70"/>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rPr>
                    <w:t>项目用地属</w:t>
                  </w:r>
                  <w:r>
                    <w:rPr>
                      <w:rFonts w:hint="default" w:ascii="Times New Roman" w:hAnsi="Times New Roman" w:eastAsia="宋体" w:cs="Times New Roman"/>
                      <w:color w:val="auto"/>
                      <w:sz w:val="21"/>
                      <w:szCs w:val="18"/>
                      <w:highlight w:val="none"/>
                    </w:rPr>
                    <w:t>于园区工业用地，不存在盗伐、滥伐林木和破坏草地行为</w:t>
                  </w:r>
                  <w:r>
                    <w:rPr>
                      <w:rStyle w:val="70"/>
                      <w:rFonts w:hint="default" w:ascii="Times New Roman" w:hAnsi="Times New Roman" w:eastAsia="宋体" w:cs="Times New Roman"/>
                      <w:color w:val="auto"/>
                      <w:sz w:val="21"/>
                      <w:szCs w:val="21"/>
                      <w:highlight w:val="none"/>
                    </w:rPr>
                    <w:t>。</w:t>
                  </w:r>
                </w:p>
              </w:tc>
              <w:tc>
                <w:tcPr>
                  <w:tcW w:w="688" w:type="dxa"/>
                  <w:noWrap w:val="0"/>
                  <w:vAlign w:val="center"/>
                </w:tcPr>
                <w:p w14:paraId="6304F6F1">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符合</w:t>
                  </w:r>
                </w:p>
              </w:tc>
            </w:tr>
            <w:tr w14:paraId="469D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noWrap w:val="0"/>
                  <w:vAlign w:val="center"/>
                </w:tcPr>
                <w:p w14:paraId="24A61E2F">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p>
              </w:tc>
              <w:tc>
                <w:tcPr>
                  <w:tcW w:w="3195" w:type="dxa"/>
                  <w:noWrap w:val="0"/>
                  <w:vAlign w:val="center"/>
                </w:tcPr>
                <w:p w14:paraId="20E1B7B8">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（二）使用高毒、高残留农药；</w:t>
                  </w:r>
                </w:p>
              </w:tc>
              <w:tc>
                <w:tcPr>
                  <w:tcW w:w="3267" w:type="dxa"/>
                  <w:noWrap w:val="0"/>
                  <w:vAlign w:val="center"/>
                </w:tcPr>
                <w:p w14:paraId="01FE3598">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不涉及。</w:t>
                  </w:r>
                </w:p>
              </w:tc>
              <w:tc>
                <w:tcPr>
                  <w:tcW w:w="688" w:type="dxa"/>
                  <w:noWrap w:val="0"/>
                  <w:vAlign w:val="center"/>
                </w:tcPr>
                <w:p w14:paraId="26E55404">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符合</w:t>
                  </w:r>
                </w:p>
              </w:tc>
            </w:tr>
            <w:tr w14:paraId="175E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noWrap w:val="0"/>
                  <w:vAlign w:val="center"/>
                </w:tcPr>
                <w:p w14:paraId="697D0B7B">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p>
              </w:tc>
              <w:tc>
                <w:tcPr>
                  <w:tcW w:w="3195" w:type="dxa"/>
                  <w:noWrap w:val="0"/>
                  <w:vAlign w:val="center"/>
                </w:tcPr>
                <w:p w14:paraId="3806AA3A">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（三）利用溶洞、渗井、渗坑、裂隙排放、倾倒含有毒有害物质的废水、废渣；</w:t>
                  </w:r>
                </w:p>
              </w:tc>
              <w:tc>
                <w:tcPr>
                  <w:tcW w:w="3267" w:type="dxa"/>
                  <w:vMerge w:val="restart"/>
                  <w:noWrap w:val="0"/>
                  <w:vAlign w:val="center"/>
                </w:tcPr>
                <w:p w14:paraId="01A82088">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1.项目无废水外排。</w:t>
                  </w:r>
                </w:p>
                <w:p w14:paraId="03B8AB53">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2.项目所有固体废弃物均得到合理有效的利用和处置，处置率为100%。</w:t>
                  </w:r>
                </w:p>
              </w:tc>
              <w:tc>
                <w:tcPr>
                  <w:tcW w:w="688" w:type="dxa"/>
                  <w:noWrap w:val="0"/>
                  <w:vAlign w:val="center"/>
                </w:tcPr>
                <w:p w14:paraId="231253A6">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符合</w:t>
                  </w:r>
                </w:p>
              </w:tc>
            </w:tr>
            <w:tr w14:paraId="3071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noWrap w:val="0"/>
                  <w:vAlign w:val="center"/>
                </w:tcPr>
                <w:p w14:paraId="42869CBD">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p>
              </w:tc>
              <w:tc>
                <w:tcPr>
                  <w:tcW w:w="3195" w:type="dxa"/>
                  <w:noWrap w:val="0"/>
                  <w:vAlign w:val="center"/>
                </w:tcPr>
                <w:p w14:paraId="457792B6">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（四）向水体排放废水、倾倒工业废渣、城镇垃圾或者其他废弃物；</w:t>
                  </w:r>
                </w:p>
              </w:tc>
              <w:tc>
                <w:tcPr>
                  <w:tcW w:w="3267" w:type="dxa"/>
                  <w:vMerge w:val="continue"/>
                  <w:noWrap w:val="0"/>
                  <w:vAlign w:val="center"/>
                </w:tcPr>
                <w:p w14:paraId="6CAFAC53">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p>
              </w:tc>
              <w:tc>
                <w:tcPr>
                  <w:tcW w:w="688" w:type="dxa"/>
                  <w:noWrap w:val="0"/>
                  <w:vAlign w:val="center"/>
                </w:tcPr>
                <w:p w14:paraId="72C041A7">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符合</w:t>
                  </w:r>
                </w:p>
              </w:tc>
            </w:tr>
            <w:tr w14:paraId="1B3F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noWrap w:val="0"/>
                  <w:vAlign w:val="center"/>
                </w:tcPr>
                <w:p w14:paraId="2D175529">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p>
              </w:tc>
              <w:tc>
                <w:tcPr>
                  <w:tcW w:w="3195" w:type="dxa"/>
                  <w:noWrap w:val="0"/>
                  <w:vAlign w:val="center"/>
                </w:tcPr>
                <w:p w14:paraId="598C72C5">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（五）在江河、渠道、水库最高水位线以下的滩地、岸坡堆放、存贮固体废弃物或者其他污染物；</w:t>
                  </w:r>
                </w:p>
              </w:tc>
              <w:tc>
                <w:tcPr>
                  <w:tcW w:w="3267" w:type="dxa"/>
                  <w:noWrap w:val="0"/>
                  <w:vAlign w:val="center"/>
                </w:tcPr>
                <w:p w14:paraId="7235DDE9">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项目设置危险废物暂存间暂存危险废物，并委托资质单位进行处置，危险废物贮存设施的选址与设计、运行与管理、安全防护、环境监测及应急措施以及关闭等遵循《危险废物贮存污染控制标准》（GB18597-2023）的规定。</w:t>
                  </w:r>
                </w:p>
              </w:tc>
              <w:tc>
                <w:tcPr>
                  <w:tcW w:w="688" w:type="dxa"/>
                  <w:noWrap w:val="0"/>
                  <w:vAlign w:val="center"/>
                </w:tcPr>
                <w:p w14:paraId="5CD0A0AC">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符合</w:t>
                  </w:r>
                </w:p>
              </w:tc>
            </w:tr>
            <w:tr w14:paraId="4BC7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noWrap w:val="0"/>
                  <w:vAlign w:val="center"/>
                </w:tcPr>
                <w:p w14:paraId="51731831">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p>
              </w:tc>
              <w:tc>
                <w:tcPr>
                  <w:tcW w:w="3195" w:type="dxa"/>
                  <w:noWrap w:val="0"/>
                  <w:vAlign w:val="center"/>
                </w:tcPr>
                <w:p w14:paraId="7D2636F2">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（六）利用无防渗漏措施的沟渠、坑塘等输送或者存贮含有毒污染物的废水、含病原体的污水或者其他废弃物。</w:t>
                  </w:r>
                </w:p>
              </w:tc>
              <w:tc>
                <w:tcPr>
                  <w:tcW w:w="3267" w:type="dxa"/>
                  <w:noWrap w:val="0"/>
                  <w:vAlign w:val="center"/>
                </w:tcPr>
                <w:p w14:paraId="6BF47C5E">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项目不产生含有毒、病原体的污水，项目各污染物均得到妥善处置，无此行为。</w:t>
                  </w:r>
                </w:p>
              </w:tc>
              <w:tc>
                <w:tcPr>
                  <w:tcW w:w="688" w:type="dxa"/>
                  <w:noWrap w:val="0"/>
                  <w:vAlign w:val="center"/>
                </w:tcPr>
                <w:p w14:paraId="2D4667D5">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符合</w:t>
                  </w:r>
                </w:p>
              </w:tc>
            </w:tr>
            <w:tr w14:paraId="066A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noWrap w:val="0"/>
                  <w:vAlign w:val="center"/>
                </w:tcPr>
                <w:p w14:paraId="49306A20">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p>
              </w:tc>
              <w:tc>
                <w:tcPr>
                  <w:tcW w:w="3195" w:type="dxa"/>
                  <w:noWrap w:val="0"/>
                  <w:vAlign w:val="center"/>
                </w:tcPr>
                <w:p w14:paraId="723EDCFF">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（七）新建、扩建工业园区；</w:t>
                  </w:r>
                </w:p>
              </w:tc>
              <w:tc>
                <w:tcPr>
                  <w:tcW w:w="3267" w:type="dxa"/>
                  <w:noWrap w:val="0"/>
                  <w:vAlign w:val="center"/>
                </w:tcPr>
                <w:p w14:paraId="62267B56">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无此行为。</w:t>
                  </w:r>
                </w:p>
              </w:tc>
              <w:tc>
                <w:tcPr>
                  <w:tcW w:w="688" w:type="dxa"/>
                  <w:noWrap w:val="0"/>
                  <w:vAlign w:val="center"/>
                </w:tcPr>
                <w:p w14:paraId="5AFEF08B">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符合</w:t>
                  </w:r>
                </w:p>
              </w:tc>
            </w:tr>
            <w:tr w14:paraId="1C60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noWrap w:val="0"/>
                  <w:vAlign w:val="center"/>
                </w:tcPr>
                <w:p w14:paraId="2709EDF1">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p>
              </w:tc>
              <w:tc>
                <w:tcPr>
                  <w:tcW w:w="3195" w:type="dxa"/>
                  <w:noWrap w:val="0"/>
                  <w:vAlign w:val="center"/>
                </w:tcPr>
                <w:p w14:paraId="127F4ABE">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（八）新建、扩建重点水污染物排放的工业项目；</w:t>
                  </w:r>
                </w:p>
              </w:tc>
              <w:tc>
                <w:tcPr>
                  <w:tcW w:w="3267" w:type="dxa"/>
                  <w:noWrap w:val="0"/>
                  <w:vAlign w:val="center"/>
                </w:tcPr>
                <w:p w14:paraId="569EF3FA">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项目不是重点水污染物排放的工业项目。</w:t>
                  </w:r>
                </w:p>
              </w:tc>
              <w:tc>
                <w:tcPr>
                  <w:tcW w:w="688" w:type="dxa"/>
                  <w:noWrap w:val="0"/>
                  <w:vAlign w:val="center"/>
                </w:tcPr>
                <w:p w14:paraId="7A85412C">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符合</w:t>
                  </w:r>
                </w:p>
              </w:tc>
            </w:tr>
            <w:tr w14:paraId="5D6E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Merge w:val="continue"/>
                  <w:noWrap w:val="0"/>
                  <w:vAlign w:val="center"/>
                </w:tcPr>
                <w:p w14:paraId="78055F02">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p>
              </w:tc>
              <w:tc>
                <w:tcPr>
                  <w:tcW w:w="3195" w:type="dxa"/>
                  <w:noWrap w:val="0"/>
                  <w:vAlign w:val="center"/>
                </w:tcPr>
                <w:p w14:paraId="5E3637CD">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（九）新建、改建、扩建经营性陵园、公墓。</w:t>
                  </w:r>
                </w:p>
              </w:tc>
              <w:tc>
                <w:tcPr>
                  <w:tcW w:w="3267" w:type="dxa"/>
                  <w:noWrap w:val="0"/>
                  <w:vAlign w:val="center"/>
                </w:tcPr>
                <w:p w14:paraId="60C98704">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与项目无关。</w:t>
                  </w:r>
                </w:p>
              </w:tc>
              <w:tc>
                <w:tcPr>
                  <w:tcW w:w="688" w:type="dxa"/>
                  <w:noWrap w:val="0"/>
                  <w:vAlign w:val="center"/>
                </w:tcPr>
                <w:p w14:paraId="087C5CA8">
                  <w:pPr>
                    <w:pStyle w:val="6"/>
                    <w:keepNext w:val="0"/>
                    <w:keepLines w:val="0"/>
                    <w:pageBreakBefore w:val="0"/>
                    <w:widowControl w:val="0"/>
                    <w:shd w:val="clear"/>
                    <w:kinsoku/>
                    <w:wordWrap/>
                    <w:overflowPunct/>
                    <w:topLinePunct w:val="0"/>
                    <w:autoSpaceDE/>
                    <w:autoSpaceDN/>
                    <w:bidi w:val="0"/>
                    <w:adjustRightInd/>
                    <w:snapToGrid/>
                    <w:spacing w:after="0" w:line="240" w:lineRule="auto"/>
                    <w:ind w:firstLine="0" w:firstLineChars="0"/>
                    <w:jc w:val="center"/>
                    <w:textAlignment w:val="auto"/>
                    <w:rPr>
                      <w:rStyle w:val="70"/>
                      <w:rFonts w:hint="default" w:ascii="Times New Roman" w:hAnsi="Times New Roman" w:eastAsia="宋体" w:cs="Times New Roman"/>
                      <w:color w:val="auto"/>
                      <w:sz w:val="21"/>
                      <w:szCs w:val="21"/>
                      <w:highlight w:val="none"/>
                    </w:rPr>
                  </w:pPr>
                  <w:r>
                    <w:rPr>
                      <w:rStyle w:val="70"/>
                      <w:rFonts w:hint="default" w:ascii="Times New Roman" w:hAnsi="Times New Roman" w:eastAsia="宋体" w:cs="Times New Roman"/>
                      <w:color w:val="auto"/>
                      <w:sz w:val="21"/>
                      <w:szCs w:val="21"/>
                      <w:highlight w:val="none"/>
                    </w:rPr>
                    <w:t>符合</w:t>
                  </w:r>
                </w:p>
              </w:tc>
            </w:tr>
          </w:tbl>
          <w:p w14:paraId="5E6E5134">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Style w:val="70"/>
                <w:rFonts w:hint="default" w:ascii="Times New Roman" w:hAnsi="Times New Roman" w:eastAsia="宋体" w:cs="Times New Roman"/>
                <w:color w:val="auto"/>
                <w:sz w:val="24"/>
                <w:highlight w:val="none"/>
              </w:rPr>
              <w:t>综上所述，本项目生产中不涉及高毒、高残留农药，项目废水不外排；固废均能得到有效处置，处置率达100%。项目建设和运营期不存在牛栏江污染控制区禁止的行为，故项目与《云南省牛栏江保护条例》相符。</w:t>
            </w:r>
          </w:p>
          <w:p w14:paraId="6D3109AB">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4、与《牛栏江流域（云南部分）水环境保护规划（2009~2030）》的相符性分析</w:t>
            </w:r>
          </w:p>
          <w:p w14:paraId="04335921">
            <w:pPr>
              <w:shd w:val="clea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根据《牛栏江流域（云南部分）水环境保护规划（2009~2030）》，牛栏江流域（云南段）水环境保护划分为两大控制区，即牛栏江上游（德泽水库坝址以上）重点保护区、牛栏江下游生态与环境保护区。其中牛栏江上游（德泽水库坝址以上）重点保护区包括水源保护核心区、重点污染控制区、水源涵养区。水源保护核心区包括牛栏江干流水面，河岸外围陆域1000米范围；德泽水库水面，库岸外围陆域2000m范围。涉及乡镇主要有牛栏江镇、塘子镇、河口乡、七星乡、德泽乡，面积为625.3km²，属于重点保护区。重点污染控制区主要是水源保护核心区边界外的坝区。涉及小哨乡、嵩阳镇、小街镇、杨桥乡、羊街镇、金所乡、月望乡、大坡乡、菱角乡、田坝乡十个乡镇，面积1892.56km²，属于污染重点治理区。水源涵养区包括除水源保护核心区、重点污染控制区以外的山地。涉及杨林镇、仁德镇、通泉镇、王家庄镇、马过河镇、旧县镇六个乡镇，面积1764.16km²。</w:t>
            </w:r>
          </w:p>
          <w:p w14:paraId="34046F83">
            <w:pPr>
              <w:shd w:val="clea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本项目位于</w:t>
            </w:r>
            <w:r>
              <w:rPr>
                <w:rFonts w:hint="default" w:ascii="Times New Roman" w:hAnsi="Times New Roman" w:eastAsia="宋体" w:cs="Times New Roman"/>
                <w:color w:val="auto"/>
                <w:sz w:val="24"/>
                <w:szCs w:val="24"/>
                <w:highlight w:val="none"/>
                <w:u w:val="none"/>
                <w:lang w:val="en-US" w:eastAsia="zh-CN"/>
              </w:rPr>
              <w:t>云南寻甸产业园区金所片区金所组团</w:t>
            </w:r>
            <w:r>
              <w:rPr>
                <w:rFonts w:hint="eastAsia" w:cs="Times New Roman"/>
                <w:color w:val="auto"/>
                <w:sz w:val="24"/>
                <w:szCs w:val="24"/>
                <w:highlight w:val="none"/>
                <w:u w:val="none"/>
                <w:lang w:val="en-US" w:eastAsia="zh-CN"/>
              </w:rPr>
              <w:t>绿色建材产业区</w:t>
            </w:r>
            <w:r>
              <w:rPr>
                <w:rFonts w:hint="default" w:ascii="Times New Roman" w:hAnsi="Times New Roman" w:eastAsia="宋体" w:cs="Times New Roman"/>
                <w:color w:val="auto"/>
                <w:kern w:val="0"/>
                <w:sz w:val="24"/>
                <w:szCs w:val="24"/>
                <w:highlight w:val="none"/>
                <w:lang w:val="en-US" w:eastAsia="zh-CN" w:bidi="ar-SA"/>
              </w:rPr>
              <w:t>，根据牛栏江水系功能规划图，项目属于重点污染控制区。根据《牛栏江流域（云南部分）水环境保护规划（2009~2030）》中的工业园区污染源控制规划，开展杨林工业园区、寻甸特色工业园区和马龙工业园区的综合环境执法检查，清查园区内现有工业企业，对违反国家法律法规、产业政策及入园规定的企业实行关停或限期整改，建设完善污水处理设施、有毒有害固体废弃物处置设施。</w:t>
            </w:r>
          </w:p>
          <w:p w14:paraId="33DFFFC4">
            <w:pPr>
              <w:pStyle w:val="72"/>
              <w:adjustRightInd w:val="0"/>
              <w:snapToGrid w:val="0"/>
              <w:ind w:firstLine="600" w:firstLineChars="25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本项目冷却废水经循环水冷却池冷却后循环使用，不外排；食堂废水经隔油池处理后，与生活污水一同进入</w:t>
            </w:r>
            <w:r>
              <w:rPr>
                <w:rFonts w:hint="eastAsia" w:ascii="Times New Roman" w:hAnsi="Times New Roman" w:eastAsia="宋体" w:cs="Times New Roman"/>
                <w:color w:val="auto"/>
                <w:sz w:val="24"/>
                <w:szCs w:val="24"/>
                <w:highlight w:val="none"/>
                <w:lang w:val="en-US" w:eastAsia="zh-CN"/>
              </w:rPr>
              <w:t>依托的</w:t>
            </w:r>
            <w:r>
              <w:rPr>
                <w:rFonts w:hint="default" w:ascii="Times New Roman" w:hAnsi="Times New Roman" w:eastAsia="宋体" w:cs="Times New Roman"/>
                <w:color w:val="auto"/>
                <w:sz w:val="24"/>
                <w:szCs w:val="24"/>
                <w:highlight w:val="none"/>
                <w:lang w:val="en-US" w:eastAsia="zh-CN"/>
              </w:rPr>
              <w:t>化粪池处理</w:t>
            </w:r>
            <w:r>
              <w:rPr>
                <w:rFonts w:hint="eastAsia" w:ascii="Times New Roman" w:hAnsi="Times New Roman" w:eastAsia="宋体" w:cs="Times New Roman"/>
                <w:color w:val="auto"/>
                <w:sz w:val="24"/>
                <w:szCs w:val="24"/>
                <w:highlight w:val="none"/>
                <w:lang w:val="en-US" w:eastAsia="zh-CN"/>
              </w:rPr>
              <w:t>后</w:t>
            </w:r>
            <w:r>
              <w:rPr>
                <w:rFonts w:hint="default" w:ascii="Times New Roman" w:hAnsi="Times New Roman" w:eastAsia="宋体" w:cs="Times New Roman"/>
                <w:color w:val="auto"/>
                <w:sz w:val="24"/>
                <w:szCs w:val="24"/>
                <w:highlight w:val="none"/>
                <w:lang w:val="en-US" w:eastAsia="zh-CN"/>
              </w:rPr>
              <w:t>再进入到厂区</w:t>
            </w:r>
            <w:r>
              <w:rPr>
                <w:rFonts w:hint="eastAsia" w:ascii="Times New Roman" w:hAnsi="Times New Roman" w:eastAsia="宋体" w:cs="Times New Roman"/>
                <w:color w:val="auto"/>
                <w:sz w:val="24"/>
                <w:szCs w:val="24"/>
                <w:highlight w:val="none"/>
                <w:lang w:val="en-US" w:eastAsia="zh-CN"/>
              </w:rPr>
              <w:t>依托的一体化污水处理站</w:t>
            </w:r>
            <w:r>
              <w:rPr>
                <w:rFonts w:hint="default" w:ascii="Times New Roman" w:hAnsi="Times New Roman" w:eastAsia="宋体" w:cs="Times New Roman"/>
                <w:color w:val="auto"/>
                <w:sz w:val="24"/>
                <w:szCs w:val="24"/>
                <w:highlight w:val="none"/>
                <w:lang w:val="en-US" w:eastAsia="zh-CN"/>
              </w:rPr>
              <w:t>处理后，达到《城市污水再生利用 城市杂用水水质》（GB/T18920-2020）中的城市绿化、道路清扫、消防、建筑施工标准后，用于项目区内绿化及道路场地洒水降尘，不外排。</w:t>
            </w:r>
          </w:p>
          <w:p w14:paraId="3B1EE515">
            <w:pPr>
              <w:shd w:val="clea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项目内设有垃圾和危废收集设施，可保证固废合理收集处置，一般生活固废由环卫部门进行处置，危废收集后委托有资质单位处理。项目选址符合《云南省牛栏江保护条例》中的选址要求。</w:t>
            </w:r>
          </w:p>
          <w:p w14:paraId="4D97813D">
            <w:pPr>
              <w:shd w:val="clea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综上所述，项目选址符合《牛栏江流域（云南部分）水环境保护规划（2009~2030）》对重点污染控制区的水环境保护要求。</w:t>
            </w:r>
          </w:p>
          <w:p w14:paraId="1FEB994F">
            <w:pPr>
              <w:autoSpaceDE w:val="0"/>
              <w:autoSpaceDN w:val="0"/>
              <w:adjustRightInd w:val="0"/>
              <w:snapToGrid w:val="0"/>
              <w:spacing w:line="360" w:lineRule="auto"/>
              <w:ind w:firstLine="482" w:firstLineChars="200"/>
              <w:jc w:val="left"/>
              <w:rPr>
                <w:color w:val="auto"/>
                <w:kern w:val="0"/>
                <w:sz w:val="24"/>
              </w:rPr>
            </w:pPr>
            <w:r>
              <w:rPr>
                <w:rFonts w:hint="default" w:ascii="Times New Roman" w:hAnsi="Times New Roman" w:eastAsia="宋体" w:cs="Times New Roman"/>
                <w:b/>
                <w:bCs w:val="0"/>
                <w:color w:val="auto"/>
                <w:sz w:val="24"/>
                <w:szCs w:val="24"/>
                <w:highlight w:val="none"/>
                <w:lang w:val="en-US" w:eastAsia="zh-CN"/>
              </w:rPr>
              <w:t>5、</w:t>
            </w:r>
            <w:r>
              <w:rPr>
                <w:b/>
                <w:bCs/>
                <w:color w:val="auto"/>
                <w:kern w:val="0"/>
                <w:sz w:val="24"/>
              </w:rPr>
              <w:t>与《牛栏江流域（寻甸段）水环境保护规划（20</w:t>
            </w:r>
            <w:r>
              <w:rPr>
                <w:rFonts w:hint="eastAsia"/>
                <w:b/>
                <w:bCs/>
                <w:color w:val="auto"/>
                <w:kern w:val="0"/>
                <w:sz w:val="24"/>
              </w:rPr>
              <w:t>09</w:t>
            </w:r>
            <w:r>
              <w:rPr>
                <w:b/>
                <w:bCs/>
                <w:color w:val="auto"/>
                <w:kern w:val="0"/>
                <w:sz w:val="24"/>
              </w:rPr>
              <w:t>~2030）》的相符性分析</w:t>
            </w:r>
          </w:p>
          <w:p w14:paraId="44FAA155">
            <w:pPr>
              <w:autoSpaceDE w:val="0"/>
              <w:autoSpaceDN w:val="0"/>
              <w:adjustRightInd w:val="0"/>
              <w:snapToGrid w:val="0"/>
              <w:spacing w:line="360" w:lineRule="auto"/>
              <w:ind w:firstLine="480" w:firstLineChars="200"/>
              <w:jc w:val="left"/>
              <w:rPr>
                <w:color w:val="auto"/>
                <w:kern w:val="0"/>
                <w:sz w:val="24"/>
              </w:rPr>
            </w:pPr>
            <w:r>
              <w:rPr>
                <w:color w:val="auto"/>
                <w:kern w:val="0"/>
                <w:sz w:val="24"/>
              </w:rPr>
              <w:t>根据《牛栏江流域（寻甸段）水环境保护规划》分区结果，牛栏江流域（寻甸段）共分为三个区进行保护，水源保护核心区、重点污染控制区、重点水源涵养区，各分区范围节点如下：</w:t>
            </w:r>
          </w:p>
          <w:p w14:paraId="09F47667">
            <w:pPr>
              <w:autoSpaceDE w:val="0"/>
              <w:autoSpaceDN w:val="0"/>
              <w:adjustRightInd w:val="0"/>
              <w:snapToGrid w:val="0"/>
              <w:spacing w:line="360" w:lineRule="auto"/>
              <w:ind w:firstLine="480" w:firstLineChars="200"/>
              <w:jc w:val="left"/>
              <w:rPr>
                <w:color w:val="auto"/>
                <w:kern w:val="0"/>
                <w:sz w:val="24"/>
              </w:rPr>
            </w:pPr>
            <w:r>
              <w:rPr>
                <w:color w:val="auto"/>
                <w:kern w:val="0"/>
                <w:sz w:val="24"/>
              </w:rPr>
              <w:t>①水源保护核心区范围为牛栏江流域（寻甸段）干流1000m范围。水源保护核心区分为禁止建设区、限制建设区两个区，禁止建设区范围指干流河面水域及沿岸外延200m的区域，限制建设区范围指干流沿岸外200m—1000m之间的区域。</w:t>
            </w:r>
          </w:p>
          <w:p w14:paraId="4AF918AF">
            <w:pPr>
              <w:autoSpaceDE w:val="0"/>
              <w:autoSpaceDN w:val="0"/>
              <w:adjustRightInd w:val="0"/>
              <w:snapToGrid w:val="0"/>
              <w:spacing w:line="360" w:lineRule="auto"/>
              <w:ind w:firstLine="480" w:firstLineChars="200"/>
              <w:jc w:val="left"/>
              <w:rPr>
                <w:color w:val="auto"/>
                <w:kern w:val="0"/>
                <w:sz w:val="24"/>
              </w:rPr>
            </w:pPr>
            <w:r>
              <w:rPr>
                <w:color w:val="auto"/>
                <w:kern w:val="0"/>
                <w:sz w:val="24"/>
              </w:rPr>
              <w:t>②重点污染控制区范围指水体保护核心区外，主要入江支流水域外延3000m的区域和流域范围内的坝区，若区域范围超过一级山脊，按一级山脊线划定。</w:t>
            </w:r>
          </w:p>
          <w:p w14:paraId="0BD203E7">
            <w:pPr>
              <w:autoSpaceDE w:val="0"/>
              <w:autoSpaceDN w:val="0"/>
              <w:adjustRightInd w:val="0"/>
              <w:snapToGrid w:val="0"/>
              <w:spacing w:line="360" w:lineRule="auto"/>
              <w:ind w:firstLine="480" w:firstLineChars="200"/>
              <w:jc w:val="left"/>
              <w:rPr>
                <w:color w:val="auto"/>
                <w:kern w:val="0"/>
                <w:sz w:val="24"/>
              </w:rPr>
            </w:pPr>
            <w:r>
              <w:rPr>
                <w:color w:val="auto"/>
                <w:kern w:val="0"/>
                <w:sz w:val="24"/>
              </w:rPr>
              <w:t>③重点水源涵养区范围指流域范围内除水源保护核心区、重点污染控制区以外的区域。</w:t>
            </w:r>
          </w:p>
          <w:p w14:paraId="31F6B0A5">
            <w:pPr>
              <w:autoSpaceDE w:val="0"/>
              <w:autoSpaceDN w:val="0"/>
              <w:adjustRightInd w:val="0"/>
              <w:snapToGrid w:val="0"/>
              <w:spacing w:line="360" w:lineRule="auto"/>
              <w:ind w:firstLine="480" w:firstLineChars="200"/>
              <w:jc w:val="left"/>
              <w:rPr>
                <w:color w:val="auto"/>
                <w:kern w:val="0"/>
                <w:sz w:val="24"/>
              </w:rPr>
            </w:pPr>
            <w:r>
              <w:rPr>
                <w:color w:val="auto"/>
                <w:kern w:val="0"/>
                <w:sz w:val="24"/>
              </w:rPr>
              <w:t>本项目位于</w:t>
            </w:r>
            <w:r>
              <w:rPr>
                <w:rFonts w:hint="default" w:ascii="Times New Roman" w:hAnsi="Times New Roman" w:eastAsia="宋体" w:cs="Times New Roman"/>
                <w:color w:val="auto"/>
                <w:sz w:val="24"/>
                <w:szCs w:val="24"/>
                <w:highlight w:val="none"/>
                <w:u w:val="none"/>
                <w:lang w:val="en-US" w:eastAsia="zh-CN"/>
              </w:rPr>
              <w:t>云南寻甸产业园区金所片区金所组团</w:t>
            </w:r>
            <w:r>
              <w:rPr>
                <w:rFonts w:hint="eastAsia" w:cs="Times New Roman"/>
                <w:color w:val="auto"/>
                <w:sz w:val="24"/>
                <w:szCs w:val="24"/>
                <w:highlight w:val="none"/>
                <w:u w:val="none"/>
                <w:lang w:val="en-US" w:eastAsia="zh-CN"/>
              </w:rPr>
              <w:t>绿色建材产业区</w:t>
            </w:r>
            <w:r>
              <w:rPr>
                <w:color w:val="auto"/>
                <w:kern w:val="0"/>
                <w:sz w:val="24"/>
              </w:rPr>
              <w:t>，属重点污染控制区。对照《牛栏江（寻甸段）水环境保护规划（20</w:t>
            </w:r>
            <w:r>
              <w:rPr>
                <w:rFonts w:hint="eastAsia"/>
                <w:color w:val="auto"/>
                <w:kern w:val="0"/>
                <w:sz w:val="24"/>
                <w:lang w:val="en-US" w:eastAsia="zh-CN"/>
              </w:rPr>
              <w:t>09</w:t>
            </w:r>
            <w:r>
              <w:rPr>
                <w:color w:val="auto"/>
                <w:kern w:val="0"/>
                <w:sz w:val="24"/>
              </w:rPr>
              <w:t>~2030）》对重点污染控制区的水环境保护策略，项目符合性分析见表1-</w:t>
            </w:r>
            <w:r>
              <w:rPr>
                <w:rFonts w:hint="eastAsia"/>
                <w:color w:val="auto"/>
                <w:kern w:val="0"/>
                <w:sz w:val="24"/>
                <w:lang w:val="en-US" w:eastAsia="zh-CN"/>
              </w:rPr>
              <w:t>7</w:t>
            </w:r>
            <w:r>
              <w:rPr>
                <w:color w:val="auto"/>
                <w:kern w:val="0"/>
                <w:sz w:val="24"/>
              </w:rPr>
              <w:t>。</w:t>
            </w:r>
          </w:p>
          <w:p w14:paraId="036BFCA6">
            <w:pPr>
              <w:autoSpaceDE w:val="0"/>
              <w:autoSpaceDN w:val="0"/>
              <w:adjustRightInd w:val="0"/>
              <w:snapToGrid w:val="0"/>
              <w:jc w:val="center"/>
              <w:rPr>
                <w:b/>
                <w:bCs/>
                <w:color w:val="auto"/>
                <w:kern w:val="0"/>
                <w:szCs w:val="21"/>
              </w:rPr>
            </w:pPr>
            <w:r>
              <w:rPr>
                <w:b/>
                <w:bCs/>
                <w:color w:val="auto"/>
                <w:kern w:val="0"/>
                <w:szCs w:val="21"/>
              </w:rPr>
              <w:t>表1-</w:t>
            </w:r>
            <w:r>
              <w:rPr>
                <w:rFonts w:hint="eastAsia"/>
                <w:b/>
                <w:bCs/>
                <w:color w:val="auto"/>
                <w:kern w:val="0"/>
                <w:szCs w:val="21"/>
                <w:lang w:val="en-US" w:eastAsia="zh-CN"/>
              </w:rPr>
              <w:t>7</w:t>
            </w:r>
            <w:r>
              <w:rPr>
                <w:b/>
                <w:bCs/>
                <w:color w:val="auto"/>
                <w:kern w:val="0"/>
                <w:szCs w:val="21"/>
              </w:rPr>
              <w:t xml:space="preserve">  对照分析符合表</w:t>
            </w:r>
          </w:p>
          <w:tbl>
            <w:tblPr>
              <w:tblStyle w:val="26"/>
              <w:tblW w:w="7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3144"/>
              <w:gridCol w:w="3963"/>
              <w:gridCol w:w="445"/>
            </w:tblGrid>
            <w:tr w14:paraId="177E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28" w:type="dxa"/>
                  <w:vAlign w:val="center"/>
                </w:tcPr>
                <w:p w14:paraId="5B3792E7">
                  <w:pPr>
                    <w:autoSpaceDE w:val="0"/>
                    <w:autoSpaceDN w:val="0"/>
                    <w:adjustRightInd w:val="0"/>
                    <w:snapToGrid w:val="0"/>
                    <w:jc w:val="center"/>
                    <w:rPr>
                      <w:color w:val="auto"/>
                      <w:kern w:val="0"/>
                      <w:szCs w:val="21"/>
                    </w:rPr>
                  </w:pPr>
                  <w:r>
                    <w:rPr>
                      <w:color w:val="auto"/>
                      <w:kern w:val="0"/>
                      <w:szCs w:val="21"/>
                    </w:rPr>
                    <w:t>序号</w:t>
                  </w:r>
                </w:p>
              </w:tc>
              <w:tc>
                <w:tcPr>
                  <w:tcW w:w="3144" w:type="dxa"/>
                  <w:vAlign w:val="center"/>
                </w:tcPr>
                <w:p w14:paraId="32C22FD9">
                  <w:pPr>
                    <w:autoSpaceDE w:val="0"/>
                    <w:autoSpaceDN w:val="0"/>
                    <w:adjustRightInd w:val="0"/>
                    <w:snapToGrid w:val="0"/>
                    <w:jc w:val="center"/>
                    <w:rPr>
                      <w:color w:val="auto"/>
                      <w:kern w:val="0"/>
                      <w:szCs w:val="21"/>
                    </w:rPr>
                  </w:pPr>
                  <w:r>
                    <w:rPr>
                      <w:color w:val="auto"/>
                      <w:kern w:val="0"/>
                      <w:szCs w:val="21"/>
                    </w:rPr>
                    <w:t>《牛栏江流域（寻甸段）水环境保护规划》水环境保护策略</w:t>
                  </w:r>
                </w:p>
              </w:tc>
              <w:tc>
                <w:tcPr>
                  <w:tcW w:w="3963" w:type="dxa"/>
                  <w:vAlign w:val="center"/>
                </w:tcPr>
                <w:p w14:paraId="15B27ED7">
                  <w:pPr>
                    <w:autoSpaceDE w:val="0"/>
                    <w:autoSpaceDN w:val="0"/>
                    <w:adjustRightInd w:val="0"/>
                    <w:snapToGrid w:val="0"/>
                    <w:jc w:val="center"/>
                    <w:rPr>
                      <w:color w:val="auto"/>
                      <w:kern w:val="0"/>
                      <w:szCs w:val="21"/>
                    </w:rPr>
                  </w:pPr>
                  <w:r>
                    <w:rPr>
                      <w:color w:val="auto"/>
                      <w:kern w:val="0"/>
                      <w:szCs w:val="21"/>
                    </w:rPr>
                    <w:t>该项目情况</w:t>
                  </w:r>
                </w:p>
              </w:tc>
              <w:tc>
                <w:tcPr>
                  <w:tcW w:w="445" w:type="dxa"/>
                  <w:vAlign w:val="center"/>
                </w:tcPr>
                <w:p w14:paraId="703D31D3">
                  <w:pPr>
                    <w:autoSpaceDE w:val="0"/>
                    <w:autoSpaceDN w:val="0"/>
                    <w:adjustRightInd w:val="0"/>
                    <w:snapToGrid w:val="0"/>
                    <w:jc w:val="center"/>
                    <w:rPr>
                      <w:color w:val="auto"/>
                      <w:kern w:val="0"/>
                      <w:szCs w:val="21"/>
                    </w:rPr>
                  </w:pPr>
                  <w:r>
                    <w:rPr>
                      <w:color w:val="auto"/>
                      <w:kern w:val="0"/>
                      <w:szCs w:val="21"/>
                    </w:rPr>
                    <w:t>相符性</w:t>
                  </w:r>
                </w:p>
              </w:tc>
            </w:tr>
            <w:tr w14:paraId="3A0E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8" w:type="dxa"/>
                  <w:vAlign w:val="center"/>
                </w:tcPr>
                <w:p w14:paraId="7C6E4928">
                  <w:pPr>
                    <w:autoSpaceDE w:val="0"/>
                    <w:autoSpaceDN w:val="0"/>
                    <w:adjustRightInd w:val="0"/>
                    <w:snapToGrid w:val="0"/>
                    <w:jc w:val="center"/>
                    <w:rPr>
                      <w:color w:val="auto"/>
                      <w:kern w:val="0"/>
                      <w:szCs w:val="21"/>
                    </w:rPr>
                  </w:pPr>
                  <w:r>
                    <w:rPr>
                      <w:color w:val="auto"/>
                      <w:kern w:val="0"/>
                      <w:szCs w:val="21"/>
                    </w:rPr>
                    <w:t>1</w:t>
                  </w:r>
                </w:p>
              </w:tc>
              <w:tc>
                <w:tcPr>
                  <w:tcW w:w="3144" w:type="dxa"/>
                  <w:vAlign w:val="center"/>
                </w:tcPr>
                <w:p w14:paraId="23D04E11">
                  <w:pPr>
                    <w:autoSpaceDE w:val="0"/>
                    <w:autoSpaceDN w:val="0"/>
                    <w:adjustRightInd w:val="0"/>
                    <w:snapToGrid w:val="0"/>
                    <w:jc w:val="center"/>
                    <w:rPr>
                      <w:color w:val="auto"/>
                      <w:kern w:val="0"/>
                      <w:szCs w:val="21"/>
                    </w:rPr>
                  </w:pPr>
                  <w:r>
                    <w:rPr>
                      <w:color w:val="auto"/>
                      <w:kern w:val="0"/>
                      <w:szCs w:val="21"/>
                    </w:rPr>
                    <w:t>加强对重点工业污染源的监督，确保牛栏江流域（寻甸段）内重点企业污水稳定达标排放并实现“零排放”，固体废弃物最大程度重复利用和安全处置，消除工业企业的环境安全隐患，确保环保设施的正常运行，杜绝工业企业偷排、漏排污染物的现象。</w:t>
                  </w:r>
                </w:p>
              </w:tc>
              <w:tc>
                <w:tcPr>
                  <w:tcW w:w="3963" w:type="dxa"/>
                  <w:vAlign w:val="center"/>
                </w:tcPr>
                <w:p w14:paraId="75D79F8C">
                  <w:pPr>
                    <w:pStyle w:val="72"/>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color w:val="auto"/>
                      <w:kern w:val="0"/>
                      <w:szCs w:val="21"/>
                    </w:rPr>
                  </w:pPr>
                  <w:r>
                    <w:rPr>
                      <w:rFonts w:ascii="Times New Roman" w:hAnsi="Times New Roman" w:eastAsia="宋体" w:cs="Times New Roman"/>
                      <w:color w:val="auto"/>
                      <w:kern w:val="0"/>
                      <w:sz w:val="21"/>
                      <w:szCs w:val="21"/>
                      <w:lang w:val="en-US" w:eastAsia="zh-CN" w:bidi="ar-SA"/>
                    </w:rPr>
                    <w:t>项目</w:t>
                  </w:r>
                  <w:r>
                    <w:rPr>
                      <w:rFonts w:hint="default" w:ascii="Times New Roman" w:hAnsi="Times New Roman" w:eastAsia="宋体" w:cs="Times New Roman"/>
                      <w:color w:val="auto"/>
                      <w:kern w:val="0"/>
                      <w:sz w:val="21"/>
                      <w:szCs w:val="21"/>
                      <w:lang w:val="en-US" w:eastAsia="zh-CN" w:bidi="ar-SA"/>
                    </w:rPr>
                    <w:t>冷却废水经循环水冷却池冷却后循环使用，不外排；食堂废水经隔油池处理后，与生活污水一同进入</w:t>
                  </w:r>
                  <w:r>
                    <w:rPr>
                      <w:rFonts w:hint="eastAsia" w:ascii="Times New Roman" w:hAnsi="Times New Roman" w:eastAsia="宋体" w:cs="Times New Roman"/>
                      <w:color w:val="auto"/>
                      <w:kern w:val="0"/>
                      <w:sz w:val="21"/>
                      <w:szCs w:val="21"/>
                      <w:lang w:val="en-US" w:eastAsia="zh-CN" w:bidi="ar-SA"/>
                    </w:rPr>
                    <w:t>依托的</w:t>
                  </w:r>
                  <w:r>
                    <w:rPr>
                      <w:rFonts w:hint="default" w:ascii="Times New Roman" w:hAnsi="Times New Roman" w:eastAsia="宋体" w:cs="Times New Roman"/>
                      <w:color w:val="auto"/>
                      <w:kern w:val="0"/>
                      <w:sz w:val="21"/>
                      <w:szCs w:val="21"/>
                      <w:lang w:val="en-US" w:eastAsia="zh-CN" w:bidi="ar-SA"/>
                    </w:rPr>
                    <w:t>化粪池处理</w:t>
                  </w:r>
                  <w:r>
                    <w:rPr>
                      <w:rFonts w:hint="eastAsia" w:ascii="Times New Roman" w:hAnsi="Times New Roman" w:eastAsia="宋体" w:cs="Times New Roman"/>
                      <w:color w:val="auto"/>
                      <w:kern w:val="0"/>
                      <w:sz w:val="21"/>
                      <w:szCs w:val="21"/>
                      <w:lang w:val="en-US" w:eastAsia="zh-CN" w:bidi="ar-SA"/>
                    </w:rPr>
                    <w:t>后</w:t>
                  </w:r>
                  <w:r>
                    <w:rPr>
                      <w:rFonts w:hint="default" w:ascii="Times New Roman" w:hAnsi="Times New Roman" w:eastAsia="宋体" w:cs="Times New Roman"/>
                      <w:color w:val="auto"/>
                      <w:kern w:val="0"/>
                      <w:sz w:val="21"/>
                      <w:szCs w:val="21"/>
                      <w:lang w:val="en-US" w:eastAsia="zh-CN" w:bidi="ar-SA"/>
                    </w:rPr>
                    <w:t>再进入到厂区</w:t>
                  </w:r>
                  <w:r>
                    <w:rPr>
                      <w:rFonts w:hint="eastAsia" w:ascii="Times New Roman" w:hAnsi="Times New Roman" w:eastAsia="宋体" w:cs="Times New Roman"/>
                      <w:color w:val="auto"/>
                      <w:kern w:val="0"/>
                      <w:sz w:val="21"/>
                      <w:szCs w:val="21"/>
                      <w:lang w:val="en-US" w:eastAsia="zh-CN" w:bidi="ar-SA"/>
                    </w:rPr>
                    <w:t>依托的一体化污水处理站</w:t>
                  </w:r>
                  <w:r>
                    <w:rPr>
                      <w:rFonts w:hint="default" w:ascii="Times New Roman" w:hAnsi="Times New Roman" w:eastAsia="宋体" w:cs="Times New Roman"/>
                      <w:color w:val="auto"/>
                      <w:kern w:val="0"/>
                      <w:sz w:val="21"/>
                      <w:szCs w:val="21"/>
                      <w:lang w:val="en-US" w:eastAsia="zh-CN" w:bidi="ar-SA"/>
                    </w:rPr>
                    <w:t>处理后，达到《城市污水再生利用 城市杂用水水质》（GB/T18920-2020）中的城市绿化、道路清扫、消防、建筑施工标准后，用于项目区内绿化及道路场地洒水降尘，不外排。</w:t>
                  </w:r>
                </w:p>
              </w:tc>
              <w:tc>
                <w:tcPr>
                  <w:tcW w:w="445" w:type="dxa"/>
                  <w:vAlign w:val="center"/>
                </w:tcPr>
                <w:p w14:paraId="0768FF9B">
                  <w:pPr>
                    <w:autoSpaceDE w:val="0"/>
                    <w:autoSpaceDN w:val="0"/>
                    <w:adjustRightInd w:val="0"/>
                    <w:snapToGrid w:val="0"/>
                    <w:jc w:val="center"/>
                    <w:rPr>
                      <w:color w:val="auto"/>
                      <w:kern w:val="0"/>
                      <w:szCs w:val="21"/>
                    </w:rPr>
                  </w:pPr>
                  <w:r>
                    <w:rPr>
                      <w:color w:val="auto"/>
                      <w:kern w:val="0"/>
                      <w:szCs w:val="21"/>
                    </w:rPr>
                    <w:t>符合</w:t>
                  </w:r>
                </w:p>
              </w:tc>
            </w:tr>
            <w:tr w14:paraId="79C6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28" w:type="dxa"/>
                  <w:vAlign w:val="center"/>
                </w:tcPr>
                <w:p w14:paraId="1AFAECCB">
                  <w:pPr>
                    <w:autoSpaceDE w:val="0"/>
                    <w:autoSpaceDN w:val="0"/>
                    <w:adjustRightInd w:val="0"/>
                    <w:snapToGrid w:val="0"/>
                    <w:jc w:val="center"/>
                    <w:rPr>
                      <w:color w:val="auto"/>
                      <w:kern w:val="0"/>
                      <w:szCs w:val="21"/>
                    </w:rPr>
                  </w:pPr>
                  <w:r>
                    <w:rPr>
                      <w:color w:val="auto"/>
                      <w:kern w:val="0"/>
                      <w:szCs w:val="21"/>
                    </w:rPr>
                    <w:t>2</w:t>
                  </w:r>
                </w:p>
              </w:tc>
              <w:tc>
                <w:tcPr>
                  <w:tcW w:w="3144" w:type="dxa"/>
                  <w:vAlign w:val="center"/>
                </w:tcPr>
                <w:p w14:paraId="61F89627">
                  <w:pPr>
                    <w:autoSpaceDE w:val="0"/>
                    <w:autoSpaceDN w:val="0"/>
                    <w:adjustRightInd w:val="0"/>
                    <w:snapToGrid w:val="0"/>
                    <w:jc w:val="center"/>
                    <w:rPr>
                      <w:color w:val="auto"/>
                      <w:kern w:val="0"/>
                      <w:szCs w:val="21"/>
                    </w:rPr>
                  </w:pPr>
                  <w:r>
                    <w:rPr>
                      <w:color w:val="auto"/>
                      <w:kern w:val="0"/>
                      <w:szCs w:val="21"/>
                    </w:rPr>
                    <w:t>建设再生水回用系统，不得建设不符合国家产业政策的工业项目及高污染工业项目；新建工业项目废水不得排放有毒有害物质，改扩建项目不得新增 COD、TN、TP排放量；新建、改建、扩建工业项目应采用先进的生产工艺和污染防治技术，其清洁生产水平达到国家清洁生产标准中的国内先进水平。</w:t>
                  </w:r>
                </w:p>
              </w:tc>
              <w:tc>
                <w:tcPr>
                  <w:tcW w:w="3963" w:type="dxa"/>
                  <w:vAlign w:val="center"/>
                </w:tcPr>
                <w:p w14:paraId="54E4607C">
                  <w:pPr>
                    <w:autoSpaceDE w:val="0"/>
                    <w:autoSpaceDN w:val="0"/>
                    <w:adjustRightInd w:val="0"/>
                    <w:snapToGrid w:val="0"/>
                    <w:jc w:val="center"/>
                    <w:rPr>
                      <w:color w:val="auto"/>
                      <w:kern w:val="0"/>
                      <w:szCs w:val="21"/>
                    </w:rPr>
                  </w:pPr>
                  <w:r>
                    <w:rPr>
                      <w:color w:val="auto"/>
                      <w:kern w:val="0"/>
                      <w:szCs w:val="21"/>
                    </w:rPr>
                    <w:t>项目不属于高污染工业项目，</w:t>
                  </w:r>
                  <w:r>
                    <w:rPr>
                      <w:rFonts w:ascii="Times New Roman" w:hAnsi="Times New Roman" w:eastAsia="宋体" w:cs="Times New Roman"/>
                      <w:color w:val="auto"/>
                      <w:kern w:val="0"/>
                      <w:sz w:val="21"/>
                      <w:szCs w:val="21"/>
                      <w:lang w:val="en-US" w:eastAsia="zh-CN" w:bidi="ar-SA"/>
                    </w:rPr>
                    <w:t>项目</w:t>
                  </w:r>
                  <w:r>
                    <w:rPr>
                      <w:rFonts w:hint="default" w:ascii="Times New Roman" w:hAnsi="Times New Roman" w:eastAsia="宋体" w:cs="Times New Roman"/>
                      <w:color w:val="auto"/>
                      <w:kern w:val="0"/>
                      <w:sz w:val="21"/>
                      <w:szCs w:val="21"/>
                      <w:lang w:val="en-US" w:eastAsia="zh-CN" w:bidi="ar-SA"/>
                    </w:rPr>
                    <w:t>冷却废水经循环水冷却池冷却后循环使用，不外排；食堂废水经隔油池处理后，与生活污水一同进入</w:t>
                  </w:r>
                  <w:r>
                    <w:rPr>
                      <w:rFonts w:hint="eastAsia" w:ascii="Times New Roman" w:hAnsi="Times New Roman" w:eastAsia="宋体" w:cs="Times New Roman"/>
                      <w:color w:val="auto"/>
                      <w:kern w:val="0"/>
                      <w:sz w:val="21"/>
                      <w:szCs w:val="21"/>
                      <w:lang w:val="en-US" w:eastAsia="zh-CN" w:bidi="ar-SA"/>
                    </w:rPr>
                    <w:t>依托的</w:t>
                  </w:r>
                  <w:r>
                    <w:rPr>
                      <w:rFonts w:hint="default" w:ascii="Times New Roman" w:hAnsi="Times New Roman" w:eastAsia="宋体" w:cs="Times New Roman"/>
                      <w:color w:val="auto"/>
                      <w:kern w:val="0"/>
                      <w:sz w:val="21"/>
                      <w:szCs w:val="21"/>
                      <w:lang w:val="en-US" w:eastAsia="zh-CN" w:bidi="ar-SA"/>
                    </w:rPr>
                    <w:t>化粪池处理</w:t>
                  </w:r>
                  <w:r>
                    <w:rPr>
                      <w:rFonts w:hint="eastAsia" w:ascii="Times New Roman" w:hAnsi="Times New Roman" w:eastAsia="宋体" w:cs="Times New Roman"/>
                      <w:color w:val="auto"/>
                      <w:kern w:val="0"/>
                      <w:sz w:val="21"/>
                      <w:szCs w:val="21"/>
                      <w:lang w:val="en-US" w:eastAsia="zh-CN" w:bidi="ar-SA"/>
                    </w:rPr>
                    <w:t>后</w:t>
                  </w:r>
                  <w:r>
                    <w:rPr>
                      <w:rFonts w:hint="default" w:ascii="Times New Roman" w:hAnsi="Times New Roman" w:eastAsia="宋体" w:cs="Times New Roman"/>
                      <w:color w:val="auto"/>
                      <w:kern w:val="0"/>
                      <w:sz w:val="21"/>
                      <w:szCs w:val="21"/>
                      <w:lang w:val="en-US" w:eastAsia="zh-CN" w:bidi="ar-SA"/>
                    </w:rPr>
                    <w:t>再进入到厂区</w:t>
                  </w:r>
                  <w:r>
                    <w:rPr>
                      <w:rFonts w:hint="eastAsia" w:ascii="Times New Roman" w:hAnsi="Times New Roman" w:eastAsia="宋体" w:cs="Times New Roman"/>
                      <w:color w:val="auto"/>
                      <w:kern w:val="0"/>
                      <w:sz w:val="21"/>
                      <w:szCs w:val="21"/>
                      <w:lang w:val="en-US" w:eastAsia="zh-CN" w:bidi="ar-SA"/>
                    </w:rPr>
                    <w:t>依托的一体化污水处理站</w:t>
                  </w:r>
                  <w:r>
                    <w:rPr>
                      <w:rFonts w:hint="default" w:ascii="Times New Roman" w:hAnsi="Times New Roman" w:eastAsia="宋体" w:cs="Times New Roman"/>
                      <w:color w:val="auto"/>
                      <w:kern w:val="0"/>
                      <w:sz w:val="21"/>
                      <w:szCs w:val="21"/>
                      <w:lang w:val="en-US" w:eastAsia="zh-CN" w:bidi="ar-SA"/>
                    </w:rPr>
                    <w:t>处理后，达到《城市污水再生利用 城市杂用水水质》（GB/T18920-2020）中的城市绿化、道路清扫、消防、建筑施工标准后，用于项目区内绿化及道路场地洒水降尘，不外排。</w:t>
                  </w:r>
                  <w:r>
                    <w:rPr>
                      <w:color w:val="auto"/>
                      <w:kern w:val="0"/>
                      <w:szCs w:val="21"/>
                    </w:rPr>
                    <w:t>不会排放有毒有害物质。</w:t>
                  </w:r>
                </w:p>
              </w:tc>
              <w:tc>
                <w:tcPr>
                  <w:tcW w:w="445" w:type="dxa"/>
                  <w:vAlign w:val="center"/>
                </w:tcPr>
                <w:p w14:paraId="49DC6EB1">
                  <w:pPr>
                    <w:autoSpaceDE w:val="0"/>
                    <w:autoSpaceDN w:val="0"/>
                    <w:adjustRightInd w:val="0"/>
                    <w:snapToGrid w:val="0"/>
                    <w:jc w:val="center"/>
                    <w:rPr>
                      <w:color w:val="auto"/>
                      <w:kern w:val="0"/>
                      <w:szCs w:val="21"/>
                    </w:rPr>
                  </w:pPr>
                  <w:r>
                    <w:rPr>
                      <w:color w:val="auto"/>
                      <w:kern w:val="0"/>
                      <w:szCs w:val="21"/>
                    </w:rPr>
                    <w:t>符合</w:t>
                  </w:r>
                </w:p>
              </w:tc>
            </w:tr>
          </w:tbl>
          <w:p w14:paraId="79AD329C">
            <w:pPr>
              <w:pStyle w:val="38"/>
              <w:rPr>
                <w:rFonts w:hint="default" w:ascii="Times New Roman" w:hAnsi="Times New Roman" w:eastAsia="宋体" w:cs="Times New Roman"/>
                <w:b/>
                <w:bCs w:val="0"/>
                <w:color w:val="auto"/>
                <w:sz w:val="24"/>
                <w:szCs w:val="24"/>
                <w:highlight w:val="none"/>
                <w:lang w:val="en-US" w:eastAsia="zh-CN"/>
              </w:rPr>
            </w:pPr>
            <w:r>
              <w:rPr>
                <w:rFonts w:hint="eastAsia" w:ascii="宋体" w:hAnsi="宋体" w:cs="宋体"/>
                <w:color w:val="auto"/>
                <w:sz w:val="24"/>
              </w:rPr>
              <w:t>由上表可知，项目不违反《牛栏江流域（寻甸段）水环境保护规划》对</w:t>
            </w:r>
            <w:r>
              <w:rPr>
                <w:color w:val="auto"/>
                <w:kern w:val="0"/>
                <w:sz w:val="24"/>
              </w:rPr>
              <w:t>重点污染控制区</w:t>
            </w:r>
            <w:r>
              <w:rPr>
                <w:rFonts w:hint="eastAsia" w:ascii="宋体" w:hAnsi="宋体" w:cs="宋体"/>
                <w:color w:val="auto"/>
                <w:sz w:val="24"/>
              </w:rPr>
              <w:t>的相关要求。项目的建设与《牛栏江流域（寻甸段）水环境保护规划》相符。</w:t>
            </w:r>
          </w:p>
          <w:p w14:paraId="4A8DDA95">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6、</w:t>
            </w:r>
            <w:r>
              <w:rPr>
                <w:rFonts w:hint="default" w:ascii="Times New Roman" w:hAnsi="Times New Roman" w:eastAsia="宋体" w:cs="Times New Roman"/>
                <w:b/>
                <w:bCs w:val="0"/>
                <w:color w:val="auto"/>
                <w:sz w:val="24"/>
                <w:szCs w:val="24"/>
                <w:highlight w:val="none"/>
                <w:lang w:val="en-US" w:eastAsia="zh-CN"/>
              </w:rPr>
              <w:t>《长江经济带发展负面清单指南》（试行，2022年版）的通知》的符合性分析</w:t>
            </w:r>
          </w:p>
          <w:p w14:paraId="4E53CED6">
            <w:pPr>
              <w:shd w:val="clear"/>
              <w:spacing w:line="360" w:lineRule="auto"/>
              <w:ind w:firstLine="480"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 w:val="24"/>
                <w:highlight w:val="none"/>
              </w:rPr>
              <w:t>项目与《《长江经济带发展负面清单指南》（试行，2022年版）的通知》对比分析情况见下表1-</w:t>
            </w:r>
            <w:r>
              <w:rPr>
                <w:rFonts w:hint="eastAsia" w:cs="Times New Roman"/>
                <w:color w:val="auto"/>
                <w:sz w:val="24"/>
                <w:highlight w:val="none"/>
                <w:lang w:val="en-US" w:eastAsia="zh-CN"/>
              </w:rPr>
              <w:t>8</w:t>
            </w:r>
            <w:r>
              <w:rPr>
                <w:rFonts w:hint="default" w:ascii="Times New Roman" w:hAnsi="Times New Roman" w:eastAsia="宋体" w:cs="Times New Roman"/>
                <w:color w:val="auto"/>
                <w:sz w:val="24"/>
                <w:highlight w:val="none"/>
              </w:rPr>
              <w:t>。</w:t>
            </w:r>
          </w:p>
          <w:p w14:paraId="16AB551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表1-</w:t>
            </w:r>
            <w:r>
              <w:rPr>
                <w:rFonts w:hint="eastAsia" w:cs="Times New Roman"/>
                <w:b/>
                <w:color w:val="auto"/>
                <w:szCs w:val="21"/>
                <w:highlight w:val="none"/>
                <w:lang w:val="en-US" w:eastAsia="zh-CN"/>
              </w:rPr>
              <w:t>8</w:t>
            </w:r>
            <w:r>
              <w:rPr>
                <w:rFonts w:hint="default" w:ascii="Times New Roman" w:hAnsi="Times New Roman" w:eastAsia="宋体" w:cs="Times New Roman"/>
                <w:b/>
                <w:color w:val="auto"/>
                <w:szCs w:val="21"/>
                <w:highlight w:val="none"/>
              </w:rPr>
              <w:t xml:space="preserve">  与《长江经济带发展负面清单指南》（试行，2022年版）的通知》相符性分析</w:t>
            </w:r>
          </w:p>
          <w:tbl>
            <w:tblPr>
              <w:tblStyle w:val="26"/>
              <w:tblW w:w="7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2"/>
              <w:gridCol w:w="2590"/>
              <w:gridCol w:w="899"/>
            </w:tblGrid>
            <w:tr w14:paraId="470F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492" w:type="dxa"/>
                  <w:noWrap w:val="0"/>
                  <w:vAlign w:val="center"/>
                </w:tcPr>
                <w:p w14:paraId="6CE2C0D3">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《指南》要求</w:t>
                  </w:r>
                </w:p>
              </w:tc>
              <w:tc>
                <w:tcPr>
                  <w:tcW w:w="2590" w:type="dxa"/>
                  <w:noWrap w:val="0"/>
                  <w:vAlign w:val="center"/>
                </w:tcPr>
                <w:p w14:paraId="68BB69E5">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本项目</w:t>
                  </w:r>
                </w:p>
              </w:tc>
              <w:tc>
                <w:tcPr>
                  <w:tcW w:w="899" w:type="dxa"/>
                  <w:noWrap w:val="0"/>
                  <w:vAlign w:val="center"/>
                </w:tcPr>
                <w:p w14:paraId="5388C124">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w:t>
                  </w:r>
                </w:p>
              </w:tc>
            </w:tr>
            <w:tr w14:paraId="05C8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4492" w:type="dxa"/>
                  <w:noWrap w:val="0"/>
                  <w:vAlign w:val="center"/>
                </w:tcPr>
                <w:p w14:paraId="55079054">
                  <w:pPr>
                    <w:shd w:val="clea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w:t>
                  </w:r>
                  <w:r>
                    <w:rPr>
                      <w:rFonts w:hint="default" w:ascii="Times New Roman" w:hAnsi="Times New Roman" w:eastAsia="宋体" w:cs="Times New Roman"/>
                      <w:color w:val="auto"/>
                      <w:sz w:val="21"/>
                      <w:szCs w:val="21"/>
                      <w:highlight w:val="none"/>
                      <w:lang w:val="zh-CN"/>
                    </w:rPr>
                    <w:t>禁止建设不符合全国和省级港口布局规划以及港口</w:t>
                  </w:r>
                  <w:r>
                    <w:rPr>
                      <w:rFonts w:hint="eastAsia" w:cs="Times New Roman"/>
                      <w:color w:val="auto"/>
                      <w:sz w:val="21"/>
                      <w:szCs w:val="21"/>
                      <w:highlight w:val="none"/>
                      <w:lang w:val="zh-CN"/>
                    </w:rPr>
                    <w:t>总体规划</w:t>
                  </w:r>
                  <w:r>
                    <w:rPr>
                      <w:rFonts w:hint="default" w:ascii="Times New Roman" w:hAnsi="Times New Roman" w:eastAsia="宋体" w:cs="Times New Roman"/>
                      <w:color w:val="auto"/>
                      <w:sz w:val="21"/>
                      <w:szCs w:val="21"/>
                      <w:highlight w:val="none"/>
                      <w:lang w:val="zh-CN"/>
                    </w:rPr>
                    <w:t>的码头项目，禁止建设不符合《长江</w:t>
                  </w:r>
                  <w:r>
                    <w:rPr>
                      <w:rFonts w:hint="eastAsia" w:cs="Times New Roman"/>
                      <w:color w:val="auto"/>
                      <w:sz w:val="21"/>
                      <w:szCs w:val="21"/>
                      <w:highlight w:val="none"/>
                      <w:lang w:val="zh-CN"/>
                    </w:rPr>
                    <w:t>干线</w:t>
                  </w:r>
                  <w:r>
                    <w:rPr>
                      <w:rFonts w:hint="default" w:ascii="Times New Roman" w:hAnsi="Times New Roman" w:eastAsia="宋体" w:cs="Times New Roman"/>
                      <w:color w:val="auto"/>
                      <w:sz w:val="21"/>
                      <w:szCs w:val="21"/>
                      <w:highlight w:val="none"/>
                      <w:lang w:val="zh-CN"/>
                    </w:rPr>
                    <w:t>过江通道布局规划》的过长江通道项目。</w:t>
                  </w:r>
                </w:p>
              </w:tc>
              <w:tc>
                <w:tcPr>
                  <w:tcW w:w="2590" w:type="dxa"/>
                  <w:noWrap w:val="0"/>
                  <w:vAlign w:val="center"/>
                </w:tcPr>
                <w:p w14:paraId="3662A150">
                  <w:pPr>
                    <w:shd w:val="clear"/>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color w:val="auto"/>
                      <w:sz w:val="21"/>
                      <w:szCs w:val="21"/>
                      <w:highlight w:val="none"/>
                    </w:rPr>
                    <w:t>项目位于</w:t>
                  </w:r>
                  <w:r>
                    <w:rPr>
                      <w:rFonts w:hint="default" w:ascii="Times New Roman" w:hAnsi="Times New Roman" w:eastAsia="宋体" w:cs="Times New Roman"/>
                      <w:color w:val="auto"/>
                      <w:sz w:val="21"/>
                      <w:szCs w:val="21"/>
                      <w:highlight w:val="none"/>
                      <w:u w:val="none"/>
                      <w:lang w:val="en-US" w:eastAsia="zh-CN"/>
                    </w:rPr>
                    <w:t>云南寻甸产业园区金所片区金所组团</w:t>
                  </w:r>
                  <w:r>
                    <w:rPr>
                      <w:rFonts w:hint="eastAsia" w:cs="Times New Roman"/>
                      <w:color w:val="auto"/>
                      <w:sz w:val="21"/>
                      <w:szCs w:val="21"/>
                      <w:highlight w:val="none"/>
                      <w:u w:val="none"/>
                      <w:lang w:val="en-US" w:eastAsia="zh-CN"/>
                    </w:rPr>
                    <w:t>绿色建材产业区</w:t>
                  </w:r>
                  <w:r>
                    <w:rPr>
                      <w:rFonts w:hint="default" w:ascii="Times New Roman" w:hAnsi="Times New Roman" w:eastAsia="宋体" w:cs="Times New Roman"/>
                      <w:color w:val="auto"/>
                      <w:sz w:val="21"/>
                      <w:szCs w:val="21"/>
                      <w:highlight w:val="none"/>
                    </w:rPr>
                    <w:t>，不属于码头或过长江通道项目。</w:t>
                  </w:r>
                </w:p>
              </w:tc>
              <w:tc>
                <w:tcPr>
                  <w:tcW w:w="899" w:type="dxa"/>
                  <w:noWrap w:val="0"/>
                  <w:vAlign w:val="center"/>
                </w:tcPr>
                <w:p w14:paraId="65D6CF93">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5DA0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492" w:type="dxa"/>
                  <w:noWrap w:val="0"/>
                  <w:vAlign w:val="center"/>
                </w:tcPr>
                <w:p w14:paraId="155DB18A">
                  <w:pPr>
                    <w:shd w:val="clea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（二）</w:t>
                  </w:r>
                  <w:r>
                    <w:rPr>
                      <w:rFonts w:hint="default" w:ascii="Times New Roman" w:hAnsi="Times New Roman" w:eastAsia="宋体" w:cs="Times New Roman"/>
                      <w:color w:val="auto"/>
                      <w:szCs w:val="21"/>
                      <w:highlight w:val="none"/>
                      <w:lang w:val="zh-CN"/>
                    </w:rPr>
                    <w:t>禁止在自然保护区核心区、缓冲区的岸线和河段范围内投资建设旅游和生产经营项目。禁止在风景名胜区核心景区的岸线和河段范围内投资建设与风景名胜资源保护无关的项目。</w:t>
                  </w:r>
                </w:p>
              </w:tc>
              <w:tc>
                <w:tcPr>
                  <w:tcW w:w="2590" w:type="dxa"/>
                  <w:noWrap w:val="0"/>
                  <w:vAlign w:val="center"/>
                </w:tcPr>
                <w:p w14:paraId="32C83334">
                  <w:pPr>
                    <w:shd w:val="clear"/>
                    <w:jc w:val="center"/>
                    <w:rPr>
                      <w:rFonts w:hint="default" w:ascii="Times New Roman" w:hAnsi="Times New Roman" w:eastAsia="宋体" w:cs="Times New Roman"/>
                      <w:color w:val="FF0000"/>
                      <w:szCs w:val="21"/>
                      <w:highlight w:val="none"/>
                    </w:rPr>
                  </w:pPr>
                  <w:r>
                    <w:rPr>
                      <w:rFonts w:hint="default" w:ascii="Times New Roman" w:hAnsi="Times New Roman" w:eastAsia="宋体" w:cs="Times New Roman"/>
                      <w:color w:val="auto"/>
                      <w:sz w:val="21"/>
                      <w:szCs w:val="21"/>
                      <w:highlight w:val="none"/>
                    </w:rPr>
                    <w:t>项目位于</w:t>
                  </w:r>
                  <w:r>
                    <w:rPr>
                      <w:rFonts w:hint="default" w:ascii="Times New Roman" w:hAnsi="Times New Roman" w:eastAsia="宋体" w:cs="Times New Roman"/>
                      <w:color w:val="auto"/>
                      <w:sz w:val="21"/>
                      <w:szCs w:val="21"/>
                      <w:highlight w:val="none"/>
                      <w:u w:val="none"/>
                      <w:lang w:val="en-US" w:eastAsia="zh-CN"/>
                    </w:rPr>
                    <w:t>云南寻甸产业园区金所片区金所组团</w:t>
                  </w:r>
                  <w:r>
                    <w:rPr>
                      <w:rFonts w:hint="eastAsia" w:cs="Times New Roman"/>
                      <w:color w:val="auto"/>
                      <w:sz w:val="21"/>
                      <w:szCs w:val="21"/>
                      <w:highlight w:val="none"/>
                      <w:u w:val="none"/>
                      <w:lang w:val="en-US" w:eastAsia="zh-CN"/>
                    </w:rPr>
                    <w:t>绿色建材产业区</w:t>
                  </w:r>
                  <w:r>
                    <w:rPr>
                      <w:rFonts w:hint="default" w:ascii="Times New Roman" w:hAnsi="Times New Roman" w:eastAsia="宋体" w:cs="Times New Roman"/>
                      <w:color w:val="auto"/>
                      <w:sz w:val="21"/>
                      <w:szCs w:val="21"/>
                      <w:highlight w:val="none"/>
                    </w:rPr>
                    <w:t>，项目选址区域不涉及自然保护区、风景名胜区等，不涉及条款禁止行为。</w:t>
                  </w:r>
                </w:p>
              </w:tc>
              <w:tc>
                <w:tcPr>
                  <w:tcW w:w="899" w:type="dxa"/>
                  <w:noWrap w:val="0"/>
                  <w:vAlign w:val="center"/>
                </w:tcPr>
                <w:p w14:paraId="11F7F5CA">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3306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492" w:type="dxa"/>
                  <w:noWrap w:val="0"/>
                  <w:vAlign w:val="center"/>
                </w:tcPr>
                <w:p w14:paraId="4E9D260C">
                  <w:pPr>
                    <w:shd w:val="clea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（三）</w:t>
                  </w:r>
                  <w:r>
                    <w:rPr>
                      <w:rFonts w:hint="default" w:ascii="Times New Roman" w:hAnsi="Times New Roman" w:eastAsia="宋体" w:cs="Times New Roman"/>
                      <w:color w:val="auto"/>
                      <w:szCs w:val="21"/>
                      <w:highlight w:val="none"/>
                      <w:lang w:val="zh-CN"/>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2590" w:type="dxa"/>
                  <w:noWrap w:val="0"/>
                  <w:vAlign w:val="center"/>
                </w:tcPr>
                <w:p w14:paraId="26278491">
                  <w:pPr>
                    <w:shd w:val="clear"/>
                    <w:jc w:val="center"/>
                    <w:rPr>
                      <w:rFonts w:hint="default" w:ascii="Times New Roman" w:hAnsi="Times New Roman" w:eastAsia="宋体" w:cs="Times New Roman"/>
                      <w:color w:val="FF0000"/>
                      <w:szCs w:val="21"/>
                      <w:highlight w:val="none"/>
                    </w:rPr>
                  </w:pPr>
                  <w:r>
                    <w:rPr>
                      <w:rFonts w:hint="default" w:ascii="Times New Roman" w:hAnsi="Times New Roman" w:eastAsia="宋体" w:cs="Times New Roman"/>
                      <w:color w:val="auto"/>
                      <w:sz w:val="21"/>
                      <w:szCs w:val="21"/>
                      <w:highlight w:val="none"/>
                    </w:rPr>
                    <w:t>项目位于</w:t>
                  </w:r>
                  <w:r>
                    <w:rPr>
                      <w:rFonts w:hint="default" w:ascii="Times New Roman" w:hAnsi="Times New Roman" w:eastAsia="宋体" w:cs="Times New Roman"/>
                      <w:color w:val="auto"/>
                      <w:sz w:val="21"/>
                      <w:szCs w:val="21"/>
                      <w:highlight w:val="none"/>
                      <w:u w:val="none"/>
                      <w:lang w:val="en-US" w:eastAsia="zh-CN"/>
                    </w:rPr>
                    <w:t>云南寻甸产业园区金所片区金所组团</w:t>
                  </w:r>
                  <w:r>
                    <w:rPr>
                      <w:rFonts w:hint="eastAsia" w:cs="Times New Roman"/>
                      <w:color w:val="auto"/>
                      <w:sz w:val="21"/>
                      <w:szCs w:val="21"/>
                      <w:highlight w:val="none"/>
                      <w:u w:val="none"/>
                      <w:lang w:val="en-US" w:eastAsia="zh-CN"/>
                    </w:rPr>
                    <w:t>绿色建材产业区</w:t>
                  </w:r>
                  <w:r>
                    <w:rPr>
                      <w:rFonts w:hint="default" w:ascii="Times New Roman" w:hAnsi="Times New Roman" w:eastAsia="宋体" w:cs="Times New Roman"/>
                      <w:color w:val="auto"/>
                      <w:sz w:val="21"/>
                      <w:szCs w:val="21"/>
                      <w:highlight w:val="none"/>
                    </w:rPr>
                    <w:t>，项目选址区域不涉及</w:t>
                  </w:r>
                  <w:r>
                    <w:rPr>
                      <w:rFonts w:hint="default" w:ascii="Times New Roman" w:hAnsi="Times New Roman" w:eastAsia="宋体" w:cs="Times New Roman"/>
                      <w:color w:val="auto"/>
                      <w:sz w:val="21"/>
                      <w:szCs w:val="21"/>
                      <w:highlight w:val="none"/>
                      <w:lang w:val="zh-CN"/>
                    </w:rPr>
                    <w:t>饮用水水源一、二级保护区，</w:t>
                  </w:r>
                  <w:r>
                    <w:rPr>
                      <w:rFonts w:hint="default" w:ascii="Times New Roman" w:hAnsi="Times New Roman" w:eastAsia="宋体" w:cs="Times New Roman"/>
                      <w:color w:val="auto"/>
                      <w:sz w:val="21"/>
                      <w:szCs w:val="21"/>
                      <w:highlight w:val="none"/>
                    </w:rPr>
                    <w:t>不涉及条款禁止行为</w:t>
                  </w:r>
                  <w:r>
                    <w:rPr>
                      <w:rFonts w:hint="default" w:ascii="Times New Roman" w:hAnsi="Times New Roman" w:eastAsia="宋体" w:cs="Times New Roman"/>
                      <w:color w:val="auto"/>
                      <w:szCs w:val="21"/>
                      <w:highlight w:val="none"/>
                    </w:rPr>
                    <w:t>。</w:t>
                  </w:r>
                </w:p>
              </w:tc>
              <w:tc>
                <w:tcPr>
                  <w:tcW w:w="899" w:type="dxa"/>
                  <w:noWrap w:val="0"/>
                  <w:vAlign w:val="center"/>
                </w:tcPr>
                <w:p w14:paraId="6F8B48CE">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5066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4492" w:type="dxa"/>
                  <w:noWrap w:val="0"/>
                  <w:vAlign w:val="center"/>
                </w:tcPr>
                <w:p w14:paraId="1EABED86">
                  <w:pPr>
                    <w:shd w:val="clea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（四）</w:t>
                  </w:r>
                  <w:r>
                    <w:rPr>
                      <w:rFonts w:hint="default" w:ascii="Times New Roman" w:hAnsi="Times New Roman" w:eastAsia="宋体" w:cs="Times New Roman"/>
                      <w:color w:val="auto"/>
                      <w:highlight w:val="none"/>
                      <w:lang w:val="zh-CN"/>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2590" w:type="dxa"/>
                  <w:noWrap w:val="0"/>
                  <w:vAlign w:val="center"/>
                </w:tcPr>
                <w:p w14:paraId="6875E6B6">
                  <w:pPr>
                    <w:shd w:val="clea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zh-CN"/>
                    </w:rPr>
                    <w:t>项目不属于在水产种质资源保护区的岸线和河段范围内新建围湖造田、围海造地或围填海等投资建设项目，项目符合主体功能定位的投资建设项目。</w:t>
                  </w:r>
                </w:p>
              </w:tc>
              <w:tc>
                <w:tcPr>
                  <w:tcW w:w="899" w:type="dxa"/>
                  <w:noWrap w:val="0"/>
                  <w:vAlign w:val="center"/>
                </w:tcPr>
                <w:p w14:paraId="64204D2E">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3473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4492" w:type="dxa"/>
                  <w:noWrap w:val="0"/>
                  <w:vAlign w:val="center"/>
                </w:tcPr>
                <w:p w14:paraId="6A24B3B4">
                  <w:pPr>
                    <w:shd w:val="clea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（五）</w:t>
                  </w:r>
                  <w:r>
                    <w:rPr>
                      <w:rFonts w:hint="default" w:ascii="Times New Roman" w:hAnsi="Times New Roman" w:eastAsia="宋体" w:cs="Times New Roman"/>
                      <w:color w:val="auto"/>
                      <w:szCs w:val="21"/>
                      <w:highlight w:val="none"/>
                      <w:lang w:val="zh-CN"/>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2590" w:type="dxa"/>
                  <w:noWrap w:val="0"/>
                  <w:vAlign w:val="center"/>
                </w:tcPr>
                <w:p w14:paraId="00F583E9">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项目在工业园区内，不属于</w:t>
                  </w:r>
                  <w:r>
                    <w:rPr>
                      <w:rFonts w:hint="default" w:ascii="Times New Roman" w:hAnsi="Times New Roman" w:eastAsia="宋体" w:cs="Times New Roman"/>
                      <w:color w:val="auto"/>
                      <w:szCs w:val="21"/>
                      <w:highlight w:val="none"/>
                      <w:lang w:val="zh-CN"/>
                    </w:rPr>
                    <w:t>违法利用、占用长江流域河湖岸线和投资建设不利于水资源及自然生态保护的项目</w:t>
                  </w:r>
                  <w:r>
                    <w:rPr>
                      <w:rFonts w:hint="default" w:ascii="Times New Roman" w:hAnsi="Times New Roman" w:eastAsia="宋体" w:cs="Times New Roman"/>
                      <w:color w:val="auto"/>
                      <w:szCs w:val="21"/>
                      <w:highlight w:val="none"/>
                    </w:rPr>
                    <w:t>。</w:t>
                  </w:r>
                </w:p>
              </w:tc>
              <w:tc>
                <w:tcPr>
                  <w:tcW w:w="899" w:type="dxa"/>
                  <w:noWrap w:val="0"/>
                  <w:vAlign w:val="center"/>
                </w:tcPr>
                <w:p w14:paraId="376363F3">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7497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92" w:type="dxa"/>
                  <w:noWrap w:val="0"/>
                  <w:vAlign w:val="center"/>
                </w:tcPr>
                <w:p w14:paraId="71B9CC40">
                  <w:pPr>
                    <w:shd w:val="clea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（六）</w:t>
                  </w:r>
                  <w:r>
                    <w:rPr>
                      <w:rFonts w:hint="default" w:ascii="Times New Roman" w:hAnsi="Times New Roman" w:eastAsia="宋体" w:cs="Times New Roman"/>
                      <w:color w:val="auto"/>
                      <w:szCs w:val="21"/>
                      <w:highlight w:val="none"/>
                      <w:lang w:val="zh-CN"/>
                    </w:rPr>
                    <w:t>禁止未经许可在长江干支流及湖泊新设、改设或扩大排污口。</w:t>
                  </w:r>
                </w:p>
              </w:tc>
              <w:tc>
                <w:tcPr>
                  <w:tcW w:w="2590" w:type="dxa"/>
                  <w:noWrap w:val="0"/>
                  <w:vAlign w:val="center"/>
                </w:tcPr>
                <w:p w14:paraId="622CA2E1">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项目废水不外排。</w:t>
                  </w:r>
                </w:p>
              </w:tc>
              <w:tc>
                <w:tcPr>
                  <w:tcW w:w="899" w:type="dxa"/>
                  <w:noWrap w:val="0"/>
                  <w:vAlign w:val="center"/>
                </w:tcPr>
                <w:p w14:paraId="237E0B6A">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15CF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92" w:type="dxa"/>
                  <w:noWrap w:val="0"/>
                  <w:vAlign w:val="center"/>
                </w:tcPr>
                <w:p w14:paraId="0D30904E">
                  <w:pPr>
                    <w:shd w:val="clea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（七）</w:t>
                  </w:r>
                  <w:r>
                    <w:rPr>
                      <w:rFonts w:hint="default" w:ascii="Times New Roman" w:hAnsi="Times New Roman" w:eastAsia="宋体" w:cs="Times New Roman"/>
                      <w:color w:val="auto"/>
                      <w:szCs w:val="21"/>
                      <w:highlight w:val="none"/>
                      <w:lang w:val="zh-CN"/>
                    </w:rPr>
                    <w:t>禁止在“一江一口两湖七河”和332个水生生物保护区开展生产性捕捞。</w:t>
                  </w:r>
                </w:p>
              </w:tc>
              <w:tc>
                <w:tcPr>
                  <w:tcW w:w="2590" w:type="dxa"/>
                  <w:noWrap w:val="0"/>
                  <w:vAlign w:val="center"/>
                </w:tcPr>
                <w:p w14:paraId="2DC167A7">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项目不涉及捕捞。</w:t>
                  </w:r>
                </w:p>
              </w:tc>
              <w:tc>
                <w:tcPr>
                  <w:tcW w:w="899" w:type="dxa"/>
                  <w:noWrap w:val="0"/>
                  <w:vAlign w:val="center"/>
                </w:tcPr>
                <w:p w14:paraId="11296AD3">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62D2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4492" w:type="dxa"/>
                  <w:noWrap w:val="0"/>
                  <w:vAlign w:val="center"/>
                </w:tcPr>
                <w:p w14:paraId="4DE4DFEE">
                  <w:pPr>
                    <w:shd w:val="clea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（八）</w:t>
                  </w:r>
                  <w:r>
                    <w:rPr>
                      <w:rFonts w:hint="default" w:ascii="Times New Roman" w:hAnsi="Times New Roman" w:eastAsia="宋体" w:cs="Times New Roman"/>
                      <w:color w:val="auto"/>
                      <w:szCs w:val="21"/>
                      <w:highlight w:val="none"/>
                      <w:lang w:val="zh-CN"/>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2590" w:type="dxa"/>
                  <w:noWrap w:val="0"/>
                  <w:vAlign w:val="center"/>
                </w:tcPr>
                <w:p w14:paraId="44BE44BB">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项目位于</w:t>
                  </w:r>
                  <w:r>
                    <w:rPr>
                      <w:rFonts w:hint="default" w:ascii="Times New Roman" w:hAnsi="Times New Roman" w:eastAsia="宋体" w:cs="Times New Roman"/>
                      <w:color w:val="auto"/>
                      <w:sz w:val="21"/>
                      <w:szCs w:val="21"/>
                      <w:highlight w:val="none"/>
                      <w:u w:val="none"/>
                      <w:lang w:val="en-US" w:eastAsia="zh-CN"/>
                    </w:rPr>
                    <w:t>云南寻甸产业园区金所片区金所组团</w:t>
                  </w:r>
                  <w:r>
                    <w:rPr>
                      <w:rFonts w:hint="eastAsia" w:cs="Times New Roman"/>
                      <w:color w:val="auto"/>
                      <w:sz w:val="21"/>
                      <w:szCs w:val="21"/>
                      <w:highlight w:val="none"/>
                      <w:u w:val="none"/>
                      <w:lang w:val="en-US" w:eastAsia="zh-CN"/>
                    </w:rPr>
                    <w:t>绿色建材产业区</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highlight w:val="none"/>
                    </w:rPr>
                    <w:t>位于合规园区内，项目不属于</w:t>
                  </w:r>
                  <w:r>
                    <w:rPr>
                      <w:rFonts w:hint="default" w:ascii="Times New Roman" w:hAnsi="Times New Roman" w:eastAsia="宋体" w:cs="Times New Roman"/>
                      <w:color w:val="auto"/>
                      <w:szCs w:val="21"/>
                      <w:highlight w:val="none"/>
                      <w:lang w:val="zh-CN"/>
                    </w:rPr>
                    <w:t>尾矿库、冶炼渣库和磷石膏库的项目</w:t>
                  </w:r>
                  <w:r>
                    <w:rPr>
                      <w:rFonts w:hint="default" w:ascii="Times New Roman" w:hAnsi="Times New Roman" w:eastAsia="宋体" w:cs="Times New Roman"/>
                      <w:color w:val="auto"/>
                      <w:highlight w:val="none"/>
                    </w:rPr>
                    <w:t>。</w:t>
                  </w:r>
                </w:p>
              </w:tc>
              <w:tc>
                <w:tcPr>
                  <w:tcW w:w="899" w:type="dxa"/>
                  <w:noWrap w:val="0"/>
                  <w:vAlign w:val="center"/>
                </w:tcPr>
                <w:p w14:paraId="4E82EECF">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62D93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492" w:type="dxa"/>
                  <w:noWrap w:val="0"/>
                  <w:vAlign w:val="center"/>
                </w:tcPr>
                <w:p w14:paraId="18963F9D">
                  <w:pPr>
                    <w:shd w:val="clea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（九）</w:t>
                  </w:r>
                  <w:r>
                    <w:rPr>
                      <w:rFonts w:hint="default" w:ascii="Times New Roman" w:hAnsi="Times New Roman" w:eastAsia="宋体" w:cs="Times New Roman"/>
                      <w:color w:val="auto"/>
                      <w:szCs w:val="21"/>
                      <w:highlight w:val="none"/>
                      <w:lang w:val="zh-CN"/>
                    </w:rPr>
                    <w:t>禁止在合规园区外新建、扩建钢铁、石化、化工、焦化、建材、有色、制浆造纸等高污染项目。</w:t>
                  </w:r>
                </w:p>
              </w:tc>
              <w:tc>
                <w:tcPr>
                  <w:tcW w:w="2590" w:type="dxa"/>
                  <w:noWrap w:val="0"/>
                  <w:vAlign w:val="center"/>
                </w:tcPr>
                <w:p w14:paraId="03B503D5">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项目位于</w:t>
                  </w:r>
                  <w:r>
                    <w:rPr>
                      <w:rFonts w:hint="default" w:ascii="Times New Roman" w:hAnsi="Times New Roman" w:eastAsia="宋体" w:cs="Times New Roman"/>
                      <w:color w:val="auto"/>
                      <w:szCs w:val="21"/>
                      <w:highlight w:val="none"/>
                      <w:lang w:val="zh-CN"/>
                    </w:rPr>
                    <w:t>合规园区内</w:t>
                  </w:r>
                  <w:r>
                    <w:rPr>
                      <w:rFonts w:hint="default" w:ascii="Times New Roman" w:hAnsi="Times New Roman" w:eastAsia="宋体" w:cs="Times New Roman"/>
                      <w:color w:val="auto"/>
                      <w:szCs w:val="21"/>
                      <w:highlight w:val="none"/>
                    </w:rPr>
                    <w:t>。</w:t>
                  </w:r>
                </w:p>
              </w:tc>
              <w:tc>
                <w:tcPr>
                  <w:tcW w:w="899" w:type="dxa"/>
                  <w:noWrap w:val="0"/>
                  <w:vAlign w:val="center"/>
                </w:tcPr>
                <w:p w14:paraId="3484BC54">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14:paraId="2F64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4492" w:type="dxa"/>
                  <w:noWrap w:val="0"/>
                  <w:vAlign w:val="center"/>
                </w:tcPr>
                <w:p w14:paraId="2F84A765">
                  <w:pPr>
                    <w:shd w:val="clea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（十）</w:t>
                  </w:r>
                  <w:r>
                    <w:rPr>
                      <w:rFonts w:hint="default" w:ascii="Times New Roman" w:hAnsi="Times New Roman" w:eastAsia="宋体" w:cs="Times New Roman"/>
                      <w:color w:val="auto"/>
                      <w:szCs w:val="21"/>
                      <w:highlight w:val="none"/>
                      <w:lang w:val="zh-CN"/>
                    </w:rPr>
                    <w:t>禁止新建、扩建法律法规和相关政策明令禁止的落后产能项目。禁止新建、扩建不符合国家产能置换要求的严重过剩产能行业的项目。禁止新建、扩建不符合要求的高耗能高排放项目。</w:t>
                  </w:r>
                </w:p>
              </w:tc>
              <w:tc>
                <w:tcPr>
                  <w:tcW w:w="2590" w:type="dxa"/>
                  <w:noWrap w:val="0"/>
                  <w:vAlign w:val="center"/>
                </w:tcPr>
                <w:p w14:paraId="52199425">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项目不属于</w:t>
                  </w:r>
                  <w:r>
                    <w:rPr>
                      <w:rFonts w:hint="default" w:ascii="Times New Roman" w:hAnsi="Times New Roman" w:eastAsia="宋体" w:cs="Times New Roman"/>
                      <w:color w:val="auto"/>
                      <w:szCs w:val="21"/>
                      <w:highlight w:val="none"/>
                      <w:lang w:val="zh-CN"/>
                    </w:rPr>
                    <w:t>新建、扩建法律法规和相关政策明令禁止的落后产能项目，不属于禁止新建、扩建不符合国家产能置换要求的严重过剩产能行业的项目，不属于禁止新建、扩建不符合要求的高耗能高排放项目</w:t>
                  </w:r>
                  <w:r>
                    <w:rPr>
                      <w:rFonts w:hint="default" w:ascii="Times New Roman" w:hAnsi="Times New Roman" w:eastAsia="宋体" w:cs="Times New Roman"/>
                      <w:color w:val="auto"/>
                      <w:szCs w:val="21"/>
                      <w:highlight w:val="none"/>
                    </w:rPr>
                    <w:t>。</w:t>
                  </w:r>
                </w:p>
              </w:tc>
              <w:tc>
                <w:tcPr>
                  <w:tcW w:w="899" w:type="dxa"/>
                  <w:noWrap w:val="0"/>
                  <w:vAlign w:val="center"/>
                </w:tcPr>
                <w:p w14:paraId="6FD6A9B3">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bl>
          <w:p w14:paraId="59C5A996">
            <w:pPr>
              <w:keepNext w:val="0"/>
              <w:keepLines w:val="0"/>
              <w:pageBreakBefore w:val="0"/>
              <w:widowControl w:val="0"/>
              <w:numPr>
                <w:ilvl w:val="0"/>
                <w:numId w:val="0"/>
              </w:numPr>
              <w:shd w:val="clear"/>
              <w:kinsoku/>
              <w:wordWrap/>
              <w:overflowPunct/>
              <w:topLinePunct w:val="0"/>
              <w:autoSpaceDE/>
              <w:autoSpaceDN/>
              <w:bidi w:val="0"/>
              <w:adjustRightInd/>
              <w:snapToGrid w:val="0"/>
              <w:spacing w:beforeAutospacing="0" w:afterAutospacing="0" w:line="360" w:lineRule="auto"/>
              <w:ind w:leftChars="0" w:right="0" w:rightChars="0" w:firstLine="482" w:firstLineChars="200"/>
              <w:jc w:val="both"/>
              <w:textAlignment w:val="auto"/>
              <w:outlineLvl w:val="2"/>
              <w:rPr>
                <w:rFonts w:hint="default" w:ascii="Times New Roman" w:hAnsi="Times New Roman" w:eastAsia="宋体" w:cs="Times New Roman"/>
                <w:b/>
                <w:bCs/>
                <w:color w:val="auto"/>
                <w:kern w:val="0"/>
                <w:sz w:val="24"/>
                <w:szCs w:val="24"/>
                <w:highlight w:val="none"/>
                <w:lang w:val="en-US" w:eastAsia="zh-CN"/>
              </w:rPr>
            </w:pPr>
            <w:bookmarkStart w:id="11" w:name="_Toc15006"/>
            <w:r>
              <w:rPr>
                <w:rFonts w:hint="eastAsia" w:cs="Times New Roman"/>
                <w:b/>
                <w:bCs/>
                <w:color w:val="auto"/>
                <w:kern w:val="0"/>
                <w:sz w:val="24"/>
                <w:szCs w:val="24"/>
                <w:highlight w:val="none"/>
                <w:lang w:val="en-US" w:eastAsia="zh-CN"/>
              </w:rPr>
              <w:t>7</w:t>
            </w:r>
            <w:r>
              <w:rPr>
                <w:rFonts w:hint="default" w:ascii="Times New Roman" w:hAnsi="Times New Roman" w:eastAsia="宋体" w:cs="Times New Roman"/>
                <w:b/>
                <w:bCs/>
                <w:color w:val="auto"/>
                <w:kern w:val="0"/>
                <w:sz w:val="24"/>
                <w:szCs w:val="24"/>
                <w:highlight w:val="none"/>
                <w:lang w:val="en-US" w:eastAsia="zh-CN"/>
              </w:rPr>
              <w:t>、与《云南省长江经济带发展负面清单指南实施细则（试行，2022年版）》的符合性分析</w:t>
            </w:r>
            <w:bookmarkEnd w:id="11"/>
          </w:p>
          <w:p w14:paraId="101606B3">
            <w:pPr>
              <w:keepNext w:val="0"/>
              <w:keepLines w:val="0"/>
              <w:pageBreakBefore w:val="0"/>
              <w:shd w:val="clear"/>
              <w:kinsoku/>
              <w:wordWrap/>
              <w:overflowPunct/>
              <w:topLinePunct w:val="0"/>
              <w:bidi w:val="0"/>
              <w:snapToGrid w:val="0"/>
              <w:spacing w:beforeAutospacing="0" w:afterAutospacing="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1-</w:t>
            </w:r>
            <w:r>
              <w:rPr>
                <w:rFonts w:hint="eastAsia" w:cs="Times New Roman"/>
                <w:b/>
                <w:bCs/>
                <w:color w:val="auto"/>
                <w:sz w:val="21"/>
                <w:szCs w:val="21"/>
                <w:highlight w:val="none"/>
                <w:lang w:val="en-US" w:eastAsia="zh-CN"/>
              </w:rPr>
              <w:t>9</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《云南省长江经济带发展负面清单指南实施细则（试行</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2022年版</w:t>
            </w:r>
            <w:r>
              <w:rPr>
                <w:rFonts w:hint="default" w:ascii="Times New Roman" w:hAnsi="Times New Roman" w:eastAsia="宋体" w:cs="Times New Roman"/>
                <w:b/>
                <w:bCs/>
                <w:color w:val="auto"/>
                <w:sz w:val="21"/>
                <w:szCs w:val="21"/>
                <w:highlight w:val="none"/>
              </w:rPr>
              <w:t>）》符合性分析</w:t>
            </w:r>
          </w:p>
          <w:tbl>
            <w:tblPr>
              <w:tblStyle w:val="26"/>
              <w:tblW w:w="79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32"/>
              <w:gridCol w:w="2288"/>
              <w:gridCol w:w="660"/>
            </w:tblGrid>
            <w:tr w14:paraId="634C6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447F1121">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highlight w:val="none"/>
                      <w:shd w:val="clear" w:color="auto" w:fill="FFFFFF"/>
                    </w:rPr>
                    <w:t>规范要求</w:t>
                  </w:r>
                </w:p>
              </w:tc>
              <w:tc>
                <w:tcPr>
                  <w:tcW w:w="2288" w:type="dxa"/>
                  <w:noWrap w:val="0"/>
                  <w:vAlign w:val="center"/>
                </w:tcPr>
                <w:p w14:paraId="662357D5">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highlight w:val="none"/>
                    </w:rPr>
                    <w:t>项目实际情况</w:t>
                  </w:r>
                </w:p>
              </w:tc>
              <w:tc>
                <w:tcPr>
                  <w:tcW w:w="660" w:type="dxa"/>
                  <w:noWrap w:val="0"/>
                  <w:vAlign w:val="center"/>
                </w:tcPr>
                <w:p w14:paraId="30556F1F">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sz w:val="21"/>
                      <w:szCs w:val="21"/>
                      <w:highlight w:val="none"/>
                    </w:rPr>
                    <w:t>相符性</w:t>
                  </w:r>
                </w:p>
              </w:tc>
            </w:tr>
            <w:tr w14:paraId="6ACA1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7DA9A599">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shd w:val="clear" w:color="auto" w:fill="FFFFFF"/>
                    </w:rPr>
                  </w:pPr>
                  <w:r>
                    <w:rPr>
                      <w:rFonts w:hint="default" w:ascii="Times New Roman" w:hAnsi="Times New Roman" w:eastAsia="宋体" w:cs="Times New Roman"/>
                      <w:color w:val="auto"/>
                      <w:sz w:val="21"/>
                      <w:szCs w:val="21"/>
                      <w:highlight w:val="none"/>
                      <w:shd w:val="clear" w:color="auto" w:fill="FFFFFF"/>
                    </w:rPr>
                    <w:t>禁止新建、改建和扩建不符合《全国内河航道与港</w:t>
                  </w:r>
                </w:p>
                <w:p w14:paraId="0CE39BFA">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FFFFFF"/>
                    </w:rPr>
                    <w:t>口布局规划》等全国港口规划和《昭通市港口码头岸线规划（金沙江段 2019 年—2035年）》、《景洪港总体规划（2019—2035年）》等州（市）级以上港口布局规划以及港口总体规划的码头项目。</w:t>
                  </w:r>
                </w:p>
              </w:tc>
              <w:tc>
                <w:tcPr>
                  <w:tcW w:w="2288" w:type="dxa"/>
                  <w:noWrap w:val="0"/>
                  <w:vAlign w:val="center"/>
                </w:tcPr>
                <w:p w14:paraId="7641B55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eastAsia="zh-CN"/>
                    </w:rPr>
                    <w:t>不属于港口布局规划以及港口总体规划的码头项目。</w:t>
                  </w:r>
                </w:p>
              </w:tc>
              <w:tc>
                <w:tcPr>
                  <w:tcW w:w="660" w:type="dxa"/>
                  <w:noWrap w:val="0"/>
                  <w:vAlign w:val="center"/>
                </w:tcPr>
                <w:p w14:paraId="2714B37F">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相符</w:t>
                  </w:r>
                </w:p>
              </w:tc>
            </w:tr>
            <w:tr w14:paraId="1CB78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3E4F30FD">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shd w:val="clear" w:color="auto" w:fill="FFFFFF"/>
                    </w:rPr>
                  </w:pPr>
                  <w:r>
                    <w:rPr>
                      <w:rFonts w:hint="default" w:ascii="Times New Roman" w:hAnsi="Times New Roman" w:eastAsia="宋体" w:cs="Times New Roman"/>
                      <w:color w:val="auto"/>
                      <w:sz w:val="21"/>
                      <w:szCs w:val="21"/>
                      <w:highlight w:val="none"/>
                      <w:shd w:val="clear" w:color="auto" w:fill="FFFFFF"/>
                    </w:rPr>
                    <w:t>禁止在自然保护区核心区、缓冲区的岸线和河段范</w:t>
                  </w:r>
                </w:p>
                <w:p w14:paraId="486EED33">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FFFFFF"/>
                    </w:rPr>
                    <w:t>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2288" w:type="dxa"/>
                  <w:noWrap w:val="0"/>
                  <w:vAlign w:val="center"/>
                </w:tcPr>
                <w:p w14:paraId="005C9BBB">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本项目不</w:t>
                  </w:r>
                  <w:r>
                    <w:rPr>
                      <w:rFonts w:hint="default" w:ascii="Times New Roman" w:hAnsi="Times New Roman" w:eastAsia="宋体" w:cs="Times New Roman"/>
                      <w:color w:val="auto"/>
                      <w:sz w:val="21"/>
                      <w:szCs w:val="21"/>
                      <w:highlight w:val="none"/>
                      <w:lang w:eastAsia="zh-CN"/>
                    </w:rPr>
                    <w:t>涉及</w:t>
                  </w:r>
                  <w:r>
                    <w:rPr>
                      <w:rFonts w:hint="default" w:ascii="Times New Roman" w:hAnsi="Times New Roman" w:eastAsia="宋体" w:cs="Times New Roman"/>
                      <w:color w:val="auto"/>
                      <w:sz w:val="21"/>
                      <w:szCs w:val="21"/>
                      <w:highlight w:val="none"/>
                      <w:shd w:val="clear" w:color="auto" w:fill="FFFFFF"/>
                    </w:rPr>
                    <w:t>《长江岸线保护和开发利用总体规划》划定的岸线保护区、《全国重要江河湖泊水功能区划》划定的河段保护区、保留区</w:t>
                  </w:r>
                  <w:r>
                    <w:rPr>
                      <w:rFonts w:hint="default" w:ascii="Times New Roman" w:hAnsi="Times New Roman" w:eastAsia="宋体" w:cs="Times New Roman"/>
                      <w:color w:val="auto"/>
                      <w:sz w:val="21"/>
                      <w:szCs w:val="21"/>
                      <w:highlight w:val="none"/>
                      <w:shd w:val="clear" w:color="auto" w:fill="FFFFFF"/>
                      <w:lang w:eastAsia="zh-CN"/>
                    </w:rPr>
                    <w:t>。本项目不属于旅游项目，不</w:t>
                  </w:r>
                  <w:r>
                    <w:rPr>
                      <w:rFonts w:hint="default" w:ascii="Times New Roman" w:hAnsi="Times New Roman" w:eastAsia="宋体" w:cs="Times New Roman"/>
                      <w:color w:val="auto"/>
                      <w:sz w:val="21"/>
                      <w:szCs w:val="21"/>
                      <w:highlight w:val="none"/>
                      <w:shd w:val="clear" w:color="auto" w:fill="FFFFFF"/>
                    </w:rPr>
                    <w:t>进行开矿、采石、挖沙等活动</w:t>
                  </w:r>
                  <w:r>
                    <w:rPr>
                      <w:rFonts w:hint="default" w:ascii="Times New Roman" w:hAnsi="Times New Roman" w:eastAsia="宋体" w:cs="Times New Roman"/>
                      <w:color w:val="auto"/>
                      <w:sz w:val="21"/>
                      <w:szCs w:val="21"/>
                      <w:highlight w:val="none"/>
                      <w:shd w:val="clear" w:color="auto" w:fill="FFFFFF"/>
                      <w:lang w:eastAsia="zh-CN"/>
                    </w:rPr>
                    <w:t>；本项目不属于自然保护区的核心区、缓冲区和试验区内。</w:t>
                  </w:r>
                </w:p>
              </w:tc>
              <w:tc>
                <w:tcPr>
                  <w:tcW w:w="660" w:type="dxa"/>
                  <w:noWrap w:val="0"/>
                  <w:vAlign w:val="center"/>
                </w:tcPr>
                <w:p w14:paraId="79C66E2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相符</w:t>
                  </w:r>
                </w:p>
              </w:tc>
            </w:tr>
            <w:tr w14:paraId="7EFB3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1F857D85">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shd w:val="clear" w:color="auto" w:fill="FFFFFF"/>
                    </w:rPr>
                  </w:pPr>
                  <w:r>
                    <w:rPr>
                      <w:rFonts w:hint="default" w:ascii="Times New Roman" w:hAnsi="Times New Roman" w:eastAsia="宋体" w:cs="Times New Roman"/>
                      <w:color w:val="auto"/>
                      <w:sz w:val="21"/>
                      <w:szCs w:val="21"/>
                      <w:highlight w:val="none"/>
                      <w:shd w:val="clear" w:color="auto" w:fill="FFFFFF"/>
                    </w:rPr>
                    <w:t>禁止在风景名胜区核心景区的岸线和河段范围内</w:t>
                  </w:r>
                </w:p>
                <w:p w14:paraId="473CF0BF">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FFFFFF"/>
                    </w:rPr>
                    <w:t>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2288" w:type="dxa"/>
                  <w:noWrap w:val="0"/>
                  <w:vAlign w:val="center"/>
                </w:tcPr>
                <w:p w14:paraId="04E5A3D8">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rPr>
                    <w:t>用地不涉及</w:t>
                  </w:r>
                  <w:r>
                    <w:rPr>
                      <w:rFonts w:hint="default" w:ascii="Times New Roman" w:hAnsi="Times New Roman" w:eastAsia="宋体" w:cs="Times New Roman"/>
                      <w:color w:val="auto"/>
                      <w:sz w:val="21"/>
                      <w:szCs w:val="21"/>
                      <w:highlight w:val="none"/>
                      <w:lang w:eastAsia="zh-CN"/>
                    </w:rPr>
                    <w:t>风景名胜区。</w:t>
                  </w:r>
                </w:p>
              </w:tc>
              <w:tc>
                <w:tcPr>
                  <w:tcW w:w="660" w:type="dxa"/>
                  <w:noWrap w:val="0"/>
                  <w:vAlign w:val="center"/>
                </w:tcPr>
                <w:p w14:paraId="1592266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相符</w:t>
                  </w:r>
                </w:p>
              </w:tc>
            </w:tr>
            <w:tr w14:paraId="6DAEC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0214C51A">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shd w:val="clear" w:color="auto" w:fill="FFFFFF"/>
                    </w:rPr>
                  </w:pPr>
                  <w:r>
                    <w:rPr>
                      <w:rFonts w:hint="default" w:ascii="Times New Roman" w:hAnsi="Times New Roman" w:eastAsia="宋体" w:cs="Times New Roman"/>
                      <w:color w:val="auto"/>
                      <w:sz w:val="21"/>
                      <w:szCs w:val="21"/>
                      <w:highlight w:val="none"/>
                      <w:shd w:val="clear" w:color="auto" w:fill="FFFFFF"/>
                    </w:rPr>
                    <w:t>禁止在饮用水水源一级保护区的岸线和河段范围</w:t>
                  </w:r>
                </w:p>
                <w:p w14:paraId="2CB8597B">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FFFFFF"/>
                    </w:rPr>
                    <w:t>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2288" w:type="dxa"/>
                  <w:noWrap w:val="0"/>
                  <w:vAlign w:val="center"/>
                </w:tcPr>
                <w:p w14:paraId="4E07782A">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本项目不</w:t>
                  </w:r>
                  <w:r>
                    <w:rPr>
                      <w:rFonts w:hint="default" w:ascii="Times New Roman" w:hAnsi="Times New Roman" w:eastAsia="宋体" w:cs="Times New Roman"/>
                      <w:color w:val="auto"/>
                      <w:sz w:val="21"/>
                      <w:szCs w:val="21"/>
                      <w:highlight w:val="none"/>
                      <w:lang w:eastAsia="zh-CN"/>
                    </w:rPr>
                    <w:t>涉及饮用水水源一级保护区</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 w:val="21"/>
                      <w:szCs w:val="21"/>
                      <w:highlight w:val="none"/>
                      <w:shd w:val="clear" w:color="auto" w:fill="FFFFFF"/>
                    </w:rPr>
                    <w:t>饮用水水源二级保护区</w:t>
                  </w:r>
                  <w:r>
                    <w:rPr>
                      <w:rFonts w:hint="default" w:ascii="Times New Roman" w:hAnsi="Times New Roman" w:eastAsia="宋体" w:cs="Times New Roman"/>
                      <w:color w:val="auto"/>
                      <w:sz w:val="21"/>
                      <w:szCs w:val="21"/>
                      <w:highlight w:val="none"/>
                      <w:lang w:eastAsia="zh-CN"/>
                    </w:rPr>
                    <w:t>。</w:t>
                  </w:r>
                </w:p>
              </w:tc>
              <w:tc>
                <w:tcPr>
                  <w:tcW w:w="660" w:type="dxa"/>
                  <w:noWrap w:val="0"/>
                  <w:vAlign w:val="center"/>
                </w:tcPr>
                <w:p w14:paraId="7AA49A7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相符</w:t>
                  </w:r>
                </w:p>
              </w:tc>
            </w:tr>
            <w:tr w14:paraId="5EE1E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332F66D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shd w:val="clear" w:color="auto" w:fill="FFFFFF"/>
                    </w:rPr>
                  </w:pPr>
                  <w:r>
                    <w:rPr>
                      <w:rFonts w:hint="default" w:ascii="Times New Roman" w:hAnsi="Times New Roman" w:eastAsia="宋体" w:cs="Times New Roman"/>
                      <w:color w:val="auto"/>
                      <w:sz w:val="21"/>
                      <w:szCs w:val="21"/>
                      <w:highlight w:val="none"/>
                      <w:shd w:val="clear" w:color="auto" w:fill="FFFFFF"/>
                    </w:rPr>
                    <w:t>禁止在水产种质资源保护区的岸线和河段范围内</w:t>
                  </w:r>
                </w:p>
                <w:p w14:paraId="4B040BD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FFFFFF"/>
                    </w:rPr>
                    <w:t>新建围湖造田、围湖造地或围填海等投资建设项目。禁止擅自征收、占用国家湿地公园的土地；禁止在国家湿地公园内挖沙、采矿，以及建设度假村、高尔夫球场等任何不符合主体功能定位的投资建设项目。</w:t>
                  </w:r>
                </w:p>
              </w:tc>
              <w:tc>
                <w:tcPr>
                  <w:tcW w:w="2288" w:type="dxa"/>
                  <w:noWrap w:val="0"/>
                  <w:vAlign w:val="center"/>
                </w:tcPr>
                <w:p w14:paraId="07CBDECC">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本项目不</w:t>
                  </w:r>
                  <w:r>
                    <w:rPr>
                      <w:rFonts w:hint="default" w:ascii="Times New Roman" w:hAnsi="Times New Roman" w:eastAsia="宋体" w:cs="Times New Roman"/>
                      <w:color w:val="auto"/>
                      <w:sz w:val="21"/>
                      <w:szCs w:val="21"/>
                      <w:highlight w:val="none"/>
                      <w:lang w:eastAsia="zh-CN"/>
                    </w:rPr>
                    <w:t>涉及水产种质资源保护区的岸线或河段范围；本项目不涉及国家湿地公园的土地。</w:t>
                  </w:r>
                </w:p>
              </w:tc>
              <w:tc>
                <w:tcPr>
                  <w:tcW w:w="660" w:type="dxa"/>
                  <w:noWrap w:val="0"/>
                  <w:vAlign w:val="center"/>
                </w:tcPr>
                <w:p w14:paraId="579E1961">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相符</w:t>
                  </w:r>
                </w:p>
              </w:tc>
            </w:tr>
            <w:tr w14:paraId="27CF5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0499BA41">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shd w:val="clear" w:color="auto" w:fill="FFFFFF"/>
                    </w:rPr>
                  </w:pPr>
                  <w:r>
                    <w:rPr>
                      <w:rFonts w:hint="default" w:ascii="Times New Roman" w:hAnsi="Times New Roman" w:eastAsia="宋体" w:cs="Times New Roman"/>
                      <w:color w:val="auto"/>
                      <w:sz w:val="21"/>
                      <w:szCs w:val="21"/>
                      <w:highlight w:val="none"/>
                      <w:shd w:val="clear" w:color="auto" w:fill="FFFFFF"/>
                    </w:rPr>
                    <w:t>禁止违法利用、占用长江流域河湖岸线。禁止在金</w:t>
                  </w:r>
                </w:p>
                <w:p w14:paraId="7A839EA7">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FFFFFF"/>
                    </w:rPr>
                    <w:t>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2288" w:type="dxa"/>
                  <w:noWrap w:val="0"/>
                  <w:vAlign w:val="center"/>
                </w:tcPr>
                <w:p w14:paraId="721F7F64">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本项目不涉及</w:t>
                  </w:r>
                  <w:r>
                    <w:rPr>
                      <w:rFonts w:hint="default" w:ascii="Times New Roman" w:hAnsi="Times New Roman" w:eastAsia="宋体" w:cs="Times New Roman"/>
                      <w:color w:val="auto"/>
                      <w:sz w:val="21"/>
                      <w:szCs w:val="21"/>
                      <w:highlight w:val="none"/>
                      <w:shd w:val="clear" w:color="auto" w:fill="FFFFFF"/>
                    </w:rPr>
                    <w:t>占用长江流域河湖岸线</w:t>
                  </w:r>
                  <w:r>
                    <w:rPr>
                      <w:rFonts w:hint="default" w:ascii="Times New Roman" w:hAnsi="Times New Roman" w:eastAsia="宋体" w:cs="Times New Roman"/>
                      <w:color w:val="auto"/>
                      <w:sz w:val="21"/>
                      <w:szCs w:val="21"/>
                      <w:highlight w:val="none"/>
                      <w:shd w:val="clear" w:color="auto" w:fill="FFFFFF"/>
                      <w:lang w:eastAsia="zh-CN"/>
                    </w:rPr>
                    <w:t>项目。</w:t>
                  </w:r>
                </w:p>
              </w:tc>
              <w:tc>
                <w:tcPr>
                  <w:tcW w:w="660" w:type="dxa"/>
                  <w:noWrap w:val="0"/>
                  <w:vAlign w:val="center"/>
                </w:tcPr>
                <w:p w14:paraId="23CF3B3F">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相符</w:t>
                  </w:r>
                </w:p>
              </w:tc>
            </w:tr>
            <w:tr w14:paraId="70EF2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23AA310F">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2288" w:type="dxa"/>
                  <w:noWrap w:val="0"/>
                  <w:vAlign w:val="center"/>
                </w:tcPr>
                <w:p w14:paraId="4D8C6FE3">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lang w:eastAsia="zh-CN"/>
                    </w:rPr>
                    <w:t>项目不属于过江基础设施项目，不涉及</w:t>
                  </w:r>
                  <w:r>
                    <w:rPr>
                      <w:rFonts w:hint="default" w:ascii="Times New Roman" w:hAnsi="Times New Roman" w:eastAsia="宋体" w:cs="Times New Roman"/>
                      <w:color w:val="auto"/>
                      <w:szCs w:val="21"/>
                      <w:highlight w:val="none"/>
                    </w:rPr>
                    <w:t>新设、改设或扩大排污口</w:t>
                  </w:r>
                  <w:r>
                    <w:rPr>
                      <w:rFonts w:hint="default" w:ascii="Times New Roman" w:hAnsi="Times New Roman" w:eastAsia="宋体" w:cs="Times New Roman"/>
                      <w:color w:val="auto"/>
                      <w:szCs w:val="21"/>
                      <w:highlight w:val="none"/>
                      <w:lang w:eastAsia="zh-CN"/>
                    </w:rPr>
                    <w:t>。</w:t>
                  </w:r>
                </w:p>
              </w:tc>
              <w:tc>
                <w:tcPr>
                  <w:tcW w:w="660" w:type="dxa"/>
                  <w:noWrap w:val="0"/>
                  <w:vAlign w:val="center"/>
                </w:tcPr>
                <w:p w14:paraId="05DF8EE0">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相符</w:t>
                  </w:r>
                </w:p>
              </w:tc>
            </w:tr>
            <w:tr w14:paraId="3A0B6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5D2329A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FFFFFF"/>
                    </w:rPr>
                    <w:t>禁止在金沙江干流、长江一级支流、水生生物保护区和长江流域禁捕水域开展天然渔业资源生产性捕捞。</w:t>
                  </w:r>
                </w:p>
              </w:tc>
              <w:tc>
                <w:tcPr>
                  <w:tcW w:w="2288" w:type="dxa"/>
                  <w:noWrap w:val="0"/>
                  <w:vAlign w:val="center"/>
                </w:tcPr>
                <w:p w14:paraId="43752A19">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本项目不涉及</w:t>
                  </w:r>
                  <w:r>
                    <w:rPr>
                      <w:rFonts w:hint="default" w:ascii="Times New Roman" w:hAnsi="Times New Roman" w:eastAsia="宋体" w:cs="Times New Roman"/>
                      <w:color w:val="auto"/>
                      <w:sz w:val="21"/>
                      <w:szCs w:val="21"/>
                      <w:highlight w:val="none"/>
                      <w:shd w:val="clear" w:color="auto" w:fill="FFFFFF"/>
                    </w:rPr>
                    <w:t>天然渔业资源生产性捕捞</w:t>
                  </w:r>
                  <w:r>
                    <w:rPr>
                      <w:rFonts w:hint="default" w:ascii="Times New Roman" w:hAnsi="Times New Roman" w:eastAsia="宋体" w:cs="Times New Roman"/>
                      <w:color w:val="auto"/>
                      <w:sz w:val="21"/>
                      <w:szCs w:val="21"/>
                      <w:highlight w:val="none"/>
                      <w:lang w:eastAsia="zh-CN"/>
                    </w:rPr>
                    <w:t>。</w:t>
                  </w:r>
                </w:p>
              </w:tc>
              <w:tc>
                <w:tcPr>
                  <w:tcW w:w="660" w:type="dxa"/>
                  <w:noWrap w:val="0"/>
                  <w:vAlign w:val="center"/>
                </w:tcPr>
                <w:p w14:paraId="34DD875E">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相符</w:t>
                  </w:r>
                </w:p>
              </w:tc>
            </w:tr>
            <w:tr w14:paraId="79BB4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5CF1309A">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FFFFFF"/>
                    </w:rP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2288" w:type="dxa"/>
                  <w:noWrap w:val="0"/>
                  <w:vAlign w:val="center"/>
                </w:tcPr>
                <w:p w14:paraId="0DE930FD">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val="en-US" w:eastAsia="zh-CN"/>
                    </w:rPr>
                    <w:t>所在区域不属于</w:t>
                  </w:r>
                  <w:r>
                    <w:rPr>
                      <w:rFonts w:hint="default" w:ascii="Times New Roman" w:hAnsi="Times New Roman" w:eastAsia="宋体" w:cs="Times New Roman"/>
                      <w:color w:val="auto"/>
                      <w:sz w:val="21"/>
                      <w:szCs w:val="21"/>
                      <w:highlight w:val="none"/>
                      <w:shd w:val="clear" w:color="auto" w:fill="FFFFFF"/>
                    </w:rPr>
                    <w:t>金沙江干流、长江一级支流、水生生物保护区</w:t>
                  </w:r>
                  <w:r>
                    <w:rPr>
                      <w:rFonts w:hint="default" w:ascii="Times New Roman" w:hAnsi="Times New Roman" w:eastAsia="宋体" w:cs="Times New Roman"/>
                      <w:color w:val="auto"/>
                      <w:sz w:val="21"/>
                      <w:szCs w:val="21"/>
                      <w:highlight w:val="none"/>
                      <w:shd w:val="clear" w:color="auto" w:fill="FFFFFF"/>
                      <w:lang w:eastAsia="zh-CN"/>
                    </w:rPr>
                    <w:t>、</w:t>
                  </w:r>
                  <w:r>
                    <w:rPr>
                      <w:rFonts w:hint="default" w:ascii="Times New Roman" w:hAnsi="Times New Roman" w:eastAsia="宋体" w:cs="Times New Roman"/>
                      <w:color w:val="auto"/>
                      <w:sz w:val="21"/>
                      <w:szCs w:val="21"/>
                      <w:highlight w:val="none"/>
                      <w:shd w:val="clear" w:color="auto" w:fill="FFFFFF"/>
                    </w:rPr>
                    <w:t>九大高原湖泊岸线一公里范围</w:t>
                  </w:r>
                  <w:r>
                    <w:rPr>
                      <w:rFonts w:hint="default" w:ascii="Times New Roman" w:hAnsi="Times New Roman" w:eastAsia="宋体" w:cs="Times New Roman"/>
                      <w:color w:val="auto"/>
                      <w:sz w:val="21"/>
                      <w:szCs w:val="21"/>
                      <w:highlight w:val="none"/>
                      <w:shd w:val="clear" w:color="auto" w:fill="FFFFFF"/>
                      <w:lang w:eastAsia="zh-CN"/>
                    </w:rPr>
                    <w:t>。</w:t>
                  </w:r>
                </w:p>
              </w:tc>
              <w:tc>
                <w:tcPr>
                  <w:tcW w:w="660" w:type="dxa"/>
                  <w:noWrap w:val="0"/>
                  <w:vAlign w:val="center"/>
                </w:tcPr>
                <w:p w14:paraId="1DE18529">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相符</w:t>
                  </w:r>
                </w:p>
              </w:tc>
            </w:tr>
            <w:tr w14:paraId="67607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51DA36C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FFFFFF"/>
                    </w:rPr>
                    <w:t>禁止在合规园区外新建、扩建钢铁、石化、化工、焦化、建材、有色、制浆造纸行业中的高污染项目。</w:t>
                  </w:r>
                </w:p>
              </w:tc>
              <w:tc>
                <w:tcPr>
                  <w:tcW w:w="2288" w:type="dxa"/>
                  <w:noWrap w:val="0"/>
                  <w:vAlign w:val="center"/>
                </w:tcPr>
                <w:p w14:paraId="0CFDF4DD">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本项目建设地址为合规园区。</w:t>
                  </w:r>
                </w:p>
              </w:tc>
              <w:tc>
                <w:tcPr>
                  <w:tcW w:w="660" w:type="dxa"/>
                  <w:noWrap w:val="0"/>
                  <w:vAlign w:val="center"/>
                </w:tcPr>
                <w:p w14:paraId="55F5D572">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相符</w:t>
                  </w:r>
                </w:p>
              </w:tc>
            </w:tr>
            <w:tr w14:paraId="3138B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2D1FA513">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FFFFFF"/>
                    </w:rPr>
                    <w:t>禁止新建、扩建不符合国家石化、现代煤化工等产业布局规划的项目。禁止列入《云南省城镇人口密集区危险化学品生产企业搬迁改造名单》的搬迁改造企业在原址新建、扩建危险化学品生产项目</w:t>
                  </w:r>
                  <w:r>
                    <w:rPr>
                      <w:rFonts w:hint="default" w:ascii="Times New Roman" w:hAnsi="Times New Roman" w:eastAsia="宋体" w:cs="Times New Roman"/>
                      <w:color w:val="auto"/>
                      <w:sz w:val="21"/>
                      <w:szCs w:val="21"/>
                      <w:highlight w:val="none"/>
                      <w:shd w:val="clear" w:color="auto" w:fill="FFFFFF"/>
                      <w:lang w:eastAsia="zh-CN"/>
                    </w:rPr>
                    <w:t>。</w:t>
                  </w:r>
                </w:p>
              </w:tc>
              <w:tc>
                <w:tcPr>
                  <w:tcW w:w="2288" w:type="dxa"/>
                  <w:noWrap w:val="0"/>
                  <w:vAlign w:val="center"/>
                </w:tcPr>
                <w:p w14:paraId="07535E0D">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本项目不属于不符合</w:t>
                  </w:r>
                  <w:r>
                    <w:rPr>
                      <w:rFonts w:hint="default" w:ascii="Times New Roman" w:hAnsi="Times New Roman" w:eastAsia="宋体" w:cs="Times New Roman"/>
                      <w:color w:val="auto"/>
                      <w:sz w:val="21"/>
                      <w:szCs w:val="21"/>
                      <w:highlight w:val="none"/>
                      <w:shd w:val="clear" w:color="auto" w:fill="FFFFFF"/>
                    </w:rPr>
                    <w:t>国家石化、现代煤化工等产业布局规划的项目</w:t>
                  </w:r>
                  <w:r>
                    <w:rPr>
                      <w:rFonts w:hint="default" w:ascii="Times New Roman" w:hAnsi="Times New Roman" w:eastAsia="宋体" w:cs="Times New Roman"/>
                      <w:color w:val="auto"/>
                      <w:sz w:val="21"/>
                      <w:szCs w:val="21"/>
                      <w:highlight w:val="none"/>
                      <w:shd w:val="clear" w:color="auto" w:fill="FFFFFF"/>
                      <w:lang w:eastAsia="zh-CN"/>
                    </w:rPr>
                    <w:t>；本项目不属于危险化学品生产项目。</w:t>
                  </w:r>
                </w:p>
              </w:tc>
              <w:tc>
                <w:tcPr>
                  <w:tcW w:w="660" w:type="dxa"/>
                  <w:noWrap w:val="0"/>
                  <w:vAlign w:val="center"/>
                </w:tcPr>
                <w:p w14:paraId="2C5DF8F1">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相符</w:t>
                  </w:r>
                </w:p>
              </w:tc>
            </w:tr>
            <w:tr w14:paraId="730C1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2" w:type="dxa"/>
                  <w:noWrap w:val="0"/>
                  <w:vAlign w:val="center"/>
                </w:tcPr>
                <w:p w14:paraId="64DBCA98">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FFFFFF"/>
                    </w:rP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2288" w:type="dxa"/>
                  <w:noWrap w:val="0"/>
                  <w:vAlign w:val="center"/>
                </w:tcPr>
                <w:p w14:paraId="5CA7692A">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本项目不属于落后产能项目、过剩产能行业的项目、高能耗、高排放项目。本项目不涉及建设</w:t>
                  </w:r>
                  <w:r>
                    <w:rPr>
                      <w:rFonts w:hint="default" w:ascii="Times New Roman" w:hAnsi="Times New Roman" w:eastAsia="宋体" w:cs="Times New Roman"/>
                      <w:color w:val="auto"/>
                      <w:sz w:val="21"/>
                      <w:szCs w:val="21"/>
                      <w:highlight w:val="none"/>
                      <w:shd w:val="clear" w:color="auto" w:fill="FFFFFF"/>
                    </w:rPr>
                    <w:t>高毒高残留以及对环境影响大的农药原药生产装置，</w:t>
                  </w:r>
                  <w:r>
                    <w:rPr>
                      <w:rFonts w:hint="default" w:ascii="Times New Roman" w:hAnsi="Times New Roman" w:eastAsia="宋体" w:cs="Times New Roman"/>
                      <w:color w:val="auto"/>
                      <w:sz w:val="21"/>
                      <w:szCs w:val="21"/>
                      <w:highlight w:val="none"/>
                      <w:shd w:val="clear" w:color="auto" w:fill="FFFFFF"/>
                      <w:lang w:eastAsia="zh-CN"/>
                    </w:rPr>
                    <w:t>不属于</w:t>
                  </w:r>
                  <w:r>
                    <w:rPr>
                      <w:rFonts w:hint="default" w:ascii="Times New Roman" w:hAnsi="Times New Roman" w:eastAsia="宋体" w:cs="Times New Roman"/>
                      <w:color w:val="auto"/>
                      <w:sz w:val="21"/>
                      <w:szCs w:val="21"/>
                      <w:highlight w:val="none"/>
                      <w:shd w:val="clear" w:color="auto" w:fill="FFFFFF"/>
                    </w:rPr>
                    <w:t>尿素、磷铵、电石、焦炭、黄磷、烧碱、纯碱、聚氯乙烯等行业。</w:t>
                  </w:r>
                </w:p>
              </w:tc>
              <w:tc>
                <w:tcPr>
                  <w:tcW w:w="660" w:type="dxa"/>
                  <w:noWrap w:val="0"/>
                  <w:vAlign w:val="center"/>
                </w:tcPr>
                <w:p w14:paraId="28F9BD6C">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相符</w:t>
                  </w:r>
                </w:p>
              </w:tc>
            </w:tr>
          </w:tbl>
          <w:p w14:paraId="75EB378B">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color w:val="auto"/>
                <w:sz w:val="24"/>
                <w:highlight w:val="none"/>
              </w:rPr>
              <w:t>综上，本项目与《云南省长江经济带发展负面清单指南实施细则（试行</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2022年版</w:t>
            </w:r>
            <w:r>
              <w:rPr>
                <w:rFonts w:hint="default" w:ascii="Times New Roman" w:hAnsi="Times New Roman" w:eastAsia="宋体" w:cs="Times New Roman"/>
                <w:color w:val="auto"/>
                <w:sz w:val="24"/>
                <w:highlight w:val="none"/>
              </w:rPr>
              <w:t>）》规定的内容相符合。</w:t>
            </w:r>
          </w:p>
          <w:p w14:paraId="6B4D25FA">
            <w:pPr>
              <w:shd w:val="clear"/>
              <w:adjustRightInd w:val="0"/>
              <w:snapToGrid w:val="0"/>
              <w:spacing w:line="360" w:lineRule="auto"/>
              <w:ind w:firstLine="482" w:firstLineChars="200"/>
              <w:rPr>
                <w:rFonts w:hint="default" w:ascii="Times New Roman" w:hAnsi="Times New Roman" w:eastAsia="宋体" w:cs="Times New Roman"/>
                <w:b/>
                <w:color w:val="auto"/>
                <w:sz w:val="24"/>
                <w:highlight w:val="none"/>
              </w:rPr>
            </w:pPr>
            <w:bookmarkStart w:id="12" w:name="_Toc26297"/>
            <w:r>
              <w:rPr>
                <w:rFonts w:hint="eastAsia" w:cs="Times New Roman"/>
                <w:b/>
                <w:color w:val="auto"/>
                <w:sz w:val="24"/>
                <w:highlight w:val="none"/>
                <w:lang w:val="en-US" w:eastAsia="zh-CN"/>
              </w:rPr>
              <w:t>8</w:t>
            </w:r>
            <w:r>
              <w:rPr>
                <w:rFonts w:hint="default" w:ascii="Times New Roman" w:hAnsi="Times New Roman" w:eastAsia="宋体" w:cs="Times New Roman"/>
                <w:b/>
                <w:color w:val="auto"/>
                <w:sz w:val="24"/>
                <w:highlight w:val="none"/>
              </w:rPr>
              <w:t>、与《云南省重点行业挥发性有机物综合治理实施方案》符合性分析</w:t>
            </w:r>
          </w:p>
          <w:p w14:paraId="441D7B5F">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2019年9月4日，云南省生态环境厅印发了《云南省重点行业挥发性有机物综合治理实施方案》（云环通〔2019〕125号）。项目与《云南省重点行业挥发性有机物综合治理实施方案》的相符性分析见表</w:t>
            </w:r>
            <w:r>
              <w:rPr>
                <w:rFonts w:hint="default" w:ascii="Times New Roman" w:hAnsi="Times New Roman" w:eastAsia="宋体" w:cs="Times New Roman"/>
                <w:color w:val="auto"/>
                <w:sz w:val="24"/>
                <w:highlight w:val="none"/>
                <w:lang w:val="en-US" w:eastAsia="zh-CN"/>
              </w:rPr>
              <w:t>1-</w:t>
            </w:r>
            <w:r>
              <w:rPr>
                <w:rFonts w:hint="eastAsia" w:cs="Times New Roman"/>
                <w:color w:val="auto"/>
                <w:sz w:val="24"/>
                <w:highlight w:val="none"/>
                <w:lang w:val="en-US" w:eastAsia="zh-CN"/>
              </w:rPr>
              <w:t>10</w:t>
            </w:r>
            <w:r>
              <w:rPr>
                <w:rFonts w:hint="default" w:ascii="Times New Roman" w:hAnsi="Times New Roman" w:eastAsia="宋体" w:cs="Times New Roman"/>
                <w:color w:val="auto"/>
                <w:sz w:val="24"/>
                <w:highlight w:val="none"/>
              </w:rPr>
              <w:t>。</w:t>
            </w:r>
          </w:p>
          <w:p w14:paraId="13094F1C">
            <w:pPr>
              <w:shd w:val="clear"/>
              <w:jc w:val="center"/>
              <w:rPr>
                <w:rFonts w:hint="default" w:ascii="Times New Roman" w:hAnsi="Times New Roman" w:eastAsia="宋体" w:cs="Times New Roman"/>
                <w:b/>
                <w:color w:val="auto"/>
                <w:szCs w:val="21"/>
                <w:highlight w:val="none"/>
              </w:rPr>
            </w:pPr>
          </w:p>
          <w:p w14:paraId="1E646E8F">
            <w:pPr>
              <w:shd w:val="clea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1-</w:t>
            </w:r>
            <w:r>
              <w:rPr>
                <w:rFonts w:hint="eastAsia" w:cs="Times New Roman"/>
                <w:b/>
                <w:color w:val="auto"/>
                <w:szCs w:val="21"/>
                <w:highlight w:val="none"/>
                <w:lang w:val="en-US" w:eastAsia="zh-CN"/>
              </w:rPr>
              <w:t>10</w:t>
            </w:r>
            <w:r>
              <w:rPr>
                <w:rFonts w:hint="default" w:ascii="Times New Roman" w:hAnsi="Times New Roman" w:eastAsia="宋体" w:cs="Times New Roman"/>
                <w:b/>
                <w:color w:val="auto"/>
                <w:szCs w:val="21"/>
                <w:highlight w:val="none"/>
              </w:rPr>
              <w:t xml:space="preserve">  项目与《云南省重点行业挥发性有机物综合治理实施方案》的相符性分析</w:t>
            </w:r>
          </w:p>
          <w:tbl>
            <w:tblPr>
              <w:tblStyle w:val="26"/>
              <w:tblW w:w="7950" w:type="dxa"/>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304"/>
              <w:gridCol w:w="2922"/>
              <w:gridCol w:w="724"/>
            </w:tblGrid>
            <w:tr w14:paraId="6BED663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4304" w:type="dxa"/>
                  <w:tcBorders>
                    <w:tl2br w:val="nil"/>
                    <w:tr2bl w:val="nil"/>
                  </w:tcBorders>
                  <w:noWrap w:val="0"/>
                  <w:vAlign w:val="center"/>
                </w:tcPr>
                <w:p w14:paraId="38FE59C0">
                  <w:pPr>
                    <w:pStyle w:val="25"/>
                    <w:widowControl w:val="0"/>
                    <w:shd w:val="clear"/>
                    <w:adjustRightInd w:val="0"/>
                    <w:snapToGrid w:val="0"/>
                    <w:spacing w:before="0" w:beforeAutospacing="0" w:after="0" w:afterAutospacing="0"/>
                    <w:jc w:val="center"/>
                    <w:rPr>
                      <w:rFonts w:hint="default" w:ascii="Times New Roman" w:hAnsi="Times New Roman" w:eastAsia="宋体" w:cs="Times New Roman"/>
                      <w:b/>
                      <w:color w:val="auto"/>
                      <w:sz w:val="21"/>
                      <w:szCs w:val="21"/>
                      <w:highlight w:val="none"/>
                      <w:lang w:bidi="ar"/>
                    </w:rPr>
                  </w:pPr>
                  <w:r>
                    <w:rPr>
                      <w:rFonts w:hint="default" w:ascii="Times New Roman" w:hAnsi="Times New Roman" w:eastAsia="宋体" w:cs="Times New Roman"/>
                      <w:b/>
                      <w:color w:val="auto"/>
                      <w:sz w:val="21"/>
                      <w:szCs w:val="21"/>
                      <w:highlight w:val="none"/>
                      <w:lang w:bidi="ar"/>
                    </w:rPr>
                    <w:t>《云南省重点行业挥发性有机物综合治理实施方案》</w:t>
                  </w:r>
                </w:p>
              </w:tc>
              <w:tc>
                <w:tcPr>
                  <w:tcW w:w="2922" w:type="dxa"/>
                  <w:tcBorders>
                    <w:tl2br w:val="nil"/>
                    <w:tr2bl w:val="nil"/>
                  </w:tcBorders>
                  <w:noWrap w:val="0"/>
                  <w:vAlign w:val="center"/>
                </w:tcPr>
                <w:p w14:paraId="35CCB73B">
                  <w:pPr>
                    <w:shd w:val="clear"/>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本项目</w:t>
                  </w:r>
                </w:p>
              </w:tc>
              <w:tc>
                <w:tcPr>
                  <w:tcW w:w="724" w:type="dxa"/>
                  <w:tcBorders>
                    <w:tl2br w:val="nil"/>
                    <w:tr2bl w:val="nil"/>
                  </w:tcBorders>
                  <w:noWrap w:val="0"/>
                  <w:vAlign w:val="center"/>
                </w:tcPr>
                <w:p w14:paraId="46F5BB34">
                  <w:pPr>
                    <w:shd w:val="clear"/>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相符性</w:t>
                  </w:r>
                </w:p>
              </w:tc>
            </w:tr>
            <w:tr w14:paraId="3DDA01D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4304" w:type="dxa"/>
                  <w:tcBorders>
                    <w:tl2br w:val="nil"/>
                    <w:tr2bl w:val="nil"/>
                  </w:tcBorders>
                  <w:noWrap w:val="0"/>
                  <w:vAlign w:val="center"/>
                </w:tcPr>
                <w:p w14:paraId="5724C021">
                  <w:pPr>
                    <w:pStyle w:val="25"/>
                    <w:shd w:val="clear"/>
                    <w:adjustRightInd w:val="0"/>
                    <w:snapToGrid w:val="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重点对含 VOCs 物料（包括含 VOCs 原辅材料、含 VOCs 产品、含 VOCs 废料以及有机聚合物材料等）储存、转移和输送、设备与管线组件泄漏、敞开液面逸散以及工艺过程等五类排放源实施管控，通过采取设备与场所密闭、工艺改进、废气有效收集等措施，削减 VOCs 无组织排放。</w:t>
                  </w:r>
                </w:p>
              </w:tc>
              <w:tc>
                <w:tcPr>
                  <w:tcW w:w="2922" w:type="dxa"/>
                  <w:vMerge w:val="restart"/>
                  <w:tcBorders>
                    <w:tl2br w:val="nil"/>
                    <w:tr2bl w:val="nil"/>
                  </w:tcBorders>
                  <w:noWrap w:val="0"/>
                  <w:vAlign w:val="center"/>
                </w:tcPr>
                <w:p w14:paraId="114DDEE2">
                  <w:pPr>
                    <w:shd w:val="clear"/>
                    <w:adjustRightInd w:val="0"/>
                    <w:snapToGrid w:val="0"/>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混料、破碎、磨粉</w:t>
                  </w:r>
                  <w:r>
                    <w:rPr>
                      <w:rFonts w:hint="default" w:ascii="Times New Roman" w:hAnsi="Times New Roman" w:eastAsia="宋体" w:cs="Times New Roman"/>
                      <w:color w:val="auto"/>
                      <w:sz w:val="21"/>
                      <w:szCs w:val="21"/>
                      <w:highlight w:val="none"/>
                    </w:rPr>
                    <w:t>粉尘</w:t>
                  </w:r>
                  <w:r>
                    <w:rPr>
                      <w:rFonts w:hint="eastAsia" w:cs="Times New Roman"/>
                      <w:color w:val="auto"/>
                      <w:sz w:val="21"/>
                      <w:szCs w:val="21"/>
                      <w:highlight w:val="none"/>
                      <w:lang w:eastAsia="zh-CN"/>
                    </w:rPr>
                    <w:t>通过</w:t>
                  </w:r>
                  <w:r>
                    <w:rPr>
                      <w:rFonts w:hint="eastAsia" w:cs="Times New Roman"/>
                      <w:color w:val="auto"/>
                      <w:sz w:val="21"/>
                      <w:szCs w:val="21"/>
                      <w:highlight w:val="none"/>
                      <w:lang w:val="en-US" w:eastAsia="zh-CN"/>
                    </w:rPr>
                    <w:t>14布袋</w:t>
                  </w:r>
                  <w:r>
                    <w:rPr>
                      <w:rFonts w:hint="default" w:ascii="Times New Roman" w:hAnsi="Times New Roman" w:eastAsia="宋体" w:cs="Times New Roman"/>
                      <w:color w:val="auto"/>
                      <w:sz w:val="21"/>
                      <w:szCs w:val="21"/>
                      <w:highlight w:val="none"/>
                    </w:rPr>
                    <w:t>滤筒除尘器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处理</w:t>
                  </w:r>
                  <w:r>
                    <w:rPr>
                      <w:rFonts w:hint="default" w:ascii="Times New Roman" w:hAnsi="Times New Roman" w:eastAsia="宋体" w:cs="Times New Roman"/>
                      <w:color w:val="auto"/>
                      <w:sz w:val="21"/>
                      <w:szCs w:val="21"/>
                      <w:highlight w:val="none"/>
                      <w:lang w:val="en-US" w:eastAsia="zh-CN"/>
                    </w:rPr>
                    <w:t>达标</w:t>
                  </w:r>
                  <w:r>
                    <w:rPr>
                      <w:rFonts w:hint="default" w:ascii="Times New Roman" w:hAnsi="Times New Roman" w:eastAsia="宋体" w:cs="Times New Roman"/>
                      <w:color w:val="auto"/>
                      <w:sz w:val="21"/>
                      <w:szCs w:val="21"/>
                      <w:highlight w:val="none"/>
                      <w:lang w:eastAsia="zh-CN"/>
                    </w:rPr>
                    <w:t>后</w:t>
                  </w:r>
                  <w:r>
                    <w:rPr>
                      <w:rFonts w:hint="default" w:ascii="Times New Roman" w:hAnsi="Times New Roman" w:eastAsia="宋体" w:cs="Times New Roman"/>
                      <w:color w:val="auto"/>
                      <w:sz w:val="21"/>
                      <w:szCs w:val="21"/>
                      <w:highlight w:val="none"/>
                      <w:lang w:val="en-US" w:eastAsia="zh-CN"/>
                    </w:rPr>
                    <w:t>由1根15m高的排气筒（DA001）排放；</w:t>
                  </w:r>
                  <w:r>
                    <w:rPr>
                      <w:rFonts w:hint="eastAsia" w:cs="Times New Roman"/>
                      <w:color w:val="auto"/>
                      <w:sz w:val="21"/>
                      <w:szCs w:val="21"/>
                      <w:highlight w:val="none"/>
                      <w:lang w:val="en-US" w:eastAsia="zh-CN"/>
                    </w:rPr>
                    <w:t>挤出、覆膜</w:t>
                  </w:r>
                  <w:r>
                    <w:rPr>
                      <w:rFonts w:hint="default" w:ascii="Times New Roman" w:hAnsi="Times New Roman" w:eastAsia="宋体" w:cs="Times New Roman"/>
                      <w:color w:val="auto"/>
                      <w:sz w:val="21"/>
                      <w:szCs w:val="21"/>
                      <w:highlight w:val="none"/>
                      <w:lang w:val="en-US" w:eastAsia="zh-CN"/>
                    </w:rPr>
                    <w:t>有机</w:t>
                  </w:r>
                  <w:r>
                    <w:rPr>
                      <w:rFonts w:hint="default" w:ascii="Times New Roman" w:hAnsi="Times New Roman" w:eastAsia="宋体" w:cs="Times New Roman"/>
                      <w:color w:val="auto"/>
                      <w:sz w:val="21"/>
                      <w:szCs w:val="21"/>
                      <w:highlight w:val="none"/>
                    </w:rPr>
                    <w:t>废气</w:t>
                  </w:r>
                  <w:r>
                    <w:rPr>
                      <w:rFonts w:hint="eastAsia" w:cs="Times New Roman"/>
                      <w:color w:val="auto"/>
                      <w:sz w:val="21"/>
                      <w:szCs w:val="21"/>
                      <w:highlight w:val="none"/>
                      <w:lang w:eastAsia="zh-CN"/>
                    </w:rPr>
                    <w:t>通过</w:t>
                  </w: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个</w:t>
                  </w:r>
                  <w:r>
                    <w:rPr>
                      <w:rFonts w:hint="default" w:ascii="Times New Roman" w:hAnsi="Times New Roman" w:eastAsia="宋体" w:cs="Times New Roman"/>
                      <w:color w:val="auto"/>
                      <w:sz w:val="21"/>
                      <w:szCs w:val="21"/>
                      <w:highlight w:val="none"/>
                      <w:lang w:eastAsia="zh-CN"/>
                    </w:rPr>
                    <w:t>集气罩</w:t>
                  </w:r>
                  <w:r>
                    <w:rPr>
                      <w:rFonts w:hint="eastAsia" w:cs="Times New Roman"/>
                      <w:color w:val="auto"/>
                      <w:sz w:val="21"/>
                      <w:szCs w:val="21"/>
                      <w:highlight w:val="none"/>
                      <w:lang w:eastAsia="zh-CN"/>
                    </w:rPr>
                    <w:t>收集后经“一套</w:t>
                  </w:r>
                  <w:r>
                    <w:rPr>
                      <w:rFonts w:hint="default" w:ascii="Times New Roman" w:hAnsi="Times New Roman" w:eastAsia="宋体" w:cs="Times New Roman"/>
                      <w:color w:val="auto"/>
                      <w:sz w:val="21"/>
                      <w:szCs w:val="21"/>
                      <w:highlight w:val="none"/>
                      <w:lang w:val="en-US" w:eastAsia="zh-CN"/>
                    </w:rPr>
                    <w:t>三级</w:t>
                  </w:r>
                  <w:r>
                    <w:rPr>
                      <w:rFonts w:hint="default" w:ascii="Times New Roman" w:hAnsi="Times New Roman" w:eastAsia="宋体" w:cs="Times New Roman"/>
                      <w:color w:val="auto"/>
                      <w:sz w:val="21"/>
                      <w:szCs w:val="21"/>
                      <w:highlight w:val="none"/>
                      <w:lang w:eastAsia="zh-CN"/>
                    </w:rPr>
                    <w:t>活性炭吸附装置</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处理</w:t>
                  </w:r>
                  <w:r>
                    <w:rPr>
                      <w:rFonts w:hint="default" w:ascii="Times New Roman" w:hAnsi="Times New Roman" w:eastAsia="宋体" w:cs="Times New Roman"/>
                      <w:color w:val="auto"/>
                      <w:sz w:val="21"/>
                      <w:szCs w:val="21"/>
                      <w:highlight w:val="none"/>
                      <w:lang w:val="en-US" w:eastAsia="zh-CN"/>
                    </w:rPr>
                    <w:t>达标</w:t>
                  </w:r>
                  <w:r>
                    <w:rPr>
                      <w:rFonts w:hint="default" w:ascii="Times New Roman" w:hAnsi="Times New Roman" w:eastAsia="宋体" w:cs="Times New Roman"/>
                      <w:color w:val="auto"/>
                      <w:sz w:val="21"/>
                      <w:szCs w:val="21"/>
                      <w:highlight w:val="none"/>
                    </w:rPr>
                    <w:t>后由</w:t>
                  </w:r>
                  <w:r>
                    <w:rPr>
                      <w:rFonts w:hint="default" w:ascii="Times New Roman" w:hAnsi="Times New Roman" w:eastAsia="宋体" w:cs="Times New Roman"/>
                      <w:color w:val="auto"/>
                      <w:sz w:val="21"/>
                      <w:szCs w:val="21"/>
                      <w:highlight w:val="none"/>
                      <w:lang w:val="en-US" w:eastAsia="zh-CN"/>
                    </w:rPr>
                    <w:t>1根15m高的</w:t>
                  </w:r>
                  <w:r>
                    <w:rPr>
                      <w:rFonts w:hint="default" w:ascii="Times New Roman" w:hAnsi="Times New Roman" w:eastAsia="宋体" w:cs="Times New Roman"/>
                      <w:color w:val="auto"/>
                      <w:sz w:val="21"/>
                      <w:szCs w:val="21"/>
                      <w:highlight w:val="none"/>
                    </w:rPr>
                    <w:t>排气筒</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排放</w:t>
                  </w:r>
                  <w:r>
                    <w:rPr>
                      <w:rFonts w:hint="eastAsia" w:cs="Times New Roman"/>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本项目</w:t>
                  </w:r>
                  <w:r>
                    <w:rPr>
                      <w:rFonts w:hint="default" w:ascii="Times New Roman" w:hAnsi="Times New Roman" w:eastAsia="宋体" w:cs="Times New Roman"/>
                      <w:b w:val="0"/>
                      <w:bCs w:val="0"/>
                      <w:color w:val="auto"/>
                      <w:sz w:val="21"/>
                      <w:szCs w:val="21"/>
                      <w:highlight w:val="none"/>
                    </w:rPr>
                    <w:t>单台设备集气罩</w:t>
                  </w:r>
                  <w:r>
                    <w:rPr>
                      <w:rFonts w:hint="default" w:ascii="Times New Roman" w:hAnsi="Times New Roman" w:eastAsia="宋体" w:cs="Times New Roman"/>
                      <w:color w:val="auto"/>
                      <w:sz w:val="21"/>
                      <w:szCs w:val="21"/>
                      <w:highlight w:val="none"/>
                      <w:lang w:val="en-US" w:eastAsia="zh-CN"/>
                    </w:rPr>
                    <w:t>对应的气体控制风速按照</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局部排风设施控制风速检测与评估技术规范</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AQ/T 4274-2016</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表1中局部排风设施控制风速限值标准进行确定为1.0m/s，此时可保证</w:t>
                  </w:r>
                  <w:r>
                    <w:rPr>
                      <w:rFonts w:hint="default" w:ascii="Times New Roman" w:hAnsi="Times New Roman" w:eastAsia="宋体" w:cs="Times New Roman"/>
                      <w:color w:val="auto"/>
                      <w:kern w:val="2"/>
                      <w:sz w:val="21"/>
                      <w:szCs w:val="21"/>
                      <w:highlight w:val="none"/>
                      <w:lang w:val="en-US" w:eastAsia="zh-CN" w:bidi="ar"/>
                    </w:rPr>
                    <w:t>排风罩开口面最远处的 VOCs 无组织排放位置控制风速不低于0.3m/s。</w:t>
                  </w:r>
                </w:p>
              </w:tc>
              <w:tc>
                <w:tcPr>
                  <w:tcW w:w="724" w:type="dxa"/>
                  <w:tcBorders>
                    <w:tl2br w:val="nil"/>
                    <w:tr2bl w:val="nil"/>
                  </w:tcBorders>
                  <w:noWrap w:val="0"/>
                  <w:vAlign w:val="center"/>
                </w:tcPr>
                <w:p w14:paraId="28111137">
                  <w:pPr>
                    <w:pStyle w:val="25"/>
                    <w:widowControl w:val="0"/>
                    <w:shd w:val="clear"/>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相符</w:t>
                  </w:r>
                </w:p>
              </w:tc>
            </w:tr>
            <w:tr w14:paraId="50050CD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4304" w:type="dxa"/>
                  <w:tcBorders>
                    <w:tl2br w:val="nil"/>
                    <w:tr2bl w:val="nil"/>
                  </w:tcBorders>
                  <w:noWrap w:val="0"/>
                  <w:vAlign w:val="center"/>
                </w:tcPr>
                <w:p w14:paraId="583C6AD1">
                  <w:pPr>
                    <w:pStyle w:val="25"/>
                    <w:shd w:val="clear"/>
                    <w:adjustRightInd w:val="0"/>
                    <w:snapToGrid w:val="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 VOCs 无组织排放位置，控制风速应不低于 0.3米/秒，有行业要求的按相关规定执行。</w:t>
                  </w:r>
                </w:p>
              </w:tc>
              <w:tc>
                <w:tcPr>
                  <w:tcW w:w="2922" w:type="dxa"/>
                  <w:vMerge w:val="continue"/>
                  <w:tcBorders>
                    <w:tl2br w:val="nil"/>
                    <w:tr2bl w:val="nil"/>
                  </w:tcBorders>
                  <w:noWrap w:val="0"/>
                  <w:vAlign w:val="center"/>
                </w:tcPr>
                <w:p w14:paraId="586964D2">
                  <w:pPr>
                    <w:pStyle w:val="25"/>
                    <w:shd w:val="clear"/>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bidi="ar"/>
                    </w:rPr>
                  </w:pPr>
                </w:p>
              </w:tc>
              <w:tc>
                <w:tcPr>
                  <w:tcW w:w="724" w:type="dxa"/>
                  <w:tcBorders>
                    <w:tl2br w:val="nil"/>
                    <w:tr2bl w:val="nil"/>
                  </w:tcBorders>
                  <w:noWrap w:val="0"/>
                  <w:vAlign w:val="center"/>
                </w:tcPr>
                <w:p w14:paraId="2F7478BA">
                  <w:pPr>
                    <w:pStyle w:val="25"/>
                    <w:widowControl w:val="0"/>
                    <w:shd w:val="clear"/>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相符</w:t>
                  </w:r>
                </w:p>
              </w:tc>
            </w:tr>
          </w:tbl>
          <w:p w14:paraId="61C204A4">
            <w:pPr>
              <w:pageBreakBefore w:val="0"/>
              <w:shd w:val="clear"/>
              <w:kinsoku/>
              <w:wordWrap/>
              <w:overflowPunct/>
              <w:topLinePunct w:val="0"/>
              <w:bidi w:val="0"/>
              <w:snapToGrid w:val="0"/>
              <w:spacing w:line="360" w:lineRule="auto"/>
              <w:ind w:firstLine="480" w:firstLineChars="200"/>
              <w:jc w:val="both"/>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color w:val="auto"/>
                <w:sz w:val="24"/>
                <w:highlight w:val="none"/>
              </w:rPr>
              <w:t>综上所述，项目与《云南省重点行业挥发性有机物综合治理实施方案》（云环通〔2019〕125号）相符。</w:t>
            </w:r>
          </w:p>
          <w:bookmarkEnd w:id="12"/>
          <w:p w14:paraId="188F4A5D">
            <w:pPr>
              <w:pStyle w:val="15"/>
              <w:numPr>
                <w:ilvl w:val="-1"/>
                <w:numId w:val="0"/>
              </w:numPr>
              <w:shd w:val="clear"/>
              <w:spacing w:line="360" w:lineRule="auto"/>
              <w:ind w:firstLine="498" w:firstLineChars="200"/>
              <w:rPr>
                <w:rFonts w:hint="default" w:ascii="Times New Roman" w:hAnsi="Times New Roman" w:eastAsia="宋体" w:cs="Times New Roman"/>
                <w:color w:val="auto"/>
                <w:spacing w:val="4"/>
                <w:kern w:val="24"/>
                <w:sz w:val="24"/>
                <w:highlight w:val="none"/>
                <w:lang w:bidi="ar"/>
              </w:rPr>
            </w:pPr>
            <w:r>
              <w:rPr>
                <w:rFonts w:hint="eastAsia" w:cs="Times New Roman"/>
                <w:b/>
                <w:bCs/>
                <w:color w:val="auto"/>
                <w:spacing w:val="4"/>
                <w:kern w:val="24"/>
                <w:sz w:val="24"/>
                <w:highlight w:val="none"/>
                <w:lang w:val="en-US" w:eastAsia="zh-CN" w:bidi="ar"/>
              </w:rPr>
              <w:t>9</w:t>
            </w:r>
            <w:r>
              <w:rPr>
                <w:rFonts w:hint="default" w:ascii="Times New Roman" w:hAnsi="Times New Roman" w:eastAsia="宋体" w:cs="Times New Roman"/>
                <w:b/>
                <w:bCs/>
                <w:color w:val="auto"/>
                <w:spacing w:val="4"/>
                <w:kern w:val="24"/>
                <w:sz w:val="24"/>
                <w:highlight w:val="none"/>
                <w:lang w:val="en-US" w:eastAsia="zh-CN" w:bidi="ar"/>
              </w:rPr>
              <w:t>、</w:t>
            </w:r>
            <w:r>
              <w:rPr>
                <w:rFonts w:hint="default" w:ascii="Times New Roman" w:hAnsi="Times New Roman" w:eastAsia="宋体" w:cs="Times New Roman"/>
                <w:b/>
                <w:bCs/>
                <w:color w:val="auto"/>
                <w:spacing w:val="4"/>
                <w:kern w:val="24"/>
                <w:sz w:val="24"/>
                <w:highlight w:val="none"/>
                <w:lang w:bidi="ar"/>
              </w:rPr>
              <w:t>与《挥发性有机物污染防治技术政策》符合性分析</w:t>
            </w:r>
          </w:p>
          <w:p w14:paraId="26D32910">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rPr>
              <w:t>项目与</w:t>
            </w:r>
            <w:r>
              <w:rPr>
                <w:rFonts w:hint="default" w:ascii="Times New Roman" w:hAnsi="Times New Roman" w:eastAsia="宋体" w:cs="Times New Roman"/>
                <w:color w:val="auto"/>
                <w:sz w:val="24"/>
                <w:highlight w:val="none"/>
              </w:rPr>
              <w:t>《挥发性有机物污染防治技术政策》相符性分析见表1-</w:t>
            </w:r>
            <w:r>
              <w:rPr>
                <w:rFonts w:hint="default" w:ascii="Times New Roman" w:hAnsi="Times New Roman" w:eastAsia="宋体" w:cs="Times New Roman"/>
                <w:color w:val="auto"/>
                <w:sz w:val="24"/>
                <w:highlight w:val="none"/>
                <w:lang w:val="en-US" w:eastAsia="zh-CN"/>
              </w:rPr>
              <w:t>1</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rPr>
              <w:t>。</w:t>
            </w:r>
          </w:p>
          <w:p w14:paraId="1F595123">
            <w:pPr>
              <w:shd w:val="clear"/>
              <w:spacing w:line="240" w:lineRule="auto"/>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表1-</w:t>
            </w:r>
            <w:r>
              <w:rPr>
                <w:rFonts w:hint="default" w:ascii="Times New Roman" w:hAnsi="Times New Roman" w:eastAsia="宋体" w:cs="Times New Roman"/>
                <w:b/>
                <w:bCs/>
                <w:color w:val="auto"/>
                <w:szCs w:val="21"/>
                <w:highlight w:val="none"/>
                <w:lang w:val="en-US" w:eastAsia="zh-CN"/>
              </w:rPr>
              <w:t>1</w:t>
            </w:r>
            <w:r>
              <w:rPr>
                <w:rFonts w:hint="eastAsia" w:cs="Times New Roman"/>
                <w:b/>
                <w:bCs/>
                <w:color w:val="auto"/>
                <w:szCs w:val="21"/>
                <w:highlight w:val="none"/>
                <w:lang w:val="en-US" w:eastAsia="zh-CN"/>
              </w:rPr>
              <w:t>1</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 xml:space="preserve"> </w:t>
            </w:r>
            <w:r>
              <w:rPr>
                <w:rFonts w:hint="default" w:ascii="Times New Roman" w:hAnsi="Times New Roman" w:eastAsia="宋体" w:cs="Times New Roman"/>
                <w:b/>
                <w:bCs/>
                <w:color w:val="auto"/>
                <w:kern w:val="0"/>
                <w:szCs w:val="21"/>
                <w:highlight w:val="none"/>
              </w:rPr>
              <w:t>与</w:t>
            </w:r>
            <w:r>
              <w:rPr>
                <w:rFonts w:hint="default" w:ascii="Times New Roman" w:hAnsi="Times New Roman" w:eastAsia="宋体" w:cs="Times New Roman"/>
                <w:b/>
                <w:bCs/>
                <w:color w:val="auto"/>
                <w:szCs w:val="21"/>
                <w:highlight w:val="none"/>
              </w:rPr>
              <w:t>《挥发性有机物污染防治技术政策》符合性分析</w:t>
            </w:r>
          </w:p>
          <w:tbl>
            <w:tblPr>
              <w:tblStyle w:val="26"/>
              <w:tblW w:w="7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426"/>
              <w:gridCol w:w="3158"/>
              <w:gridCol w:w="3290"/>
              <w:gridCol w:w="682"/>
            </w:tblGrid>
            <w:tr w14:paraId="2245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Align w:val="center"/>
                </w:tcPr>
                <w:p w14:paraId="7E17AAAB">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序号</w:t>
                  </w:r>
                </w:p>
              </w:tc>
              <w:tc>
                <w:tcPr>
                  <w:tcW w:w="3584" w:type="dxa"/>
                  <w:gridSpan w:val="2"/>
                  <w:vAlign w:val="center"/>
                </w:tcPr>
                <w:p w14:paraId="7E1B7F32">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color w:val="auto"/>
                      <w:spacing w:val="4"/>
                      <w:kern w:val="24"/>
                      <w:szCs w:val="21"/>
                      <w:highlight w:val="none"/>
                      <w:lang w:bidi="ar"/>
                    </w:rPr>
                    <w:t>《挥发性有机物污染防治技术政策》内容如下</w:t>
                  </w:r>
                </w:p>
              </w:tc>
              <w:tc>
                <w:tcPr>
                  <w:tcW w:w="3290" w:type="dxa"/>
                  <w:vAlign w:val="center"/>
                </w:tcPr>
                <w:p w14:paraId="76CD6E15">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该项目情况</w:t>
                  </w:r>
                </w:p>
              </w:tc>
              <w:tc>
                <w:tcPr>
                  <w:tcW w:w="682" w:type="dxa"/>
                  <w:vAlign w:val="center"/>
                </w:tcPr>
                <w:p w14:paraId="4F444E73">
                  <w:pPr>
                    <w:shd w:val="clea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w:t>
                  </w:r>
                </w:p>
              </w:tc>
            </w:tr>
            <w:tr w14:paraId="596D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7" w:type="dxa"/>
                  <w:vAlign w:val="center"/>
                </w:tcPr>
                <w:p w14:paraId="70EF6F06">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426" w:type="dxa"/>
                  <w:vMerge w:val="restart"/>
                  <w:vAlign w:val="center"/>
                </w:tcPr>
                <w:p w14:paraId="3F733F26">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源头和过程控制</w:t>
                  </w:r>
                </w:p>
              </w:tc>
              <w:tc>
                <w:tcPr>
                  <w:tcW w:w="3158" w:type="dxa"/>
                  <w:vAlign w:val="center"/>
                </w:tcPr>
                <w:p w14:paraId="124B8703">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鼓励使用通过环境标志产品认证的环保型涂料、油墨、胶粘剂和清洗剂。</w:t>
                  </w:r>
                </w:p>
              </w:tc>
              <w:tc>
                <w:tcPr>
                  <w:tcW w:w="3290" w:type="dxa"/>
                  <w:vAlign w:val="center"/>
                </w:tcPr>
                <w:p w14:paraId="692870BF">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本</w:t>
                  </w:r>
                  <w:r>
                    <w:rPr>
                      <w:rFonts w:hint="default" w:ascii="Times New Roman" w:hAnsi="Times New Roman" w:eastAsia="宋体" w:cs="Times New Roman"/>
                      <w:color w:val="auto"/>
                      <w:szCs w:val="21"/>
                      <w:highlight w:val="none"/>
                    </w:rPr>
                    <w:t>项目</w:t>
                  </w:r>
                  <w:r>
                    <w:rPr>
                      <w:rFonts w:hint="default" w:ascii="Times New Roman" w:hAnsi="Times New Roman" w:eastAsia="宋体" w:cs="Times New Roman"/>
                      <w:color w:val="auto"/>
                      <w:szCs w:val="21"/>
                      <w:highlight w:val="none"/>
                      <w:lang w:val="en-US" w:eastAsia="zh-CN"/>
                    </w:rPr>
                    <w:t>不</w:t>
                  </w:r>
                  <w:r>
                    <w:rPr>
                      <w:rFonts w:hint="default" w:ascii="Times New Roman" w:hAnsi="Times New Roman" w:eastAsia="宋体" w:cs="Times New Roman"/>
                      <w:color w:val="auto"/>
                      <w:szCs w:val="21"/>
                      <w:highlight w:val="none"/>
                    </w:rPr>
                    <w:t>使用</w:t>
                  </w:r>
                  <w:r>
                    <w:rPr>
                      <w:rFonts w:hint="default" w:ascii="Times New Roman" w:hAnsi="Times New Roman" w:eastAsia="宋体" w:cs="Times New Roman"/>
                      <w:color w:val="auto"/>
                      <w:szCs w:val="21"/>
                      <w:highlight w:val="none"/>
                      <w:lang w:val="zh-CN"/>
                    </w:rPr>
                    <w:t>油墨和清洗剂</w:t>
                  </w:r>
                  <w:r>
                    <w:rPr>
                      <w:rFonts w:hint="eastAsia" w:cs="Times New Roman"/>
                      <w:color w:val="auto"/>
                      <w:szCs w:val="21"/>
                      <w:highlight w:val="none"/>
                      <w:lang w:val="zh-CN"/>
                    </w:rPr>
                    <w:t>、</w:t>
                  </w:r>
                  <w:r>
                    <w:rPr>
                      <w:rFonts w:hint="eastAsia" w:cs="Times New Roman"/>
                      <w:color w:val="auto"/>
                      <w:szCs w:val="21"/>
                      <w:highlight w:val="none"/>
                      <w:lang w:val="en-US" w:eastAsia="zh-CN"/>
                    </w:rPr>
                    <w:t>使用的包覆胶根据厂家提供的检测报告可知，VOCs含量达到国家相关要求</w:t>
                  </w:r>
                  <w:r>
                    <w:rPr>
                      <w:rFonts w:hint="default" w:ascii="Times New Roman" w:hAnsi="Times New Roman" w:eastAsia="宋体" w:cs="Times New Roman"/>
                      <w:color w:val="auto"/>
                      <w:szCs w:val="21"/>
                      <w:highlight w:val="none"/>
                      <w:lang w:val="zh-CN"/>
                    </w:rPr>
                    <w:t>。</w:t>
                  </w:r>
                </w:p>
              </w:tc>
              <w:tc>
                <w:tcPr>
                  <w:tcW w:w="682" w:type="dxa"/>
                  <w:vAlign w:val="center"/>
                </w:tcPr>
                <w:p w14:paraId="2EFDE4FD">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4F6F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27" w:type="dxa"/>
                  <w:vAlign w:val="center"/>
                </w:tcPr>
                <w:p w14:paraId="1656E97B">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426" w:type="dxa"/>
                  <w:vMerge w:val="continue"/>
                  <w:vAlign w:val="center"/>
                </w:tcPr>
                <w:p w14:paraId="1057BB55">
                  <w:pPr>
                    <w:shd w:val="clear"/>
                    <w:jc w:val="center"/>
                    <w:rPr>
                      <w:rFonts w:hint="default" w:ascii="Times New Roman" w:hAnsi="Times New Roman" w:eastAsia="宋体" w:cs="Times New Roman"/>
                      <w:color w:val="auto"/>
                      <w:szCs w:val="21"/>
                      <w:highlight w:val="none"/>
                    </w:rPr>
                  </w:pPr>
                </w:p>
              </w:tc>
              <w:tc>
                <w:tcPr>
                  <w:tcW w:w="3158" w:type="dxa"/>
                  <w:vAlign w:val="center"/>
                </w:tcPr>
                <w:p w14:paraId="410FD2E1">
                  <w:pPr>
                    <w:shd w:val="clear"/>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根据涂装工艺的不同，鼓励使用水性涂料、高固份涂料、</w:t>
                  </w:r>
                  <w:r>
                    <w:rPr>
                      <w:rFonts w:hint="eastAsia" w:cs="Times New Roman"/>
                      <w:color w:val="auto"/>
                      <w:sz w:val="21"/>
                      <w:szCs w:val="21"/>
                      <w:highlight w:val="none"/>
                      <w:lang w:val="zh-CN"/>
                    </w:rPr>
                    <w:t>粉末</w:t>
                  </w:r>
                  <w:r>
                    <w:rPr>
                      <w:rFonts w:hint="default" w:ascii="Times New Roman" w:hAnsi="Times New Roman" w:eastAsia="宋体" w:cs="Times New Roman"/>
                      <w:color w:val="auto"/>
                      <w:sz w:val="21"/>
                      <w:szCs w:val="21"/>
                      <w:highlight w:val="none"/>
                      <w:lang w:val="zh-CN"/>
                    </w:rPr>
                    <w:t>涂料、紫外光固化（UV）涂料等环保型涂料；推广采用静电喷涂、淋涂、辊涂、浸涂等效率较高的涂装工艺；应尽量避免无VoCs净化、回收措施的露天喷涂作业。</w:t>
                  </w:r>
                </w:p>
              </w:tc>
              <w:tc>
                <w:tcPr>
                  <w:tcW w:w="3290" w:type="dxa"/>
                  <w:vAlign w:val="center"/>
                </w:tcPr>
                <w:p w14:paraId="137B9AD6">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本项目</w:t>
                  </w:r>
                  <w:r>
                    <w:rPr>
                      <w:rFonts w:hint="eastAsia" w:cs="Times New Roman"/>
                      <w:color w:val="auto"/>
                      <w:sz w:val="21"/>
                      <w:szCs w:val="21"/>
                      <w:highlight w:val="none"/>
                      <w:lang w:val="en-US" w:eastAsia="zh-CN"/>
                    </w:rPr>
                    <w:t>混料、破碎、磨粉</w:t>
                  </w:r>
                  <w:r>
                    <w:rPr>
                      <w:rFonts w:hint="default" w:ascii="Times New Roman" w:hAnsi="Times New Roman" w:eastAsia="宋体" w:cs="Times New Roman"/>
                      <w:color w:val="auto"/>
                      <w:sz w:val="21"/>
                      <w:szCs w:val="21"/>
                      <w:highlight w:val="none"/>
                    </w:rPr>
                    <w:t>粉尘</w:t>
                  </w:r>
                  <w:r>
                    <w:rPr>
                      <w:rFonts w:hint="eastAsia" w:cs="Times New Roman"/>
                      <w:color w:val="auto"/>
                      <w:sz w:val="21"/>
                      <w:szCs w:val="21"/>
                      <w:highlight w:val="none"/>
                      <w:lang w:eastAsia="zh-CN"/>
                    </w:rPr>
                    <w:t>通过</w:t>
                  </w:r>
                  <w:r>
                    <w:rPr>
                      <w:rFonts w:hint="eastAsia" w:cs="Times New Roman"/>
                      <w:color w:val="auto"/>
                      <w:sz w:val="21"/>
                      <w:szCs w:val="21"/>
                      <w:highlight w:val="none"/>
                      <w:lang w:val="en-US" w:eastAsia="zh-CN"/>
                    </w:rPr>
                    <w:t>14布袋</w:t>
                  </w:r>
                  <w:r>
                    <w:rPr>
                      <w:rFonts w:hint="default" w:ascii="Times New Roman" w:hAnsi="Times New Roman" w:eastAsia="宋体" w:cs="Times New Roman"/>
                      <w:color w:val="auto"/>
                      <w:sz w:val="21"/>
                      <w:szCs w:val="21"/>
                      <w:highlight w:val="none"/>
                    </w:rPr>
                    <w:t>滤筒除尘器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处理</w:t>
                  </w:r>
                  <w:r>
                    <w:rPr>
                      <w:rFonts w:hint="default" w:ascii="Times New Roman" w:hAnsi="Times New Roman" w:eastAsia="宋体" w:cs="Times New Roman"/>
                      <w:color w:val="auto"/>
                      <w:sz w:val="21"/>
                      <w:szCs w:val="21"/>
                      <w:highlight w:val="none"/>
                      <w:lang w:val="en-US" w:eastAsia="zh-CN"/>
                    </w:rPr>
                    <w:t>达标</w:t>
                  </w:r>
                  <w:r>
                    <w:rPr>
                      <w:rFonts w:hint="default" w:ascii="Times New Roman" w:hAnsi="Times New Roman" w:eastAsia="宋体" w:cs="Times New Roman"/>
                      <w:color w:val="auto"/>
                      <w:sz w:val="21"/>
                      <w:szCs w:val="21"/>
                      <w:highlight w:val="none"/>
                      <w:lang w:eastAsia="zh-CN"/>
                    </w:rPr>
                    <w:t>后</w:t>
                  </w:r>
                  <w:r>
                    <w:rPr>
                      <w:rFonts w:hint="default" w:ascii="Times New Roman" w:hAnsi="Times New Roman" w:eastAsia="宋体" w:cs="Times New Roman"/>
                      <w:color w:val="auto"/>
                      <w:sz w:val="21"/>
                      <w:szCs w:val="21"/>
                      <w:highlight w:val="none"/>
                      <w:lang w:val="en-US" w:eastAsia="zh-CN"/>
                    </w:rPr>
                    <w:t>由1根15m高的排气筒（DA001）排放；</w:t>
                  </w:r>
                  <w:r>
                    <w:rPr>
                      <w:rFonts w:hint="eastAsia" w:cs="Times New Roman"/>
                      <w:color w:val="auto"/>
                      <w:sz w:val="21"/>
                      <w:szCs w:val="21"/>
                      <w:highlight w:val="none"/>
                      <w:lang w:val="en-US" w:eastAsia="zh-CN"/>
                    </w:rPr>
                    <w:t>挤出、覆膜</w:t>
                  </w:r>
                  <w:r>
                    <w:rPr>
                      <w:rFonts w:hint="default" w:ascii="Times New Roman" w:hAnsi="Times New Roman" w:eastAsia="宋体" w:cs="Times New Roman"/>
                      <w:color w:val="auto"/>
                      <w:sz w:val="21"/>
                      <w:szCs w:val="21"/>
                      <w:highlight w:val="none"/>
                      <w:lang w:val="en-US" w:eastAsia="zh-CN"/>
                    </w:rPr>
                    <w:t>有机</w:t>
                  </w:r>
                  <w:r>
                    <w:rPr>
                      <w:rFonts w:hint="default" w:ascii="Times New Roman" w:hAnsi="Times New Roman" w:eastAsia="宋体" w:cs="Times New Roman"/>
                      <w:color w:val="auto"/>
                      <w:sz w:val="21"/>
                      <w:szCs w:val="21"/>
                      <w:highlight w:val="none"/>
                    </w:rPr>
                    <w:t>废气</w:t>
                  </w:r>
                  <w:r>
                    <w:rPr>
                      <w:rFonts w:hint="eastAsia" w:cs="Times New Roman"/>
                      <w:color w:val="auto"/>
                      <w:sz w:val="21"/>
                      <w:szCs w:val="21"/>
                      <w:highlight w:val="none"/>
                      <w:lang w:eastAsia="zh-CN"/>
                    </w:rPr>
                    <w:t>通过</w:t>
                  </w: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个</w:t>
                  </w:r>
                  <w:r>
                    <w:rPr>
                      <w:rFonts w:hint="default" w:ascii="Times New Roman" w:hAnsi="Times New Roman" w:eastAsia="宋体" w:cs="Times New Roman"/>
                      <w:color w:val="auto"/>
                      <w:sz w:val="21"/>
                      <w:szCs w:val="21"/>
                      <w:highlight w:val="none"/>
                      <w:lang w:eastAsia="zh-CN"/>
                    </w:rPr>
                    <w:t>集气罩</w:t>
                  </w:r>
                  <w:r>
                    <w:rPr>
                      <w:rFonts w:hint="eastAsia" w:cs="Times New Roman"/>
                      <w:color w:val="auto"/>
                      <w:sz w:val="21"/>
                      <w:szCs w:val="21"/>
                      <w:highlight w:val="none"/>
                      <w:lang w:eastAsia="zh-CN"/>
                    </w:rPr>
                    <w:t>收集后经“一套</w:t>
                  </w:r>
                  <w:r>
                    <w:rPr>
                      <w:rFonts w:hint="default" w:ascii="Times New Roman" w:hAnsi="Times New Roman" w:eastAsia="宋体" w:cs="Times New Roman"/>
                      <w:color w:val="auto"/>
                      <w:sz w:val="21"/>
                      <w:szCs w:val="21"/>
                      <w:highlight w:val="none"/>
                      <w:lang w:val="en-US" w:eastAsia="zh-CN"/>
                    </w:rPr>
                    <w:t>三级</w:t>
                  </w:r>
                  <w:r>
                    <w:rPr>
                      <w:rFonts w:hint="default" w:ascii="Times New Roman" w:hAnsi="Times New Roman" w:eastAsia="宋体" w:cs="Times New Roman"/>
                      <w:color w:val="auto"/>
                      <w:sz w:val="21"/>
                      <w:szCs w:val="21"/>
                      <w:highlight w:val="none"/>
                      <w:lang w:eastAsia="zh-CN"/>
                    </w:rPr>
                    <w:t>活性炭吸附装置</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处理</w:t>
                  </w:r>
                  <w:r>
                    <w:rPr>
                      <w:rFonts w:hint="default" w:ascii="Times New Roman" w:hAnsi="Times New Roman" w:eastAsia="宋体" w:cs="Times New Roman"/>
                      <w:color w:val="auto"/>
                      <w:sz w:val="21"/>
                      <w:szCs w:val="21"/>
                      <w:highlight w:val="none"/>
                      <w:lang w:val="en-US" w:eastAsia="zh-CN"/>
                    </w:rPr>
                    <w:t>达标</w:t>
                  </w:r>
                  <w:r>
                    <w:rPr>
                      <w:rFonts w:hint="default" w:ascii="Times New Roman" w:hAnsi="Times New Roman" w:eastAsia="宋体" w:cs="Times New Roman"/>
                      <w:color w:val="auto"/>
                      <w:sz w:val="21"/>
                      <w:szCs w:val="21"/>
                      <w:highlight w:val="none"/>
                    </w:rPr>
                    <w:t>后由</w:t>
                  </w:r>
                  <w:r>
                    <w:rPr>
                      <w:rFonts w:hint="default" w:ascii="Times New Roman" w:hAnsi="Times New Roman" w:eastAsia="宋体" w:cs="Times New Roman"/>
                      <w:color w:val="auto"/>
                      <w:sz w:val="21"/>
                      <w:szCs w:val="21"/>
                      <w:highlight w:val="none"/>
                      <w:lang w:val="en-US" w:eastAsia="zh-CN"/>
                    </w:rPr>
                    <w:t>1根15m高的</w:t>
                  </w:r>
                  <w:r>
                    <w:rPr>
                      <w:rFonts w:hint="default" w:ascii="Times New Roman" w:hAnsi="Times New Roman" w:eastAsia="宋体" w:cs="Times New Roman"/>
                      <w:color w:val="auto"/>
                      <w:sz w:val="21"/>
                      <w:szCs w:val="21"/>
                      <w:highlight w:val="none"/>
                    </w:rPr>
                    <w:t>排气筒</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排放</w:t>
                  </w:r>
                  <w:r>
                    <w:rPr>
                      <w:rFonts w:hint="eastAsia" w:cs="Times New Roman"/>
                      <w:color w:val="auto"/>
                      <w:sz w:val="21"/>
                      <w:szCs w:val="21"/>
                      <w:highlight w:val="none"/>
                      <w:lang w:eastAsia="zh-CN"/>
                    </w:rPr>
                    <w:t>。</w:t>
                  </w:r>
                </w:p>
              </w:tc>
              <w:tc>
                <w:tcPr>
                  <w:tcW w:w="682" w:type="dxa"/>
                  <w:vAlign w:val="center"/>
                </w:tcPr>
                <w:p w14:paraId="5E553E58">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1D43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427" w:type="dxa"/>
                  <w:vAlign w:val="center"/>
                </w:tcPr>
                <w:p w14:paraId="7A122A26">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p>
              </w:tc>
              <w:tc>
                <w:tcPr>
                  <w:tcW w:w="426" w:type="dxa"/>
                  <w:vMerge w:val="continue"/>
                  <w:vAlign w:val="center"/>
                </w:tcPr>
                <w:p w14:paraId="4CE8AD24">
                  <w:pPr>
                    <w:shd w:val="clear"/>
                    <w:jc w:val="center"/>
                    <w:rPr>
                      <w:rFonts w:hint="default" w:ascii="Times New Roman" w:hAnsi="Times New Roman" w:eastAsia="宋体" w:cs="Times New Roman"/>
                      <w:color w:val="auto"/>
                      <w:szCs w:val="21"/>
                      <w:highlight w:val="none"/>
                    </w:rPr>
                  </w:pPr>
                </w:p>
              </w:tc>
              <w:tc>
                <w:tcPr>
                  <w:tcW w:w="3158" w:type="dxa"/>
                  <w:vAlign w:val="center"/>
                </w:tcPr>
                <w:p w14:paraId="15C6ACEE">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淘汰以三氟三氯乙烷、甲基氯仿和四氯化碳为清洗剂或溶剂的生产工艺。清洗过程中产生的废溶剂宜密闭收集，有回收价值的废溶剂经处理后回用，其他废溶剂应妥善处置。</w:t>
                  </w:r>
                </w:p>
              </w:tc>
              <w:tc>
                <w:tcPr>
                  <w:tcW w:w="3290" w:type="dxa"/>
                  <w:vAlign w:val="center"/>
                </w:tcPr>
                <w:p w14:paraId="39C3DE44">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本项目不涉及</w:t>
                  </w:r>
                  <w:r>
                    <w:rPr>
                      <w:rFonts w:hint="default" w:ascii="Times New Roman" w:hAnsi="Times New Roman" w:eastAsia="宋体" w:cs="Times New Roman"/>
                      <w:color w:val="auto"/>
                      <w:szCs w:val="21"/>
                      <w:highlight w:val="none"/>
                      <w:lang w:val="zh-CN"/>
                    </w:rPr>
                    <w:t>以三氟三氯乙烷、甲基氯仿和四氯化碳为清洗剂或溶剂的生产工艺。</w:t>
                  </w:r>
                </w:p>
              </w:tc>
              <w:tc>
                <w:tcPr>
                  <w:tcW w:w="682" w:type="dxa"/>
                  <w:vAlign w:val="center"/>
                </w:tcPr>
                <w:p w14:paraId="225E208B">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0158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7" w:type="dxa"/>
                  <w:vAlign w:val="center"/>
                </w:tcPr>
                <w:p w14:paraId="65CC8E47">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w:t>
                  </w:r>
                </w:p>
              </w:tc>
              <w:tc>
                <w:tcPr>
                  <w:tcW w:w="426" w:type="dxa"/>
                  <w:vMerge w:val="continue"/>
                  <w:vAlign w:val="center"/>
                </w:tcPr>
                <w:p w14:paraId="7C75CBB0">
                  <w:pPr>
                    <w:shd w:val="clear"/>
                    <w:jc w:val="center"/>
                    <w:rPr>
                      <w:rFonts w:hint="default" w:ascii="Times New Roman" w:hAnsi="Times New Roman" w:eastAsia="宋体" w:cs="Times New Roman"/>
                      <w:color w:val="auto"/>
                      <w:szCs w:val="21"/>
                      <w:highlight w:val="none"/>
                    </w:rPr>
                  </w:pPr>
                </w:p>
              </w:tc>
              <w:tc>
                <w:tcPr>
                  <w:tcW w:w="3158" w:type="dxa"/>
                  <w:vAlign w:val="center"/>
                </w:tcPr>
                <w:p w14:paraId="75460379">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含VOCs产品的使用过程中，应采取废气收集措施，提高废气收集效率，减少废气的无组织排放与逸散，并对收集后的废气进行回收或处理后达标排放。</w:t>
                  </w:r>
                </w:p>
              </w:tc>
              <w:tc>
                <w:tcPr>
                  <w:tcW w:w="3290" w:type="dxa"/>
                  <w:vMerge w:val="restart"/>
                  <w:vAlign w:val="center"/>
                </w:tcPr>
                <w:p w14:paraId="7AB64297">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混料、破碎、磨粉</w:t>
                  </w:r>
                  <w:r>
                    <w:rPr>
                      <w:rFonts w:hint="default" w:ascii="Times New Roman" w:hAnsi="Times New Roman" w:eastAsia="宋体" w:cs="Times New Roman"/>
                      <w:color w:val="auto"/>
                      <w:sz w:val="21"/>
                      <w:szCs w:val="21"/>
                      <w:highlight w:val="none"/>
                    </w:rPr>
                    <w:t>粉尘</w:t>
                  </w:r>
                  <w:r>
                    <w:rPr>
                      <w:rFonts w:hint="eastAsia" w:cs="Times New Roman"/>
                      <w:color w:val="auto"/>
                      <w:sz w:val="21"/>
                      <w:szCs w:val="21"/>
                      <w:highlight w:val="none"/>
                      <w:lang w:eastAsia="zh-CN"/>
                    </w:rPr>
                    <w:t>通过</w:t>
                  </w:r>
                  <w:r>
                    <w:rPr>
                      <w:rFonts w:hint="eastAsia" w:cs="Times New Roman"/>
                      <w:color w:val="auto"/>
                      <w:sz w:val="21"/>
                      <w:szCs w:val="21"/>
                      <w:highlight w:val="none"/>
                      <w:lang w:val="en-US" w:eastAsia="zh-CN"/>
                    </w:rPr>
                    <w:t>14布袋</w:t>
                  </w:r>
                  <w:r>
                    <w:rPr>
                      <w:rFonts w:hint="default" w:ascii="Times New Roman" w:hAnsi="Times New Roman" w:eastAsia="宋体" w:cs="Times New Roman"/>
                      <w:color w:val="auto"/>
                      <w:sz w:val="21"/>
                      <w:szCs w:val="21"/>
                      <w:highlight w:val="none"/>
                    </w:rPr>
                    <w:t>滤筒除尘器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处理</w:t>
                  </w:r>
                  <w:r>
                    <w:rPr>
                      <w:rFonts w:hint="default" w:ascii="Times New Roman" w:hAnsi="Times New Roman" w:eastAsia="宋体" w:cs="Times New Roman"/>
                      <w:color w:val="auto"/>
                      <w:sz w:val="21"/>
                      <w:szCs w:val="21"/>
                      <w:highlight w:val="none"/>
                      <w:lang w:val="en-US" w:eastAsia="zh-CN"/>
                    </w:rPr>
                    <w:t>达标</w:t>
                  </w:r>
                  <w:r>
                    <w:rPr>
                      <w:rFonts w:hint="default" w:ascii="Times New Roman" w:hAnsi="Times New Roman" w:eastAsia="宋体" w:cs="Times New Roman"/>
                      <w:color w:val="auto"/>
                      <w:sz w:val="21"/>
                      <w:szCs w:val="21"/>
                      <w:highlight w:val="none"/>
                      <w:lang w:eastAsia="zh-CN"/>
                    </w:rPr>
                    <w:t>后</w:t>
                  </w:r>
                  <w:r>
                    <w:rPr>
                      <w:rFonts w:hint="default" w:ascii="Times New Roman" w:hAnsi="Times New Roman" w:eastAsia="宋体" w:cs="Times New Roman"/>
                      <w:color w:val="auto"/>
                      <w:sz w:val="21"/>
                      <w:szCs w:val="21"/>
                      <w:highlight w:val="none"/>
                      <w:lang w:val="en-US" w:eastAsia="zh-CN"/>
                    </w:rPr>
                    <w:t>由1根15m高的排气筒（DA001）排放；</w:t>
                  </w:r>
                  <w:r>
                    <w:rPr>
                      <w:rFonts w:hint="eastAsia" w:cs="Times New Roman"/>
                      <w:color w:val="auto"/>
                      <w:sz w:val="21"/>
                      <w:szCs w:val="21"/>
                      <w:highlight w:val="none"/>
                      <w:lang w:val="en-US" w:eastAsia="zh-CN"/>
                    </w:rPr>
                    <w:t>挤出、覆膜</w:t>
                  </w:r>
                  <w:r>
                    <w:rPr>
                      <w:rFonts w:hint="default" w:ascii="Times New Roman" w:hAnsi="Times New Roman" w:eastAsia="宋体" w:cs="Times New Roman"/>
                      <w:color w:val="auto"/>
                      <w:sz w:val="21"/>
                      <w:szCs w:val="21"/>
                      <w:highlight w:val="none"/>
                      <w:lang w:val="en-US" w:eastAsia="zh-CN"/>
                    </w:rPr>
                    <w:t>有机</w:t>
                  </w:r>
                  <w:r>
                    <w:rPr>
                      <w:rFonts w:hint="default" w:ascii="Times New Roman" w:hAnsi="Times New Roman" w:eastAsia="宋体" w:cs="Times New Roman"/>
                      <w:color w:val="auto"/>
                      <w:sz w:val="21"/>
                      <w:szCs w:val="21"/>
                      <w:highlight w:val="none"/>
                    </w:rPr>
                    <w:t>废气</w:t>
                  </w:r>
                  <w:r>
                    <w:rPr>
                      <w:rFonts w:hint="eastAsia" w:cs="Times New Roman"/>
                      <w:color w:val="auto"/>
                      <w:sz w:val="21"/>
                      <w:szCs w:val="21"/>
                      <w:highlight w:val="none"/>
                      <w:lang w:eastAsia="zh-CN"/>
                    </w:rPr>
                    <w:t>通过</w:t>
                  </w: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个</w:t>
                  </w:r>
                  <w:r>
                    <w:rPr>
                      <w:rFonts w:hint="default" w:ascii="Times New Roman" w:hAnsi="Times New Roman" w:eastAsia="宋体" w:cs="Times New Roman"/>
                      <w:color w:val="auto"/>
                      <w:sz w:val="21"/>
                      <w:szCs w:val="21"/>
                      <w:highlight w:val="none"/>
                      <w:lang w:eastAsia="zh-CN"/>
                    </w:rPr>
                    <w:t>集气罩</w:t>
                  </w:r>
                  <w:r>
                    <w:rPr>
                      <w:rFonts w:hint="eastAsia" w:cs="Times New Roman"/>
                      <w:color w:val="auto"/>
                      <w:sz w:val="21"/>
                      <w:szCs w:val="21"/>
                      <w:highlight w:val="none"/>
                      <w:lang w:eastAsia="zh-CN"/>
                    </w:rPr>
                    <w:t>收集后经“一套</w:t>
                  </w:r>
                  <w:r>
                    <w:rPr>
                      <w:rFonts w:hint="default" w:ascii="Times New Roman" w:hAnsi="Times New Roman" w:eastAsia="宋体" w:cs="Times New Roman"/>
                      <w:color w:val="auto"/>
                      <w:sz w:val="21"/>
                      <w:szCs w:val="21"/>
                      <w:highlight w:val="none"/>
                      <w:lang w:val="en-US" w:eastAsia="zh-CN"/>
                    </w:rPr>
                    <w:t>三级</w:t>
                  </w:r>
                  <w:r>
                    <w:rPr>
                      <w:rFonts w:hint="default" w:ascii="Times New Roman" w:hAnsi="Times New Roman" w:eastAsia="宋体" w:cs="Times New Roman"/>
                      <w:color w:val="auto"/>
                      <w:sz w:val="21"/>
                      <w:szCs w:val="21"/>
                      <w:highlight w:val="none"/>
                      <w:lang w:eastAsia="zh-CN"/>
                    </w:rPr>
                    <w:t>活性炭吸附装置</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处理</w:t>
                  </w:r>
                  <w:r>
                    <w:rPr>
                      <w:rFonts w:hint="default" w:ascii="Times New Roman" w:hAnsi="Times New Roman" w:eastAsia="宋体" w:cs="Times New Roman"/>
                      <w:color w:val="auto"/>
                      <w:sz w:val="21"/>
                      <w:szCs w:val="21"/>
                      <w:highlight w:val="none"/>
                      <w:lang w:val="en-US" w:eastAsia="zh-CN"/>
                    </w:rPr>
                    <w:t>达标</w:t>
                  </w:r>
                  <w:r>
                    <w:rPr>
                      <w:rFonts w:hint="default" w:ascii="Times New Roman" w:hAnsi="Times New Roman" w:eastAsia="宋体" w:cs="Times New Roman"/>
                      <w:color w:val="auto"/>
                      <w:sz w:val="21"/>
                      <w:szCs w:val="21"/>
                      <w:highlight w:val="none"/>
                    </w:rPr>
                    <w:t>后由</w:t>
                  </w:r>
                  <w:r>
                    <w:rPr>
                      <w:rFonts w:hint="default" w:ascii="Times New Roman" w:hAnsi="Times New Roman" w:eastAsia="宋体" w:cs="Times New Roman"/>
                      <w:color w:val="auto"/>
                      <w:sz w:val="21"/>
                      <w:szCs w:val="21"/>
                      <w:highlight w:val="none"/>
                      <w:lang w:val="en-US" w:eastAsia="zh-CN"/>
                    </w:rPr>
                    <w:t>1根15m高的</w:t>
                  </w:r>
                  <w:r>
                    <w:rPr>
                      <w:rFonts w:hint="default" w:ascii="Times New Roman" w:hAnsi="Times New Roman" w:eastAsia="宋体" w:cs="Times New Roman"/>
                      <w:color w:val="auto"/>
                      <w:sz w:val="21"/>
                      <w:szCs w:val="21"/>
                      <w:highlight w:val="none"/>
                    </w:rPr>
                    <w:t>排气筒</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排放</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在采取相应的对策措施后，项目废气污染物均能达标排放。</w:t>
                  </w:r>
                </w:p>
              </w:tc>
              <w:tc>
                <w:tcPr>
                  <w:tcW w:w="682" w:type="dxa"/>
                  <w:vAlign w:val="center"/>
                </w:tcPr>
                <w:p w14:paraId="31189F75">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0205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7" w:type="dxa"/>
                  <w:vAlign w:val="center"/>
                </w:tcPr>
                <w:p w14:paraId="4100D679">
                  <w:pPr>
                    <w:shd w:val="clea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w:t>
                  </w:r>
                </w:p>
              </w:tc>
              <w:tc>
                <w:tcPr>
                  <w:tcW w:w="426" w:type="dxa"/>
                  <w:vMerge w:val="restart"/>
                  <w:vAlign w:val="center"/>
                </w:tcPr>
                <w:p w14:paraId="0129B075">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末端治理与综合利用</w:t>
                  </w:r>
                </w:p>
              </w:tc>
              <w:tc>
                <w:tcPr>
                  <w:tcW w:w="3158" w:type="dxa"/>
                  <w:vAlign w:val="center"/>
                </w:tcPr>
                <w:p w14:paraId="4717E77C">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在工业生产过程中鼓励VOCs的回收利用，并优先鼓励在生产系统内回用。</w:t>
                  </w:r>
                </w:p>
              </w:tc>
              <w:tc>
                <w:tcPr>
                  <w:tcW w:w="3290" w:type="dxa"/>
                  <w:vMerge w:val="continue"/>
                  <w:vAlign w:val="center"/>
                </w:tcPr>
                <w:p w14:paraId="06A4C9CC">
                  <w:pPr>
                    <w:shd w:val="clear"/>
                    <w:jc w:val="center"/>
                    <w:rPr>
                      <w:rFonts w:hint="default" w:ascii="Times New Roman" w:hAnsi="Times New Roman" w:eastAsia="宋体" w:cs="Times New Roman"/>
                      <w:color w:val="auto"/>
                      <w:sz w:val="21"/>
                      <w:szCs w:val="21"/>
                      <w:highlight w:val="none"/>
                    </w:rPr>
                  </w:pPr>
                </w:p>
              </w:tc>
              <w:tc>
                <w:tcPr>
                  <w:tcW w:w="682" w:type="dxa"/>
                  <w:vAlign w:val="center"/>
                </w:tcPr>
                <w:p w14:paraId="3663F303">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357A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7" w:type="dxa"/>
                  <w:vAlign w:val="center"/>
                </w:tcPr>
                <w:p w14:paraId="59E2C694">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w:t>
                  </w:r>
                </w:p>
              </w:tc>
              <w:tc>
                <w:tcPr>
                  <w:tcW w:w="426" w:type="dxa"/>
                  <w:vMerge w:val="continue"/>
                  <w:vAlign w:val="center"/>
                </w:tcPr>
                <w:p w14:paraId="59A4FDED">
                  <w:pPr>
                    <w:shd w:val="clear"/>
                    <w:jc w:val="center"/>
                    <w:rPr>
                      <w:rFonts w:hint="default" w:ascii="Times New Roman" w:hAnsi="Times New Roman" w:eastAsia="宋体" w:cs="Times New Roman"/>
                      <w:color w:val="auto"/>
                      <w:szCs w:val="21"/>
                      <w:highlight w:val="none"/>
                    </w:rPr>
                  </w:pPr>
                </w:p>
              </w:tc>
              <w:tc>
                <w:tcPr>
                  <w:tcW w:w="3158" w:type="dxa"/>
                  <w:vAlign w:val="center"/>
                </w:tcPr>
                <w:p w14:paraId="1B3E4A3B">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对于含高浓度VOCs的废气，宜优先采用冷凝回收、吸附回收技术进行回收利用，并辅助以其他治理技术实现达标排放。</w:t>
                  </w:r>
                </w:p>
              </w:tc>
              <w:tc>
                <w:tcPr>
                  <w:tcW w:w="3290" w:type="dxa"/>
                  <w:vMerge w:val="continue"/>
                  <w:vAlign w:val="center"/>
                </w:tcPr>
                <w:p w14:paraId="787A6D4A">
                  <w:pPr>
                    <w:shd w:val="clear"/>
                    <w:jc w:val="center"/>
                    <w:rPr>
                      <w:rFonts w:hint="default" w:ascii="Times New Roman" w:hAnsi="Times New Roman" w:eastAsia="宋体" w:cs="Times New Roman"/>
                      <w:color w:val="auto"/>
                      <w:sz w:val="21"/>
                      <w:szCs w:val="21"/>
                      <w:highlight w:val="none"/>
                    </w:rPr>
                  </w:pPr>
                </w:p>
              </w:tc>
              <w:tc>
                <w:tcPr>
                  <w:tcW w:w="682" w:type="dxa"/>
                  <w:vAlign w:val="center"/>
                </w:tcPr>
                <w:p w14:paraId="53509E46">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5731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7" w:type="dxa"/>
                  <w:vAlign w:val="center"/>
                </w:tcPr>
                <w:p w14:paraId="4B2E0FF5">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w:t>
                  </w:r>
                </w:p>
              </w:tc>
              <w:tc>
                <w:tcPr>
                  <w:tcW w:w="426" w:type="dxa"/>
                  <w:vMerge w:val="continue"/>
                  <w:vAlign w:val="center"/>
                </w:tcPr>
                <w:p w14:paraId="3901D6FC">
                  <w:pPr>
                    <w:shd w:val="clear"/>
                    <w:jc w:val="center"/>
                    <w:rPr>
                      <w:rFonts w:hint="default" w:ascii="Times New Roman" w:hAnsi="Times New Roman" w:eastAsia="宋体" w:cs="Times New Roman"/>
                      <w:color w:val="auto"/>
                      <w:szCs w:val="21"/>
                      <w:highlight w:val="none"/>
                    </w:rPr>
                  </w:pPr>
                </w:p>
              </w:tc>
              <w:tc>
                <w:tcPr>
                  <w:tcW w:w="3158" w:type="dxa"/>
                  <w:vAlign w:val="center"/>
                </w:tcPr>
                <w:p w14:paraId="11B3BB0A">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对于含中等浓度VOCs的废气，可采用吸附技术回收有机溶剂，或采用催化燃烧和热力焚烧技术净化后达标排放。当采用催化燃烧和热力焚烧技术进行净化时，应进行余热回收利用。</w:t>
                  </w:r>
                </w:p>
              </w:tc>
              <w:tc>
                <w:tcPr>
                  <w:tcW w:w="3290" w:type="dxa"/>
                  <w:vMerge w:val="continue"/>
                  <w:vAlign w:val="center"/>
                </w:tcPr>
                <w:p w14:paraId="3A052D7C">
                  <w:pPr>
                    <w:shd w:val="clear"/>
                    <w:jc w:val="center"/>
                    <w:rPr>
                      <w:rFonts w:hint="default" w:ascii="Times New Roman" w:hAnsi="Times New Roman" w:eastAsia="宋体" w:cs="Times New Roman"/>
                      <w:color w:val="auto"/>
                      <w:szCs w:val="21"/>
                      <w:highlight w:val="none"/>
                    </w:rPr>
                  </w:pPr>
                </w:p>
              </w:tc>
              <w:tc>
                <w:tcPr>
                  <w:tcW w:w="682" w:type="dxa"/>
                  <w:vAlign w:val="center"/>
                </w:tcPr>
                <w:p w14:paraId="461D71C3">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7421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7" w:type="dxa"/>
                  <w:vAlign w:val="center"/>
                </w:tcPr>
                <w:p w14:paraId="5A3341F7">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w:t>
                  </w:r>
                </w:p>
              </w:tc>
              <w:tc>
                <w:tcPr>
                  <w:tcW w:w="426" w:type="dxa"/>
                  <w:vMerge w:val="continue"/>
                  <w:vAlign w:val="center"/>
                </w:tcPr>
                <w:p w14:paraId="2A8A8304">
                  <w:pPr>
                    <w:shd w:val="clear"/>
                    <w:jc w:val="center"/>
                    <w:rPr>
                      <w:rFonts w:hint="default" w:ascii="Times New Roman" w:hAnsi="Times New Roman" w:eastAsia="宋体" w:cs="Times New Roman"/>
                      <w:color w:val="auto"/>
                      <w:szCs w:val="21"/>
                      <w:highlight w:val="none"/>
                    </w:rPr>
                  </w:pPr>
                </w:p>
              </w:tc>
              <w:tc>
                <w:tcPr>
                  <w:tcW w:w="3158" w:type="dxa"/>
                  <w:vAlign w:val="center"/>
                </w:tcPr>
                <w:p w14:paraId="731877A7">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3290" w:type="dxa"/>
                  <w:vMerge w:val="continue"/>
                  <w:vAlign w:val="center"/>
                </w:tcPr>
                <w:p w14:paraId="3F1CA344">
                  <w:pPr>
                    <w:shd w:val="clear"/>
                    <w:jc w:val="center"/>
                    <w:rPr>
                      <w:rFonts w:hint="default" w:ascii="Times New Roman" w:hAnsi="Times New Roman" w:eastAsia="宋体" w:cs="Times New Roman"/>
                      <w:color w:val="auto"/>
                      <w:szCs w:val="21"/>
                      <w:highlight w:val="none"/>
                    </w:rPr>
                  </w:pPr>
                </w:p>
              </w:tc>
              <w:tc>
                <w:tcPr>
                  <w:tcW w:w="682" w:type="dxa"/>
                  <w:vAlign w:val="center"/>
                </w:tcPr>
                <w:p w14:paraId="656C9D54">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2CF7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7" w:type="dxa"/>
                  <w:vAlign w:val="center"/>
                </w:tcPr>
                <w:p w14:paraId="4CF5193E">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w:t>
                  </w:r>
                </w:p>
              </w:tc>
              <w:tc>
                <w:tcPr>
                  <w:tcW w:w="426" w:type="dxa"/>
                  <w:vMerge w:val="continue"/>
                  <w:vAlign w:val="center"/>
                </w:tcPr>
                <w:p w14:paraId="0E31A153">
                  <w:pPr>
                    <w:shd w:val="clear"/>
                    <w:jc w:val="center"/>
                    <w:rPr>
                      <w:rFonts w:hint="default" w:ascii="Times New Roman" w:hAnsi="Times New Roman" w:eastAsia="宋体" w:cs="Times New Roman"/>
                      <w:color w:val="auto"/>
                      <w:szCs w:val="21"/>
                      <w:highlight w:val="none"/>
                    </w:rPr>
                  </w:pPr>
                </w:p>
              </w:tc>
              <w:tc>
                <w:tcPr>
                  <w:tcW w:w="3158" w:type="dxa"/>
                  <w:vAlign w:val="center"/>
                </w:tcPr>
                <w:p w14:paraId="68BEA1E5">
                  <w:pPr>
                    <w:shd w:val="clea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含有有机卤素成分VOCs的废气，宜采用非焚烧技术处理。</w:t>
                  </w:r>
                </w:p>
              </w:tc>
              <w:tc>
                <w:tcPr>
                  <w:tcW w:w="3290" w:type="dxa"/>
                  <w:vAlign w:val="center"/>
                </w:tcPr>
                <w:p w14:paraId="18139BBF">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本项目不涉及。</w:t>
                  </w:r>
                </w:p>
              </w:tc>
              <w:tc>
                <w:tcPr>
                  <w:tcW w:w="682" w:type="dxa"/>
                  <w:vAlign w:val="center"/>
                </w:tcPr>
                <w:p w14:paraId="3738605E">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0429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dxa"/>
                  <w:vAlign w:val="center"/>
                </w:tcPr>
                <w:p w14:paraId="4ABF3323">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w:t>
                  </w:r>
                </w:p>
              </w:tc>
              <w:tc>
                <w:tcPr>
                  <w:tcW w:w="426" w:type="dxa"/>
                  <w:vMerge w:val="continue"/>
                  <w:vAlign w:val="center"/>
                </w:tcPr>
                <w:p w14:paraId="032794C8">
                  <w:pPr>
                    <w:shd w:val="clear"/>
                    <w:jc w:val="center"/>
                    <w:rPr>
                      <w:rFonts w:hint="default" w:ascii="Times New Roman" w:hAnsi="Times New Roman" w:eastAsia="宋体" w:cs="Times New Roman"/>
                      <w:color w:val="auto"/>
                      <w:szCs w:val="21"/>
                      <w:highlight w:val="none"/>
                    </w:rPr>
                  </w:pPr>
                </w:p>
              </w:tc>
              <w:tc>
                <w:tcPr>
                  <w:tcW w:w="3158" w:type="dxa"/>
                  <w:vAlign w:val="center"/>
                </w:tcPr>
                <w:p w14:paraId="087FE5C5">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恶臭气体污染源可采用生物技术、等离子体技术、吸附技术、吸收技术、紫外光高级氧化技术或组合技术等进行净化。净化后的恶臭气体除满足达标排放的要求外，还应采取高空排放等措施，避免产生扰民问题。</w:t>
                  </w:r>
                </w:p>
              </w:tc>
              <w:tc>
                <w:tcPr>
                  <w:tcW w:w="3290" w:type="dxa"/>
                  <w:vAlign w:val="center"/>
                </w:tcPr>
                <w:p w14:paraId="1F71529A">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本项目不涉及。</w:t>
                  </w:r>
                </w:p>
              </w:tc>
              <w:tc>
                <w:tcPr>
                  <w:tcW w:w="682" w:type="dxa"/>
                  <w:vAlign w:val="center"/>
                </w:tcPr>
                <w:p w14:paraId="31E9814A">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63B6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7" w:type="dxa"/>
                  <w:vAlign w:val="center"/>
                </w:tcPr>
                <w:p w14:paraId="2E2ACA8A">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13</w:t>
                  </w:r>
                </w:p>
              </w:tc>
              <w:tc>
                <w:tcPr>
                  <w:tcW w:w="426" w:type="dxa"/>
                  <w:vMerge w:val="continue"/>
                  <w:vAlign w:val="center"/>
                </w:tcPr>
                <w:p w14:paraId="52A06CE4">
                  <w:pPr>
                    <w:shd w:val="clear"/>
                    <w:jc w:val="center"/>
                    <w:rPr>
                      <w:rFonts w:hint="default" w:ascii="Times New Roman" w:hAnsi="Times New Roman" w:eastAsia="宋体" w:cs="Times New Roman"/>
                      <w:color w:val="auto"/>
                      <w:szCs w:val="21"/>
                      <w:highlight w:val="none"/>
                    </w:rPr>
                  </w:pPr>
                </w:p>
              </w:tc>
              <w:tc>
                <w:tcPr>
                  <w:tcW w:w="3158" w:type="dxa"/>
                  <w:vAlign w:val="center"/>
                </w:tcPr>
                <w:p w14:paraId="7EF78A7A">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严格控制VOCs处理过程中产生的二次污染，对于催化燃烧和热力焚烧过程中产生的含硫、氮、氯等无机废气，以及吸附、吸收、冷凝、生物等治理过程中所产生的含有机物废水，应处理后达标排放。</w:t>
                  </w:r>
                </w:p>
              </w:tc>
              <w:tc>
                <w:tcPr>
                  <w:tcW w:w="3290" w:type="dxa"/>
                  <w:vAlign w:val="center"/>
                </w:tcPr>
                <w:p w14:paraId="7FCB3AD0">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混料、破碎、磨粉</w:t>
                  </w:r>
                  <w:r>
                    <w:rPr>
                      <w:rFonts w:hint="default" w:ascii="Times New Roman" w:hAnsi="Times New Roman" w:eastAsia="宋体" w:cs="Times New Roman"/>
                      <w:color w:val="auto"/>
                      <w:sz w:val="21"/>
                      <w:szCs w:val="21"/>
                      <w:highlight w:val="none"/>
                    </w:rPr>
                    <w:t>粉尘</w:t>
                  </w:r>
                  <w:r>
                    <w:rPr>
                      <w:rFonts w:hint="eastAsia" w:cs="Times New Roman"/>
                      <w:color w:val="auto"/>
                      <w:sz w:val="21"/>
                      <w:szCs w:val="21"/>
                      <w:highlight w:val="none"/>
                      <w:lang w:eastAsia="zh-CN"/>
                    </w:rPr>
                    <w:t>通过</w:t>
                  </w:r>
                  <w:r>
                    <w:rPr>
                      <w:rFonts w:hint="eastAsia" w:cs="Times New Roman"/>
                      <w:color w:val="auto"/>
                      <w:sz w:val="21"/>
                      <w:szCs w:val="21"/>
                      <w:highlight w:val="none"/>
                      <w:lang w:val="en-US" w:eastAsia="zh-CN"/>
                    </w:rPr>
                    <w:t>14布袋</w:t>
                  </w:r>
                  <w:r>
                    <w:rPr>
                      <w:rFonts w:hint="default" w:ascii="Times New Roman" w:hAnsi="Times New Roman" w:eastAsia="宋体" w:cs="Times New Roman"/>
                      <w:color w:val="auto"/>
                      <w:sz w:val="21"/>
                      <w:szCs w:val="21"/>
                      <w:highlight w:val="none"/>
                    </w:rPr>
                    <w:t>滤筒除尘器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处理</w:t>
                  </w:r>
                  <w:r>
                    <w:rPr>
                      <w:rFonts w:hint="default" w:ascii="Times New Roman" w:hAnsi="Times New Roman" w:eastAsia="宋体" w:cs="Times New Roman"/>
                      <w:color w:val="auto"/>
                      <w:sz w:val="21"/>
                      <w:szCs w:val="21"/>
                      <w:highlight w:val="none"/>
                      <w:lang w:val="en-US" w:eastAsia="zh-CN"/>
                    </w:rPr>
                    <w:t>达标</w:t>
                  </w:r>
                  <w:r>
                    <w:rPr>
                      <w:rFonts w:hint="default" w:ascii="Times New Roman" w:hAnsi="Times New Roman" w:eastAsia="宋体" w:cs="Times New Roman"/>
                      <w:color w:val="auto"/>
                      <w:sz w:val="21"/>
                      <w:szCs w:val="21"/>
                      <w:highlight w:val="none"/>
                      <w:lang w:eastAsia="zh-CN"/>
                    </w:rPr>
                    <w:t>后</w:t>
                  </w:r>
                  <w:r>
                    <w:rPr>
                      <w:rFonts w:hint="default" w:ascii="Times New Roman" w:hAnsi="Times New Roman" w:eastAsia="宋体" w:cs="Times New Roman"/>
                      <w:color w:val="auto"/>
                      <w:sz w:val="21"/>
                      <w:szCs w:val="21"/>
                      <w:highlight w:val="none"/>
                      <w:lang w:val="en-US" w:eastAsia="zh-CN"/>
                    </w:rPr>
                    <w:t>由1根15m高的排气筒（DA001）排放；</w:t>
                  </w:r>
                  <w:r>
                    <w:rPr>
                      <w:rFonts w:hint="eastAsia" w:cs="Times New Roman"/>
                      <w:color w:val="auto"/>
                      <w:sz w:val="21"/>
                      <w:szCs w:val="21"/>
                      <w:highlight w:val="none"/>
                      <w:lang w:val="en-US" w:eastAsia="zh-CN"/>
                    </w:rPr>
                    <w:t>挤出、覆膜</w:t>
                  </w:r>
                  <w:r>
                    <w:rPr>
                      <w:rFonts w:hint="default" w:ascii="Times New Roman" w:hAnsi="Times New Roman" w:eastAsia="宋体" w:cs="Times New Roman"/>
                      <w:color w:val="auto"/>
                      <w:sz w:val="21"/>
                      <w:szCs w:val="21"/>
                      <w:highlight w:val="none"/>
                      <w:lang w:val="en-US" w:eastAsia="zh-CN"/>
                    </w:rPr>
                    <w:t>有机</w:t>
                  </w:r>
                  <w:r>
                    <w:rPr>
                      <w:rFonts w:hint="default" w:ascii="Times New Roman" w:hAnsi="Times New Roman" w:eastAsia="宋体" w:cs="Times New Roman"/>
                      <w:color w:val="auto"/>
                      <w:sz w:val="21"/>
                      <w:szCs w:val="21"/>
                      <w:highlight w:val="none"/>
                    </w:rPr>
                    <w:t>废气</w:t>
                  </w:r>
                  <w:r>
                    <w:rPr>
                      <w:rFonts w:hint="eastAsia" w:cs="Times New Roman"/>
                      <w:color w:val="auto"/>
                      <w:sz w:val="21"/>
                      <w:szCs w:val="21"/>
                      <w:highlight w:val="none"/>
                      <w:lang w:eastAsia="zh-CN"/>
                    </w:rPr>
                    <w:t>通过</w:t>
                  </w: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个</w:t>
                  </w:r>
                  <w:r>
                    <w:rPr>
                      <w:rFonts w:hint="default" w:ascii="Times New Roman" w:hAnsi="Times New Roman" w:eastAsia="宋体" w:cs="Times New Roman"/>
                      <w:color w:val="auto"/>
                      <w:sz w:val="21"/>
                      <w:szCs w:val="21"/>
                      <w:highlight w:val="none"/>
                      <w:lang w:eastAsia="zh-CN"/>
                    </w:rPr>
                    <w:t>集气罩</w:t>
                  </w:r>
                  <w:r>
                    <w:rPr>
                      <w:rFonts w:hint="eastAsia" w:cs="Times New Roman"/>
                      <w:color w:val="auto"/>
                      <w:sz w:val="21"/>
                      <w:szCs w:val="21"/>
                      <w:highlight w:val="none"/>
                      <w:lang w:eastAsia="zh-CN"/>
                    </w:rPr>
                    <w:t>收集后经“一套</w:t>
                  </w:r>
                  <w:r>
                    <w:rPr>
                      <w:rFonts w:hint="default" w:ascii="Times New Roman" w:hAnsi="Times New Roman" w:eastAsia="宋体" w:cs="Times New Roman"/>
                      <w:color w:val="auto"/>
                      <w:sz w:val="21"/>
                      <w:szCs w:val="21"/>
                      <w:highlight w:val="none"/>
                      <w:lang w:val="en-US" w:eastAsia="zh-CN"/>
                    </w:rPr>
                    <w:t>三级</w:t>
                  </w:r>
                  <w:r>
                    <w:rPr>
                      <w:rFonts w:hint="default" w:ascii="Times New Roman" w:hAnsi="Times New Roman" w:eastAsia="宋体" w:cs="Times New Roman"/>
                      <w:color w:val="auto"/>
                      <w:sz w:val="21"/>
                      <w:szCs w:val="21"/>
                      <w:highlight w:val="none"/>
                      <w:lang w:eastAsia="zh-CN"/>
                    </w:rPr>
                    <w:t>活性炭吸附装置</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处理</w:t>
                  </w:r>
                  <w:r>
                    <w:rPr>
                      <w:rFonts w:hint="default" w:ascii="Times New Roman" w:hAnsi="Times New Roman" w:eastAsia="宋体" w:cs="Times New Roman"/>
                      <w:color w:val="auto"/>
                      <w:sz w:val="21"/>
                      <w:szCs w:val="21"/>
                      <w:highlight w:val="none"/>
                      <w:lang w:val="en-US" w:eastAsia="zh-CN"/>
                    </w:rPr>
                    <w:t>达标</w:t>
                  </w:r>
                  <w:r>
                    <w:rPr>
                      <w:rFonts w:hint="default" w:ascii="Times New Roman" w:hAnsi="Times New Roman" w:eastAsia="宋体" w:cs="Times New Roman"/>
                      <w:color w:val="auto"/>
                      <w:sz w:val="21"/>
                      <w:szCs w:val="21"/>
                      <w:highlight w:val="none"/>
                    </w:rPr>
                    <w:t>后由</w:t>
                  </w:r>
                  <w:r>
                    <w:rPr>
                      <w:rFonts w:hint="default" w:ascii="Times New Roman" w:hAnsi="Times New Roman" w:eastAsia="宋体" w:cs="Times New Roman"/>
                      <w:color w:val="auto"/>
                      <w:sz w:val="21"/>
                      <w:szCs w:val="21"/>
                      <w:highlight w:val="none"/>
                      <w:lang w:val="en-US" w:eastAsia="zh-CN"/>
                    </w:rPr>
                    <w:t>1根15m高的</w:t>
                  </w:r>
                  <w:r>
                    <w:rPr>
                      <w:rFonts w:hint="default" w:ascii="Times New Roman" w:hAnsi="Times New Roman" w:eastAsia="宋体" w:cs="Times New Roman"/>
                      <w:color w:val="auto"/>
                      <w:sz w:val="21"/>
                      <w:szCs w:val="21"/>
                      <w:highlight w:val="none"/>
                    </w:rPr>
                    <w:t>排气筒</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排放</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在采取相应的对策措施后，项目废气污染物均能达标排放。废气治理过程不涉及含有机物废水。</w:t>
                  </w:r>
                </w:p>
              </w:tc>
              <w:tc>
                <w:tcPr>
                  <w:tcW w:w="682" w:type="dxa"/>
                  <w:vAlign w:val="center"/>
                </w:tcPr>
                <w:p w14:paraId="0B02EC11">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14:paraId="0536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27" w:type="dxa"/>
                  <w:vAlign w:val="center"/>
                </w:tcPr>
                <w:p w14:paraId="463CFA2F">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14</w:t>
                  </w:r>
                </w:p>
              </w:tc>
              <w:tc>
                <w:tcPr>
                  <w:tcW w:w="426" w:type="dxa"/>
                  <w:vMerge w:val="continue"/>
                  <w:vAlign w:val="center"/>
                </w:tcPr>
                <w:p w14:paraId="2652FC28">
                  <w:pPr>
                    <w:shd w:val="clear"/>
                    <w:jc w:val="center"/>
                    <w:rPr>
                      <w:rFonts w:hint="default" w:ascii="Times New Roman" w:hAnsi="Times New Roman" w:eastAsia="宋体" w:cs="Times New Roman"/>
                      <w:color w:val="auto"/>
                      <w:szCs w:val="21"/>
                      <w:highlight w:val="none"/>
                    </w:rPr>
                  </w:pPr>
                </w:p>
              </w:tc>
              <w:tc>
                <w:tcPr>
                  <w:tcW w:w="3158" w:type="dxa"/>
                  <w:vAlign w:val="center"/>
                </w:tcPr>
                <w:p w14:paraId="3680AC10">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对于不能再生的过滤材料、吸附剂及催化剂等净化材料，应按照国家固体废物管理的相关规定处理处置。</w:t>
                  </w:r>
                </w:p>
              </w:tc>
              <w:tc>
                <w:tcPr>
                  <w:tcW w:w="3290" w:type="dxa"/>
                  <w:vAlign w:val="center"/>
                </w:tcPr>
                <w:p w14:paraId="2E6B5B01">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b w:val="0"/>
                      <w:bCs w:val="0"/>
                      <w:color w:val="auto"/>
                      <w:sz w:val="21"/>
                      <w:szCs w:val="21"/>
                      <w:highlight w:val="none"/>
                      <w:lang w:val="en-US" w:eastAsia="zh-CN"/>
                    </w:rPr>
                    <w:t>项目</w:t>
                  </w:r>
                  <w:r>
                    <w:rPr>
                      <w:rFonts w:hint="eastAsia" w:cs="Times New Roman"/>
                      <w:b w:val="0"/>
                      <w:bCs w:val="0"/>
                      <w:color w:val="auto"/>
                      <w:sz w:val="21"/>
                      <w:szCs w:val="21"/>
                      <w:highlight w:val="none"/>
                      <w:lang w:val="en-US" w:eastAsia="zh-CN"/>
                    </w:rPr>
                    <w:t>切割</w:t>
                  </w:r>
                  <w:r>
                    <w:rPr>
                      <w:rFonts w:hint="default" w:ascii="Times New Roman" w:hAnsi="Times New Roman" w:eastAsia="宋体" w:cs="Times New Roman"/>
                      <w:b w:val="0"/>
                      <w:bCs w:val="0"/>
                      <w:color w:val="auto"/>
                      <w:sz w:val="21"/>
                      <w:szCs w:val="21"/>
                      <w:highlight w:val="none"/>
                      <w:lang w:val="en-US" w:eastAsia="zh-CN"/>
                    </w:rPr>
                    <w:t>过程产生的边角料</w:t>
                  </w:r>
                  <w:r>
                    <w:rPr>
                      <w:rFonts w:hint="eastAsia" w:cs="Times New Roman"/>
                      <w:b w:val="0"/>
                      <w:bCs w:val="0"/>
                      <w:color w:val="auto"/>
                      <w:sz w:val="21"/>
                      <w:szCs w:val="21"/>
                      <w:highlight w:val="none"/>
                      <w:lang w:val="en-US" w:eastAsia="zh-CN"/>
                    </w:rPr>
                    <w:t>，检验过程产生的不合格产品，原辅料拆包、产品包装产生的</w:t>
                  </w:r>
                  <w:r>
                    <w:rPr>
                      <w:rFonts w:hint="default" w:ascii="Times New Roman" w:hAnsi="Times New Roman" w:eastAsia="宋体" w:cs="Times New Roman"/>
                      <w:b w:val="0"/>
                      <w:bCs w:val="0"/>
                      <w:color w:val="auto"/>
                      <w:sz w:val="21"/>
                      <w:szCs w:val="21"/>
                      <w:highlight w:val="none"/>
                    </w:rPr>
                    <w:t>废包装材料</w:t>
                  </w:r>
                  <w:r>
                    <w:rPr>
                      <w:rFonts w:hint="default" w:ascii="Times New Roman" w:hAnsi="Times New Roman" w:eastAsia="宋体" w:cs="Times New Roman"/>
                      <w:b w:val="0"/>
                      <w:bCs w:val="0"/>
                      <w:color w:val="auto"/>
                      <w:kern w:val="2"/>
                      <w:sz w:val="21"/>
                      <w:szCs w:val="21"/>
                      <w:highlight w:val="none"/>
                      <w:lang w:val="en-US" w:eastAsia="zh-CN" w:bidi="ar"/>
                    </w:rPr>
                    <w:t>统一收集后暂存于一般固体废物暂</w:t>
                  </w:r>
                  <w:r>
                    <w:rPr>
                      <w:rFonts w:hint="default" w:ascii="Times New Roman" w:hAnsi="Times New Roman" w:eastAsia="宋体" w:cs="Times New Roman"/>
                      <w:b w:val="0"/>
                      <w:bCs w:val="0"/>
                      <w:color w:val="auto"/>
                      <w:sz w:val="21"/>
                      <w:szCs w:val="21"/>
                      <w:highlight w:val="none"/>
                      <w:lang w:val="en-US" w:eastAsia="zh-CN"/>
                    </w:rPr>
                    <w:t>存处，定期外售给废品收购站；</w:t>
                  </w:r>
                  <w:r>
                    <w:rPr>
                      <w:rFonts w:hint="eastAsia" w:cs="Times New Roman"/>
                      <w:b w:val="0"/>
                      <w:bCs w:val="0"/>
                      <w:color w:val="auto"/>
                      <w:sz w:val="21"/>
                      <w:szCs w:val="21"/>
                      <w:highlight w:val="none"/>
                      <w:lang w:val="en-US" w:eastAsia="zh-CN"/>
                    </w:rPr>
                    <w:t>除尘器回收的</w:t>
                  </w:r>
                  <w:r>
                    <w:rPr>
                      <w:rFonts w:hint="default" w:ascii="Times New Roman" w:hAnsi="Times New Roman" w:eastAsia="宋体" w:cs="Times New Roman"/>
                      <w:b w:val="0"/>
                      <w:bCs w:val="0"/>
                      <w:color w:val="auto"/>
                      <w:sz w:val="21"/>
                      <w:szCs w:val="21"/>
                      <w:highlight w:val="none"/>
                      <w:lang w:val="en-US" w:eastAsia="zh-CN"/>
                    </w:rPr>
                    <w:t>粉尘</w:t>
                  </w:r>
                  <w:r>
                    <w:rPr>
                      <w:rFonts w:hint="default" w:ascii="Times New Roman" w:hAnsi="Times New Roman" w:eastAsia="宋体" w:cs="Times New Roman"/>
                      <w:b w:val="0"/>
                      <w:bCs w:val="0"/>
                      <w:color w:val="auto"/>
                      <w:sz w:val="21"/>
                      <w:szCs w:val="21"/>
                      <w:highlight w:val="none"/>
                      <w:lang w:val="zh-CN"/>
                    </w:rPr>
                    <w:t>统一收集后返回生产线再利用；</w:t>
                  </w:r>
                  <w:r>
                    <w:rPr>
                      <w:rFonts w:hint="default" w:ascii="Times New Roman" w:hAnsi="Times New Roman" w:eastAsia="宋体" w:cs="Times New Roman"/>
                      <w:b w:val="0"/>
                      <w:bCs w:val="0"/>
                      <w:color w:val="auto"/>
                      <w:sz w:val="21"/>
                      <w:szCs w:val="21"/>
                      <w:highlight w:val="none"/>
                    </w:rPr>
                    <w:t>生活垃圾</w:t>
                  </w:r>
                  <w:r>
                    <w:rPr>
                      <w:rFonts w:hint="default" w:ascii="Times New Roman" w:hAnsi="Times New Roman" w:eastAsia="宋体" w:cs="Times New Roman"/>
                      <w:b w:val="0"/>
                      <w:bCs w:val="0"/>
                      <w:color w:val="auto"/>
                      <w:sz w:val="21"/>
                      <w:szCs w:val="21"/>
                      <w:highlight w:val="none"/>
                      <w:lang w:eastAsia="zh-CN"/>
                    </w:rPr>
                    <w:t>统一</w:t>
                  </w:r>
                  <w:r>
                    <w:rPr>
                      <w:rFonts w:hint="default" w:ascii="Times New Roman" w:hAnsi="Times New Roman" w:eastAsia="宋体" w:cs="Times New Roman"/>
                      <w:b w:val="0"/>
                      <w:bCs w:val="0"/>
                      <w:color w:val="auto"/>
                      <w:sz w:val="21"/>
                      <w:szCs w:val="21"/>
                      <w:highlight w:val="none"/>
                    </w:rPr>
                    <w:t>收集后</w:t>
                  </w:r>
                  <w:r>
                    <w:rPr>
                      <w:rFonts w:hint="default" w:ascii="Times New Roman" w:hAnsi="Times New Roman" w:eastAsia="宋体" w:cs="Times New Roman"/>
                      <w:b w:val="0"/>
                      <w:bCs w:val="0"/>
                      <w:color w:val="auto"/>
                      <w:sz w:val="21"/>
                      <w:szCs w:val="21"/>
                      <w:highlight w:val="none"/>
                      <w:lang w:eastAsia="zh-CN"/>
                    </w:rPr>
                    <w:t>由当地</w:t>
                  </w:r>
                  <w:r>
                    <w:rPr>
                      <w:rFonts w:hint="default" w:ascii="Times New Roman" w:hAnsi="Times New Roman" w:eastAsia="宋体" w:cs="Times New Roman"/>
                      <w:b w:val="0"/>
                      <w:bCs w:val="0"/>
                      <w:color w:val="auto"/>
                      <w:sz w:val="21"/>
                      <w:szCs w:val="21"/>
                      <w:highlight w:val="none"/>
                    </w:rPr>
                    <w:t>环卫部门</w:t>
                  </w:r>
                  <w:r>
                    <w:rPr>
                      <w:rFonts w:hint="default" w:ascii="Times New Roman" w:hAnsi="Times New Roman" w:eastAsia="宋体" w:cs="Times New Roman"/>
                      <w:b w:val="0"/>
                      <w:bCs w:val="0"/>
                      <w:color w:val="auto"/>
                      <w:sz w:val="21"/>
                      <w:szCs w:val="21"/>
                      <w:highlight w:val="none"/>
                      <w:lang w:eastAsia="zh-CN"/>
                    </w:rPr>
                    <w:t>定期</w:t>
                  </w:r>
                  <w:r>
                    <w:rPr>
                      <w:rFonts w:hint="default" w:ascii="Times New Roman" w:hAnsi="Times New Roman" w:eastAsia="宋体" w:cs="Times New Roman"/>
                      <w:b w:val="0"/>
                      <w:bCs w:val="0"/>
                      <w:color w:val="auto"/>
                      <w:sz w:val="21"/>
                      <w:szCs w:val="21"/>
                      <w:highlight w:val="none"/>
                    </w:rPr>
                    <w:t>清运</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处置</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食堂餐厨垃圾通过加盖塑料桶收集后</w:t>
                  </w:r>
                  <w:r>
                    <w:rPr>
                      <w:rFonts w:hint="default" w:ascii="Times New Roman" w:hAnsi="Times New Roman" w:eastAsia="宋体" w:cs="Times New Roman"/>
                      <w:b w:val="0"/>
                      <w:bCs w:val="0"/>
                      <w:color w:val="auto"/>
                      <w:sz w:val="21"/>
                      <w:szCs w:val="21"/>
                      <w:highlight w:val="none"/>
                      <w:lang w:eastAsia="zh-CN"/>
                    </w:rPr>
                    <w:t>由有资质的单位定期清运、处置；</w:t>
                  </w:r>
                  <w:r>
                    <w:rPr>
                      <w:rFonts w:hint="default" w:ascii="Times New Roman" w:hAnsi="Times New Roman" w:eastAsia="宋体" w:cs="Times New Roman"/>
                      <w:color w:val="auto"/>
                      <w:sz w:val="21"/>
                      <w:szCs w:val="21"/>
                      <w:highlight w:val="none"/>
                    </w:rPr>
                    <w:t>废活性炭</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废矿物油、</w:t>
                  </w:r>
                  <w:r>
                    <w:rPr>
                      <w:rFonts w:hint="default" w:ascii="Times New Roman" w:hAnsi="Times New Roman" w:eastAsia="宋体" w:cs="Times New Roman"/>
                      <w:color w:val="auto"/>
                      <w:sz w:val="21"/>
                      <w:szCs w:val="21"/>
                      <w:highlight w:val="none"/>
                    </w:rPr>
                    <w:t>废弃的含油抹布、劳保用品收集暂存于危废暂存间后，委托资质单位</w:t>
                  </w:r>
                  <w:r>
                    <w:rPr>
                      <w:rFonts w:hint="default" w:ascii="Times New Roman" w:hAnsi="Times New Roman" w:eastAsia="宋体" w:cs="Times New Roman"/>
                      <w:color w:val="auto"/>
                      <w:sz w:val="21"/>
                      <w:szCs w:val="21"/>
                      <w:highlight w:val="none"/>
                      <w:lang w:eastAsia="zh-CN"/>
                    </w:rPr>
                    <w:t>清运处置</w:t>
                  </w:r>
                  <w:r>
                    <w:rPr>
                      <w:rFonts w:hint="default" w:ascii="Times New Roman" w:hAnsi="Times New Roman" w:eastAsia="宋体" w:cs="Times New Roman"/>
                      <w:color w:val="auto"/>
                      <w:sz w:val="21"/>
                      <w:szCs w:val="21"/>
                      <w:highlight w:val="none"/>
                    </w:rPr>
                    <w:t>。</w:t>
                  </w:r>
                </w:p>
              </w:tc>
              <w:tc>
                <w:tcPr>
                  <w:tcW w:w="682" w:type="dxa"/>
                  <w:vAlign w:val="center"/>
                </w:tcPr>
                <w:p w14:paraId="3472861A">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bl>
          <w:p w14:paraId="27769C39">
            <w:pPr>
              <w:pStyle w:val="79"/>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szCs w:val="21"/>
                <w:highlight w:val="none"/>
              </w:rPr>
              <w:t>综上，</w:t>
            </w:r>
            <w:r>
              <w:rPr>
                <w:rFonts w:hint="default" w:ascii="Times New Roman" w:hAnsi="Times New Roman" w:eastAsia="宋体" w:cs="Times New Roman"/>
                <w:color w:val="auto"/>
                <w:kern w:val="0"/>
                <w:sz w:val="24"/>
                <w:highlight w:val="none"/>
              </w:rPr>
              <w:t>项目建设与</w:t>
            </w:r>
            <w:r>
              <w:rPr>
                <w:rFonts w:hint="default" w:ascii="Times New Roman" w:hAnsi="Times New Roman" w:eastAsia="宋体" w:cs="Times New Roman"/>
                <w:color w:val="auto"/>
                <w:sz w:val="24"/>
                <w:highlight w:val="none"/>
              </w:rPr>
              <w:t>《挥发性有机物污染防治技术政策》相关要求相符。</w:t>
            </w:r>
          </w:p>
          <w:p w14:paraId="36A0638F">
            <w:pPr>
              <w:pStyle w:val="15"/>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98" w:firstLineChars="200"/>
              <w:textAlignment w:val="auto"/>
              <w:rPr>
                <w:rFonts w:hint="default" w:ascii="Times New Roman" w:hAnsi="Times New Roman" w:eastAsia="宋体" w:cs="Times New Roman"/>
                <w:b/>
                <w:color w:val="auto"/>
                <w:spacing w:val="4"/>
                <w:kern w:val="24"/>
                <w:szCs w:val="21"/>
                <w:highlight w:val="none"/>
                <w:lang w:bidi="ar"/>
              </w:rPr>
            </w:pPr>
            <w:r>
              <w:rPr>
                <w:rFonts w:hint="eastAsia" w:cs="Times New Roman"/>
                <w:b/>
                <w:color w:val="auto"/>
                <w:spacing w:val="4"/>
                <w:kern w:val="24"/>
                <w:sz w:val="24"/>
                <w:highlight w:val="none"/>
                <w:lang w:val="en-US" w:eastAsia="zh-CN" w:bidi="ar"/>
              </w:rPr>
              <w:t>10</w:t>
            </w:r>
            <w:r>
              <w:rPr>
                <w:rFonts w:hint="default" w:ascii="Times New Roman" w:hAnsi="Times New Roman" w:eastAsia="宋体" w:cs="Times New Roman"/>
                <w:b/>
                <w:color w:val="auto"/>
                <w:spacing w:val="4"/>
                <w:kern w:val="24"/>
                <w:sz w:val="24"/>
                <w:highlight w:val="none"/>
                <w:lang w:val="en-US" w:eastAsia="zh-CN" w:bidi="ar"/>
              </w:rPr>
              <w:t>、</w:t>
            </w:r>
            <w:r>
              <w:rPr>
                <w:rFonts w:hint="default" w:ascii="Times New Roman" w:hAnsi="Times New Roman" w:eastAsia="宋体" w:cs="Times New Roman"/>
                <w:b/>
                <w:color w:val="auto"/>
                <w:spacing w:val="4"/>
                <w:kern w:val="24"/>
                <w:sz w:val="24"/>
                <w:highlight w:val="none"/>
                <w:lang w:bidi="ar"/>
              </w:rPr>
              <w:t>与《昆明市大气污染防治条例》相符性分析</w:t>
            </w:r>
          </w:p>
          <w:p w14:paraId="1875942A">
            <w:pPr>
              <w:shd w:val="clear"/>
              <w:jc w:val="center"/>
              <w:rPr>
                <w:rFonts w:hint="default" w:ascii="Times New Roman" w:hAnsi="Times New Roman" w:eastAsia="宋体" w:cs="Times New Roman"/>
                <w:b/>
                <w:color w:val="auto"/>
                <w:spacing w:val="4"/>
                <w:kern w:val="24"/>
                <w:szCs w:val="21"/>
                <w:highlight w:val="none"/>
                <w:lang w:bidi="ar"/>
              </w:rPr>
            </w:pPr>
            <w:r>
              <w:rPr>
                <w:rFonts w:hint="default" w:ascii="Times New Roman" w:hAnsi="Times New Roman" w:eastAsia="宋体" w:cs="Times New Roman"/>
                <w:b/>
                <w:color w:val="auto"/>
                <w:spacing w:val="4"/>
                <w:kern w:val="24"/>
                <w:szCs w:val="21"/>
                <w:highlight w:val="none"/>
                <w:lang w:bidi="ar"/>
              </w:rPr>
              <w:t>表1-</w:t>
            </w:r>
            <w:r>
              <w:rPr>
                <w:rFonts w:hint="default" w:ascii="Times New Roman" w:hAnsi="Times New Roman" w:eastAsia="宋体" w:cs="Times New Roman"/>
                <w:b/>
                <w:color w:val="auto"/>
                <w:spacing w:val="4"/>
                <w:kern w:val="24"/>
                <w:szCs w:val="21"/>
                <w:highlight w:val="none"/>
                <w:lang w:val="en-US" w:eastAsia="zh-CN" w:bidi="ar"/>
              </w:rPr>
              <w:t>1</w:t>
            </w:r>
            <w:r>
              <w:rPr>
                <w:rFonts w:hint="eastAsia" w:cs="Times New Roman"/>
                <w:b/>
                <w:color w:val="auto"/>
                <w:spacing w:val="4"/>
                <w:kern w:val="24"/>
                <w:szCs w:val="21"/>
                <w:highlight w:val="none"/>
                <w:lang w:val="en-US" w:eastAsia="zh-CN" w:bidi="ar"/>
              </w:rPr>
              <w:t>2</w:t>
            </w:r>
            <w:r>
              <w:rPr>
                <w:rFonts w:hint="default" w:ascii="Times New Roman" w:hAnsi="Times New Roman" w:eastAsia="宋体" w:cs="Times New Roman"/>
                <w:b/>
                <w:color w:val="auto"/>
                <w:spacing w:val="4"/>
                <w:kern w:val="24"/>
                <w:szCs w:val="21"/>
                <w:highlight w:val="none"/>
                <w:lang w:bidi="ar"/>
              </w:rPr>
              <w:t xml:space="preserve">  与《昆明市大气污染防治条例》符合性分析</w:t>
            </w:r>
          </w:p>
          <w:tbl>
            <w:tblPr>
              <w:tblStyle w:val="26"/>
              <w:tblW w:w="7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2"/>
              <w:gridCol w:w="1792"/>
              <w:gridCol w:w="949"/>
            </w:tblGrid>
            <w:tr w14:paraId="68EF8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5142" w:type="dxa"/>
                  <w:vAlign w:val="center"/>
                </w:tcPr>
                <w:p w14:paraId="11D93865">
                  <w:pPr>
                    <w:shd w:val="clea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相关要求</w:t>
                  </w:r>
                </w:p>
              </w:tc>
              <w:tc>
                <w:tcPr>
                  <w:tcW w:w="1792" w:type="dxa"/>
                  <w:vAlign w:val="center"/>
                </w:tcPr>
                <w:p w14:paraId="5974F0B3">
                  <w:pPr>
                    <w:shd w:val="clea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项目情况</w:t>
                  </w:r>
                </w:p>
              </w:tc>
              <w:tc>
                <w:tcPr>
                  <w:tcW w:w="949" w:type="dxa"/>
                  <w:vAlign w:val="center"/>
                </w:tcPr>
                <w:p w14:paraId="72ED0DE2">
                  <w:pPr>
                    <w:shd w:val="clea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符合性</w:t>
                  </w:r>
                </w:p>
              </w:tc>
            </w:tr>
            <w:tr w14:paraId="00C2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2" w:type="dxa"/>
                  <w:vAlign w:val="center"/>
                </w:tcPr>
                <w:p w14:paraId="7F7EDC92">
                  <w:pPr>
                    <w:shd w:val="clea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禁止排放超过排放标准或者超过重点大气污染物排放总量控制指标的大气污染物。排放大气污染物的企业事业单位和其他生产经营者应当加强精细化管理，严格按照有关规定，配套建设、使用和维护大气污染防治装备。大气排放污染物的企业事业单位和其他生产经营者，应当按照有关规定设置大气污染物排放口。禁止通过偷排、篡改或者伪造监测数据、以逃避现场检查为目的的临时停产、非紧急情况下开启应急排放通道、擅自拆除或者不正常运行大气污染防治设施等逃避监管的方式排放大气污染物。</w:t>
                  </w:r>
                </w:p>
              </w:tc>
              <w:tc>
                <w:tcPr>
                  <w:tcW w:w="1792" w:type="dxa"/>
                  <w:vMerge w:val="restart"/>
                  <w:vAlign w:val="center"/>
                </w:tcPr>
                <w:p w14:paraId="538CBA8C">
                  <w:pPr>
                    <w:widowControl/>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本项目</w:t>
                  </w:r>
                  <w:r>
                    <w:rPr>
                      <w:rFonts w:hint="eastAsia" w:cs="Times New Roman"/>
                      <w:color w:val="auto"/>
                      <w:sz w:val="21"/>
                      <w:szCs w:val="21"/>
                      <w:highlight w:val="none"/>
                      <w:lang w:val="en-US" w:eastAsia="zh-CN"/>
                    </w:rPr>
                    <w:t>混料、破碎、磨粉</w:t>
                  </w:r>
                  <w:r>
                    <w:rPr>
                      <w:rFonts w:hint="default" w:ascii="Times New Roman" w:hAnsi="Times New Roman" w:eastAsia="宋体" w:cs="Times New Roman"/>
                      <w:color w:val="auto"/>
                      <w:sz w:val="21"/>
                      <w:szCs w:val="21"/>
                      <w:highlight w:val="none"/>
                    </w:rPr>
                    <w:t>粉尘</w:t>
                  </w:r>
                  <w:r>
                    <w:rPr>
                      <w:rFonts w:hint="eastAsia" w:cs="Times New Roman"/>
                      <w:color w:val="auto"/>
                      <w:sz w:val="21"/>
                      <w:szCs w:val="21"/>
                      <w:highlight w:val="none"/>
                      <w:lang w:eastAsia="zh-CN"/>
                    </w:rPr>
                    <w:t>通过</w:t>
                  </w:r>
                  <w:r>
                    <w:rPr>
                      <w:rFonts w:hint="eastAsia" w:cs="Times New Roman"/>
                      <w:color w:val="auto"/>
                      <w:sz w:val="21"/>
                      <w:szCs w:val="21"/>
                      <w:highlight w:val="none"/>
                      <w:lang w:val="en-US" w:eastAsia="zh-CN"/>
                    </w:rPr>
                    <w:t>14布袋</w:t>
                  </w:r>
                  <w:r>
                    <w:rPr>
                      <w:rFonts w:hint="default" w:ascii="Times New Roman" w:hAnsi="Times New Roman" w:eastAsia="宋体" w:cs="Times New Roman"/>
                      <w:color w:val="auto"/>
                      <w:sz w:val="21"/>
                      <w:szCs w:val="21"/>
                      <w:highlight w:val="none"/>
                    </w:rPr>
                    <w:t>滤筒除尘器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处理</w:t>
                  </w:r>
                  <w:r>
                    <w:rPr>
                      <w:rFonts w:hint="default" w:ascii="Times New Roman" w:hAnsi="Times New Roman" w:eastAsia="宋体" w:cs="Times New Roman"/>
                      <w:color w:val="auto"/>
                      <w:sz w:val="21"/>
                      <w:szCs w:val="21"/>
                      <w:highlight w:val="none"/>
                      <w:lang w:val="en-US" w:eastAsia="zh-CN"/>
                    </w:rPr>
                    <w:t>达标</w:t>
                  </w:r>
                  <w:r>
                    <w:rPr>
                      <w:rFonts w:hint="default" w:ascii="Times New Roman" w:hAnsi="Times New Roman" w:eastAsia="宋体" w:cs="Times New Roman"/>
                      <w:color w:val="auto"/>
                      <w:sz w:val="21"/>
                      <w:szCs w:val="21"/>
                      <w:highlight w:val="none"/>
                      <w:lang w:eastAsia="zh-CN"/>
                    </w:rPr>
                    <w:t>后</w:t>
                  </w:r>
                  <w:r>
                    <w:rPr>
                      <w:rFonts w:hint="default" w:ascii="Times New Roman" w:hAnsi="Times New Roman" w:eastAsia="宋体" w:cs="Times New Roman"/>
                      <w:color w:val="auto"/>
                      <w:sz w:val="21"/>
                      <w:szCs w:val="21"/>
                      <w:highlight w:val="none"/>
                      <w:lang w:val="en-US" w:eastAsia="zh-CN"/>
                    </w:rPr>
                    <w:t>由1根15m高的排气筒（DA001）排放；</w:t>
                  </w:r>
                  <w:r>
                    <w:rPr>
                      <w:rFonts w:hint="eastAsia" w:cs="Times New Roman"/>
                      <w:color w:val="auto"/>
                      <w:sz w:val="21"/>
                      <w:szCs w:val="21"/>
                      <w:highlight w:val="none"/>
                      <w:lang w:val="en-US" w:eastAsia="zh-CN"/>
                    </w:rPr>
                    <w:t>挤出、覆膜</w:t>
                  </w:r>
                  <w:r>
                    <w:rPr>
                      <w:rFonts w:hint="default" w:ascii="Times New Roman" w:hAnsi="Times New Roman" w:eastAsia="宋体" w:cs="Times New Roman"/>
                      <w:color w:val="auto"/>
                      <w:sz w:val="21"/>
                      <w:szCs w:val="21"/>
                      <w:highlight w:val="none"/>
                      <w:lang w:val="en-US" w:eastAsia="zh-CN"/>
                    </w:rPr>
                    <w:t>有机</w:t>
                  </w:r>
                  <w:r>
                    <w:rPr>
                      <w:rFonts w:hint="default" w:ascii="Times New Roman" w:hAnsi="Times New Roman" w:eastAsia="宋体" w:cs="Times New Roman"/>
                      <w:color w:val="auto"/>
                      <w:sz w:val="21"/>
                      <w:szCs w:val="21"/>
                      <w:highlight w:val="none"/>
                    </w:rPr>
                    <w:t>废气</w:t>
                  </w:r>
                  <w:r>
                    <w:rPr>
                      <w:rFonts w:hint="eastAsia" w:cs="Times New Roman"/>
                      <w:color w:val="auto"/>
                      <w:sz w:val="21"/>
                      <w:szCs w:val="21"/>
                      <w:highlight w:val="none"/>
                      <w:lang w:eastAsia="zh-CN"/>
                    </w:rPr>
                    <w:t>通过</w:t>
                  </w: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个</w:t>
                  </w:r>
                  <w:r>
                    <w:rPr>
                      <w:rFonts w:hint="default" w:ascii="Times New Roman" w:hAnsi="Times New Roman" w:eastAsia="宋体" w:cs="Times New Roman"/>
                      <w:color w:val="auto"/>
                      <w:sz w:val="21"/>
                      <w:szCs w:val="21"/>
                      <w:highlight w:val="none"/>
                      <w:lang w:eastAsia="zh-CN"/>
                    </w:rPr>
                    <w:t>集气罩</w:t>
                  </w:r>
                  <w:r>
                    <w:rPr>
                      <w:rFonts w:hint="eastAsia" w:cs="Times New Roman"/>
                      <w:color w:val="auto"/>
                      <w:sz w:val="21"/>
                      <w:szCs w:val="21"/>
                      <w:highlight w:val="none"/>
                      <w:lang w:eastAsia="zh-CN"/>
                    </w:rPr>
                    <w:t>收集后经“一套</w:t>
                  </w:r>
                  <w:r>
                    <w:rPr>
                      <w:rFonts w:hint="default" w:ascii="Times New Roman" w:hAnsi="Times New Roman" w:eastAsia="宋体" w:cs="Times New Roman"/>
                      <w:color w:val="auto"/>
                      <w:sz w:val="21"/>
                      <w:szCs w:val="21"/>
                      <w:highlight w:val="none"/>
                      <w:lang w:val="en-US" w:eastAsia="zh-CN"/>
                    </w:rPr>
                    <w:t>三级</w:t>
                  </w:r>
                  <w:r>
                    <w:rPr>
                      <w:rFonts w:hint="default" w:ascii="Times New Roman" w:hAnsi="Times New Roman" w:eastAsia="宋体" w:cs="Times New Roman"/>
                      <w:color w:val="auto"/>
                      <w:sz w:val="21"/>
                      <w:szCs w:val="21"/>
                      <w:highlight w:val="none"/>
                      <w:lang w:eastAsia="zh-CN"/>
                    </w:rPr>
                    <w:t>活性炭吸附装置</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处理</w:t>
                  </w:r>
                  <w:r>
                    <w:rPr>
                      <w:rFonts w:hint="default" w:ascii="Times New Roman" w:hAnsi="Times New Roman" w:eastAsia="宋体" w:cs="Times New Roman"/>
                      <w:color w:val="auto"/>
                      <w:sz w:val="21"/>
                      <w:szCs w:val="21"/>
                      <w:highlight w:val="none"/>
                      <w:lang w:val="en-US" w:eastAsia="zh-CN"/>
                    </w:rPr>
                    <w:t>达标</w:t>
                  </w:r>
                  <w:r>
                    <w:rPr>
                      <w:rFonts w:hint="default" w:ascii="Times New Roman" w:hAnsi="Times New Roman" w:eastAsia="宋体" w:cs="Times New Roman"/>
                      <w:color w:val="auto"/>
                      <w:sz w:val="21"/>
                      <w:szCs w:val="21"/>
                      <w:highlight w:val="none"/>
                    </w:rPr>
                    <w:t>后由</w:t>
                  </w:r>
                  <w:r>
                    <w:rPr>
                      <w:rFonts w:hint="default" w:ascii="Times New Roman" w:hAnsi="Times New Roman" w:eastAsia="宋体" w:cs="Times New Roman"/>
                      <w:color w:val="auto"/>
                      <w:sz w:val="21"/>
                      <w:szCs w:val="21"/>
                      <w:highlight w:val="none"/>
                      <w:lang w:val="en-US" w:eastAsia="zh-CN"/>
                    </w:rPr>
                    <w:t>1根15m高的</w:t>
                  </w:r>
                  <w:r>
                    <w:rPr>
                      <w:rFonts w:hint="default" w:ascii="Times New Roman" w:hAnsi="Times New Roman" w:eastAsia="宋体" w:cs="Times New Roman"/>
                      <w:color w:val="auto"/>
                      <w:sz w:val="21"/>
                      <w:szCs w:val="21"/>
                      <w:highlight w:val="none"/>
                    </w:rPr>
                    <w:t>排气筒</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排放</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本项目废气均设置合理的处置措施处理后达标排放，不存在偷排</w:t>
                  </w:r>
                  <w:r>
                    <w:rPr>
                      <w:rFonts w:hint="default" w:ascii="Times New Roman" w:hAnsi="Times New Roman" w:eastAsia="宋体" w:cs="Times New Roman"/>
                      <w:snapToGrid w:val="0"/>
                      <w:color w:val="auto"/>
                      <w:kern w:val="0"/>
                      <w:sz w:val="21"/>
                      <w:szCs w:val="21"/>
                      <w:highlight w:val="none"/>
                    </w:rPr>
                    <w:t>。</w:t>
                  </w:r>
                </w:p>
              </w:tc>
              <w:tc>
                <w:tcPr>
                  <w:tcW w:w="949" w:type="dxa"/>
                  <w:vAlign w:val="center"/>
                </w:tcPr>
                <w:p w14:paraId="38640737">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符合</w:t>
                  </w:r>
                </w:p>
              </w:tc>
            </w:tr>
            <w:tr w14:paraId="0638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2" w:type="dxa"/>
                  <w:vAlign w:val="center"/>
                </w:tcPr>
                <w:p w14:paraId="6A3D6FDD">
                  <w:pPr>
                    <w:shd w:val="clea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下列产生含挥发性有机物废气的生产和服务活动，应当在密闭空间或者设备中进行，并按照规定安装、使用污染防治设施；无法密闭的，应当采取高效处理措施减少废气排放：（一）石油炼制及有机化学品、合成树脂、合成纤维、合成橡胶等行业；（二）制药、农药、涂料、油墨、胶粘剂、橡胶和塑料加工等行业；（三）汽车、家具、集装箱、电子产品、工程机械等行业；（四）塑料软包装印刷、印铁制罐等行业；（五）其他产生挥发性有机物的生产和服务活动。</w:t>
                  </w:r>
                </w:p>
              </w:tc>
              <w:tc>
                <w:tcPr>
                  <w:tcW w:w="1792" w:type="dxa"/>
                  <w:vMerge w:val="continue"/>
                  <w:vAlign w:val="center"/>
                </w:tcPr>
                <w:p w14:paraId="698D9C4D">
                  <w:pPr>
                    <w:widowControl/>
                    <w:shd w:val="clear"/>
                    <w:jc w:val="center"/>
                    <w:rPr>
                      <w:rFonts w:hint="default" w:ascii="Times New Roman" w:hAnsi="Times New Roman" w:eastAsia="宋体" w:cs="Times New Roman"/>
                      <w:color w:val="auto"/>
                      <w:sz w:val="21"/>
                      <w:szCs w:val="21"/>
                      <w:highlight w:val="none"/>
                    </w:rPr>
                  </w:pPr>
                </w:p>
              </w:tc>
              <w:tc>
                <w:tcPr>
                  <w:tcW w:w="949" w:type="dxa"/>
                  <w:vAlign w:val="center"/>
                </w:tcPr>
                <w:p w14:paraId="2CB79F67">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符合</w:t>
                  </w:r>
                </w:p>
              </w:tc>
            </w:tr>
            <w:tr w14:paraId="028C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2" w:type="dxa"/>
                  <w:vAlign w:val="center"/>
                </w:tcPr>
                <w:p w14:paraId="04E134C1">
                  <w:pPr>
                    <w:shd w:val="clea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产、进口、销售和使用含挥发性有机物原材料和产品的，其挥发性有机物含量应当符合质量标准或者要求。工业涂装企业应当使用低挥发性有机物含量的涂料，并建立台账，记录生产原料、辅料的使用量、废弃量、去向以及挥发性有机物含量。台账保存期限不得少于3年。</w:t>
                  </w:r>
                </w:p>
              </w:tc>
              <w:tc>
                <w:tcPr>
                  <w:tcW w:w="1792" w:type="dxa"/>
                  <w:vAlign w:val="center"/>
                </w:tcPr>
                <w:p w14:paraId="65988059">
                  <w:pPr>
                    <w:widowControl/>
                    <w:shd w:val="clea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w:t>
                  </w:r>
                  <w:r>
                    <w:rPr>
                      <w:rFonts w:hint="default" w:ascii="Times New Roman" w:hAnsi="Times New Roman" w:eastAsia="宋体" w:cs="Times New Roman"/>
                      <w:color w:val="auto"/>
                      <w:highlight w:val="none"/>
                      <w:lang w:val="en-US" w:eastAsia="zh-CN"/>
                    </w:rPr>
                    <w:t>生产的产品</w:t>
                  </w:r>
                  <w:r>
                    <w:rPr>
                      <w:rFonts w:hint="default" w:ascii="Times New Roman" w:hAnsi="Times New Roman" w:eastAsia="宋体" w:cs="Times New Roman"/>
                      <w:color w:val="auto"/>
                      <w:highlight w:val="none"/>
                    </w:rPr>
                    <w:t>含挥发性有机物，挥发性有机物含量均符合质量标准要求。</w:t>
                  </w:r>
                </w:p>
              </w:tc>
              <w:tc>
                <w:tcPr>
                  <w:tcW w:w="949" w:type="dxa"/>
                  <w:vAlign w:val="center"/>
                </w:tcPr>
                <w:p w14:paraId="54C39F5C">
                  <w:pPr>
                    <w:shd w:val="clear"/>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符合</w:t>
                  </w:r>
                </w:p>
              </w:tc>
            </w:tr>
          </w:tbl>
          <w:p w14:paraId="696F3830">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96"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Cs/>
                <w:color w:val="auto"/>
                <w:spacing w:val="4"/>
                <w:kern w:val="24"/>
                <w:sz w:val="24"/>
                <w:szCs w:val="24"/>
                <w:highlight w:val="none"/>
                <w:lang w:bidi="ar"/>
              </w:rPr>
              <w:t>综上，</w:t>
            </w:r>
            <w:r>
              <w:rPr>
                <w:rFonts w:hint="default" w:ascii="Times New Roman" w:hAnsi="Times New Roman" w:eastAsia="宋体" w:cs="Times New Roman"/>
                <w:color w:val="auto"/>
                <w:kern w:val="0"/>
                <w:sz w:val="24"/>
                <w:highlight w:val="none"/>
              </w:rPr>
              <w:t>项目符合</w:t>
            </w:r>
            <w:r>
              <w:rPr>
                <w:rFonts w:hint="default" w:ascii="Times New Roman" w:hAnsi="Times New Roman" w:eastAsia="宋体" w:cs="Times New Roman"/>
                <w:color w:val="auto"/>
                <w:sz w:val="24"/>
                <w:highlight w:val="none"/>
              </w:rPr>
              <w:t>《昆明市大气污染防治条例》要求。</w:t>
            </w:r>
          </w:p>
          <w:p w14:paraId="5B23EEDB">
            <w:pPr>
              <w:adjustRightInd w:val="0"/>
              <w:snapToGrid w:val="0"/>
              <w:spacing w:line="360" w:lineRule="auto"/>
              <w:ind w:firstLine="482" w:firstLineChars="200"/>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1</w:t>
            </w:r>
            <w:r>
              <w:rPr>
                <w:rFonts w:hint="eastAsia" w:cs="Times New Roman"/>
                <w:b/>
                <w:bCs/>
                <w:color w:val="auto"/>
                <w:kern w:val="0"/>
                <w:sz w:val="24"/>
                <w:lang w:val="en-US" w:eastAsia="zh-CN"/>
              </w:rPr>
              <w:t>1</w:t>
            </w:r>
            <w:r>
              <w:rPr>
                <w:rFonts w:hint="default" w:ascii="Times New Roman" w:hAnsi="Times New Roman" w:eastAsia="宋体" w:cs="Times New Roman"/>
                <w:b/>
                <w:bCs/>
                <w:color w:val="auto"/>
                <w:kern w:val="0"/>
                <w:sz w:val="24"/>
              </w:rPr>
              <w:t>、与《云南省进一步加强塑料污染治理的实施方案》的符合性分析</w:t>
            </w:r>
          </w:p>
          <w:p w14:paraId="0097F57A">
            <w:pPr>
              <w:pStyle w:val="6"/>
              <w:spacing w:before="0" w:after="0" w:line="360" w:lineRule="auto"/>
              <w:ind w:right="0" w:firstLine="480" w:firstLineChars="200"/>
              <w:rPr>
                <w:rFonts w:hint="default" w:ascii="Times New Roman" w:hAnsi="Times New Roman" w:eastAsia="宋体" w:cs="Times New Roman"/>
                <w:b/>
                <w:color w:val="auto"/>
                <w:spacing w:val="4"/>
                <w:kern w:val="24"/>
                <w:szCs w:val="21"/>
                <w:highlight w:val="none"/>
                <w:lang w:bidi="ar"/>
              </w:rPr>
            </w:pPr>
            <w:r>
              <w:rPr>
                <w:rFonts w:hint="default" w:ascii="Times New Roman" w:hAnsi="Times New Roman" w:eastAsia="宋体" w:cs="Times New Roman"/>
                <w:color w:val="auto"/>
                <w:sz w:val="24"/>
                <w:szCs w:val="24"/>
              </w:rPr>
              <w:t>本项目与《云南省进一步加强塑料污染治理的实施方案》的符合性分析如下表所示</w:t>
            </w:r>
            <w:r>
              <w:rPr>
                <w:rFonts w:hint="default" w:ascii="Times New Roman" w:hAnsi="Times New Roman" w:eastAsia="宋体" w:cs="Times New Roman"/>
                <w:color w:val="auto"/>
                <w:sz w:val="24"/>
                <w:szCs w:val="24"/>
                <w:lang w:eastAsia="zh-CN"/>
              </w:rPr>
              <w:t>。</w:t>
            </w:r>
          </w:p>
          <w:p w14:paraId="3256D69A">
            <w:pPr>
              <w:jc w:val="center"/>
              <w:rPr>
                <w:rFonts w:hint="default" w:ascii="Times New Roman" w:hAnsi="Times New Roman" w:eastAsia="宋体" w:cs="Times New Roman"/>
                <w:b/>
                <w:color w:val="auto"/>
                <w:spacing w:val="4"/>
                <w:kern w:val="24"/>
                <w:szCs w:val="21"/>
                <w:highlight w:val="none"/>
                <w:lang w:bidi="ar"/>
              </w:rPr>
            </w:pPr>
          </w:p>
          <w:p w14:paraId="59B90ECB">
            <w:pPr>
              <w:jc w:val="center"/>
              <w:rPr>
                <w:rFonts w:hint="default" w:ascii="Times New Roman" w:hAnsi="Times New Roman" w:eastAsia="宋体" w:cs="Times New Roman"/>
                <w:b/>
                <w:color w:val="auto"/>
                <w:spacing w:val="4"/>
                <w:kern w:val="24"/>
                <w:szCs w:val="21"/>
                <w:highlight w:val="none"/>
                <w:lang w:bidi="ar"/>
              </w:rPr>
            </w:pPr>
          </w:p>
          <w:p w14:paraId="6F2974FD">
            <w:pPr>
              <w:jc w:val="center"/>
              <w:rPr>
                <w:rFonts w:hint="default" w:ascii="Times New Roman" w:hAnsi="Times New Roman" w:eastAsia="宋体" w:cs="Times New Roman"/>
                <w:b/>
                <w:color w:val="auto"/>
                <w:spacing w:val="4"/>
                <w:kern w:val="24"/>
                <w:szCs w:val="21"/>
                <w:highlight w:val="none"/>
                <w:lang w:bidi="ar"/>
              </w:rPr>
            </w:pPr>
          </w:p>
          <w:p w14:paraId="3AB23E48">
            <w:pPr>
              <w:jc w:val="center"/>
              <w:rPr>
                <w:rFonts w:hint="default" w:ascii="Times New Roman" w:hAnsi="Times New Roman" w:eastAsia="宋体" w:cs="Times New Roman"/>
                <w:b/>
                <w:color w:val="auto"/>
                <w:spacing w:val="4"/>
                <w:kern w:val="24"/>
                <w:szCs w:val="21"/>
                <w:highlight w:val="none"/>
                <w:lang w:bidi="ar"/>
              </w:rPr>
            </w:pPr>
            <w:r>
              <w:rPr>
                <w:rFonts w:hint="default" w:ascii="Times New Roman" w:hAnsi="Times New Roman" w:eastAsia="宋体" w:cs="Times New Roman"/>
                <w:b/>
                <w:color w:val="auto"/>
                <w:spacing w:val="4"/>
                <w:kern w:val="24"/>
                <w:szCs w:val="21"/>
                <w:highlight w:val="none"/>
                <w:lang w:bidi="ar"/>
              </w:rPr>
              <w:t>表1-</w:t>
            </w:r>
            <w:r>
              <w:rPr>
                <w:rFonts w:hint="default" w:ascii="Times New Roman" w:hAnsi="Times New Roman" w:eastAsia="宋体" w:cs="Times New Roman"/>
                <w:b/>
                <w:color w:val="auto"/>
                <w:spacing w:val="4"/>
                <w:kern w:val="24"/>
                <w:szCs w:val="21"/>
                <w:highlight w:val="none"/>
                <w:lang w:val="en-US" w:eastAsia="zh-CN" w:bidi="ar"/>
              </w:rPr>
              <w:t>1</w:t>
            </w:r>
            <w:r>
              <w:rPr>
                <w:rFonts w:hint="eastAsia" w:cs="Times New Roman"/>
                <w:b/>
                <w:color w:val="auto"/>
                <w:spacing w:val="4"/>
                <w:kern w:val="24"/>
                <w:szCs w:val="21"/>
                <w:highlight w:val="none"/>
                <w:lang w:val="en-US" w:eastAsia="zh-CN" w:bidi="ar"/>
              </w:rPr>
              <w:t>3</w:t>
            </w:r>
            <w:r>
              <w:rPr>
                <w:rFonts w:hint="default" w:ascii="Times New Roman" w:hAnsi="Times New Roman" w:eastAsia="宋体" w:cs="Times New Roman"/>
                <w:b/>
                <w:color w:val="auto"/>
                <w:spacing w:val="4"/>
                <w:kern w:val="24"/>
                <w:szCs w:val="21"/>
                <w:highlight w:val="none"/>
                <w:lang w:val="en-US" w:eastAsia="zh-CN" w:bidi="ar"/>
              </w:rPr>
              <w:t xml:space="preserve"> </w:t>
            </w:r>
            <w:r>
              <w:rPr>
                <w:rFonts w:hint="default" w:ascii="Times New Roman" w:hAnsi="Times New Roman" w:eastAsia="宋体" w:cs="Times New Roman"/>
                <w:b/>
                <w:color w:val="auto"/>
                <w:spacing w:val="4"/>
                <w:kern w:val="24"/>
                <w:szCs w:val="21"/>
                <w:highlight w:val="none"/>
                <w:lang w:bidi="ar"/>
              </w:rPr>
              <w:t xml:space="preserve"> </w:t>
            </w:r>
            <w:r>
              <w:rPr>
                <w:rFonts w:hint="default" w:ascii="Times New Roman" w:hAnsi="Times New Roman" w:eastAsia="宋体" w:cs="Times New Roman"/>
                <w:b/>
                <w:color w:val="auto"/>
                <w:spacing w:val="4"/>
                <w:kern w:val="24"/>
                <w:szCs w:val="21"/>
                <w:highlight w:val="none"/>
                <w:lang w:val="en-US" w:eastAsia="zh-CN" w:bidi="ar"/>
              </w:rPr>
              <w:t>本项目</w:t>
            </w:r>
            <w:r>
              <w:rPr>
                <w:rFonts w:hint="default" w:ascii="Times New Roman" w:hAnsi="Times New Roman" w:eastAsia="宋体" w:cs="Times New Roman"/>
                <w:b/>
                <w:color w:val="auto"/>
                <w:spacing w:val="4"/>
                <w:kern w:val="24"/>
                <w:szCs w:val="21"/>
                <w:highlight w:val="none"/>
                <w:lang w:bidi="ar"/>
              </w:rPr>
              <w:t>与</w:t>
            </w:r>
            <w:r>
              <w:rPr>
                <w:rFonts w:hint="default" w:ascii="Times New Roman" w:hAnsi="Times New Roman" w:eastAsia="宋体" w:cs="Times New Roman"/>
                <w:b/>
                <w:bCs w:val="0"/>
                <w:color w:val="auto"/>
                <w:spacing w:val="4"/>
                <w:kern w:val="24"/>
                <w:sz w:val="21"/>
                <w:szCs w:val="21"/>
                <w:highlight w:val="none"/>
                <w:lang w:bidi="ar"/>
              </w:rPr>
              <w:t>《云南省进一步加强塑料污染治理的实施方案》</w:t>
            </w:r>
            <w:r>
              <w:rPr>
                <w:rFonts w:hint="default" w:ascii="Times New Roman" w:hAnsi="Times New Roman" w:eastAsia="宋体" w:cs="Times New Roman"/>
                <w:b/>
                <w:color w:val="auto"/>
                <w:spacing w:val="4"/>
                <w:kern w:val="24"/>
                <w:szCs w:val="21"/>
                <w:highlight w:val="none"/>
                <w:lang w:bidi="ar"/>
              </w:rPr>
              <w:t>符合性分析</w:t>
            </w:r>
          </w:p>
          <w:tbl>
            <w:tblPr>
              <w:tblStyle w:val="26"/>
              <w:tblW w:w="7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89"/>
              <w:gridCol w:w="1524"/>
              <w:gridCol w:w="427"/>
            </w:tblGrid>
            <w:tr w14:paraId="6B0AB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89" w:type="dxa"/>
                  <w:vAlign w:val="center"/>
                </w:tcPr>
                <w:p w14:paraId="1C12C28F">
                  <w:pPr>
                    <w:snapToGrid w:val="0"/>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《云南省进一步加强塑料污染治理的实施方案》</w:t>
                  </w:r>
                </w:p>
              </w:tc>
              <w:tc>
                <w:tcPr>
                  <w:tcW w:w="1524" w:type="dxa"/>
                  <w:vAlign w:val="center"/>
                </w:tcPr>
                <w:p w14:paraId="42334E2D">
                  <w:pPr>
                    <w:snapToGrid w:val="0"/>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项目情况</w:t>
                  </w:r>
                </w:p>
              </w:tc>
              <w:tc>
                <w:tcPr>
                  <w:tcW w:w="427" w:type="dxa"/>
                  <w:vAlign w:val="center"/>
                </w:tcPr>
                <w:p w14:paraId="0D6BA090">
                  <w:pPr>
                    <w:snapToGrid w:val="0"/>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符合性</w:t>
                  </w:r>
                </w:p>
              </w:tc>
            </w:tr>
            <w:tr w14:paraId="51044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89" w:type="dxa"/>
                  <w:vAlign w:val="center"/>
                </w:tcPr>
                <w:p w14:paraId="6085F972">
                  <w:pPr>
                    <w:snapToGrid w:val="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三)禁止生产、销售的塑料制品。全省范围内禁止生产和销售厚度小于0.025毫米的超薄塑料购物袋、厚度小于0.01毫米的聚乙烯农用地膜。禁止以医疗废物为原料制造塑料制品。全面禁止废塑料进口。到2020年底，禁止生产和销售一次性发泡塑料餐具、一次性塑料棉签；禁止生产含塑料微珠的日化产品。到2022年底，禁止销售含塑料微珠的日化产品。</w:t>
                  </w:r>
                </w:p>
              </w:tc>
              <w:tc>
                <w:tcPr>
                  <w:tcW w:w="1524" w:type="dxa"/>
                  <w:vAlign w:val="center"/>
                </w:tcPr>
                <w:p w14:paraId="0DB26764">
                  <w:pPr>
                    <w:widowControl/>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val="en-US" w:eastAsia="zh-CN"/>
                    </w:rPr>
                    <w:t>不涉及塑料薄膜的生产，</w:t>
                  </w:r>
                  <w:r>
                    <w:rPr>
                      <w:rFonts w:hint="default" w:ascii="Times New Roman" w:hAnsi="Times New Roman" w:eastAsia="宋体" w:cs="Times New Roman"/>
                      <w:color w:val="auto"/>
                      <w:kern w:val="0"/>
                      <w:sz w:val="21"/>
                      <w:szCs w:val="21"/>
                      <w:highlight w:val="none"/>
                      <w:lang w:val="en-US" w:eastAsia="zh-CN"/>
                    </w:rPr>
                    <w:t>生产过程</w:t>
                  </w:r>
                  <w:r>
                    <w:rPr>
                      <w:rFonts w:hint="eastAsia" w:cs="Times New Roman"/>
                      <w:color w:val="auto"/>
                      <w:kern w:val="0"/>
                      <w:sz w:val="21"/>
                      <w:szCs w:val="21"/>
                      <w:highlight w:val="none"/>
                      <w:lang w:val="en-US" w:eastAsia="zh-CN"/>
                    </w:rPr>
                    <w:t>使用的</w:t>
                  </w:r>
                  <w:r>
                    <w:rPr>
                      <w:rFonts w:hint="default" w:ascii="Times New Roman" w:hAnsi="Times New Roman" w:eastAsia="宋体" w:cs="Times New Roman"/>
                      <w:color w:val="auto"/>
                      <w:kern w:val="0"/>
                      <w:sz w:val="21"/>
                      <w:szCs w:val="21"/>
                      <w:highlight w:val="none"/>
                      <w:lang w:val="en-US" w:eastAsia="zh-CN"/>
                    </w:rPr>
                    <w:t>原料为P</w:t>
                  </w:r>
                  <w:r>
                    <w:rPr>
                      <w:rFonts w:hint="eastAsia" w:cs="Times New Roman"/>
                      <w:color w:val="auto"/>
                      <w:kern w:val="0"/>
                      <w:sz w:val="21"/>
                      <w:szCs w:val="21"/>
                      <w:highlight w:val="none"/>
                      <w:lang w:val="en-US" w:eastAsia="zh-CN"/>
                    </w:rPr>
                    <w:t>VC新材</w:t>
                  </w:r>
                  <w:r>
                    <w:rPr>
                      <w:rFonts w:hint="default" w:ascii="Times New Roman" w:hAnsi="Times New Roman" w:eastAsia="宋体" w:cs="Times New Roman"/>
                      <w:color w:val="auto"/>
                      <w:kern w:val="0"/>
                      <w:sz w:val="21"/>
                      <w:szCs w:val="21"/>
                      <w:highlight w:val="none"/>
                      <w:lang w:val="en-US" w:eastAsia="zh-CN"/>
                    </w:rPr>
                    <w:t>料</w:t>
                  </w:r>
                  <w:r>
                    <w:rPr>
                      <w:rFonts w:hint="default" w:ascii="Times New Roman" w:hAnsi="Times New Roman" w:eastAsia="宋体" w:cs="Times New Roman"/>
                      <w:color w:val="auto"/>
                      <w:szCs w:val="21"/>
                    </w:rPr>
                    <w:t>，不使用废旧回收塑料作为原料。</w:t>
                  </w:r>
                </w:p>
              </w:tc>
              <w:tc>
                <w:tcPr>
                  <w:tcW w:w="427" w:type="dxa"/>
                  <w:vAlign w:val="center"/>
                </w:tcPr>
                <w:p w14:paraId="0F093C1B">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符合</w:t>
                  </w:r>
                </w:p>
              </w:tc>
            </w:tr>
            <w:tr w14:paraId="4F17C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89" w:type="dxa"/>
                  <w:vAlign w:val="center"/>
                </w:tcPr>
                <w:p w14:paraId="2B9548E6">
                  <w:pPr>
                    <w:snapToGrid w:val="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(四)禁止、限制使用的塑料制品。</w:t>
                  </w:r>
                </w:p>
                <w:p w14:paraId="1DF62DD4">
                  <w:pPr>
                    <w:snapToGrid w:val="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不可降解塑料袋。到2020年底，昆明市城市建成区以及昆明市、西双版纳州、大理州、丽江市景区景点内的商场、超市、药店、书店等场所以及餐饮打包外卖服务和各类展会活动，禁止使用不可降解塑料袋；昆明市集贸市场规范和限制使用不可降解塑料袋。到2022年底，实施范围扩大至全省地级以上城市建成区。到2025年底，上述区域的集贸市场禁止使用不可降解塑料袋。鼓励有条件的地区，在城乡结合部、乡镇和农村地区集市等场所停止使用不可降解塑料袋。</w:t>
                  </w:r>
                </w:p>
                <w:p w14:paraId="1B1B8A07">
                  <w:pPr>
                    <w:snapToGrid w:val="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一次性塑料餐具。到2020年底，全省范围餐饮行业禁止使用不可降解一次性塑料吸管；地级以上城市建成区、景区景点的餐饮堂食服务，禁止使用不可降解一次性塑料餐具。到2022年底，县城建成区、景区景点餐饮堂食服务，禁止使用不可降解一次性塑料餐具。到2025年，地级以上城市餐饮外卖领域不可降解一次性塑料餐具消耗强度下降30%。</w:t>
                  </w:r>
                </w:p>
                <w:p w14:paraId="68DFF6CA">
                  <w:pPr>
                    <w:snapToGrid w:val="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3.宾馆、酒店一次性塑料用品。到2022年底，全省范围星级宾馆、酒店等场所不再主动提供一次性塑料用品；到2025年底，实施范围扩大至所有宾馆、酒店、民宿。</w:t>
                  </w:r>
                </w:p>
                <w:p w14:paraId="2800C67D">
                  <w:pPr>
                    <w:snapToGrid w:val="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快递塑料包装。自2021年起，全省范围邮政快递网点逐步禁止使用不可降解的塑料包装袋、一次性塑料编织袋等，降低不可降解的塑料胶带使用量。到2025年底，全省范围邮政快递网点禁止使用不可降解的塑料包装袋、塑料胶带、一次性塑料编织袋等。</w:t>
                  </w:r>
                </w:p>
                <w:p w14:paraId="6323F460">
                  <w:pPr>
                    <w:snapToGrid w:val="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电商渠道塑料包装。自2021年起，全省范围电商平台企业逐步限制使用不可降解的塑料包装制品、塑料胶带等；对电商渠道销售的商品，在相关领域开展试点，推行商品和快递包装一体化，减少寄递环节二次包装。到2025年底，全省范围电商平台企业禁止使用不可降解的塑料包装制品、塑料胶带等。</w:t>
                  </w:r>
                </w:p>
              </w:tc>
              <w:tc>
                <w:tcPr>
                  <w:tcW w:w="1524" w:type="dxa"/>
                  <w:vAlign w:val="center"/>
                </w:tcPr>
                <w:p w14:paraId="5E2978C7">
                  <w:pPr>
                    <w:widowControl/>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val="en-US" w:eastAsia="zh-CN"/>
                    </w:rPr>
                    <w:t>生产产品为</w:t>
                  </w:r>
                  <w:r>
                    <w:rPr>
                      <w:rFonts w:hint="eastAsia" w:ascii="Times New Roman" w:hAnsi="Times New Roman" w:eastAsia="宋体" w:cs="Times New Roman"/>
                      <w:color w:val="auto"/>
                      <w:sz w:val="21"/>
                      <w:szCs w:val="21"/>
                      <w:highlight w:val="none"/>
                      <w:lang w:val="en-US" w:eastAsia="zh-CN"/>
                    </w:rPr>
                    <w:t>竹木纤维集成墙板及扣板</w:t>
                  </w:r>
                  <w:r>
                    <w:rPr>
                      <w:rFonts w:hint="default" w:ascii="Times New Roman" w:hAnsi="Times New Roman" w:eastAsia="宋体" w:cs="Times New Roman"/>
                      <w:color w:val="auto"/>
                      <w:sz w:val="21"/>
                      <w:szCs w:val="21"/>
                      <w:highlight w:val="none"/>
                      <w:lang w:val="en-US" w:eastAsia="zh-CN"/>
                    </w:rPr>
                    <w:t>，不生产</w:t>
                  </w:r>
                  <w:r>
                    <w:rPr>
                      <w:rFonts w:hint="default" w:ascii="Times New Roman" w:hAnsi="Times New Roman" w:eastAsia="宋体" w:cs="Times New Roman"/>
                      <w:color w:val="auto"/>
                      <w:sz w:val="21"/>
                      <w:szCs w:val="21"/>
                      <w:highlight w:val="none"/>
                    </w:rPr>
                    <w:t>不可降解塑料袋</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一次性塑料餐具</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宾馆、酒店一次性塑料用品</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快递塑料包装</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电商渠道塑料包装</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Cs w:val="21"/>
                    </w:rPr>
                    <w:t>原材料全部使用新料，不使用废旧回收塑料作为原料。</w:t>
                  </w:r>
                </w:p>
              </w:tc>
              <w:tc>
                <w:tcPr>
                  <w:tcW w:w="427" w:type="dxa"/>
                  <w:vAlign w:val="center"/>
                </w:tcPr>
                <w:p w14:paraId="61E1AAAB">
                  <w:pPr>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符合</w:t>
                  </w:r>
                </w:p>
              </w:tc>
            </w:tr>
            <w:tr w14:paraId="4E8E3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89" w:type="dxa"/>
                  <w:vAlign w:val="center"/>
                </w:tcPr>
                <w:p w14:paraId="66DA716D">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七)增加绿色产品供给。塑料制品生产企业要严格执行有关法律法规，生产符合相关标准的塑料制品，不得违规添加对人体、环境有害的化学添加剂。推行绿色设计，提升塑料制品的安全性和回收利用性能。积极采用新型绿色环保功能材料，增加使用符合质量控制标准和用途管制要求的再生塑料，加强可循环、易回收、可降解替代材料和产品研发，降低应用成本，有效增加绿色产品供给。加强对塑料制品产品的质量监督抽查和风险预警监测，并及时向社会公开。</w:t>
                  </w:r>
                </w:p>
              </w:tc>
              <w:tc>
                <w:tcPr>
                  <w:tcW w:w="1524" w:type="dxa"/>
                  <w:vAlign w:val="center"/>
                </w:tcPr>
                <w:p w14:paraId="1BB2AAD3">
                  <w:pPr>
                    <w:widowControl/>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本</w:t>
                  </w:r>
                  <w:r>
                    <w:rPr>
                      <w:rFonts w:hint="default" w:ascii="Times New Roman" w:hAnsi="Times New Roman" w:eastAsia="宋体" w:cs="Times New Roman"/>
                      <w:color w:val="auto"/>
                      <w:szCs w:val="21"/>
                    </w:rPr>
                    <w:t>项</w:t>
                  </w:r>
                  <w:r>
                    <w:rPr>
                      <w:rFonts w:hint="default" w:ascii="Times New Roman" w:hAnsi="Times New Roman" w:eastAsia="宋体" w:cs="Times New Roman"/>
                      <w:color w:val="auto"/>
                      <w:szCs w:val="21"/>
                      <w:highlight w:val="none"/>
                    </w:rPr>
                    <w:t>目</w:t>
                  </w:r>
                  <w:r>
                    <w:rPr>
                      <w:rFonts w:hint="eastAsia" w:cs="Times New Roman"/>
                      <w:color w:val="auto"/>
                      <w:szCs w:val="21"/>
                      <w:highlight w:val="none"/>
                      <w:lang w:val="en-US" w:eastAsia="zh-CN"/>
                    </w:rPr>
                    <w:t>主要</w:t>
                  </w:r>
                  <w:r>
                    <w:rPr>
                      <w:rFonts w:hint="default" w:ascii="Times New Roman" w:hAnsi="Times New Roman" w:eastAsia="宋体" w:cs="Times New Roman"/>
                      <w:color w:val="auto"/>
                      <w:szCs w:val="21"/>
                      <w:highlight w:val="none"/>
                    </w:rPr>
                    <w:t>使用</w:t>
                  </w:r>
                  <w:r>
                    <w:rPr>
                      <w:rFonts w:hint="eastAsia" w:cs="Times New Roman"/>
                      <w:color w:val="auto"/>
                      <w:sz w:val="21"/>
                      <w:szCs w:val="21"/>
                      <w:highlight w:val="none"/>
                      <w:lang w:val="en-US" w:eastAsia="zh-CN"/>
                    </w:rPr>
                    <w:t>聚氯乙烯、</w:t>
                  </w:r>
                  <w:r>
                    <w:rPr>
                      <w:rFonts w:hint="eastAsia" w:cs="Times New Roman"/>
                      <w:color w:val="auto"/>
                      <w:szCs w:val="21"/>
                      <w:highlight w:val="none"/>
                      <w:lang w:val="en-US" w:eastAsia="zh-CN"/>
                    </w:rPr>
                    <w:t>钙粉、木粉</w:t>
                  </w:r>
                  <w:r>
                    <w:rPr>
                      <w:rFonts w:hint="default" w:ascii="Times New Roman" w:hAnsi="Times New Roman" w:eastAsia="宋体" w:cs="Times New Roman"/>
                      <w:color w:val="auto"/>
                      <w:szCs w:val="21"/>
                      <w:highlight w:val="none"/>
                    </w:rPr>
                    <w:t>作为原料，无违规添加对</w:t>
                  </w:r>
                  <w:r>
                    <w:rPr>
                      <w:rFonts w:hint="default" w:ascii="Times New Roman" w:hAnsi="Times New Roman" w:eastAsia="宋体" w:cs="Times New Roman"/>
                      <w:color w:val="auto"/>
                      <w:szCs w:val="21"/>
                    </w:rPr>
                    <w:t>人体、环境有害的化学添加剂。</w:t>
                  </w:r>
                </w:p>
              </w:tc>
              <w:tc>
                <w:tcPr>
                  <w:tcW w:w="427" w:type="dxa"/>
                  <w:vAlign w:val="center"/>
                </w:tcPr>
                <w:p w14:paraId="69FC74C7">
                  <w:pPr>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符合</w:t>
                  </w:r>
                </w:p>
              </w:tc>
            </w:tr>
          </w:tbl>
          <w:p w14:paraId="7A1B1244">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综上，本项目</w:t>
            </w:r>
            <w:r>
              <w:rPr>
                <w:rFonts w:hint="default" w:ascii="Times New Roman" w:hAnsi="Times New Roman" w:eastAsia="宋体" w:cs="Times New Roman"/>
                <w:b w:val="0"/>
                <w:bCs/>
                <w:color w:val="auto"/>
                <w:spacing w:val="4"/>
                <w:kern w:val="24"/>
                <w:sz w:val="24"/>
                <w:szCs w:val="24"/>
                <w:highlight w:val="none"/>
                <w:lang w:bidi="ar"/>
              </w:rPr>
              <w:t>与《云南省进一步加强塑料污染治理的实施方案》</w:t>
            </w:r>
            <w:r>
              <w:rPr>
                <w:rFonts w:hint="default" w:ascii="Times New Roman" w:hAnsi="Times New Roman" w:eastAsia="宋体" w:cs="Times New Roman"/>
                <w:b w:val="0"/>
                <w:bCs/>
                <w:color w:val="auto"/>
                <w:spacing w:val="4"/>
                <w:kern w:val="24"/>
                <w:sz w:val="24"/>
                <w:szCs w:val="24"/>
                <w:highlight w:val="none"/>
                <w:lang w:val="en-US" w:eastAsia="zh-CN" w:bidi="ar"/>
              </w:rPr>
              <w:t>相符。</w:t>
            </w:r>
          </w:p>
          <w:p w14:paraId="30FD08A4">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w:t>
            </w:r>
            <w:r>
              <w:rPr>
                <w:rFonts w:hint="eastAsia" w:ascii="Times New Roman" w:hAnsi="Times New Roman"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lang w:val="en-US" w:eastAsia="zh-CN"/>
              </w:rPr>
              <w:t>、选址合理性分析</w:t>
            </w:r>
          </w:p>
          <w:p w14:paraId="398E7DD8">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本项目为</w:t>
            </w:r>
            <w:r>
              <w:rPr>
                <w:rFonts w:hint="eastAsia" w:cs="Times New Roman"/>
                <w:color w:val="auto"/>
                <w:sz w:val="24"/>
                <w:szCs w:val="24"/>
                <w:highlight w:val="none"/>
                <w:lang w:val="zh-CN"/>
              </w:rPr>
              <w:t>竹木纤维集成墙板及扣板</w:t>
            </w:r>
            <w:r>
              <w:rPr>
                <w:rFonts w:hint="default" w:ascii="Times New Roman" w:hAnsi="Times New Roman" w:eastAsia="宋体" w:cs="Times New Roman"/>
                <w:b w:val="0"/>
                <w:bCs w:val="0"/>
                <w:color w:val="auto"/>
                <w:kern w:val="0"/>
                <w:sz w:val="24"/>
                <w:szCs w:val="24"/>
                <w:highlight w:val="none"/>
                <w:lang w:val="en-US" w:eastAsia="zh-CN" w:bidi="ar"/>
              </w:rPr>
              <w:t>等生产制造项目，位于云南寻甸产业园区金所片区金所组团</w:t>
            </w:r>
            <w:r>
              <w:rPr>
                <w:rFonts w:hint="eastAsia" w:ascii="Times New Roman" w:hAnsi="Times New Roman" w:eastAsia="宋体" w:cs="Times New Roman"/>
                <w:b w:val="0"/>
                <w:bCs w:val="0"/>
                <w:color w:val="auto"/>
                <w:kern w:val="0"/>
                <w:sz w:val="24"/>
                <w:szCs w:val="24"/>
                <w:highlight w:val="none"/>
                <w:lang w:val="en-US" w:eastAsia="zh-CN" w:bidi="ar"/>
              </w:rPr>
              <w:t>绿色建材产业区</w:t>
            </w:r>
            <w:r>
              <w:rPr>
                <w:rFonts w:hint="default" w:ascii="Times New Roman" w:hAnsi="Times New Roman" w:eastAsia="宋体" w:cs="Times New Roman"/>
                <w:b w:val="0"/>
                <w:bCs w:val="0"/>
                <w:color w:val="auto"/>
                <w:kern w:val="0"/>
                <w:sz w:val="24"/>
                <w:szCs w:val="24"/>
                <w:highlight w:val="none"/>
                <w:lang w:val="en-US" w:eastAsia="zh-CN" w:bidi="ar"/>
              </w:rPr>
              <w:t>，用地性质属工业用地，符合园区规划。由于园区基础设施的建设，所选厂地在供电、供水、交通等基础条件十分便利。在采取相应环保措施后，项目产生的废气均可达标排放，对周围环境影响不大；废水可做到不外排，对周围地表水环境影响不大；噪声厂界可达标，不会造成扰民现象；固体废物均能得到合理处置。目前项目周边环境质量良好，外环境较简单，无重大环境制约因素存在。建设用地周围无需要特殊保护的文物、名胜、古迹和文化、自然遗产，不属于自然保护区和风景名胜区的保护范围。</w:t>
            </w:r>
          </w:p>
          <w:p w14:paraId="490C9D65">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综上，项目建设场地条件、交通运输、环境保护和水、电、通信等条件好，无重大的环境制约因素，项目选址合理。</w:t>
            </w:r>
          </w:p>
          <w:p w14:paraId="2FAE7FFD">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w:t>
            </w:r>
            <w:r>
              <w:rPr>
                <w:rFonts w:hint="eastAsia" w:ascii="Times New Roman" w:hAnsi="Times New Roman" w:cs="Times New Roman"/>
                <w:b/>
                <w:bCs w:val="0"/>
                <w:color w:val="auto"/>
                <w:sz w:val="24"/>
                <w:szCs w:val="24"/>
                <w:highlight w:val="none"/>
                <w:lang w:val="en-US" w:eastAsia="zh-CN"/>
              </w:rPr>
              <w:t>3</w:t>
            </w:r>
            <w:r>
              <w:rPr>
                <w:rFonts w:hint="default" w:ascii="Times New Roman" w:hAnsi="Times New Roman" w:eastAsia="宋体" w:cs="Times New Roman"/>
                <w:b/>
                <w:bCs w:val="0"/>
                <w:color w:val="auto"/>
                <w:sz w:val="24"/>
                <w:szCs w:val="24"/>
                <w:highlight w:val="none"/>
                <w:lang w:val="en-US" w:eastAsia="zh-CN"/>
              </w:rPr>
              <w:t>、项目平面布置合理性分析</w:t>
            </w:r>
          </w:p>
          <w:p w14:paraId="1D7FEFB9">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本项目位于云南寻甸产业园区金所片区金所组团</w:t>
            </w:r>
            <w:r>
              <w:rPr>
                <w:rFonts w:hint="eastAsia" w:ascii="Times New Roman" w:hAnsi="Times New Roman" w:eastAsia="宋体" w:cs="Times New Roman"/>
                <w:b w:val="0"/>
                <w:bCs w:val="0"/>
                <w:color w:val="auto"/>
                <w:kern w:val="0"/>
                <w:sz w:val="24"/>
                <w:szCs w:val="24"/>
                <w:highlight w:val="none"/>
                <w:lang w:val="en-US" w:eastAsia="zh-CN" w:bidi="ar"/>
              </w:rPr>
              <w:t>绿色建材产业区</w:t>
            </w:r>
            <w:r>
              <w:rPr>
                <w:rFonts w:hint="default" w:ascii="Times New Roman" w:hAnsi="Times New Roman" w:eastAsia="宋体" w:cs="Times New Roman"/>
                <w:b w:val="0"/>
                <w:bCs w:val="0"/>
                <w:color w:val="auto"/>
                <w:kern w:val="0"/>
                <w:sz w:val="24"/>
                <w:szCs w:val="24"/>
                <w:highlight w:val="none"/>
                <w:lang w:val="en-US" w:eastAsia="zh-CN" w:bidi="ar"/>
              </w:rPr>
              <w:t>，项目周边主要为各生产加工型企业；厂区总</w:t>
            </w:r>
            <w:r>
              <w:rPr>
                <w:rFonts w:hint="eastAsia" w:cs="Times New Roman"/>
                <w:b w:val="0"/>
                <w:bCs w:val="0"/>
                <w:color w:val="auto"/>
                <w:kern w:val="0"/>
                <w:sz w:val="24"/>
                <w:szCs w:val="24"/>
                <w:highlight w:val="none"/>
                <w:lang w:val="en-US" w:eastAsia="zh-CN" w:bidi="ar"/>
              </w:rPr>
              <w:t>体</w:t>
            </w:r>
            <w:r>
              <w:rPr>
                <w:rFonts w:hint="default" w:ascii="Times New Roman" w:hAnsi="Times New Roman" w:eastAsia="宋体" w:cs="Times New Roman"/>
                <w:b w:val="0"/>
                <w:bCs w:val="0"/>
                <w:color w:val="auto"/>
                <w:kern w:val="0"/>
                <w:sz w:val="24"/>
                <w:szCs w:val="24"/>
                <w:highlight w:val="none"/>
                <w:lang w:val="en-US" w:eastAsia="zh-CN" w:bidi="ar"/>
              </w:rPr>
              <w:t>方案功能分区明确，总体划分为两个主要区域，即办公生活区及生产加工区。项目区场地呈东西向，根据项目区地形特点及生产生活的需求，在项目区</w:t>
            </w:r>
            <w:r>
              <w:rPr>
                <w:rFonts w:hint="eastAsia" w:cs="Times New Roman"/>
                <w:b w:val="0"/>
                <w:bCs w:val="0"/>
                <w:color w:val="auto"/>
                <w:kern w:val="0"/>
                <w:sz w:val="24"/>
                <w:szCs w:val="24"/>
                <w:highlight w:val="none"/>
                <w:lang w:val="en-US" w:eastAsia="zh-CN" w:bidi="ar"/>
              </w:rPr>
              <w:t>东侧和南侧靠近通道</w:t>
            </w:r>
            <w:r>
              <w:rPr>
                <w:rFonts w:hint="default" w:ascii="Times New Roman" w:hAnsi="Times New Roman" w:eastAsia="宋体" w:cs="Times New Roman"/>
                <w:b w:val="0"/>
                <w:bCs w:val="0"/>
                <w:color w:val="auto"/>
                <w:kern w:val="0"/>
                <w:sz w:val="24"/>
                <w:szCs w:val="24"/>
                <w:highlight w:val="none"/>
                <w:lang w:val="en-US" w:eastAsia="zh-CN" w:bidi="ar"/>
              </w:rPr>
              <w:t>一侧设置</w:t>
            </w:r>
            <w:r>
              <w:rPr>
                <w:rFonts w:hint="eastAsia" w:cs="Times New Roman"/>
                <w:b w:val="0"/>
                <w:bCs w:val="0"/>
                <w:color w:val="auto"/>
                <w:kern w:val="0"/>
                <w:sz w:val="24"/>
                <w:szCs w:val="24"/>
                <w:highlight w:val="none"/>
                <w:lang w:val="en-US" w:eastAsia="zh-CN" w:bidi="ar"/>
              </w:rPr>
              <w:t>4</w:t>
            </w:r>
            <w:r>
              <w:rPr>
                <w:rFonts w:hint="default" w:ascii="Times New Roman" w:hAnsi="Times New Roman" w:eastAsia="宋体" w:cs="Times New Roman"/>
                <w:b w:val="0"/>
                <w:bCs w:val="0"/>
                <w:color w:val="auto"/>
                <w:kern w:val="0"/>
                <w:sz w:val="24"/>
                <w:szCs w:val="24"/>
                <w:highlight w:val="none"/>
                <w:lang w:val="en-US" w:eastAsia="zh-CN" w:bidi="ar"/>
              </w:rPr>
              <w:t>个出入口，方便物料运进和产品运出；共设置3个生产厂房，其中</w:t>
            </w:r>
            <w:r>
              <w:rPr>
                <w:rFonts w:hint="eastAsia" w:cs="Times New Roman"/>
                <w:b w:val="0"/>
                <w:bCs w:val="0"/>
                <w:color w:val="auto"/>
                <w:kern w:val="0"/>
                <w:sz w:val="24"/>
                <w:szCs w:val="24"/>
                <w:highlight w:val="none"/>
                <w:lang w:val="en-US" w:eastAsia="zh-CN" w:bidi="ar"/>
              </w:rPr>
              <w:t>西北侧</w:t>
            </w:r>
            <w:r>
              <w:rPr>
                <w:rFonts w:hint="default" w:ascii="Times New Roman" w:hAnsi="Times New Roman" w:eastAsia="宋体" w:cs="Times New Roman"/>
                <w:b w:val="0"/>
                <w:bCs w:val="0"/>
                <w:color w:val="auto"/>
                <w:kern w:val="0"/>
                <w:sz w:val="24"/>
                <w:szCs w:val="24"/>
                <w:highlight w:val="none"/>
                <w:lang w:val="en-US" w:eastAsia="zh-CN" w:bidi="ar"/>
              </w:rPr>
              <w:t>为</w:t>
            </w:r>
            <w:r>
              <w:rPr>
                <w:rFonts w:hint="eastAsia" w:cs="Times New Roman"/>
                <w:b w:val="0"/>
                <w:bCs w:val="0"/>
                <w:color w:val="auto"/>
                <w:kern w:val="0"/>
                <w:sz w:val="24"/>
                <w:szCs w:val="24"/>
                <w:highlight w:val="none"/>
                <w:lang w:val="en-US" w:eastAsia="zh-CN" w:bidi="ar"/>
              </w:rPr>
              <w:t>混料磨粉车间，中部</w:t>
            </w:r>
            <w:r>
              <w:rPr>
                <w:rFonts w:hint="default" w:ascii="Times New Roman" w:hAnsi="Times New Roman" w:eastAsia="宋体" w:cs="Times New Roman"/>
                <w:b w:val="0"/>
                <w:bCs w:val="0"/>
                <w:color w:val="auto"/>
                <w:kern w:val="0"/>
                <w:sz w:val="24"/>
                <w:szCs w:val="24"/>
                <w:highlight w:val="none"/>
                <w:lang w:val="en-US" w:eastAsia="zh-CN" w:bidi="ar"/>
              </w:rPr>
              <w:t>为</w:t>
            </w:r>
            <w:r>
              <w:rPr>
                <w:rFonts w:hint="eastAsia" w:cs="Times New Roman"/>
                <w:b w:val="0"/>
                <w:bCs w:val="0"/>
                <w:color w:val="auto"/>
                <w:kern w:val="0"/>
                <w:sz w:val="24"/>
                <w:szCs w:val="24"/>
                <w:highlight w:val="none"/>
                <w:lang w:val="en-US" w:eastAsia="zh-CN" w:bidi="ar"/>
              </w:rPr>
              <w:t>上料车间、挤出车间，</w:t>
            </w:r>
            <w:r>
              <w:rPr>
                <w:rFonts w:hint="eastAsia" w:ascii="Times New Roman" w:hAnsi="Times New Roman" w:eastAsia="宋体" w:cs="Times New Roman"/>
                <w:b w:val="0"/>
                <w:bCs w:val="0"/>
                <w:color w:val="auto"/>
                <w:kern w:val="0"/>
                <w:sz w:val="24"/>
                <w:szCs w:val="24"/>
                <w:highlight w:val="none"/>
                <w:lang w:val="en-US" w:eastAsia="zh-CN" w:bidi="ar"/>
              </w:rPr>
              <w:t>西</w:t>
            </w:r>
            <w:r>
              <w:rPr>
                <w:rFonts w:hint="default" w:ascii="Times New Roman" w:hAnsi="Times New Roman" w:eastAsia="宋体" w:cs="Times New Roman"/>
                <w:b w:val="0"/>
                <w:bCs w:val="0"/>
                <w:color w:val="auto"/>
                <w:kern w:val="0"/>
                <w:sz w:val="24"/>
                <w:szCs w:val="24"/>
                <w:highlight w:val="none"/>
                <w:lang w:val="en-US" w:eastAsia="zh-CN" w:bidi="ar"/>
              </w:rPr>
              <w:t>南侧中部</w:t>
            </w:r>
            <w:r>
              <w:rPr>
                <w:rFonts w:hint="eastAsia" w:cs="Times New Roman"/>
                <w:b w:val="0"/>
                <w:bCs w:val="0"/>
                <w:color w:val="auto"/>
                <w:kern w:val="0"/>
                <w:sz w:val="24"/>
                <w:szCs w:val="24"/>
                <w:highlight w:val="none"/>
                <w:lang w:val="en-US" w:eastAsia="zh-CN" w:bidi="ar"/>
              </w:rPr>
              <w:t>冷却塔</w:t>
            </w:r>
            <w:r>
              <w:rPr>
                <w:rFonts w:hint="eastAsia" w:ascii="Times New Roman" w:hAnsi="Times New Roman" w:eastAsia="宋体" w:cs="Times New Roman"/>
                <w:b w:val="0"/>
                <w:bCs w:val="0"/>
                <w:color w:val="auto"/>
                <w:kern w:val="0"/>
                <w:sz w:val="24"/>
                <w:szCs w:val="24"/>
                <w:highlight w:val="none"/>
                <w:lang w:val="en-US" w:eastAsia="zh-CN" w:bidi="ar"/>
              </w:rPr>
              <w:t>及水池区域</w:t>
            </w:r>
            <w:r>
              <w:rPr>
                <w:rFonts w:hint="default" w:ascii="Times New Roman" w:hAnsi="Times New Roman" w:eastAsia="宋体" w:cs="Times New Roman"/>
                <w:b w:val="0"/>
                <w:bCs w:val="0"/>
                <w:color w:val="auto"/>
                <w:kern w:val="0"/>
                <w:sz w:val="24"/>
                <w:szCs w:val="24"/>
                <w:highlight w:val="none"/>
                <w:lang w:val="en-US" w:eastAsia="zh-CN" w:bidi="ar"/>
              </w:rPr>
              <w:t>，</w:t>
            </w:r>
            <w:r>
              <w:rPr>
                <w:rFonts w:hint="eastAsia" w:ascii="Times New Roman" w:hAnsi="Times New Roman" w:eastAsia="宋体" w:cs="Times New Roman"/>
                <w:b w:val="0"/>
                <w:bCs w:val="0"/>
                <w:color w:val="auto"/>
                <w:kern w:val="0"/>
                <w:sz w:val="24"/>
                <w:szCs w:val="24"/>
                <w:highlight w:val="none"/>
                <w:lang w:val="en-US" w:eastAsia="zh-CN" w:bidi="ar"/>
              </w:rPr>
              <w:t>西侧中部为原料暂存区，南侧及东南侧为成品仓库、包装纸箱存放区，东侧为车间办公室、原料仓库、工具房等</w:t>
            </w:r>
            <w:r>
              <w:rPr>
                <w:rFonts w:hint="default" w:ascii="Times New Roman" w:hAnsi="Times New Roman" w:eastAsia="宋体" w:cs="Times New Roman"/>
                <w:b w:val="0"/>
                <w:bCs w:val="0"/>
                <w:color w:val="auto"/>
                <w:kern w:val="0"/>
                <w:sz w:val="24"/>
                <w:szCs w:val="24"/>
                <w:highlight w:val="none"/>
                <w:lang w:val="en-US" w:eastAsia="zh-CN" w:bidi="ar"/>
              </w:rPr>
              <w:t>。办公综合楼位于整个项目区西北侧，生产区及办公区有一定的距离，方便厂区管理又不影响工作人员的办公及生活。项目建、构筑物的布置紧凑合理，人货流通畅顺捷，减少交叉。可满足生产系统的加工和储、装、运等主要生产环节的要求。总体布置分区明确，布置合理。</w:t>
            </w:r>
          </w:p>
          <w:p w14:paraId="3C6AB549">
            <w:pPr>
              <w:keepNext w:val="0"/>
              <w:keepLines w:val="0"/>
              <w:pageBreakBefore w:val="0"/>
              <w:widowControl/>
              <w:suppressLineNumbers w:val="0"/>
              <w:shd w:val="clea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综上所述，从环保角度考虑，项目布局合理。</w:t>
            </w:r>
          </w:p>
          <w:p w14:paraId="5E23A0D6">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w:t>
            </w:r>
            <w:r>
              <w:rPr>
                <w:rFonts w:hint="eastAsia" w:ascii="Times New Roman" w:hAnsi="Times New Roman" w:cs="Times New Roman"/>
                <w:b/>
                <w:bCs w:val="0"/>
                <w:color w:val="auto"/>
                <w:sz w:val="24"/>
                <w:szCs w:val="24"/>
                <w:highlight w:val="none"/>
                <w:lang w:val="en-US" w:eastAsia="zh-CN"/>
              </w:rPr>
              <w:t>4</w:t>
            </w:r>
            <w:r>
              <w:rPr>
                <w:rFonts w:hint="default" w:ascii="Times New Roman" w:hAnsi="Times New Roman" w:eastAsia="宋体" w:cs="Times New Roman"/>
                <w:b/>
                <w:bCs w:val="0"/>
                <w:color w:val="auto"/>
                <w:sz w:val="24"/>
                <w:szCs w:val="24"/>
                <w:highlight w:val="none"/>
                <w:lang w:val="en-US" w:eastAsia="zh-CN"/>
              </w:rPr>
              <w:t>、环境相容性分析</w:t>
            </w:r>
          </w:p>
          <w:p w14:paraId="360E236E">
            <w:pPr>
              <w:pStyle w:val="71"/>
              <w:keepNext w:val="0"/>
              <w:keepLines w:val="0"/>
              <w:pageBreakBefore w:val="0"/>
              <w:shd w:val="clear"/>
              <w:kinsoku/>
              <w:wordWrap/>
              <w:overflowPunct/>
              <w:topLinePunct w:val="0"/>
              <w:bidi w:val="0"/>
              <w:spacing w:line="360" w:lineRule="auto"/>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本项目位于云南寻甸产业园区金所片区金所组团</w:t>
            </w:r>
            <w:r>
              <w:rPr>
                <w:rFonts w:hint="eastAsia" w:ascii="Times New Roman" w:hAnsi="Times New Roman" w:eastAsia="宋体" w:cs="Times New Roman"/>
                <w:color w:val="auto"/>
                <w:kern w:val="2"/>
                <w:sz w:val="24"/>
                <w:szCs w:val="24"/>
                <w:highlight w:val="none"/>
                <w:lang w:val="en-US" w:eastAsia="zh-CN" w:bidi="ar-SA"/>
              </w:rPr>
              <w:t>绿色建材产业区</w:t>
            </w: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sz w:val="24"/>
                <w:szCs w:val="24"/>
                <w:highlight w:val="none"/>
                <w:lang w:val="zh-CN" w:eastAsia="zh-CN"/>
              </w:rPr>
              <w:t>根据现场调查，</w:t>
            </w:r>
            <w:r>
              <w:rPr>
                <w:rFonts w:hint="default" w:ascii="Times New Roman" w:hAnsi="Times New Roman" w:eastAsia="宋体" w:cs="Times New Roman"/>
                <w:color w:val="auto"/>
                <w:kern w:val="2"/>
                <w:sz w:val="24"/>
                <w:szCs w:val="24"/>
                <w:highlight w:val="none"/>
                <w:lang w:val="en-US" w:eastAsia="zh-CN" w:bidi="ar-SA"/>
              </w:rPr>
              <w:t>项目周边500m范围内主要为</w:t>
            </w:r>
            <w:r>
              <w:rPr>
                <w:rFonts w:hint="default" w:ascii="Times New Roman" w:hAnsi="Times New Roman" w:eastAsia="宋体" w:cs="Times New Roman"/>
                <w:color w:val="auto"/>
                <w:sz w:val="24"/>
                <w:szCs w:val="24"/>
                <w:highlight w:val="none"/>
              </w:rPr>
              <w:t>生产加工</w:t>
            </w:r>
            <w:r>
              <w:rPr>
                <w:rFonts w:hint="default" w:ascii="Times New Roman" w:hAnsi="Times New Roman" w:eastAsia="宋体" w:cs="Times New Roman"/>
                <w:color w:val="auto"/>
                <w:sz w:val="24"/>
                <w:szCs w:val="24"/>
                <w:highlight w:val="none"/>
                <w:lang w:val="en-US" w:eastAsia="zh-CN"/>
              </w:rPr>
              <w:t>型</w:t>
            </w:r>
            <w:r>
              <w:rPr>
                <w:rFonts w:hint="default" w:ascii="Times New Roman" w:hAnsi="Times New Roman" w:eastAsia="宋体" w:cs="Times New Roman"/>
                <w:color w:val="auto"/>
                <w:kern w:val="2"/>
                <w:sz w:val="24"/>
                <w:szCs w:val="24"/>
                <w:highlight w:val="none"/>
                <w:lang w:val="en-US" w:eastAsia="zh-CN" w:bidi="ar-SA"/>
              </w:rPr>
              <w:t>企业，具体企业分布情况见表。</w:t>
            </w:r>
          </w:p>
          <w:p w14:paraId="221FF8F3">
            <w:pPr>
              <w:keepNext w:val="0"/>
              <w:keepLines w:val="0"/>
              <w:pageBreakBefore w:val="0"/>
              <w:widowControl/>
              <w:shd w:val="clear"/>
              <w:kinsoku/>
              <w:wordWrap/>
              <w:overflowPunct/>
              <w:topLinePunct w:val="0"/>
              <w:autoSpaceDE/>
              <w:autoSpaceDN/>
              <w:bidi w:val="0"/>
              <w:adjustRightInd w:val="0"/>
              <w:snapToGrid w:val="0"/>
              <w:spacing w:line="276" w:lineRule="auto"/>
              <w:ind w:firstLine="0" w:firstLineChars="0"/>
              <w:jc w:val="center"/>
              <w:textAlignment w:val="auto"/>
              <w:rPr>
                <w:rFonts w:hint="default" w:ascii="Times New Roman" w:hAnsi="Times New Roman" w:eastAsia="宋体" w:cs="Times New Roman"/>
                <w:b/>
                <w:bCs/>
                <w:color w:val="auto"/>
                <w:spacing w:val="-2"/>
                <w:sz w:val="21"/>
                <w:szCs w:val="21"/>
                <w:highlight w:val="none"/>
              </w:rPr>
            </w:pPr>
            <w:r>
              <w:rPr>
                <w:rFonts w:hint="default" w:ascii="Times New Roman" w:hAnsi="Times New Roman" w:eastAsia="宋体" w:cs="Times New Roman"/>
                <w:b/>
                <w:bCs/>
                <w:color w:val="auto"/>
                <w:spacing w:val="-2"/>
                <w:sz w:val="21"/>
                <w:szCs w:val="21"/>
                <w:highlight w:val="none"/>
              </w:rPr>
              <w:t>表</w:t>
            </w:r>
            <w:r>
              <w:rPr>
                <w:rFonts w:hint="default" w:ascii="Times New Roman" w:hAnsi="Times New Roman" w:eastAsia="宋体" w:cs="Times New Roman"/>
                <w:b/>
                <w:bCs/>
                <w:color w:val="auto"/>
                <w:spacing w:val="-2"/>
                <w:sz w:val="21"/>
                <w:szCs w:val="21"/>
                <w:highlight w:val="none"/>
                <w:lang w:val="en-US" w:eastAsia="zh-CN"/>
              </w:rPr>
              <w:t>1-1</w:t>
            </w:r>
            <w:r>
              <w:rPr>
                <w:rFonts w:hint="eastAsia" w:cs="Times New Roman"/>
                <w:b/>
                <w:bCs/>
                <w:color w:val="auto"/>
                <w:spacing w:val="-2"/>
                <w:sz w:val="21"/>
                <w:szCs w:val="21"/>
                <w:highlight w:val="none"/>
                <w:lang w:val="en-US" w:eastAsia="zh-CN"/>
              </w:rPr>
              <w:t>4</w:t>
            </w:r>
            <w:r>
              <w:rPr>
                <w:rFonts w:hint="default" w:ascii="Times New Roman" w:hAnsi="Times New Roman" w:eastAsia="宋体" w:cs="Times New Roman"/>
                <w:b/>
                <w:bCs/>
                <w:color w:val="auto"/>
                <w:spacing w:val="-2"/>
                <w:sz w:val="21"/>
                <w:szCs w:val="21"/>
                <w:highlight w:val="none"/>
                <w:lang w:val="en-US" w:eastAsia="zh-CN"/>
              </w:rPr>
              <w:t xml:space="preserve"> </w:t>
            </w:r>
            <w:r>
              <w:rPr>
                <w:rFonts w:hint="default" w:ascii="Times New Roman" w:hAnsi="Times New Roman" w:eastAsia="宋体" w:cs="Times New Roman"/>
                <w:b/>
                <w:bCs/>
                <w:color w:val="auto"/>
                <w:spacing w:val="-2"/>
                <w:sz w:val="21"/>
                <w:szCs w:val="21"/>
                <w:highlight w:val="none"/>
              </w:rPr>
              <w:t xml:space="preserve"> 本项目周边</w:t>
            </w:r>
            <w:r>
              <w:rPr>
                <w:rFonts w:hint="default" w:ascii="Times New Roman" w:hAnsi="Times New Roman" w:eastAsia="宋体" w:cs="Times New Roman"/>
                <w:b/>
                <w:bCs/>
                <w:color w:val="auto"/>
                <w:spacing w:val="-2"/>
                <w:sz w:val="21"/>
                <w:szCs w:val="21"/>
                <w:highlight w:val="none"/>
                <w:lang w:val="en-US" w:eastAsia="zh-CN"/>
              </w:rPr>
              <w:t>情况</w:t>
            </w:r>
            <w:r>
              <w:rPr>
                <w:rFonts w:hint="default" w:ascii="Times New Roman" w:hAnsi="Times New Roman" w:eastAsia="宋体" w:cs="Times New Roman"/>
                <w:b/>
                <w:bCs/>
                <w:color w:val="auto"/>
                <w:spacing w:val="-2"/>
                <w:sz w:val="21"/>
                <w:szCs w:val="21"/>
                <w:highlight w:val="none"/>
              </w:rPr>
              <w:t>一览表</w:t>
            </w:r>
          </w:p>
          <w:tbl>
            <w:tblPr>
              <w:tblStyle w:val="26"/>
              <w:tblW w:w="7924"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417"/>
              <w:gridCol w:w="1674"/>
              <w:gridCol w:w="1278"/>
              <w:gridCol w:w="1500"/>
              <w:gridCol w:w="3055"/>
            </w:tblGrid>
            <w:tr w14:paraId="71744AC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2CABCD8F">
                  <w:pPr>
                    <w:pStyle w:val="77"/>
                    <w:shd w:val="clear"/>
                    <w:spacing w:before="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674" w:type="dxa"/>
                  <w:tcBorders>
                    <w:tl2br w:val="nil"/>
                    <w:tr2bl w:val="nil"/>
                  </w:tcBorders>
                  <w:noWrap w:val="0"/>
                  <w:vAlign w:val="center"/>
                </w:tcPr>
                <w:p w14:paraId="25C4DD62">
                  <w:pPr>
                    <w:pStyle w:val="77"/>
                    <w:shd w:val="clear"/>
                    <w:spacing w:before="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工业企业单位名称</w:t>
                  </w:r>
                </w:p>
              </w:tc>
              <w:tc>
                <w:tcPr>
                  <w:tcW w:w="1278" w:type="dxa"/>
                  <w:tcBorders>
                    <w:tl2br w:val="nil"/>
                    <w:tr2bl w:val="nil"/>
                  </w:tcBorders>
                  <w:noWrap w:val="0"/>
                  <w:vAlign w:val="center"/>
                </w:tcPr>
                <w:p w14:paraId="19E17AF5">
                  <w:pPr>
                    <w:pStyle w:val="77"/>
                    <w:shd w:val="clear"/>
                    <w:spacing w:before="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0"/>
                      <w:sz w:val="21"/>
                      <w:szCs w:val="21"/>
                      <w:highlight w:val="none"/>
                    </w:rPr>
                    <w:t>与本项目厂界方位、距离</w:t>
                  </w:r>
                </w:p>
              </w:tc>
              <w:tc>
                <w:tcPr>
                  <w:tcW w:w="1500" w:type="dxa"/>
                  <w:tcBorders>
                    <w:tl2br w:val="nil"/>
                    <w:tr2bl w:val="nil"/>
                  </w:tcBorders>
                  <w:noWrap w:val="0"/>
                  <w:vAlign w:val="center"/>
                </w:tcPr>
                <w:p w14:paraId="59984489">
                  <w:pPr>
                    <w:pStyle w:val="77"/>
                    <w:shd w:val="clear"/>
                    <w:spacing w:before="0"/>
                    <w:jc w:val="center"/>
                    <w:rPr>
                      <w:rFonts w:hint="default" w:ascii="Times New Roman" w:hAnsi="Times New Roman" w:eastAsia="宋体" w:cs="Times New Roman"/>
                      <w:b/>
                      <w:bCs/>
                      <w:color w:val="auto"/>
                      <w:spacing w:val="-10"/>
                      <w:sz w:val="21"/>
                      <w:szCs w:val="21"/>
                      <w:highlight w:val="none"/>
                    </w:rPr>
                  </w:pPr>
                  <w:r>
                    <w:rPr>
                      <w:rFonts w:hint="default" w:ascii="Times New Roman" w:hAnsi="Times New Roman" w:eastAsia="宋体" w:cs="Times New Roman"/>
                      <w:b/>
                      <w:bCs/>
                      <w:color w:val="auto"/>
                      <w:sz w:val="21"/>
                      <w:szCs w:val="21"/>
                      <w:highlight w:val="none"/>
                    </w:rPr>
                    <w:t>主营业务</w:t>
                  </w:r>
                </w:p>
              </w:tc>
              <w:tc>
                <w:tcPr>
                  <w:tcW w:w="3055" w:type="dxa"/>
                  <w:tcBorders>
                    <w:tl2br w:val="nil"/>
                    <w:tr2bl w:val="nil"/>
                  </w:tcBorders>
                  <w:noWrap w:val="0"/>
                  <w:vAlign w:val="center"/>
                </w:tcPr>
                <w:p w14:paraId="120ECC87">
                  <w:pPr>
                    <w:pStyle w:val="77"/>
                    <w:shd w:val="clear"/>
                    <w:spacing w:before="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主要污染物</w:t>
                  </w:r>
                </w:p>
              </w:tc>
            </w:tr>
            <w:tr w14:paraId="62AAB97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5AA888E3">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w:t>
                  </w:r>
                </w:p>
              </w:tc>
              <w:tc>
                <w:tcPr>
                  <w:tcW w:w="1674" w:type="dxa"/>
                  <w:tcBorders>
                    <w:tl2br w:val="nil"/>
                    <w:tr2bl w:val="nil"/>
                  </w:tcBorders>
                  <w:noWrap w:val="0"/>
                  <w:vAlign w:val="center"/>
                </w:tcPr>
                <w:p w14:paraId="5CD5E155">
                  <w:pPr>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宋体"/>
                      <w:color w:val="auto"/>
                      <w:szCs w:val="21"/>
                      <w:lang w:bidi="ar"/>
                    </w:rPr>
                    <w:t>昆明金立旺旺建筑材料有限公司</w:t>
                  </w:r>
                </w:p>
              </w:tc>
              <w:tc>
                <w:tcPr>
                  <w:tcW w:w="1278" w:type="dxa"/>
                  <w:tcBorders>
                    <w:tl2br w:val="nil"/>
                    <w:tr2bl w:val="nil"/>
                  </w:tcBorders>
                  <w:noWrap w:val="0"/>
                  <w:vAlign w:val="center"/>
                </w:tcPr>
                <w:p w14:paraId="4BB04AA4">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西南侧389m</w:t>
                  </w:r>
                </w:p>
              </w:tc>
              <w:tc>
                <w:tcPr>
                  <w:tcW w:w="1500" w:type="dxa"/>
                  <w:tcBorders>
                    <w:tl2br w:val="nil"/>
                    <w:tr2bl w:val="nil"/>
                  </w:tcBorders>
                  <w:noWrap w:val="0"/>
                  <w:vAlign w:val="center"/>
                </w:tcPr>
                <w:p w14:paraId="2A338E56">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陶粒砖生产</w:t>
                  </w:r>
                </w:p>
              </w:tc>
              <w:tc>
                <w:tcPr>
                  <w:tcW w:w="3055" w:type="dxa"/>
                  <w:tcBorders>
                    <w:tl2br w:val="nil"/>
                    <w:tr2bl w:val="nil"/>
                  </w:tcBorders>
                  <w:noWrap w:val="0"/>
                  <w:vAlign w:val="center"/>
                </w:tcPr>
                <w:p w14:paraId="14275CDA">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废水：生活污水</w:t>
                  </w:r>
                  <w:r>
                    <w:rPr>
                      <w:rFonts w:hint="eastAsia" w:cs="Times New Roman"/>
                      <w:b w:val="0"/>
                      <w:bCs w:val="0"/>
                      <w:color w:val="auto"/>
                      <w:sz w:val="21"/>
                      <w:szCs w:val="21"/>
                      <w:highlight w:val="none"/>
                      <w:lang w:val="en-US" w:eastAsia="zh-CN"/>
                    </w:rPr>
                    <w:t>、生产废水</w:t>
                  </w:r>
                  <w:r>
                    <w:rPr>
                      <w:rFonts w:hint="default" w:ascii="Times New Roman" w:hAnsi="Times New Roman" w:eastAsia="宋体" w:cs="Times New Roman"/>
                      <w:b w:val="0"/>
                      <w:bCs w:val="0"/>
                      <w:color w:val="auto"/>
                      <w:sz w:val="21"/>
                      <w:szCs w:val="21"/>
                      <w:highlight w:val="none"/>
                      <w:lang w:val="en-US" w:eastAsia="zh-CN"/>
                    </w:rPr>
                    <w:t>；废气：颗粒物、TVOC；噪声；固废；</w:t>
                  </w:r>
                </w:p>
              </w:tc>
            </w:tr>
            <w:tr w14:paraId="52DC955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4EE9EAE2">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w:t>
                  </w:r>
                </w:p>
              </w:tc>
              <w:tc>
                <w:tcPr>
                  <w:tcW w:w="1674" w:type="dxa"/>
                  <w:tcBorders>
                    <w:tl2br w:val="nil"/>
                    <w:tr2bl w:val="nil"/>
                  </w:tcBorders>
                  <w:noWrap w:val="0"/>
                  <w:vAlign w:val="center"/>
                </w:tcPr>
                <w:p w14:paraId="3AABCCA1">
                  <w:pPr>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宋体"/>
                      <w:color w:val="auto"/>
                      <w:szCs w:val="21"/>
                      <w:lang w:bidi="ar"/>
                    </w:rPr>
                    <w:t>寻甸茂源农业发展有限公司</w:t>
                  </w:r>
                </w:p>
              </w:tc>
              <w:tc>
                <w:tcPr>
                  <w:tcW w:w="1278" w:type="dxa"/>
                  <w:tcBorders>
                    <w:tl2br w:val="nil"/>
                    <w:tr2bl w:val="nil"/>
                  </w:tcBorders>
                  <w:noWrap w:val="0"/>
                  <w:vAlign w:val="center"/>
                </w:tcPr>
                <w:p w14:paraId="6B7ED403">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南</w:t>
                  </w:r>
                  <w:r>
                    <w:rPr>
                      <w:rFonts w:hint="default" w:ascii="Times New Roman" w:hAnsi="Times New Roman" w:eastAsia="宋体" w:cs="Times New Roman"/>
                      <w:b w:val="0"/>
                      <w:bCs w:val="0"/>
                      <w:color w:val="auto"/>
                      <w:sz w:val="21"/>
                      <w:szCs w:val="21"/>
                      <w:highlight w:val="none"/>
                      <w:lang w:val="en-US" w:eastAsia="zh-CN"/>
                    </w:rPr>
                    <w:t>侧</w:t>
                  </w:r>
                  <w:r>
                    <w:rPr>
                      <w:rFonts w:hint="eastAsia" w:cs="Times New Roman"/>
                      <w:b w:val="0"/>
                      <w:bCs w:val="0"/>
                      <w:color w:val="auto"/>
                      <w:sz w:val="21"/>
                      <w:szCs w:val="21"/>
                      <w:highlight w:val="none"/>
                      <w:lang w:val="en-US" w:eastAsia="zh-CN"/>
                    </w:rPr>
                    <w:t>398</w:t>
                  </w:r>
                  <w:r>
                    <w:rPr>
                      <w:rFonts w:hint="default" w:ascii="Times New Roman" w:hAnsi="Times New Roman" w:eastAsia="宋体" w:cs="Times New Roman"/>
                      <w:b w:val="0"/>
                      <w:bCs w:val="0"/>
                      <w:color w:val="auto"/>
                      <w:sz w:val="21"/>
                      <w:szCs w:val="21"/>
                      <w:highlight w:val="none"/>
                      <w:lang w:val="en-US" w:eastAsia="zh-CN"/>
                    </w:rPr>
                    <w:t>m</w:t>
                  </w:r>
                </w:p>
              </w:tc>
              <w:tc>
                <w:tcPr>
                  <w:tcW w:w="1500" w:type="dxa"/>
                  <w:tcBorders>
                    <w:tl2br w:val="nil"/>
                    <w:tr2bl w:val="nil"/>
                  </w:tcBorders>
                  <w:noWrap w:val="0"/>
                  <w:vAlign w:val="center"/>
                </w:tcPr>
                <w:p w14:paraId="110B55FA">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花卉、蔬菜种植仓库</w:t>
                  </w:r>
                </w:p>
              </w:tc>
              <w:tc>
                <w:tcPr>
                  <w:tcW w:w="3055" w:type="dxa"/>
                  <w:tcBorders>
                    <w:tl2br w:val="nil"/>
                    <w:tr2bl w:val="nil"/>
                  </w:tcBorders>
                  <w:noWrap w:val="0"/>
                  <w:vAlign w:val="center"/>
                </w:tcPr>
                <w:p w14:paraId="6BEFE94E">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废水：生活污水；废气：颗粒物；噪声；固废；</w:t>
                  </w:r>
                </w:p>
              </w:tc>
            </w:tr>
            <w:tr w14:paraId="3452F19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35484219">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w:t>
                  </w:r>
                </w:p>
              </w:tc>
              <w:tc>
                <w:tcPr>
                  <w:tcW w:w="1674" w:type="dxa"/>
                  <w:tcBorders>
                    <w:tl2br w:val="nil"/>
                    <w:tr2bl w:val="nil"/>
                  </w:tcBorders>
                  <w:noWrap w:val="0"/>
                  <w:vAlign w:val="center"/>
                </w:tcPr>
                <w:p w14:paraId="140E02D3">
                  <w:pPr>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宋体"/>
                      <w:color w:val="auto"/>
                      <w:szCs w:val="21"/>
                      <w:lang w:bidi="ar"/>
                    </w:rPr>
                    <w:t>云南华欧塑胶科技有限公司</w:t>
                  </w:r>
                </w:p>
              </w:tc>
              <w:tc>
                <w:tcPr>
                  <w:tcW w:w="1278" w:type="dxa"/>
                  <w:tcBorders>
                    <w:tl2br w:val="nil"/>
                    <w:tr2bl w:val="nil"/>
                  </w:tcBorders>
                  <w:noWrap w:val="0"/>
                  <w:vAlign w:val="center"/>
                </w:tcPr>
                <w:p w14:paraId="444DEB5C">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东南</w:t>
                  </w:r>
                  <w:r>
                    <w:rPr>
                      <w:rFonts w:hint="default" w:ascii="Times New Roman" w:hAnsi="Times New Roman" w:eastAsia="宋体" w:cs="Times New Roman"/>
                      <w:b w:val="0"/>
                      <w:bCs w:val="0"/>
                      <w:color w:val="auto"/>
                      <w:sz w:val="21"/>
                      <w:szCs w:val="21"/>
                      <w:highlight w:val="none"/>
                      <w:lang w:val="en-US" w:eastAsia="zh-CN"/>
                    </w:rPr>
                    <w:t>侧</w:t>
                  </w:r>
                  <w:r>
                    <w:rPr>
                      <w:rFonts w:hint="eastAsia" w:cs="Times New Roman"/>
                      <w:b w:val="0"/>
                      <w:bCs w:val="0"/>
                      <w:color w:val="auto"/>
                      <w:sz w:val="21"/>
                      <w:szCs w:val="21"/>
                      <w:highlight w:val="none"/>
                      <w:lang w:val="en-US" w:eastAsia="zh-CN"/>
                    </w:rPr>
                    <w:t>281</w:t>
                  </w:r>
                  <w:r>
                    <w:rPr>
                      <w:rFonts w:hint="default" w:ascii="Times New Roman" w:hAnsi="Times New Roman" w:eastAsia="宋体" w:cs="Times New Roman"/>
                      <w:b w:val="0"/>
                      <w:bCs w:val="0"/>
                      <w:color w:val="auto"/>
                      <w:sz w:val="21"/>
                      <w:szCs w:val="21"/>
                      <w:highlight w:val="none"/>
                      <w:lang w:val="en-US" w:eastAsia="zh-CN"/>
                    </w:rPr>
                    <w:t>m</w:t>
                  </w:r>
                </w:p>
              </w:tc>
              <w:tc>
                <w:tcPr>
                  <w:tcW w:w="1500" w:type="dxa"/>
                  <w:tcBorders>
                    <w:tl2br w:val="nil"/>
                    <w:tr2bl w:val="nil"/>
                  </w:tcBorders>
                  <w:noWrap w:val="0"/>
                  <w:vAlign w:val="center"/>
                </w:tcPr>
                <w:p w14:paraId="7C6C8F6C">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塑料膜生产</w:t>
                  </w:r>
                </w:p>
              </w:tc>
              <w:tc>
                <w:tcPr>
                  <w:tcW w:w="3055" w:type="dxa"/>
                  <w:tcBorders>
                    <w:tl2br w:val="nil"/>
                    <w:tr2bl w:val="nil"/>
                  </w:tcBorders>
                  <w:noWrap w:val="0"/>
                  <w:vAlign w:val="center"/>
                </w:tcPr>
                <w:p w14:paraId="6263C86C">
                  <w:pPr>
                    <w:pStyle w:val="77"/>
                    <w:shd w:val="clear"/>
                    <w:spacing w:before="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废水：生活污水</w:t>
                  </w:r>
                  <w:r>
                    <w:rPr>
                      <w:rFonts w:hint="eastAsia" w:cs="Times New Roman"/>
                      <w:b w:val="0"/>
                      <w:bCs w:val="0"/>
                      <w:color w:val="auto"/>
                      <w:sz w:val="21"/>
                      <w:szCs w:val="21"/>
                      <w:highlight w:val="none"/>
                      <w:lang w:val="en-US" w:eastAsia="zh-CN"/>
                    </w:rPr>
                    <w:t>、生产废水</w:t>
                  </w:r>
                  <w:r>
                    <w:rPr>
                      <w:rFonts w:hint="default" w:ascii="Times New Roman" w:hAnsi="Times New Roman" w:eastAsia="宋体" w:cs="Times New Roman"/>
                      <w:b w:val="0"/>
                      <w:bCs w:val="0"/>
                      <w:color w:val="auto"/>
                      <w:sz w:val="21"/>
                      <w:szCs w:val="21"/>
                      <w:highlight w:val="none"/>
                      <w:lang w:val="en-US" w:eastAsia="zh-CN"/>
                    </w:rPr>
                    <w:t>；废气：颗粒物、TVOC；噪声；固废；</w:t>
                  </w:r>
                </w:p>
              </w:tc>
            </w:tr>
            <w:tr w14:paraId="756D43E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785178F1">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w:t>
                  </w:r>
                </w:p>
              </w:tc>
              <w:tc>
                <w:tcPr>
                  <w:tcW w:w="1674" w:type="dxa"/>
                  <w:tcBorders>
                    <w:tl2br w:val="nil"/>
                    <w:tr2bl w:val="nil"/>
                  </w:tcBorders>
                  <w:noWrap w:val="0"/>
                  <w:vAlign w:val="center"/>
                </w:tcPr>
                <w:p w14:paraId="5C064A46">
                  <w:pPr>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宋体"/>
                      <w:color w:val="auto"/>
                      <w:szCs w:val="21"/>
                      <w:lang w:bidi="ar"/>
                    </w:rPr>
                    <w:t>云南英辉铝业有限公司</w:t>
                  </w:r>
                </w:p>
              </w:tc>
              <w:tc>
                <w:tcPr>
                  <w:tcW w:w="1278" w:type="dxa"/>
                  <w:tcBorders>
                    <w:tl2br w:val="nil"/>
                    <w:tr2bl w:val="nil"/>
                  </w:tcBorders>
                  <w:noWrap w:val="0"/>
                  <w:vAlign w:val="center"/>
                </w:tcPr>
                <w:p w14:paraId="294E1022">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东南</w:t>
                  </w:r>
                  <w:r>
                    <w:rPr>
                      <w:rFonts w:hint="default" w:ascii="Times New Roman" w:hAnsi="Times New Roman" w:eastAsia="宋体" w:cs="Times New Roman"/>
                      <w:b w:val="0"/>
                      <w:bCs w:val="0"/>
                      <w:color w:val="auto"/>
                      <w:sz w:val="21"/>
                      <w:szCs w:val="21"/>
                      <w:highlight w:val="none"/>
                      <w:lang w:val="en-US" w:eastAsia="zh-CN"/>
                    </w:rPr>
                    <w:t>侧</w:t>
                  </w:r>
                  <w:r>
                    <w:rPr>
                      <w:rFonts w:hint="eastAsia" w:cs="Times New Roman"/>
                      <w:b w:val="0"/>
                      <w:bCs w:val="0"/>
                      <w:color w:val="auto"/>
                      <w:sz w:val="21"/>
                      <w:szCs w:val="21"/>
                      <w:highlight w:val="none"/>
                      <w:lang w:val="en-US" w:eastAsia="zh-CN"/>
                    </w:rPr>
                    <w:t>353</w:t>
                  </w:r>
                  <w:r>
                    <w:rPr>
                      <w:rFonts w:hint="default" w:ascii="Times New Roman" w:hAnsi="Times New Roman" w:eastAsia="宋体" w:cs="Times New Roman"/>
                      <w:b w:val="0"/>
                      <w:bCs w:val="0"/>
                      <w:color w:val="auto"/>
                      <w:sz w:val="21"/>
                      <w:szCs w:val="21"/>
                      <w:highlight w:val="none"/>
                      <w:lang w:val="en-US" w:eastAsia="zh-CN"/>
                    </w:rPr>
                    <w:t>m</w:t>
                  </w:r>
                </w:p>
              </w:tc>
              <w:tc>
                <w:tcPr>
                  <w:tcW w:w="1500" w:type="dxa"/>
                  <w:tcBorders>
                    <w:tl2br w:val="nil"/>
                    <w:tr2bl w:val="nil"/>
                  </w:tcBorders>
                  <w:noWrap w:val="0"/>
                  <w:vAlign w:val="center"/>
                </w:tcPr>
                <w:p w14:paraId="7119A14D">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铝型材生产</w:t>
                  </w:r>
                </w:p>
              </w:tc>
              <w:tc>
                <w:tcPr>
                  <w:tcW w:w="3055" w:type="dxa"/>
                  <w:tcBorders>
                    <w:tl2br w:val="nil"/>
                    <w:tr2bl w:val="nil"/>
                  </w:tcBorders>
                  <w:noWrap w:val="0"/>
                  <w:vAlign w:val="center"/>
                </w:tcPr>
                <w:p w14:paraId="50E35F01">
                  <w:pPr>
                    <w:pStyle w:val="77"/>
                    <w:shd w:val="clear"/>
                    <w:spacing w:before="0"/>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b w:val="0"/>
                      <w:bCs w:val="0"/>
                      <w:color w:val="auto"/>
                      <w:sz w:val="21"/>
                      <w:szCs w:val="21"/>
                      <w:highlight w:val="none"/>
                      <w:lang w:val="en-US" w:eastAsia="zh-CN"/>
                    </w:rPr>
                    <w:t>废水：生活污水</w:t>
                  </w:r>
                  <w:r>
                    <w:rPr>
                      <w:rFonts w:hint="eastAsia" w:cs="Times New Roman"/>
                      <w:b w:val="0"/>
                      <w:bCs w:val="0"/>
                      <w:color w:val="auto"/>
                      <w:sz w:val="21"/>
                      <w:szCs w:val="21"/>
                      <w:highlight w:val="none"/>
                      <w:lang w:val="en-US" w:eastAsia="zh-CN"/>
                    </w:rPr>
                    <w:t>、生产废水</w:t>
                  </w:r>
                  <w:r>
                    <w:rPr>
                      <w:rFonts w:hint="default" w:ascii="Times New Roman" w:hAnsi="Times New Roman" w:eastAsia="宋体" w:cs="Times New Roman"/>
                      <w:b w:val="0"/>
                      <w:bCs w:val="0"/>
                      <w:color w:val="auto"/>
                      <w:sz w:val="21"/>
                      <w:szCs w:val="21"/>
                      <w:highlight w:val="none"/>
                      <w:lang w:val="en-US" w:eastAsia="zh-CN"/>
                    </w:rPr>
                    <w:t>；废气：颗粒物、TVOC；噪声；固废；</w:t>
                  </w:r>
                </w:p>
              </w:tc>
            </w:tr>
            <w:tr w14:paraId="5D0400B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3B35A6ED">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5</w:t>
                  </w:r>
                </w:p>
              </w:tc>
              <w:tc>
                <w:tcPr>
                  <w:tcW w:w="1674" w:type="dxa"/>
                  <w:tcBorders>
                    <w:tl2br w:val="nil"/>
                    <w:tr2bl w:val="nil"/>
                  </w:tcBorders>
                  <w:noWrap w:val="0"/>
                  <w:vAlign w:val="center"/>
                </w:tcPr>
                <w:p w14:paraId="1A24BFCD">
                  <w:pPr>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宋体"/>
                      <w:color w:val="auto"/>
                      <w:szCs w:val="21"/>
                      <w:lang w:bidi="ar"/>
                    </w:rPr>
                    <w:t>寻甸敢富农业发展有限公司</w:t>
                  </w:r>
                </w:p>
              </w:tc>
              <w:tc>
                <w:tcPr>
                  <w:tcW w:w="1278" w:type="dxa"/>
                  <w:tcBorders>
                    <w:tl2br w:val="nil"/>
                    <w:tr2bl w:val="nil"/>
                  </w:tcBorders>
                  <w:noWrap w:val="0"/>
                  <w:vAlign w:val="center"/>
                </w:tcPr>
                <w:p w14:paraId="767051D3">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南</w:t>
                  </w:r>
                  <w:r>
                    <w:rPr>
                      <w:rFonts w:hint="default" w:ascii="Times New Roman" w:hAnsi="Times New Roman" w:eastAsia="宋体" w:cs="Times New Roman"/>
                      <w:b w:val="0"/>
                      <w:bCs w:val="0"/>
                      <w:color w:val="auto"/>
                      <w:sz w:val="21"/>
                      <w:szCs w:val="21"/>
                      <w:highlight w:val="none"/>
                      <w:lang w:val="en-US" w:eastAsia="zh-CN"/>
                    </w:rPr>
                    <w:t>侧2</w:t>
                  </w:r>
                  <w:r>
                    <w:rPr>
                      <w:rFonts w:hint="eastAsia" w:cs="Times New Roman"/>
                      <w:b w:val="0"/>
                      <w:bCs w:val="0"/>
                      <w:color w:val="auto"/>
                      <w:sz w:val="21"/>
                      <w:szCs w:val="21"/>
                      <w:highlight w:val="none"/>
                      <w:lang w:val="en-US" w:eastAsia="zh-CN"/>
                    </w:rPr>
                    <w:t>28</w:t>
                  </w:r>
                  <w:r>
                    <w:rPr>
                      <w:rFonts w:hint="default" w:ascii="Times New Roman" w:hAnsi="Times New Roman" w:eastAsia="宋体" w:cs="Times New Roman"/>
                      <w:b w:val="0"/>
                      <w:bCs w:val="0"/>
                      <w:color w:val="auto"/>
                      <w:sz w:val="21"/>
                      <w:szCs w:val="21"/>
                      <w:highlight w:val="none"/>
                      <w:lang w:val="en-US" w:eastAsia="zh-CN"/>
                    </w:rPr>
                    <w:t>m</w:t>
                  </w:r>
                </w:p>
              </w:tc>
              <w:tc>
                <w:tcPr>
                  <w:tcW w:w="1500" w:type="dxa"/>
                  <w:tcBorders>
                    <w:tl2br w:val="nil"/>
                    <w:tr2bl w:val="nil"/>
                  </w:tcBorders>
                  <w:noWrap w:val="0"/>
                  <w:vAlign w:val="center"/>
                </w:tcPr>
                <w:p w14:paraId="4A9C157F">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花卉、蔬菜种植仓库</w:t>
                  </w:r>
                </w:p>
              </w:tc>
              <w:tc>
                <w:tcPr>
                  <w:tcW w:w="3055" w:type="dxa"/>
                  <w:tcBorders>
                    <w:tl2br w:val="nil"/>
                    <w:tr2bl w:val="nil"/>
                  </w:tcBorders>
                  <w:noWrap w:val="0"/>
                  <w:vAlign w:val="center"/>
                </w:tcPr>
                <w:p w14:paraId="298DB138">
                  <w:pPr>
                    <w:pStyle w:val="77"/>
                    <w:shd w:val="clear"/>
                    <w:spacing w:before="0"/>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b w:val="0"/>
                      <w:bCs w:val="0"/>
                      <w:color w:val="auto"/>
                      <w:sz w:val="21"/>
                      <w:szCs w:val="21"/>
                      <w:highlight w:val="none"/>
                      <w:lang w:val="en-US" w:eastAsia="zh-CN"/>
                    </w:rPr>
                    <w:t>废水：生活污水；废气：颗粒物；噪声；固废；</w:t>
                  </w:r>
                </w:p>
              </w:tc>
            </w:tr>
            <w:tr w14:paraId="0C7B61C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2A97F0CE">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6</w:t>
                  </w:r>
                </w:p>
              </w:tc>
              <w:tc>
                <w:tcPr>
                  <w:tcW w:w="1674" w:type="dxa"/>
                  <w:tcBorders>
                    <w:tl2br w:val="nil"/>
                    <w:tr2bl w:val="nil"/>
                  </w:tcBorders>
                  <w:noWrap w:val="0"/>
                  <w:vAlign w:val="center"/>
                </w:tcPr>
                <w:p w14:paraId="302F8EE7">
                  <w:pPr>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宋体"/>
                      <w:color w:val="auto"/>
                      <w:szCs w:val="21"/>
                      <w:lang w:bidi="ar"/>
                    </w:rPr>
                    <w:t>云南得奥海绵制造有限公司</w:t>
                  </w:r>
                </w:p>
              </w:tc>
              <w:tc>
                <w:tcPr>
                  <w:tcW w:w="1278" w:type="dxa"/>
                  <w:tcBorders>
                    <w:tl2br w:val="nil"/>
                    <w:tr2bl w:val="nil"/>
                  </w:tcBorders>
                  <w:noWrap w:val="0"/>
                  <w:vAlign w:val="center"/>
                </w:tcPr>
                <w:p w14:paraId="5738C43A">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南</w:t>
                  </w:r>
                  <w:r>
                    <w:rPr>
                      <w:rFonts w:hint="default" w:ascii="Times New Roman" w:hAnsi="Times New Roman" w:eastAsia="宋体" w:cs="Times New Roman"/>
                      <w:b w:val="0"/>
                      <w:bCs w:val="0"/>
                      <w:color w:val="auto"/>
                      <w:sz w:val="21"/>
                      <w:szCs w:val="21"/>
                      <w:highlight w:val="none"/>
                      <w:lang w:val="en-US" w:eastAsia="zh-CN"/>
                    </w:rPr>
                    <w:t>侧90m</w:t>
                  </w:r>
                </w:p>
              </w:tc>
              <w:tc>
                <w:tcPr>
                  <w:tcW w:w="1500" w:type="dxa"/>
                  <w:tcBorders>
                    <w:tl2br w:val="nil"/>
                    <w:tr2bl w:val="nil"/>
                  </w:tcBorders>
                  <w:noWrap w:val="0"/>
                  <w:vAlign w:val="center"/>
                </w:tcPr>
                <w:p w14:paraId="136B5ECE">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海绵、床垫</w:t>
                  </w:r>
                  <w:r>
                    <w:rPr>
                      <w:rFonts w:hint="default" w:ascii="Times New Roman" w:hAnsi="Times New Roman" w:eastAsia="宋体" w:cs="Times New Roman"/>
                      <w:b w:val="0"/>
                      <w:bCs w:val="0"/>
                      <w:color w:val="auto"/>
                      <w:sz w:val="21"/>
                      <w:szCs w:val="21"/>
                      <w:highlight w:val="none"/>
                      <w:lang w:val="en-US" w:eastAsia="zh-CN"/>
                    </w:rPr>
                    <w:t>生产</w:t>
                  </w:r>
                </w:p>
              </w:tc>
              <w:tc>
                <w:tcPr>
                  <w:tcW w:w="3055" w:type="dxa"/>
                  <w:tcBorders>
                    <w:tl2br w:val="nil"/>
                    <w:tr2bl w:val="nil"/>
                  </w:tcBorders>
                  <w:noWrap w:val="0"/>
                  <w:vAlign w:val="center"/>
                </w:tcPr>
                <w:p w14:paraId="60B087A9">
                  <w:pPr>
                    <w:pStyle w:val="77"/>
                    <w:shd w:val="clear"/>
                    <w:spacing w:before="0"/>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b w:val="0"/>
                      <w:bCs w:val="0"/>
                      <w:color w:val="auto"/>
                      <w:sz w:val="21"/>
                      <w:szCs w:val="21"/>
                      <w:highlight w:val="none"/>
                      <w:lang w:val="en-US" w:eastAsia="zh-CN"/>
                    </w:rPr>
                    <w:t>废水：生活污水</w:t>
                  </w:r>
                  <w:r>
                    <w:rPr>
                      <w:rFonts w:hint="eastAsia" w:cs="Times New Roman"/>
                      <w:b w:val="0"/>
                      <w:bCs w:val="0"/>
                      <w:color w:val="auto"/>
                      <w:sz w:val="21"/>
                      <w:szCs w:val="21"/>
                      <w:highlight w:val="none"/>
                      <w:lang w:val="en-US" w:eastAsia="zh-CN"/>
                    </w:rPr>
                    <w:t>、生产废水</w:t>
                  </w:r>
                  <w:r>
                    <w:rPr>
                      <w:rFonts w:hint="default" w:ascii="Times New Roman" w:hAnsi="Times New Roman" w:eastAsia="宋体" w:cs="Times New Roman"/>
                      <w:b w:val="0"/>
                      <w:bCs w:val="0"/>
                      <w:color w:val="auto"/>
                      <w:sz w:val="21"/>
                      <w:szCs w:val="21"/>
                      <w:highlight w:val="none"/>
                      <w:lang w:val="en-US" w:eastAsia="zh-CN"/>
                    </w:rPr>
                    <w:t>；废气：颗粒物、TVOC；噪声；固废；</w:t>
                  </w:r>
                </w:p>
              </w:tc>
            </w:tr>
            <w:tr w14:paraId="3E150CF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72B40916">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7</w:t>
                  </w:r>
                </w:p>
              </w:tc>
              <w:tc>
                <w:tcPr>
                  <w:tcW w:w="1674" w:type="dxa"/>
                  <w:tcBorders>
                    <w:tl2br w:val="nil"/>
                    <w:tr2bl w:val="nil"/>
                  </w:tcBorders>
                  <w:noWrap w:val="0"/>
                  <w:vAlign w:val="center"/>
                </w:tcPr>
                <w:p w14:paraId="4EF763C9">
                  <w:pPr>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宋体"/>
                      <w:color w:val="auto"/>
                      <w:szCs w:val="21"/>
                      <w:lang w:bidi="ar"/>
                    </w:rPr>
                    <w:t>云南荣澳铝业有限公司</w:t>
                  </w:r>
                </w:p>
              </w:tc>
              <w:tc>
                <w:tcPr>
                  <w:tcW w:w="1278" w:type="dxa"/>
                  <w:tcBorders>
                    <w:tl2br w:val="nil"/>
                    <w:tr2bl w:val="nil"/>
                  </w:tcBorders>
                  <w:noWrap w:val="0"/>
                  <w:vAlign w:val="center"/>
                </w:tcPr>
                <w:p w14:paraId="63D945D1">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东侧204m</w:t>
                  </w:r>
                </w:p>
              </w:tc>
              <w:tc>
                <w:tcPr>
                  <w:tcW w:w="1500" w:type="dxa"/>
                  <w:tcBorders>
                    <w:tl2br w:val="nil"/>
                    <w:tr2bl w:val="nil"/>
                  </w:tcBorders>
                  <w:noWrap w:val="0"/>
                  <w:vAlign w:val="center"/>
                </w:tcPr>
                <w:p w14:paraId="0F10E6FC">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铝型材生产</w:t>
                  </w:r>
                </w:p>
              </w:tc>
              <w:tc>
                <w:tcPr>
                  <w:tcW w:w="3055" w:type="dxa"/>
                  <w:tcBorders>
                    <w:tl2br w:val="nil"/>
                    <w:tr2bl w:val="nil"/>
                  </w:tcBorders>
                  <w:noWrap w:val="0"/>
                  <w:vAlign w:val="center"/>
                </w:tcPr>
                <w:p w14:paraId="35646392">
                  <w:pPr>
                    <w:shd w:val="clear"/>
                    <w:spacing w:before="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废水：生活污水</w:t>
                  </w:r>
                  <w:r>
                    <w:rPr>
                      <w:rFonts w:hint="eastAsia" w:cs="Times New Roman"/>
                      <w:b w:val="0"/>
                      <w:bCs w:val="0"/>
                      <w:color w:val="auto"/>
                      <w:sz w:val="21"/>
                      <w:szCs w:val="21"/>
                      <w:highlight w:val="none"/>
                      <w:lang w:val="en-US" w:eastAsia="zh-CN"/>
                    </w:rPr>
                    <w:t>、生产废水</w:t>
                  </w:r>
                  <w:r>
                    <w:rPr>
                      <w:rFonts w:hint="default" w:ascii="Times New Roman" w:hAnsi="Times New Roman" w:eastAsia="宋体" w:cs="Times New Roman"/>
                      <w:b w:val="0"/>
                      <w:bCs w:val="0"/>
                      <w:color w:val="auto"/>
                      <w:sz w:val="21"/>
                      <w:szCs w:val="21"/>
                      <w:highlight w:val="none"/>
                      <w:lang w:val="en-US" w:eastAsia="zh-CN"/>
                    </w:rPr>
                    <w:t>；废气：颗粒物、TVOC；噪声；固废</w:t>
                  </w:r>
                </w:p>
              </w:tc>
            </w:tr>
            <w:tr w14:paraId="0C6E7BE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23FCDC6B">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8</w:t>
                  </w:r>
                </w:p>
              </w:tc>
              <w:tc>
                <w:tcPr>
                  <w:tcW w:w="1674" w:type="dxa"/>
                  <w:tcBorders>
                    <w:tl2br w:val="nil"/>
                    <w:tr2bl w:val="nil"/>
                  </w:tcBorders>
                  <w:noWrap w:val="0"/>
                  <w:vAlign w:val="center"/>
                </w:tcPr>
                <w:p w14:paraId="318E12F0">
                  <w:pPr>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宋体"/>
                      <w:color w:val="auto"/>
                      <w:szCs w:val="21"/>
                      <w:lang w:bidi="ar"/>
                    </w:rPr>
                    <w:t>云南天源钢结构工程有限公司</w:t>
                  </w:r>
                </w:p>
              </w:tc>
              <w:tc>
                <w:tcPr>
                  <w:tcW w:w="1278" w:type="dxa"/>
                  <w:tcBorders>
                    <w:tl2br w:val="nil"/>
                    <w:tr2bl w:val="nil"/>
                  </w:tcBorders>
                  <w:noWrap w:val="0"/>
                  <w:vAlign w:val="center"/>
                </w:tcPr>
                <w:p w14:paraId="108C3B20">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西侧紧邻</w:t>
                  </w:r>
                </w:p>
              </w:tc>
              <w:tc>
                <w:tcPr>
                  <w:tcW w:w="1500" w:type="dxa"/>
                  <w:tcBorders>
                    <w:tl2br w:val="nil"/>
                    <w:tr2bl w:val="nil"/>
                  </w:tcBorders>
                  <w:noWrap w:val="0"/>
                  <w:vAlign w:val="center"/>
                </w:tcPr>
                <w:p w14:paraId="512EC947">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钢结构生产</w:t>
                  </w:r>
                </w:p>
              </w:tc>
              <w:tc>
                <w:tcPr>
                  <w:tcW w:w="3055" w:type="dxa"/>
                  <w:tcBorders>
                    <w:tl2br w:val="nil"/>
                    <w:tr2bl w:val="nil"/>
                  </w:tcBorders>
                  <w:noWrap w:val="0"/>
                  <w:vAlign w:val="center"/>
                </w:tcPr>
                <w:p w14:paraId="5D177354">
                  <w:pPr>
                    <w:shd w:val="clear"/>
                    <w:spacing w:before="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废水：生活污水</w:t>
                  </w:r>
                  <w:r>
                    <w:rPr>
                      <w:rFonts w:hint="eastAsia" w:cs="Times New Roman"/>
                      <w:b w:val="0"/>
                      <w:bCs w:val="0"/>
                      <w:color w:val="auto"/>
                      <w:sz w:val="21"/>
                      <w:szCs w:val="21"/>
                      <w:highlight w:val="none"/>
                      <w:lang w:val="en-US" w:eastAsia="zh-CN"/>
                    </w:rPr>
                    <w:t>、生产废水</w:t>
                  </w:r>
                  <w:r>
                    <w:rPr>
                      <w:rFonts w:hint="default" w:ascii="Times New Roman" w:hAnsi="Times New Roman" w:eastAsia="宋体" w:cs="Times New Roman"/>
                      <w:b w:val="0"/>
                      <w:bCs w:val="0"/>
                      <w:color w:val="auto"/>
                      <w:sz w:val="21"/>
                      <w:szCs w:val="21"/>
                      <w:highlight w:val="none"/>
                      <w:lang w:val="en-US" w:eastAsia="zh-CN"/>
                    </w:rPr>
                    <w:t>；废气：颗粒物、TVOC；噪声；固废</w:t>
                  </w:r>
                </w:p>
              </w:tc>
            </w:tr>
            <w:tr w14:paraId="5F4EC3F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5E3887FF">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9</w:t>
                  </w:r>
                </w:p>
              </w:tc>
              <w:tc>
                <w:tcPr>
                  <w:tcW w:w="1674" w:type="dxa"/>
                  <w:tcBorders>
                    <w:tl2br w:val="nil"/>
                    <w:tr2bl w:val="nil"/>
                  </w:tcBorders>
                  <w:noWrap w:val="0"/>
                  <w:vAlign w:val="center"/>
                </w:tcPr>
                <w:p w14:paraId="567CD813">
                  <w:pPr>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宋体"/>
                      <w:color w:val="auto"/>
                      <w:szCs w:val="21"/>
                      <w:lang w:bidi="ar"/>
                    </w:rPr>
                    <w:t>昆明齐明家具建材有限公司</w:t>
                  </w:r>
                </w:p>
              </w:tc>
              <w:tc>
                <w:tcPr>
                  <w:tcW w:w="1278" w:type="dxa"/>
                  <w:tcBorders>
                    <w:tl2br w:val="nil"/>
                    <w:tr2bl w:val="nil"/>
                  </w:tcBorders>
                  <w:noWrap w:val="0"/>
                  <w:vAlign w:val="center"/>
                </w:tcPr>
                <w:p w14:paraId="1C9D309D">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西北侧104</w:t>
                  </w:r>
                  <w:r>
                    <w:rPr>
                      <w:rFonts w:hint="default" w:ascii="Times New Roman" w:hAnsi="Times New Roman" w:eastAsia="宋体" w:cs="Times New Roman"/>
                      <w:b w:val="0"/>
                      <w:bCs w:val="0"/>
                      <w:color w:val="auto"/>
                      <w:sz w:val="21"/>
                      <w:szCs w:val="21"/>
                      <w:highlight w:val="none"/>
                      <w:lang w:val="en-US" w:eastAsia="zh-CN"/>
                    </w:rPr>
                    <w:t>m</w:t>
                  </w:r>
                </w:p>
              </w:tc>
              <w:tc>
                <w:tcPr>
                  <w:tcW w:w="1500" w:type="dxa"/>
                  <w:tcBorders>
                    <w:tl2br w:val="nil"/>
                    <w:tr2bl w:val="nil"/>
                  </w:tcBorders>
                  <w:noWrap w:val="0"/>
                  <w:vAlign w:val="center"/>
                </w:tcPr>
                <w:p w14:paraId="1677A2EA">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涂料生产</w:t>
                  </w:r>
                </w:p>
              </w:tc>
              <w:tc>
                <w:tcPr>
                  <w:tcW w:w="3055" w:type="dxa"/>
                  <w:tcBorders>
                    <w:tl2br w:val="nil"/>
                    <w:tr2bl w:val="nil"/>
                  </w:tcBorders>
                  <w:noWrap w:val="0"/>
                  <w:vAlign w:val="center"/>
                </w:tcPr>
                <w:p w14:paraId="13A5B562">
                  <w:pPr>
                    <w:shd w:val="clear"/>
                    <w:spacing w:before="0"/>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b w:val="0"/>
                      <w:bCs w:val="0"/>
                      <w:color w:val="auto"/>
                      <w:sz w:val="21"/>
                      <w:szCs w:val="21"/>
                      <w:highlight w:val="none"/>
                      <w:lang w:val="en-US" w:eastAsia="zh-CN"/>
                    </w:rPr>
                    <w:t>废水：生活污水</w:t>
                  </w:r>
                  <w:r>
                    <w:rPr>
                      <w:rFonts w:hint="eastAsia" w:cs="Times New Roman"/>
                      <w:b w:val="0"/>
                      <w:bCs w:val="0"/>
                      <w:color w:val="auto"/>
                      <w:sz w:val="21"/>
                      <w:szCs w:val="21"/>
                      <w:highlight w:val="none"/>
                      <w:lang w:val="en-US" w:eastAsia="zh-CN"/>
                    </w:rPr>
                    <w:t>、生产废水</w:t>
                  </w:r>
                  <w:r>
                    <w:rPr>
                      <w:rFonts w:hint="default" w:ascii="Times New Roman" w:hAnsi="Times New Roman" w:eastAsia="宋体" w:cs="Times New Roman"/>
                      <w:b w:val="0"/>
                      <w:bCs w:val="0"/>
                      <w:color w:val="auto"/>
                      <w:sz w:val="21"/>
                      <w:szCs w:val="21"/>
                      <w:highlight w:val="none"/>
                      <w:lang w:val="en-US" w:eastAsia="zh-CN"/>
                    </w:rPr>
                    <w:t>；废气：颗粒物、TVOC；噪声；固废</w:t>
                  </w:r>
                </w:p>
              </w:tc>
            </w:tr>
            <w:tr w14:paraId="4750E17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7087855D">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10</w:t>
                  </w:r>
                </w:p>
              </w:tc>
              <w:tc>
                <w:tcPr>
                  <w:tcW w:w="1674" w:type="dxa"/>
                  <w:tcBorders>
                    <w:tl2br w:val="nil"/>
                    <w:tr2bl w:val="nil"/>
                  </w:tcBorders>
                  <w:noWrap w:val="0"/>
                  <w:vAlign w:val="center"/>
                </w:tcPr>
                <w:p w14:paraId="2CDBDA38">
                  <w:pPr>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宋体"/>
                      <w:color w:val="auto"/>
                      <w:szCs w:val="21"/>
                      <w:lang w:bidi="ar"/>
                    </w:rPr>
                    <w:t>云南奇高新能源科技有限公司</w:t>
                  </w:r>
                </w:p>
              </w:tc>
              <w:tc>
                <w:tcPr>
                  <w:tcW w:w="1278" w:type="dxa"/>
                  <w:tcBorders>
                    <w:tl2br w:val="nil"/>
                    <w:tr2bl w:val="nil"/>
                  </w:tcBorders>
                  <w:noWrap w:val="0"/>
                  <w:vAlign w:val="center"/>
                </w:tcPr>
                <w:p w14:paraId="3466A3BF">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西北侧209</w:t>
                  </w:r>
                  <w:r>
                    <w:rPr>
                      <w:rFonts w:hint="default" w:ascii="Times New Roman" w:hAnsi="Times New Roman" w:eastAsia="宋体" w:cs="Times New Roman"/>
                      <w:b w:val="0"/>
                      <w:bCs w:val="0"/>
                      <w:color w:val="auto"/>
                      <w:sz w:val="21"/>
                      <w:szCs w:val="21"/>
                      <w:highlight w:val="none"/>
                      <w:lang w:val="en-US" w:eastAsia="zh-CN"/>
                    </w:rPr>
                    <w:t>m</w:t>
                  </w:r>
                </w:p>
              </w:tc>
              <w:tc>
                <w:tcPr>
                  <w:tcW w:w="1500" w:type="dxa"/>
                  <w:tcBorders>
                    <w:tl2br w:val="nil"/>
                    <w:tr2bl w:val="nil"/>
                  </w:tcBorders>
                  <w:noWrap w:val="0"/>
                  <w:vAlign w:val="center"/>
                </w:tcPr>
                <w:p w14:paraId="07C3455E">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新型材料生产</w:t>
                  </w:r>
                </w:p>
              </w:tc>
              <w:tc>
                <w:tcPr>
                  <w:tcW w:w="3055" w:type="dxa"/>
                  <w:tcBorders>
                    <w:tl2br w:val="nil"/>
                    <w:tr2bl w:val="nil"/>
                  </w:tcBorders>
                  <w:noWrap w:val="0"/>
                  <w:vAlign w:val="center"/>
                </w:tcPr>
                <w:p w14:paraId="7CBAFBA7">
                  <w:pPr>
                    <w:shd w:val="clear"/>
                    <w:spacing w:before="0"/>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b w:val="0"/>
                      <w:bCs w:val="0"/>
                      <w:color w:val="auto"/>
                      <w:sz w:val="21"/>
                      <w:szCs w:val="21"/>
                      <w:highlight w:val="none"/>
                      <w:lang w:val="en-US" w:eastAsia="zh-CN"/>
                    </w:rPr>
                    <w:t>废水：生活污水</w:t>
                  </w:r>
                  <w:r>
                    <w:rPr>
                      <w:rFonts w:hint="eastAsia" w:cs="Times New Roman"/>
                      <w:b w:val="0"/>
                      <w:bCs w:val="0"/>
                      <w:color w:val="auto"/>
                      <w:sz w:val="21"/>
                      <w:szCs w:val="21"/>
                      <w:highlight w:val="none"/>
                      <w:lang w:val="en-US" w:eastAsia="zh-CN"/>
                    </w:rPr>
                    <w:t>、生产废水</w:t>
                  </w:r>
                  <w:r>
                    <w:rPr>
                      <w:rFonts w:hint="default" w:ascii="Times New Roman" w:hAnsi="Times New Roman" w:eastAsia="宋体" w:cs="Times New Roman"/>
                      <w:b w:val="0"/>
                      <w:bCs w:val="0"/>
                      <w:color w:val="auto"/>
                      <w:sz w:val="21"/>
                      <w:szCs w:val="21"/>
                      <w:highlight w:val="none"/>
                      <w:lang w:val="en-US" w:eastAsia="zh-CN"/>
                    </w:rPr>
                    <w:t>；废气：颗粒物、TVOC；噪声；固废</w:t>
                  </w:r>
                </w:p>
              </w:tc>
            </w:tr>
            <w:tr w14:paraId="3D5E58B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14A69D11">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11</w:t>
                  </w:r>
                </w:p>
              </w:tc>
              <w:tc>
                <w:tcPr>
                  <w:tcW w:w="1674" w:type="dxa"/>
                  <w:tcBorders>
                    <w:tl2br w:val="nil"/>
                    <w:tr2bl w:val="nil"/>
                  </w:tcBorders>
                  <w:noWrap w:val="0"/>
                  <w:vAlign w:val="center"/>
                </w:tcPr>
                <w:p w14:paraId="18348A2E">
                  <w:pPr>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宋体"/>
                      <w:color w:val="auto"/>
                      <w:szCs w:val="21"/>
                      <w:lang w:bidi="ar"/>
                    </w:rPr>
                    <w:t>云南鹏达冠得家具有限公司</w:t>
                  </w:r>
                </w:p>
              </w:tc>
              <w:tc>
                <w:tcPr>
                  <w:tcW w:w="1278" w:type="dxa"/>
                  <w:tcBorders>
                    <w:tl2br w:val="nil"/>
                    <w:tr2bl w:val="nil"/>
                  </w:tcBorders>
                  <w:noWrap w:val="0"/>
                  <w:vAlign w:val="center"/>
                </w:tcPr>
                <w:p w14:paraId="52B4FDDD">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西北侧267m</w:t>
                  </w:r>
                </w:p>
              </w:tc>
              <w:tc>
                <w:tcPr>
                  <w:tcW w:w="1500" w:type="dxa"/>
                  <w:tcBorders>
                    <w:tl2br w:val="nil"/>
                    <w:tr2bl w:val="nil"/>
                  </w:tcBorders>
                  <w:noWrap w:val="0"/>
                  <w:vAlign w:val="center"/>
                </w:tcPr>
                <w:p w14:paraId="1E5B1BF3">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家具生产</w:t>
                  </w:r>
                </w:p>
              </w:tc>
              <w:tc>
                <w:tcPr>
                  <w:tcW w:w="3055" w:type="dxa"/>
                  <w:tcBorders>
                    <w:tl2br w:val="nil"/>
                    <w:tr2bl w:val="nil"/>
                  </w:tcBorders>
                  <w:noWrap w:val="0"/>
                  <w:vAlign w:val="center"/>
                </w:tcPr>
                <w:p w14:paraId="09A0ABE7">
                  <w:pPr>
                    <w:shd w:val="clear"/>
                    <w:spacing w:before="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废水：生活污水</w:t>
                  </w:r>
                  <w:r>
                    <w:rPr>
                      <w:rFonts w:hint="eastAsia" w:cs="Times New Roman"/>
                      <w:b w:val="0"/>
                      <w:bCs w:val="0"/>
                      <w:color w:val="auto"/>
                      <w:sz w:val="21"/>
                      <w:szCs w:val="21"/>
                      <w:highlight w:val="none"/>
                      <w:lang w:val="en-US" w:eastAsia="zh-CN"/>
                    </w:rPr>
                    <w:t>、生产废水</w:t>
                  </w:r>
                  <w:r>
                    <w:rPr>
                      <w:rFonts w:hint="default" w:ascii="Times New Roman" w:hAnsi="Times New Roman" w:eastAsia="宋体" w:cs="Times New Roman"/>
                      <w:b w:val="0"/>
                      <w:bCs w:val="0"/>
                      <w:color w:val="auto"/>
                      <w:sz w:val="21"/>
                      <w:szCs w:val="21"/>
                      <w:highlight w:val="none"/>
                      <w:lang w:val="en-US" w:eastAsia="zh-CN"/>
                    </w:rPr>
                    <w:t>；废气：颗粒物、TVOC；噪声；固废</w:t>
                  </w:r>
                </w:p>
              </w:tc>
            </w:tr>
            <w:tr w14:paraId="44D3EDE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4339F564">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12</w:t>
                  </w:r>
                </w:p>
              </w:tc>
              <w:tc>
                <w:tcPr>
                  <w:tcW w:w="1674" w:type="dxa"/>
                  <w:tcBorders>
                    <w:tl2br w:val="nil"/>
                    <w:tr2bl w:val="nil"/>
                  </w:tcBorders>
                  <w:noWrap w:val="0"/>
                  <w:vAlign w:val="center"/>
                </w:tcPr>
                <w:p w14:paraId="5062D664">
                  <w:pPr>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宋体"/>
                      <w:color w:val="auto"/>
                      <w:szCs w:val="21"/>
                      <w:lang w:bidi="ar"/>
                    </w:rPr>
                    <w:t>云南</w:t>
                  </w:r>
                  <w:r>
                    <w:rPr>
                      <w:rFonts w:hint="eastAsia" w:cs="宋体"/>
                      <w:color w:val="auto"/>
                      <w:szCs w:val="21"/>
                      <w:lang w:eastAsia="zh-CN" w:bidi="ar"/>
                    </w:rPr>
                    <w:t>伟路</w:t>
                  </w:r>
                  <w:r>
                    <w:rPr>
                      <w:rFonts w:hint="eastAsia" w:cs="宋体"/>
                      <w:color w:val="auto"/>
                      <w:szCs w:val="21"/>
                      <w:lang w:bidi="ar"/>
                    </w:rPr>
                    <w:t>管道有限公司</w:t>
                  </w:r>
                </w:p>
              </w:tc>
              <w:tc>
                <w:tcPr>
                  <w:tcW w:w="1278" w:type="dxa"/>
                  <w:tcBorders>
                    <w:tl2br w:val="nil"/>
                    <w:tr2bl w:val="nil"/>
                  </w:tcBorders>
                  <w:noWrap w:val="0"/>
                  <w:vAlign w:val="center"/>
                </w:tcPr>
                <w:p w14:paraId="29347CE9">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西北侧299m</w:t>
                  </w:r>
                </w:p>
              </w:tc>
              <w:tc>
                <w:tcPr>
                  <w:tcW w:w="1500" w:type="dxa"/>
                  <w:tcBorders>
                    <w:tl2br w:val="nil"/>
                    <w:tr2bl w:val="nil"/>
                  </w:tcBorders>
                  <w:noWrap w:val="0"/>
                  <w:vAlign w:val="center"/>
                </w:tcPr>
                <w:p w14:paraId="38C8AD91">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PP、PE、PVC管道生产</w:t>
                  </w:r>
                </w:p>
              </w:tc>
              <w:tc>
                <w:tcPr>
                  <w:tcW w:w="3055" w:type="dxa"/>
                  <w:tcBorders>
                    <w:tl2br w:val="nil"/>
                    <w:tr2bl w:val="nil"/>
                  </w:tcBorders>
                  <w:noWrap w:val="0"/>
                  <w:vAlign w:val="center"/>
                </w:tcPr>
                <w:p w14:paraId="3D886037">
                  <w:pPr>
                    <w:shd w:val="clear"/>
                    <w:spacing w:before="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废水：生活污水</w:t>
                  </w:r>
                  <w:r>
                    <w:rPr>
                      <w:rFonts w:hint="eastAsia" w:cs="Times New Roman"/>
                      <w:b w:val="0"/>
                      <w:bCs w:val="0"/>
                      <w:color w:val="auto"/>
                      <w:sz w:val="21"/>
                      <w:szCs w:val="21"/>
                      <w:highlight w:val="none"/>
                      <w:lang w:val="en-US" w:eastAsia="zh-CN"/>
                    </w:rPr>
                    <w:t>、生产废水</w:t>
                  </w:r>
                  <w:r>
                    <w:rPr>
                      <w:rFonts w:hint="default" w:ascii="Times New Roman" w:hAnsi="Times New Roman" w:eastAsia="宋体" w:cs="Times New Roman"/>
                      <w:b w:val="0"/>
                      <w:bCs w:val="0"/>
                      <w:color w:val="auto"/>
                      <w:sz w:val="21"/>
                      <w:szCs w:val="21"/>
                      <w:highlight w:val="none"/>
                      <w:lang w:val="en-US" w:eastAsia="zh-CN"/>
                    </w:rPr>
                    <w:t>；废气：颗粒物、TVOC；噪声；固废</w:t>
                  </w:r>
                </w:p>
              </w:tc>
            </w:tr>
            <w:tr w14:paraId="3C113B9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5FD395B9">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13</w:t>
                  </w:r>
                </w:p>
              </w:tc>
              <w:tc>
                <w:tcPr>
                  <w:tcW w:w="1674" w:type="dxa"/>
                  <w:tcBorders>
                    <w:tl2br w:val="nil"/>
                    <w:tr2bl w:val="nil"/>
                  </w:tcBorders>
                  <w:noWrap w:val="0"/>
                  <w:vAlign w:val="center"/>
                </w:tcPr>
                <w:p w14:paraId="2F5825D9">
                  <w:pPr>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宋体"/>
                      <w:color w:val="auto"/>
                      <w:szCs w:val="21"/>
                      <w:lang w:bidi="ar"/>
                    </w:rPr>
                    <w:t>昆明铂林塑胶制品有限公司</w:t>
                  </w:r>
                </w:p>
              </w:tc>
              <w:tc>
                <w:tcPr>
                  <w:tcW w:w="1278" w:type="dxa"/>
                  <w:tcBorders>
                    <w:tl2br w:val="nil"/>
                    <w:tr2bl w:val="nil"/>
                  </w:tcBorders>
                  <w:noWrap w:val="0"/>
                  <w:vAlign w:val="center"/>
                </w:tcPr>
                <w:p w14:paraId="6F418418">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西侧464m</w:t>
                  </w:r>
                </w:p>
              </w:tc>
              <w:tc>
                <w:tcPr>
                  <w:tcW w:w="1500" w:type="dxa"/>
                  <w:tcBorders>
                    <w:tl2br w:val="nil"/>
                    <w:tr2bl w:val="nil"/>
                  </w:tcBorders>
                  <w:noWrap w:val="0"/>
                  <w:vAlign w:val="center"/>
                </w:tcPr>
                <w:p w14:paraId="6DE22C8E">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塑胶制品生产</w:t>
                  </w:r>
                </w:p>
              </w:tc>
              <w:tc>
                <w:tcPr>
                  <w:tcW w:w="3055" w:type="dxa"/>
                  <w:tcBorders>
                    <w:tl2br w:val="nil"/>
                    <w:tr2bl w:val="nil"/>
                  </w:tcBorders>
                  <w:noWrap w:val="0"/>
                  <w:vAlign w:val="center"/>
                </w:tcPr>
                <w:p w14:paraId="385C43D2">
                  <w:pPr>
                    <w:shd w:val="clear"/>
                    <w:spacing w:before="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废水：生活污水</w:t>
                  </w:r>
                  <w:r>
                    <w:rPr>
                      <w:rFonts w:hint="eastAsia" w:cs="Times New Roman"/>
                      <w:b w:val="0"/>
                      <w:bCs w:val="0"/>
                      <w:color w:val="auto"/>
                      <w:sz w:val="21"/>
                      <w:szCs w:val="21"/>
                      <w:highlight w:val="none"/>
                      <w:lang w:val="en-US" w:eastAsia="zh-CN"/>
                    </w:rPr>
                    <w:t>、生产废水</w:t>
                  </w:r>
                  <w:r>
                    <w:rPr>
                      <w:rFonts w:hint="default" w:ascii="Times New Roman" w:hAnsi="Times New Roman" w:eastAsia="宋体" w:cs="Times New Roman"/>
                      <w:b w:val="0"/>
                      <w:bCs w:val="0"/>
                      <w:color w:val="auto"/>
                      <w:sz w:val="21"/>
                      <w:szCs w:val="21"/>
                      <w:highlight w:val="none"/>
                      <w:lang w:val="en-US" w:eastAsia="zh-CN"/>
                    </w:rPr>
                    <w:t>；废气：颗粒物、TVOC；噪声；固废</w:t>
                  </w:r>
                </w:p>
              </w:tc>
            </w:tr>
            <w:tr w14:paraId="08723C9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7765276D">
                  <w:pPr>
                    <w:pStyle w:val="77"/>
                    <w:shd w:val="clear"/>
                    <w:spacing w:before="0"/>
                    <w:jc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14</w:t>
                  </w:r>
                </w:p>
              </w:tc>
              <w:tc>
                <w:tcPr>
                  <w:tcW w:w="1674" w:type="dxa"/>
                  <w:tcBorders>
                    <w:tl2br w:val="nil"/>
                    <w:tr2bl w:val="nil"/>
                  </w:tcBorders>
                  <w:noWrap w:val="0"/>
                  <w:vAlign w:val="center"/>
                </w:tcPr>
                <w:p w14:paraId="39D523E9">
                  <w:pPr>
                    <w:snapToGrid w:val="0"/>
                    <w:jc w:val="center"/>
                    <w:rPr>
                      <w:rFonts w:hint="eastAsia" w:cs="宋体"/>
                      <w:color w:val="auto"/>
                      <w:szCs w:val="21"/>
                      <w:lang w:bidi="ar"/>
                    </w:rPr>
                  </w:pPr>
                  <w:r>
                    <w:rPr>
                      <w:rFonts w:hint="eastAsia" w:ascii="Times New Roman" w:hAnsi="Times New Roman" w:eastAsia="宋体" w:cs="宋体"/>
                      <w:color w:val="auto"/>
                      <w:szCs w:val="21"/>
                      <w:lang w:val="zh-CN" w:bidi="ar"/>
                    </w:rPr>
                    <w:t>云南圣唯铝业有限责任公司</w:t>
                  </w:r>
                </w:p>
              </w:tc>
              <w:tc>
                <w:tcPr>
                  <w:tcW w:w="1278" w:type="dxa"/>
                  <w:tcBorders>
                    <w:tl2br w:val="nil"/>
                    <w:tr2bl w:val="nil"/>
                  </w:tcBorders>
                  <w:noWrap w:val="0"/>
                  <w:vAlign w:val="center"/>
                </w:tcPr>
                <w:p w14:paraId="005F3678">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南侧24m</w:t>
                  </w:r>
                </w:p>
              </w:tc>
              <w:tc>
                <w:tcPr>
                  <w:tcW w:w="1500" w:type="dxa"/>
                  <w:tcBorders>
                    <w:tl2br w:val="nil"/>
                    <w:tr2bl w:val="nil"/>
                  </w:tcBorders>
                  <w:noWrap w:val="0"/>
                  <w:vAlign w:val="center"/>
                </w:tcPr>
                <w:p w14:paraId="306EF9FE">
                  <w:pPr>
                    <w:pStyle w:val="77"/>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铝型材生产</w:t>
                  </w:r>
                </w:p>
              </w:tc>
              <w:tc>
                <w:tcPr>
                  <w:tcW w:w="3055" w:type="dxa"/>
                  <w:tcBorders>
                    <w:tl2br w:val="nil"/>
                    <w:tr2bl w:val="nil"/>
                  </w:tcBorders>
                  <w:noWrap w:val="0"/>
                  <w:vAlign w:val="center"/>
                </w:tcPr>
                <w:p w14:paraId="69C7E0B4">
                  <w:pPr>
                    <w:shd w:val="clear"/>
                    <w:spacing w:before="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废水：生活污水</w:t>
                  </w:r>
                  <w:r>
                    <w:rPr>
                      <w:rFonts w:hint="eastAsia" w:cs="Times New Roman"/>
                      <w:b w:val="0"/>
                      <w:bCs w:val="0"/>
                      <w:color w:val="auto"/>
                      <w:sz w:val="21"/>
                      <w:szCs w:val="21"/>
                      <w:highlight w:val="none"/>
                      <w:lang w:val="en-US" w:eastAsia="zh-CN"/>
                    </w:rPr>
                    <w:t>、生产废水</w:t>
                  </w:r>
                  <w:r>
                    <w:rPr>
                      <w:rFonts w:hint="default" w:ascii="Times New Roman" w:hAnsi="Times New Roman" w:eastAsia="宋体" w:cs="Times New Roman"/>
                      <w:b w:val="0"/>
                      <w:bCs w:val="0"/>
                      <w:color w:val="auto"/>
                      <w:sz w:val="21"/>
                      <w:szCs w:val="21"/>
                      <w:highlight w:val="none"/>
                      <w:lang w:val="en-US" w:eastAsia="zh-CN"/>
                    </w:rPr>
                    <w:t>；废气：颗粒物、TVOC；噪声；固废</w:t>
                  </w:r>
                </w:p>
              </w:tc>
            </w:tr>
            <w:tr w14:paraId="0A13ED8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7" w:type="dxa"/>
                  <w:tcBorders>
                    <w:tl2br w:val="nil"/>
                    <w:tr2bl w:val="nil"/>
                  </w:tcBorders>
                  <w:noWrap w:val="0"/>
                  <w:vAlign w:val="center"/>
                </w:tcPr>
                <w:p w14:paraId="2B3AEB24">
                  <w:pPr>
                    <w:pStyle w:val="77"/>
                    <w:shd w:val="clear"/>
                    <w:spacing w:before="0"/>
                    <w:jc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15</w:t>
                  </w:r>
                </w:p>
              </w:tc>
              <w:tc>
                <w:tcPr>
                  <w:tcW w:w="1674" w:type="dxa"/>
                  <w:tcBorders>
                    <w:tl2br w:val="nil"/>
                    <w:tr2bl w:val="nil"/>
                  </w:tcBorders>
                  <w:noWrap w:val="0"/>
                  <w:vAlign w:val="center"/>
                </w:tcPr>
                <w:p w14:paraId="07144921">
                  <w:pPr>
                    <w:snapToGrid w:val="0"/>
                    <w:jc w:val="center"/>
                    <w:rPr>
                      <w:rFonts w:hint="eastAsia" w:ascii="Times New Roman" w:hAnsi="Times New Roman" w:eastAsia="宋体" w:cs="宋体"/>
                      <w:color w:val="auto"/>
                      <w:szCs w:val="21"/>
                      <w:lang w:val="zh-CN" w:bidi="ar"/>
                    </w:rPr>
                  </w:pPr>
                  <w:r>
                    <w:rPr>
                      <w:rFonts w:hint="eastAsia" w:cs="宋体"/>
                      <w:color w:val="auto"/>
                      <w:szCs w:val="21"/>
                      <w:lang w:val="zh-CN" w:bidi="ar"/>
                    </w:rPr>
                    <w:t>雅立博涂料有限公司</w:t>
                  </w:r>
                </w:p>
              </w:tc>
              <w:tc>
                <w:tcPr>
                  <w:tcW w:w="1278" w:type="dxa"/>
                  <w:tcBorders>
                    <w:tl2br w:val="nil"/>
                    <w:tr2bl w:val="nil"/>
                  </w:tcBorders>
                  <w:noWrap w:val="0"/>
                  <w:vAlign w:val="center"/>
                </w:tcPr>
                <w:p w14:paraId="148CBA2D">
                  <w:pPr>
                    <w:shd w:val="clear"/>
                    <w:jc w:val="center"/>
                    <w:rPr>
                      <w:rFonts w:hint="default"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北侧190m</w:t>
                  </w:r>
                </w:p>
              </w:tc>
              <w:tc>
                <w:tcPr>
                  <w:tcW w:w="1500" w:type="dxa"/>
                  <w:tcBorders>
                    <w:tl2br w:val="nil"/>
                    <w:tr2bl w:val="nil"/>
                  </w:tcBorders>
                  <w:noWrap w:val="0"/>
                  <w:vAlign w:val="center"/>
                </w:tcPr>
                <w:p w14:paraId="3B7FAC27">
                  <w:pPr>
                    <w:pStyle w:val="77"/>
                    <w:shd w:val="clear"/>
                    <w:spacing w:before="0"/>
                    <w:jc w:val="center"/>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涂料生产</w:t>
                  </w:r>
                </w:p>
              </w:tc>
              <w:tc>
                <w:tcPr>
                  <w:tcW w:w="3055" w:type="dxa"/>
                  <w:tcBorders>
                    <w:tl2br w:val="nil"/>
                    <w:tr2bl w:val="nil"/>
                  </w:tcBorders>
                  <w:noWrap w:val="0"/>
                  <w:vAlign w:val="center"/>
                </w:tcPr>
                <w:p w14:paraId="7D107A12">
                  <w:pPr>
                    <w:shd w:val="clear"/>
                    <w:spacing w:before="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废水：生活污水</w:t>
                  </w:r>
                  <w:r>
                    <w:rPr>
                      <w:rFonts w:hint="eastAsia" w:cs="Times New Roman"/>
                      <w:b w:val="0"/>
                      <w:bCs w:val="0"/>
                      <w:color w:val="auto"/>
                      <w:sz w:val="21"/>
                      <w:szCs w:val="21"/>
                      <w:highlight w:val="none"/>
                      <w:lang w:val="en-US" w:eastAsia="zh-CN"/>
                    </w:rPr>
                    <w:t>、生产废水</w:t>
                  </w:r>
                  <w:r>
                    <w:rPr>
                      <w:rFonts w:hint="default" w:ascii="Times New Roman" w:hAnsi="Times New Roman" w:eastAsia="宋体" w:cs="Times New Roman"/>
                      <w:b w:val="0"/>
                      <w:bCs w:val="0"/>
                      <w:color w:val="auto"/>
                      <w:sz w:val="21"/>
                      <w:szCs w:val="21"/>
                      <w:highlight w:val="none"/>
                      <w:lang w:val="en-US" w:eastAsia="zh-CN"/>
                    </w:rPr>
                    <w:t>；废气：颗粒物、TVOC；噪声；固废</w:t>
                  </w:r>
                </w:p>
              </w:tc>
            </w:tr>
          </w:tbl>
          <w:p w14:paraId="323C304A">
            <w:pPr>
              <w:pStyle w:val="71"/>
              <w:keepNext w:val="0"/>
              <w:keepLines w:val="0"/>
              <w:pageBreakBefore w:val="0"/>
              <w:widowControl w:val="0"/>
              <w:shd w:val="clear"/>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en-US" w:eastAsia="zh-CN" w:bidi="ar-SA"/>
              </w:rPr>
              <w:t>从对项目周边企业情况调查可知，周围的企业对本项目无制约性因素。根据工程分析，</w:t>
            </w:r>
            <w:r>
              <w:rPr>
                <w:rFonts w:hint="default" w:ascii="Times New Roman" w:hAnsi="Times New Roman" w:eastAsia="宋体" w:cs="Times New Roman"/>
                <w:color w:val="auto"/>
                <w:kern w:val="2"/>
                <w:sz w:val="24"/>
                <w:szCs w:val="24"/>
                <w:highlight w:val="none"/>
                <w:lang w:val="zh-CN" w:eastAsia="zh-CN" w:bidi="ar-SA"/>
              </w:rPr>
              <w:t>项目</w:t>
            </w:r>
            <w:r>
              <w:rPr>
                <w:rFonts w:hint="default" w:ascii="Times New Roman" w:hAnsi="Times New Roman" w:eastAsia="宋体" w:cs="Times New Roman"/>
                <w:color w:val="auto"/>
                <w:kern w:val="2"/>
                <w:sz w:val="24"/>
                <w:szCs w:val="24"/>
                <w:highlight w:val="none"/>
                <w:lang w:val="en-US" w:eastAsia="zh-CN" w:bidi="ar-SA"/>
              </w:rPr>
              <w:t>产生的</w:t>
            </w:r>
            <w:r>
              <w:rPr>
                <w:rFonts w:hint="default" w:ascii="Times New Roman" w:hAnsi="Times New Roman" w:eastAsia="宋体" w:cs="Times New Roman"/>
                <w:color w:val="auto"/>
                <w:kern w:val="2"/>
                <w:sz w:val="24"/>
                <w:szCs w:val="24"/>
                <w:highlight w:val="none"/>
                <w:lang w:val="zh-CN" w:eastAsia="zh-CN" w:bidi="ar-SA"/>
              </w:rPr>
              <w:t>噪声、废气均能达标排放，</w:t>
            </w:r>
            <w:r>
              <w:rPr>
                <w:rFonts w:hint="default" w:ascii="Times New Roman" w:hAnsi="Times New Roman" w:eastAsia="宋体" w:cs="Times New Roman"/>
                <w:color w:val="auto"/>
                <w:kern w:val="2"/>
                <w:sz w:val="24"/>
                <w:szCs w:val="24"/>
                <w:highlight w:val="none"/>
                <w:lang w:val="en-US" w:eastAsia="zh-CN" w:bidi="ar-SA"/>
              </w:rPr>
              <w:t>废水全部回用</w:t>
            </w:r>
            <w:r>
              <w:rPr>
                <w:rFonts w:hint="default" w:ascii="Times New Roman" w:hAnsi="Times New Roman" w:eastAsia="宋体" w:cs="Times New Roman"/>
                <w:color w:val="auto"/>
                <w:kern w:val="2"/>
                <w:sz w:val="24"/>
                <w:szCs w:val="24"/>
                <w:highlight w:val="none"/>
                <w:lang w:val="zh-CN" w:eastAsia="zh-CN" w:bidi="ar-SA"/>
              </w:rPr>
              <w:t>，</w:t>
            </w:r>
            <w:r>
              <w:rPr>
                <w:rFonts w:hint="default" w:ascii="Times New Roman" w:hAnsi="Times New Roman" w:eastAsia="宋体" w:cs="Times New Roman"/>
                <w:color w:val="auto"/>
                <w:kern w:val="2"/>
                <w:sz w:val="24"/>
                <w:szCs w:val="24"/>
                <w:highlight w:val="none"/>
                <w:lang w:val="en-US" w:eastAsia="zh-CN" w:bidi="ar-SA"/>
              </w:rPr>
              <w:t>固体废物100%合理处置，</w:t>
            </w:r>
            <w:r>
              <w:rPr>
                <w:rFonts w:hint="default" w:ascii="Times New Roman" w:hAnsi="Times New Roman" w:eastAsia="宋体" w:cs="Times New Roman"/>
                <w:color w:val="auto"/>
                <w:kern w:val="2"/>
                <w:sz w:val="24"/>
                <w:szCs w:val="24"/>
                <w:highlight w:val="none"/>
                <w:lang w:val="zh-CN" w:eastAsia="zh-CN" w:bidi="ar-SA"/>
              </w:rPr>
              <w:t>项目的生产对周围企业的影响不大。</w:t>
            </w:r>
          </w:p>
          <w:p w14:paraId="1CAFD65C">
            <w:pPr>
              <w:pStyle w:val="71"/>
              <w:keepNext w:val="0"/>
              <w:keepLines w:val="0"/>
              <w:pageBreakBefore w:val="0"/>
              <w:widowControl w:val="0"/>
              <w:shd w:val="clear"/>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zh-CN" w:eastAsia="zh-CN" w:bidi="ar-SA"/>
              </w:rPr>
              <w:t>综上所述，本项目与</w:t>
            </w:r>
            <w:r>
              <w:rPr>
                <w:rFonts w:hint="default" w:ascii="Times New Roman" w:hAnsi="Times New Roman" w:eastAsia="宋体" w:cs="Times New Roman"/>
                <w:color w:val="auto"/>
                <w:kern w:val="2"/>
                <w:sz w:val="24"/>
                <w:szCs w:val="24"/>
                <w:highlight w:val="none"/>
                <w:lang w:val="en-US" w:eastAsia="zh-CN" w:bidi="ar-SA"/>
              </w:rPr>
              <w:t>周边</w:t>
            </w:r>
            <w:r>
              <w:rPr>
                <w:rFonts w:hint="default" w:ascii="Times New Roman" w:hAnsi="Times New Roman" w:eastAsia="宋体" w:cs="Times New Roman"/>
                <w:color w:val="auto"/>
                <w:kern w:val="2"/>
                <w:sz w:val="24"/>
                <w:szCs w:val="24"/>
                <w:highlight w:val="none"/>
                <w:lang w:val="zh-CN" w:eastAsia="zh-CN" w:bidi="ar-SA"/>
              </w:rPr>
              <w:t>环境是相容的</w:t>
            </w:r>
            <w:r>
              <w:rPr>
                <w:rFonts w:hint="eastAsia" w:cs="Times New Roman"/>
                <w:color w:val="auto"/>
                <w:kern w:val="2"/>
                <w:sz w:val="24"/>
                <w:szCs w:val="24"/>
                <w:highlight w:val="none"/>
                <w:lang w:val="zh-CN" w:eastAsia="zh-CN" w:bidi="ar-SA"/>
              </w:rPr>
              <w:t>。</w:t>
            </w:r>
          </w:p>
          <w:p w14:paraId="09074D40">
            <w:pPr>
              <w:pStyle w:val="71"/>
              <w:keepNext w:val="0"/>
              <w:keepLines w:val="0"/>
              <w:pageBreakBefore w:val="0"/>
              <w:widowControl w:val="0"/>
              <w:shd w:val="clear"/>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p>
          <w:p w14:paraId="4A9634F9">
            <w:pPr>
              <w:pStyle w:val="71"/>
              <w:keepNext w:val="0"/>
              <w:keepLines w:val="0"/>
              <w:pageBreakBefore w:val="0"/>
              <w:widowControl w:val="0"/>
              <w:shd w:val="clear"/>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color w:val="auto"/>
                <w:kern w:val="2"/>
                <w:sz w:val="24"/>
                <w:szCs w:val="24"/>
                <w:highlight w:val="none"/>
                <w:lang w:val="zh-CN" w:eastAsia="zh-CN" w:bidi="ar-SA"/>
              </w:rPr>
            </w:pPr>
          </w:p>
          <w:p w14:paraId="0403A09D">
            <w:pPr>
              <w:pStyle w:val="71"/>
              <w:keepNext w:val="0"/>
              <w:keepLines w:val="0"/>
              <w:pageBreakBefore w:val="0"/>
              <w:widowControl w:val="0"/>
              <w:shd w:val="clear"/>
              <w:kinsoku/>
              <w:wordWrap/>
              <w:overflowPunct/>
              <w:topLinePunct w:val="0"/>
              <w:autoSpaceDE w:val="0"/>
              <w:autoSpaceDN w:val="0"/>
              <w:bidi w:val="0"/>
              <w:adjustRightInd w:val="0"/>
              <w:snapToGrid/>
              <w:spacing w:line="360" w:lineRule="auto"/>
              <w:ind w:left="0" w:leftChars="0" w:firstLine="0" w:firstLineChars="0"/>
              <w:textAlignment w:val="auto"/>
              <w:rPr>
                <w:rFonts w:hint="default" w:ascii="Times New Roman" w:hAnsi="Times New Roman" w:eastAsia="宋体" w:cs="Times New Roman"/>
                <w:color w:val="auto"/>
                <w:kern w:val="0"/>
                <w:sz w:val="24"/>
                <w:szCs w:val="24"/>
                <w:highlight w:val="none"/>
              </w:rPr>
            </w:pPr>
          </w:p>
        </w:tc>
      </w:tr>
    </w:tbl>
    <w:p w14:paraId="65ABAA65">
      <w:pPr>
        <w:shd w:val="clear"/>
        <w:spacing w:line="360" w:lineRule="auto"/>
        <w:outlineLvl w:val="9"/>
        <w:rPr>
          <w:rFonts w:hint="default" w:ascii="Times New Roman" w:hAnsi="Times New Roman" w:eastAsia="宋体" w:cs="Times New Roman"/>
          <w:color w:val="auto"/>
          <w:sz w:val="30"/>
          <w:highlight w:val="none"/>
        </w:rPr>
        <w:sectPr>
          <w:footerReference r:id="rId8"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029D25A6">
      <w:pPr>
        <w:pStyle w:val="25"/>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13" w:name="_Toc22458"/>
      <w:bookmarkStart w:id="14" w:name="_Toc1587"/>
      <w:r>
        <w:rPr>
          <w:rFonts w:hint="default" w:ascii="Times New Roman" w:hAnsi="Times New Roman" w:eastAsia="宋体" w:cs="Times New Roman"/>
          <w:b/>
          <w:bCs/>
          <w:snapToGrid w:val="0"/>
          <w:color w:val="auto"/>
          <w:sz w:val="30"/>
          <w:szCs w:val="30"/>
          <w:highlight w:val="none"/>
        </w:rPr>
        <w:t>二、建设项目工程分析</w:t>
      </w:r>
      <w:bookmarkEnd w:id="13"/>
      <w:bookmarkEnd w:id="14"/>
    </w:p>
    <w:tbl>
      <w:tblPr>
        <w:tblStyle w:val="26"/>
        <w:tblW w:w="93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936"/>
      </w:tblGrid>
      <w:tr w14:paraId="7A9E50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6" w:hRule="atLeast"/>
          <w:jc w:val="center"/>
        </w:trPr>
        <w:tc>
          <w:tcPr>
            <w:tcW w:w="456" w:type="dxa"/>
            <w:vAlign w:val="center"/>
          </w:tcPr>
          <w:p w14:paraId="52281DBB">
            <w:pPr>
              <w:pStyle w:val="25"/>
              <w:shd w:val="clear"/>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建设内容</w:t>
            </w:r>
          </w:p>
        </w:tc>
        <w:tc>
          <w:tcPr>
            <w:tcW w:w="8936" w:type="dxa"/>
            <w:vAlign w:val="top"/>
          </w:tcPr>
          <w:p w14:paraId="4434BECB">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一、项目由来</w:t>
            </w:r>
          </w:p>
          <w:p w14:paraId="31DE9EFF">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昆明滇皖建材有限公司</w:t>
            </w:r>
            <w:r>
              <w:rPr>
                <w:rFonts w:hint="default" w:ascii="Times New Roman" w:hAnsi="Times New Roman" w:eastAsia="宋体" w:cs="Times New Roman"/>
                <w:color w:val="auto"/>
                <w:sz w:val="24"/>
                <w:highlight w:val="none"/>
                <w:lang w:val="en-US" w:eastAsia="zh-CN"/>
              </w:rPr>
              <w:t>成立于20</w:t>
            </w:r>
            <w:r>
              <w:rPr>
                <w:rFonts w:hint="eastAsia" w:cs="Times New Roman"/>
                <w:color w:val="auto"/>
                <w:sz w:val="24"/>
                <w:highlight w:val="none"/>
                <w:lang w:val="en-US" w:eastAsia="zh-CN"/>
              </w:rPr>
              <w:t>21</w:t>
            </w:r>
            <w:r>
              <w:rPr>
                <w:rFonts w:hint="default" w:ascii="Times New Roman" w:hAnsi="Times New Roman" w:eastAsia="宋体" w:cs="Times New Roman"/>
                <w:color w:val="auto"/>
                <w:sz w:val="24"/>
                <w:highlight w:val="none"/>
                <w:lang w:val="en-US" w:eastAsia="zh-CN"/>
              </w:rPr>
              <w:t>年0</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lang w:val="en-US" w:eastAsia="zh-CN"/>
              </w:rPr>
              <w:t>月</w:t>
            </w:r>
            <w:r>
              <w:rPr>
                <w:rFonts w:hint="eastAsia" w:cs="Times New Roman"/>
                <w:color w:val="auto"/>
                <w:sz w:val="24"/>
                <w:highlight w:val="none"/>
                <w:lang w:val="en-US" w:eastAsia="zh-CN"/>
              </w:rPr>
              <w:t>21</w:t>
            </w:r>
            <w:r>
              <w:rPr>
                <w:rFonts w:hint="default" w:ascii="Times New Roman" w:hAnsi="Times New Roman" w:eastAsia="宋体" w:cs="Times New Roman"/>
                <w:color w:val="auto"/>
                <w:sz w:val="24"/>
                <w:highlight w:val="none"/>
                <w:lang w:val="en-US" w:eastAsia="zh-CN"/>
              </w:rPr>
              <w:t>日，项目法人为</w:t>
            </w:r>
            <w:r>
              <w:rPr>
                <w:rFonts w:hint="eastAsia" w:cs="Times New Roman"/>
                <w:color w:val="auto"/>
                <w:sz w:val="24"/>
                <w:highlight w:val="none"/>
                <w:lang w:val="en-US" w:eastAsia="zh-CN"/>
              </w:rPr>
              <w:t>郭启军</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highlight w:val="none"/>
                <w:lang w:val="en-US" w:eastAsia="zh-CN"/>
              </w:rPr>
              <w:t>经营范围主要为</w:t>
            </w:r>
            <w:r>
              <w:rPr>
                <w:rFonts w:hint="eastAsia" w:cs="Times New Roman"/>
                <w:color w:val="auto"/>
                <w:sz w:val="24"/>
                <w:highlight w:val="none"/>
                <w:lang w:val="en-US" w:eastAsia="zh-CN"/>
              </w:rPr>
              <w:t>塑料板、管、型材制造；装饰材料生产及销售；竹木纤维集成墙板生产耗能及销售；普通货物道路运输</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szCs w:val="24"/>
                <w:highlight w:val="none"/>
                <w:lang w:val="en-US" w:eastAsia="zh-CN"/>
              </w:rPr>
              <w:t>现</w:t>
            </w:r>
            <w:r>
              <w:rPr>
                <w:rFonts w:hint="default" w:ascii="Times New Roman" w:hAnsi="Times New Roman" w:eastAsia="宋体" w:cs="Times New Roman"/>
                <w:color w:val="auto"/>
                <w:sz w:val="24"/>
                <w:szCs w:val="24"/>
                <w:highlight w:val="none"/>
                <w:lang w:val="zh-CN"/>
              </w:rPr>
              <w:t>拟投资</w:t>
            </w:r>
            <w:r>
              <w:rPr>
                <w:rFonts w:hint="eastAsia" w:cs="Times New Roman"/>
                <w:color w:val="auto"/>
                <w:sz w:val="24"/>
                <w:szCs w:val="24"/>
                <w:highlight w:val="none"/>
                <w:lang w:val="en-US" w:eastAsia="zh-CN"/>
              </w:rPr>
              <w:t>26</w:t>
            </w:r>
            <w:r>
              <w:rPr>
                <w:rFonts w:hint="default" w:ascii="Times New Roman" w:hAnsi="Times New Roman" w:eastAsia="宋体" w:cs="Times New Roman"/>
                <w:color w:val="auto"/>
                <w:sz w:val="24"/>
                <w:szCs w:val="24"/>
                <w:highlight w:val="none"/>
                <w:lang w:val="en-US" w:eastAsia="zh-CN"/>
              </w:rPr>
              <w:t>00</w:t>
            </w:r>
            <w:r>
              <w:rPr>
                <w:rFonts w:hint="default" w:ascii="Times New Roman" w:hAnsi="Times New Roman" w:eastAsia="宋体" w:cs="Times New Roman"/>
                <w:color w:val="auto"/>
                <w:sz w:val="24"/>
                <w:szCs w:val="24"/>
                <w:highlight w:val="none"/>
                <w:lang w:val="zh-CN"/>
              </w:rPr>
              <w:t>万元在</w:t>
            </w:r>
            <w:r>
              <w:rPr>
                <w:rFonts w:hint="default" w:ascii="Times New Roman" w:hAnsi="Times New Roman" w:eastAsia="宋体" w:cs="Times New Roman"/>
                <w:color w:val="auto"/>
                <w:sz w:val="24"/>
                <w:szCs w:val="24"/>
                <w:highlight w:val="none"/>
                <w:u w:val="none"/>
                <w:lang w:val="en-US" w:eastAsia="zh-CN"/>
              </w:rPr>
              <w:t>云南寻甸产业园区金所片区金所组团</w:t>
            </w:r>
            <w:r>
              <w:rPr>
                <w:rFonts w:hint="eastAsia" w:cs="Times New Roman"/>
                <w:color w:val="auto"/>
                <w:sz w:val="24"/>
                <w:szCs w:val="24"/>
                <w:highlight w:val="none"/>
                <w:u w:val="none"/>
                <w:lang w:val="en-US" w:eastAsia="zh-CN"/>
              </w:rPr>
              <w:t>绿色建材产业区</w:t>
            </w:r>
            <w:r>
              <w:rPr>
                <w:rFonts w:hint="default" w:ascii="Times New Roman" w:hAnsi="Times New Roman" w:eastAsia="宋体" w:cs="Times New Roman"/>
                <w:color w:val="auto"/>
                <w:sz w:val="24"/>
                <w:szCs w:val="24"/>
                <w:highlight w:val="none"/>
              </w:rPr>
              <w:t>内建设“</w:t>
            </w:r>
            <w:r>
              <w:rPr>
                <w:rFonts w:hint="default" w:ascii="Times New Roman" w:hAnsi="Times New Roman" w:eastAsia="宋体" w:cs="Times New Roman"/>
                <w:color w:val="auto"/>
                <w:sz w:val="24"/>
                <w:szCs w:val="24"/>
                <w:highlight w:val="none"/>
                <w:lang w:val="en-US" w:eastAsia="zh-CN"/>
              </w:rPr>
              <w:t>昆明滇皖建材有限公司新型墙体材料新建项目</w:t>
            </w:r>
            <w:r>
              <w:rPr>
                <w:rFonts w:hint="default" w:ascii="Times New Roman" w:hAnsi="Times New Roman" w:eastAsia="宋体" w:cs="Times New Roman"/>
                <w:color w:val="auto"/>
                <w:sz w:val="24"/>
                <w:szCs w:val="24"/>
                <w:highlight w:val="none"/>
              </w:rPr>
              <w:t>”。</w:t>
            </w:r>
          </w:p>
          <w:p w14:paraId="070430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sz w:val="24"/>
              </w:rPr>
              <w:t>项目</w:t>
            </w:r>
            <w:r>
              <w:rPr>
                <w:rFonts w:hint="eastAsia"/>
                <w:sz w:val="24"/>
                <w:lang w:eastAsia="zh-CN"/>
              </w:rPr>
              <w:t>租用云南得</w:t>
            </w:r>
            <w:r>
              <w:rPr>
                <w:rFonts w:hint="eastAsia"/>
                <w:sz w:val="24"/>
              </w:rPr>
              <w:t>奥海绵</w:t>
            </w:r>
            <w:r>
              <w:rPr>
                <w:rFonts w:hint="eastAsia"/>
                <w:sz w:val="24"/>
                <w:lang w:eastAsia="zh-CN"/>
              </w:rPr>
              <w:t>制造有限公司的已建标准厂房进行生产。</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项目已于</w:t>
            </w:r>
            <w:r>
              <w:rPr>
                <w:rFonts w:hint="default"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01</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lang w:val="en-US" w:eastAsia="zh-CN"/>
              </w:rPr>
              <w:t>日取得了寻甸产业园区管理委员会出具的</w:t>
            </w:r>
            <w:r>
              <w:rPr>
                <w:rFonts w:hint="eastAsia" w:cs="Times New Roman"/>
                <w:color w:val="auto"/>
                <w:sz w:val="24"/>
                <w:szCs w:val="24"/>
                <w:highlight w:val="none"/>
                <w:lang w:val="en-US" w:eastAsia="zh-CN"/>
              </w:rPr>
              <w:t>昆明滇皖建材有限公司新型墙体材料新建</w:t>
            </w:r>
            <w:r>
              <w:rPr>
                <w:rFonts w:hint="default" w:ascii="Times New Roman" w:hAnsi="Times New Roman" w:eastAsia="宋体" w:cs="Times New Roman"/>
                <w:color w:val="auto"/>
                <w:sz w:val="24"/>
                <w:szCs w:val="24"/>
                <w:highlight w:val="none"/>
                <w:lang w:val="en-US" w:eastAsia="zh-CN"/>
              </w:rPr>
              <w:t>项目入园申请同意书</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同意书中明确“园区认为此项目符合本园区产业发展，同意昆明滇皖建材有限公司《昆明滇皖建材有限公司新型墙体材料新建项目》入驻寻甸产业园区金所片区”。202</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01</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04</w:t>
            </w:r>
            <w:r>
              <w:rPr>
                <w:rFonts w:hint="default" w:ascii="Times New Roman" w:hAnsi="Times New Roman" w:eastAsia="宋体" w:cs="Times New Roman"/>
                <w:color w:val="auto"/>
                <w:sz w:val="24"/>
                <w:szCs w:val="24"/>
                <w:highlight w:val="none"/>
                <w:lang w:val="en-US" w:eastAsia="zh-CN"/>
              </w:rPr>
              <w:t>日</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昆明滇皖建材有限公司</w:t>
            </w:r>
            <w:r>
              <w:rPr>
                <w:rFonts w:hint="default" w:ascii="Times New Roman" w:hAnsi="Times New Roman" w:eastAsia="宋体" w:cs="Times New Roman"/>
                <w:color w:val="auto"/>
                <w:sz w:val="24"/>
                <w:szCs w:val="24"/>
                <w:highlight w:val="none"/>
              </w:rPr>
              <w:t>取得了</w:t>
            </w:r>
            <w:r>
              <w:rPr>
                <w:rFonts w:hint="default" w:ascii="Times New Roman" w:hAnsi="Times New Roman" w:eastAsia="宋体" w:cs="Times New Roman"/>
                <w:color w:val="auto"/>
                <w:sz w:val="24"/>
                <w:szCs w:val="24"/>
                <w:highlight w:val="none"/>
                <w:lang w:val="en-US" w:eastAsia="zh-CN"/>
              </w:rPr>
              <w:t>寻甸回族彝族自治县发展和改革局</w:t>
            </w:r>
            <w:r>
              <w:rPr>
                <w:rFonts w:hint="default" w:ascii="Times New Roman" w:hAnsi="Times New Roman" w:eastAsia="宋体" w:cs="Times New Roman"/>
                <w:color w:val="auto"/>
                <w:sz w:val="24"/>
                <w:szCs w:val="24"/>
                <w:highlight w:val="none"/>
              </w:rPr>
              <w:t>核发的</w:t>
            </w:r>
            <w:r>
              <w:rPr>
                <w:rFonts w:hint="default" w:ascii="Times New Roman" w:hAnsi="Times New Roman" w:eastAsia="宋体" w:cs="Times New Roman"/>
                <w:color w:val="auto"/>
                <w:sz w:val="24"/>
                <w:szCs w:val="24"/>
                <w:highlight w:val="none"/>
                <w:lang w:val="en-US" w:eastAsia="zh-CN"/>
              </w:rPr>
              <w:t>云南省固定资产投资项目备案证</w:t>
            </w:r>
            <w:r>
              <w:rPr>
                <w:rFonts w:hint="default" w:ascii="Times New Roman" w:hAnsi="Times New Roman" w:eastAsia="宋体" w:cs="Times New Roman"/>
                <w:color w:val="auto"/>
                <w:sz w:val="24"/>
                <w:szCs w:val="24"/>
                <w:highlight w:val="none"/>
              </w:rPr>
              <w:t>，项目代码为：</w:t>
            </w:r>
            <w:r>
              <w:rPr>
                <w:rFonts w:hint="default" w:ascii="Times New Roman" w:hAnsi="Times New Roman" w:eastAsia="宋体" w:cs="Times New Roman"/>
                <w:color w:val="auto"/>
                <w:sz w:val="24"/>
                <w:szCs w:val="24"/>
                <w:highlight w:val="none"/>
                <w:lang w:val="en-US" w:eastAsia="zh-CN"/>
              </w:rPr>
              <w:t>2</w:t>
            </w:r>
            <w:r>
              <w:rPr>
                <w:rFonts w:hint="eastAsia" w:cs="Times New Roman"/>
                <w:color w:val="auto"/>
                <w:sz w:val="24"/>
                <w:szCs w:val="24"/>
                <w:highlight w:val="none"/>
                <w:lang w:val="en-US" w:eastAsia="zh-CN"/>
              </w:rPr>
              <w:t>401</w:t>
            </w:r>
            <w:r>
              <w:rPr>
                <w:rFonts w:hint="default" w:ascii="Times New Roman" w:hAnsi="Times New Roman" w:eastAsia="宋体" w:cs="Times New Roman"/>
                <w:color w:val="auto"/>
                <w:sz w:val="24"/>
                <w:szCs w:val="24"/>
                <w:highlight w:val="none"/>
                <w:lang w:val="en-US" w:eastAsia="zh-CN"/>
              </w:rPr>
              <w:t>-530129-04-01-</w:t>
            </w:r>
            <w:r>
              <w:rPr>
                <w:rFonts w:hint="eastAsia" w:cs="Times New Roman"/>
                <w:color w:val="auto"/>
                <w:sz w:val="24"/>
                <w:szCs w:val="24"/>
                <w:highlight w:val="none"/>
                <w:lang w:val="en-US" w:eastAsia="zh-CN"/>
              </w:rPr>
              <w:t>504123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本项目为新建项目，总占地面积</w:t>
            </w:r>
            <w:r>
              <w:rPr>
                <w:rFonts w:hint="eastAsia" w:cs="Times New Roman"/>
                <w:color w:val="auto"/>
                <w:sz w:val="24"/>
                <w:szCs w:val="24"/>
                <w:highlight w:val="none"/>
                <w:lang w:val="en-US" w:eastAsia="zh-CN"/>
              </w:rPr>
              <w:t>4560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vertAlign w:val="baseline"/>
                <w:lang w:val="en-US" w:eastAsia="zh-CN"/>
              </w:rPr>
              <w:t>（约</w:t>
            </w:r>
            <w:r>
              <w:rPr>
                <w:rFonts w:hint="eastAsia" w:cs="Times New Roman"/>
                <w:color w:val="auto"/>
                <w:sz w:val="24"/>
                <w:szCs w:val="24"/>
                <w:highlight w:val="none"/>
                <w:vertAlign w:val="baseline"/>
                <w:lang w:val="en-US" w:eastAsia="zh-CN"/>
              </w:rPr>
              <w:t>6.8</w:t>
            </w:r>
            <w:r>
              <w:rPr>
                <w:rFonts w:hint="default" w:ascii="Times New Roman" w:hAnsi="Times New Roman" w:eastAsia="宋体" w:cs="Times New Roman"/>
                <w:color w:val="auto"/>
                <w:sz w:val="24"/>
                <w:szCs w:val="24"/>
                <w:highlight w:val="none"/>
                <w:vertAlign w:val="baseline"/>
                <w:lang w:val="en-US" w:eastAsia="zh-CN"/>
              </w:rPr>
              <w:t>亩）</w:t>
            </w:r>
            <w:r>
              <w:rPr>
                <w:rFonts w:hint="default" w:ascii="Times New Roman" w:hAnsi="Times New Roman" w:eastAsia="宋体" w:cs="Times New Roman"/>
                <w:color w:val="auto"/>
                <w:sz w:val="24"/>
                <w:szCs w:val="24"/>
                <w:highlight w:val="none"/>
                <w:lang w:val="en-US" w:eastAsia="zh-CN"/>
              </w:rPr>
              <w:t>，总建筑面积</w:t>
            </w:r>
            <w:r>
              <w:rPr>
                <w:rFonts w:hint="eastAsia" w:cs="Times New Roman"/>
                <w:color w:val="auto"/>
                <w:sz w:val="24"/>
                <w:szCs w:val="24"/>
                <w:highlight w:val="none"/>
                <w:lang w:val="en-US" w:eastAsia="zh-CN"/>
              </w:rPr>
              <w:t>5020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建成后年产</w:t>
            </w:r>
            <w:r>
              <w:rPr>
                <w:rFonts w:hint="eastAsia" w:cs="Times New Roman"/>
                <w:color w:val="auto"/>
                <w:sz w:val="24"/>
                <w:szCs w:val="24"/>
                <w:highlight w:val="none"/>
                <w:lang w:val="en-US" w:eastAsia="zh-CN"/>
              </w:rPr>
              <w:t>竹木纤维集成墙板及扣板30万m</w:t>
            </w:r>
            <w:r>
              <w:rPr>
                <w:rFonts w:hint="eastAsia"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等。</w:t>
            </w:r>
          </w:p>
          <w:p w14:paraId="3FD2CEFD">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bidi="ar"/>
              </w:rPr>
              <w:t>根据《中华人民共和国环境保护法》、《中华人民共和国环境影响评价法》、《建设项目环境保护管理条例》和《云南省建设项目环境保护管理规定》的规定，建设项目必须履行环境影响评价制度。根据《建设项目环境影响评价分类管理名录》（2021年版）等有关法律、法规的要求，项目属于“</w:t>
            </w:r>
            <w:r>
              <w:rPr>
                <w:rFonts w:hint="default" w:ascii="Times New Roman" w:hAnsi="Times New Roman" w:eastAsia="宋体" w:cs="Times New Roman"/>
                <w:color w:val="auto"/>
                <w:sz w:val="24"/>
                <w:szCs w:val="24"/>
                <w:highlight w:val="none"/>
                <w:lang w:val="en-US" w:eastAsia="zh-CN"/>
              </w:rPr>
              <w:t>二十六、橡</w:t>
            </w:r>
            <w:r>
              <w:rPr>
                <w:rFonts w:hint="default" w:ascii="Times New Roman" w:hAnsi="Times New Roman" w:eastAsia="宋体" w:cs="Times New Roman"/>
                <w:color w:val="auto"/>
                <w:kern w:val="0"/>
                <w:sz w:val="24"/>
                <w:szCs w:val="24"/>
                <w:highlight w:val="none"/>
                <w:lang w:val="en-US" w:eastAsia="zh-CN" w:bidi="ar"/>
              </w:rPr>
              <w:t>胶和塑料制品业29-53、塑料制品业292—其他（年用非溶剂型低VOCS含量涂料10吨以下的除外）”，需编制环境影响评价报告表。为此，</w:t>
            </w:r>
            <w:r>
              <w:rPr>
                <w:rFonts w:hint="default" w:ascii="Times New Roman" w:hAnsi="Times New Roman" w:eastAsia="宋体" w:cs="Times New Roman"/>
                <w:color w:val="auto"/>
                <w:sz w:val="24"/>
                <w:szCs w:val="24"/>
                <w:highlight w:val="none"/>
                <w:lang w:val="en-US" w:eastAsia="zh-CN"/>
              </w:rPr>
              <w:t>昆明滇皖建材有限公司</w:t>
            </w:r>
            <w:r>
              <w:rPr>
                <w:rFonts w:hint="default" w:ascii="Times New Roman" w:hAnsi="Times New Roman" w:eastAsia="宋体" w:cs="Times New Roman"/>
                <w:color w:val="auto"/>
                <w:kern w:val="0"/>
                <w:sz w:val="24"/>
                <w:szCs w:val="24"/>
                <w:highlight w:val="none"/>
                <w:lang w:val="en-US" w:eastAsia="zh-CN" w:bidi="ar"/>
              </w:rPr>
              <w:t>委托云南</w:t>
            </w:r>
            <w:r>
              <w:rPr>
                <w:rFonts w:hint="eastAsia" w:cs="Times New Roman"/>
                <w:color w:val="auto"/>
                <w:kern w:val="0"/>
                <w:sz w:val="24"/>
                <w:szCs w:val="24"/>
                <w:highlight w:val="none"/>
                <w:lang w:val="en-US" w:eastAsia="zh-CN" w:bidi="ar"/>
              </w:rPr>
              <w:t>策润环保科技</w:t>
            </w:r>
            <w:r>
              <w:rPr>
                <w:rFonts w:hint="default" w:ascii="Times New Roman" w:hAnsi="Times New Roman" w:eastAsia="宋体" w:cs="Times New Roman"/>
                <w:color w:val="auto"/>
                <w:kern w:val="0"/>
                <w:sz w:val="24"/>
                <w:szCs w:val="24"/>
                <w:highlight w:val="none"/>
                <w:lang w:val="en-US" w:eastAsia="zh-CN" w:bidi="ar"/>
              </w:rPr>
              <w:t>有限公司承担该项目的环境影响报告表编制工作（委托书见附件1）。我单位接受委托后，根据国家建设项目环境管理</w:t>
            </w:r>
            <w:r>
              <w:rPr>
                <w:rFonts w:hint="default" w:ascii="Times New Roman" w:hAnsi="Times New Roman" w:eastAsia="宋体" w:cs="Times New Roman"/>
                <w:color w:val="auto"/>
                <w:sz w:val="24"/>
                <w:szCs w:val="24"/>
                <w:highlight w:val="none"/>
              </w:rPr>
              <w:t>的有关规定，对项目建设地周围环境状况进行了实地调查，收集及核实了当地有关环境资料，按照环境影响评价有关技术规范编制了《</w:t>
            </w:r>
            <w:r>
              <w:rPr>
                <w:rFonts w:hint="default" w:ascii="Times New Roman" w:hAnsi="Times New Roman" w:eastAsia="宋体" w:cs="Times New Roman"/>
                <w:color w:val="auto"/>
                <w:sz w:val="24"/>
                <w:szCs w:val="24"/>
                <w:highlight w:val="none"/>
                <w:lang w:val="en-US" w:eastAsia="zh-CN"/>
              </w:rPr>
              <w:t>昆明滇皖建材有限公司新型墙体材料新建项目</w:t>
            </w:r>
            <w:r>
              <w:rPr>
                <w:rFonts w:hint="default" w:ascii="Times New Roman" w:hAnsi="Times New Roman" w:eastAsia="宋体" w:cs="Times New Roman"/>
                <w:color w:val="auto"/>
                <w:sz w:val="24"/>
                <w:szCs w:val="24"/>
                <w:highlight w:val="none"/>
              </w:rPr>
              <w:t>环境影响报告表》，供建设单位上报审批</w:t>
            </w:r>
            <w:r>
              <w:rPr>
                <w:rFonts w:hint="default" w:ascii="Times New Roman" w:hAnsi="Times New Roman" w:eastAsia="宋体" w:cs="Times New Roman"/>
                <w:color w:val="auto"/>
                <w:sz w:val="24"/>
                <w:szCs w:val="24"/>
                <w:highlight w:val="none"/>
                <w:lang w:eastAsia="zh-CN"/>
              </w:rPr>
              <w:t>。</w:t>
            </w:r>
          </w:p>
          <w:p w14:paraId="2B4CAD22">
            <w:pPr>
              <w:pStyle w:val="15"/>
              <w:keepNext w:val="0"/>
              <w:keepLines w:val="0"/>
              <w:pageBreakBefore w:val="0"/>
              <w:widowControl w:val="0"/>
              <w:shd w:val="clear"/>
              <w:tabs>
                <w:tab w:val="center" w:pos="4360"/>
              </w:tabs>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二、</w:t>
            </w:r>
            <w:r>
              <w:rPr>
                <w:rFonts w:hint="default" w:ascii="Times New Roman" w:hAnsi="Times New Roman" w:eastAsia="宋体" w:cs="Times New Roman"/>
                <w:b/>
                <w:color w:val="auto"/>
                <w:sz w:val="24"/>
                <w:szCs w:val="24"/>
                <w:highlight w:val="none"/>
              </w:rPr>
              <w:t>工程内容及规模</w:t>
            </w:r>
          </w:p>
          <w:p w14:paraId="77A5342B">
            <w:pPr>
              <w:pStyle w:val="15"/>
              <w:keepNext w:val="0"/>
              <w:keepLines w:val="0"/>
              <w:pageBreakBefore w:val="0"/>
              <w:widowControl w:val="0"/>
              <w:tabs>
                <w:tab w:val="center" w:pos="4360"/>
              </w:tabs>
              <w:kinsoku/>
              <w:wordWrap/>
              <w:overflowPunct/>
              <w:topLinePunct w:val="0"/>
              <w:autoSpaceDE/>
              <w:autoSpaceDN/>
              <w:bidi w:val="0"/>
              <w:spacing w:line="360" w:lineRule="auto"/>
              <w:ind w:firstLine="482" w:firstLineChars="200"/>
              <w:textAlignment w:val="auto"/>
              <w:rPr>
                <w:rFonts w:hint="eastAsia" w:ascii="Times New Roman" w:hAnsi="Times New Roman" w:eastAsia="宋体" w:cs="Times New Roman"/>
                <w:b/>
                <w:color w:val="auto"/>
                <w:sz w:val="24"/>
                <w:lang w:eastAsia="zh-CN"/>
              </w:rPr>
            </w:pPr>
            <w:r>
              <w:rPr>
                <w:rFonts w:hint="default" w:ascii="Times New Roman" w:hAnsi="Times New Roman" w:eastAsia="宋体" w:cs="Times New Roman"/>
                <w:b/>
                <w:bCs w:val="0"/>
                <w:color w:val="auto"/>
                <w:sz w:val="24"/>
                <w:szCs w:val="24"/>
                <w:highlight w:val="none"/>
                <w:lang w:val="en-US" w:eastAsia="zh-CN"/>
              </w:rPr>
              <w:t>1、</w:t>
            </w:r>
            <w:r>
              <w:rPr>
                <w:rFonts w:hint="eastAsia" w:ascii="Times New Roman" w:hAnsi="Times New Roman" w:cs="Times New Roman"/>
                <w:b/>
                <w:color w:val="auto"/>
                <w:sz w:val="24"/>
                <w:lang w:eastAsia="zh-CN"/>
              </w:rPr>
              <w:t>项目概况</w:t>
            </w:r>
          </w:p>
          <w:p w14:paraId="7614B132">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color w:val="auto"/>
                <w:sz w:val="24"/>
              </w:rPr>
              <w:t>项目名称：</w:t>
            </w:r>
            <w:r>
              <w:rPr>
                <w:rFonts w:hint="default" w:ascii="Times New Roman" w:hAnsi="Times New Roman" w:eastAsia="宋体" w:cs="Times New Roman"/>
                <w:color w:val="auto"/>
                <w:sz w:val="24"/>
                <w:szCs w:val="24"/>
                <w:highlight w:val="none"/>
                <w:lang w:val="en-US" w:eastAsia="zh-CN"/>
              </w:rPr>
              <w:t>昆明滇皖建材有限公司新型墙体材料新建项目</w:t>
            </w:r>
          </w:p>
          <w:p w14:paraId="28ED5908">
            <w:pPr>
              <w:adjustRightInd w:val="0"/>
              <w:snapToGrid w:val="0"/>
              <w:spacing w:line="360" w:lineRule="auto"/>
              <w:ind w:firstLine="480" w:firstLineChars="200"/>
              <w:rPr>
                <w:color w:val="auto"/>
                <w:sz w:val="24"/>
              </w:rPr>
            </w:pPr>
            <w:r>
              <w:rPr>
                <w:color w:val="auto"/>
                <w:sz w:val="24"/>
              </w:rPr>
              <w:t>项目建设地点：</w:t>
            </w:r>
            <w:r>
              <w:rPr>
                <w:rFonts w:hint="default" w:ascii="Times New Roman" w:hAnsi="Times New Roman" w:eastAsia="宋体" w:cs="Times New Roman"/>
                <w:color w:val="auto"/>
                <w:sz w:val="24"/>
                <w:szCs w:val="24"/>
                <w:highlight w:val="none"/>
                <w:u w:val="none"/>
                <w:lang w:val="en-US" w:eastAsia="zh-CN"/>
              </w:rPr>
              <w:t>云南寻甸产业园区金所片区金所组团</w:t>
            </w:r>
            <w:r>
              <w:rPr>
                <w:rFonts w:hint="eastAsia" w:cs="Times New Roman"/>
                <w:color w:val="auto"/>
                <w:sz w:val="24"/>
                <w:szCs w:val="24"/>
                <w:highlight w:val="none"/>
                <w:u w:val="none"/>
                <w:lang w:val="en-US" w:eastAsia="zh-CN"/>
              </w:rPr>
              <w:t>绿色建材产业区</w:t>
            </w:r>
            <w:r>
              <w:rPr>
                <w:rFonts w:hint="eastAsia"/>
                <w:color w:val="auto"/>
                <w:sz w:val="24"/>
              </w:rPr>
              <w:t>，地理位置中心坐标</w:t>
            </w:r>
            <w:r>
              <w:rPr>
                <w:rFonts w:hint="eastAsia" w:ascii="Times New Roman" w:hAnsi="Times New Roman" w:eastAsia="宋体" w:cs="Times New Roman"/>
                <w:color w:val="auto"/>
                <w:sz w:val="24"/>
                <w:szCs w:val="24"/>
                <w:highlight w:val="none"/>
                <w:lang w:val="en-US" w:eastAsia="zh-CN"/>
              </w:rPr>
              <w:t>东</w:t>
            </w:r>
            <w:r>
              <w:rPr>
                <w:rFonts w:hint="default" w:ascii="Times New Roman" w:hAnsi="Times New Roman" w:eastAsia="宋体" w:cs="Times New Roman"/>
                <w:color w:val="auto"/>
                <w:sz w:val="24"/>
                <w:szCs w:val="24"/>
                <w:highlight w:val="none"/>
                <w:lang w:val="en-US" w:eastAsia="zh-CN"/>
              </w:rPr>
              <w:t>经</w:t>
            </w:r>
            <w:r>
              <w:rPr>
                <w:rFonts w:hint="eastAsia" w:ascii="Times New Roman" w:hAnsi="Times New Roman" w:eastAsia="宋体" w:cs="Times New Roman"/>
                <w:color w:val="auto"/>
                <w:sz w:val="24"/>
                <w:szCs w:val="24"/>
                <w:highlight w:val="none"/>
                <w:lang w:val="en-US" w:eastAsia="zh-CN"/>
              </w:rPr>
              <w:t>103</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45.745</w:t>
            </w:r>
            <w:r>
              <w:rPr>
                <w:rFonts w:hint="default" w:ascii="Times New Roman" w:hAnsi="Times New Roman" w:eastAsia="宋体" w:cs="Times New Roman"/>
                <w:color w:val="auto"/>
                <w:sz w:val="24"/>
                <w:szCs w:val="24"/>
                <w:highlight w:val="none"/>
                <w:lang w:val="en-US" w:eastAsia="zh-CN"/>
              </w:rPr>
              <w:t>″，北纬25°</w:t>
            </w:r>
            <w:r>
              <w:rPr>
                <w:rFonts w:hint="eastAsia" w:ascii="Times New Roman" w:hAnsi="Times New Roman" w:eastAsia="宋体" w:cs="Times New Roman"/>
                <w:color w:val="auto"/>
                <w:sz w:val="24"/>
                <w:szCs w:val="24"/>
                <w:highlight w:val="none"/>
                <w:lang w:val="en-US" w:eastAsia="zh-CN"/>
              </w:rPr>
              <w:t>34</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51.945</w:t>
            </w:r>
            <w:r>
              <w:rPr>
                <w:rFonts w:hint="default" w:ascii="Times New Roman" w:hAnsi="Times New Roman" w:eastAsia="宋体" w:cs="Times New Roman"/>
                <w:color w:val="auto"/>
                <w:sz w:val="24"/>
                <w:szCs w:val="24"/>
                <w:highlight w:val="none"/>
                <w:lang w:val="en-US" w:eastAsia="zh-CN"/>
              </w:rPr>
              <w:t>″。</w:t>
            </w:r>
          </w:p>
          <w:p w14:paraId="59762C51">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color w:val="auto"/>
                <w:sz w:val="24"/>
              </w:rPr>
              <w:t>建设单位：</w:t>
            </w:r>
            <w:r>
              <w:rPr>
                <w:rFonts w:hint="default" w:ascii="Times New Roman" w:hAnsi="Times New Roman" w:eastAsia="宋体" w:cs="Times New Roman"/>
                <w:color w:val="auto"/>
                <w:sz w:val="24"/>
                <w:szCs w:val="24"/>
                <w:highlight w:val="none"/>
                <w:lang w:val="en-US" w:eastAsia="zh-CN"/>
              </w:rPr>
              <w:t>昆明滇皖建材有限公司</w:t>
            </w:r>
          </w:p>
          <w:p w14:paraId="5F6284D6">
            <w:pPr>
              <w:adjustRightInd w:val="0"/>
              <w:snapToGrid w:val="0"/>
              <w:spacing w:line="360" w:lineRule="auto"/>
              <w:ind w:firstLine="480" w:firstLineChars="200"/>
              <w:rPr>
                <w:color w:val="auto"/>
                <w:sz w:val="24"/>
              </w:rPr>
            </w:pPr>
            <w:r>
              <w:rPr>
                <w:color w:val="auto"/>
                <w:sz w:val="24"/>
              </w:rPr>
              <w:t>建设性质：新建</w:t>
            </w:r>
          </w:p>
          <w:p w14:paraId="0AB24601">
            <w:pPr>
              <w:adjustRightInd w:val="0"/>
              <w:snapToGrid w:val="0"/>
              <w:spacing w:line="360" w:lineRule="auto"/>
              <w:ind w:firstLine="480" w:firstLineChars="200"/>
              <w:rPr>
                <w:color w:val="auto"/>
                <w:sz w:val="24"/>
              </w:rPr>
            </w:pPr>
            <w:r>
              <w:rPr>
                <w:color w:val="auto"/>
                <w:sz w:val="24"/>
              </w:rPr>
              <w:t>项目投资：</w:t>
            </w:r>
            <w:r>
              <w:rPr>
                <w:rFonts w:hint="eastAsia" w:ascii="Times New Roman" w:hAnsi="Times New Roman" w:eastAsia="宋体" w:cs="Times New Roman"/>
                <w:color w:val="auto"/>
                <w:sz w:val="24"/>
                <w:szCs w:val="24"/>
                <w:highlight w:val="none"/>
                <w:lang w:val="en-US" w:eastAsia="zh-CN"/>
              </w:rPr>
              <w:t>2600</w:t>
            </w:r>
            <w:r>
              <w:rPr>
                <w:color w:val="auto"/>
                <w:sz w:val="24"/>
              </w:rPr>
              <w:t>万元，</w:t>
            </w:r>
            <w:r>
              <w:rPr>
                <w:rFonts w:hint="default" w:ascii="Times New Roman" w:hAnsi="Times New Roman" w:eastAsia="宋体" w:cs="Times New Roman"/>
                <w:color w:val="auto"/>
                <w:sz w:val="24"/>
                <w:highlight w:val="none"/>
                <w:lang w:val="en-US" w:eastAsia="zh-CN"/>
              </w:rPr>
              <w:t>其中环保</w:t>
            </w:r>
            <w:r>
              <w:rPr>
                <w:rFonts w:hint="default" w:ascii="Times New Roman" w:hAnsi="Times New Roman" w:eastAsia="宋体" w:cs="Times New Roman"/>
                <w:color w:val="auto"/>
                <w:sz w:val="24"/>
                <w:highlight w:val="none"/>
              </w:rPr>
              <w:t>投资</w:t>
            </w:r>
            <w:r>
              <w:rPr>
                <w:rFonts w:hint="eastAsia" w:cs="Times New Roman"/>
                <w:color w:val="auto"/>
                <w:sz w:val="24"/>
                <w:highlight w:val="none"/>
                <w:lang w:val="en-US" w:eastAsia="zh-CN"/>
              </w:rPr>
              <w:t>36.7</w:t>
            </w:r>
            <w:r>
              <w:rPr>
                <w:rFonts w:hint="default" w:ascii="Times New Roman" w:hAnsi="Times New Roman" w:eastAsia="宋体" w:cs="Times New Roman"/>
                <w:color w:val="auto"/>
                <w:sz w:val="24"/>
                <w:highlight w:val="none"/>
              </w:rPr>
              <w:t>万元，占总投资的</w:t>
            </w:r>
            <w:r>
              <w:rPr>
                <w:rFonts w:hint="eastAsia" w:cs="Times New Roman"/>
                <w:color w:val="auto"/>
                <w:sz w:val="24"/>
                <w:highlight w:val="none"/>
                <w:lang w:val="en-US" w:eastAsia="zh-CN"/>
              </w:rPr>
              <w:t>1.41</w:t>
            </w:r>
            <w:r>
              <w:rPr>
                <w:rFonts w:hint="default" w:ascii="Times New Roman" w:hAnsi="Times New Roman" w:eastAsia="宋体" w:cs="Times New Roman"/>
                <w:color w:val="auto"/>
                <w:sz w:val="24"/>
                <w:highlight w:val="none"/>
              </w:rPr>
              <w:t>%，</w:t>
            </w:r>
          </w:p>
          <w:p w14:paraId="528A7C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auto"/>
                <w:sz w:val="24"/>
              </w:rPr>
            </w:pPr>
            <w:r>
              <w:rPr>
                <w:rFonts w:hint="eastAsia"/>
                <w:color w:val="auto"/>
                <w:sz w:val="24"/>
              </w:rPr>
              <w:t>建设规模：项目</w:t>
            </w:r>
            <w:r>
              <w:rPr>
                <w:rFonts w:hint="default" w:ascii="Times New Roman" w:hAnsi="Times New Roman" w:eastAsia="宋体" w:cs="Times New Roman"/>
                <w:color w:val="auto"/>
                <w:sz w:val="24"/>
                <w:szCs w:val="24"/>
                <w:highlight w:val="none"/>
                <w:lang w:val="en-US" w:eastAsia="zh-CN"/>
              </w:rPr>
              <w:t>总占地面积</w:t>
            </w:r>
            <w:r>
              <w:rPr>
                <w:rFonts w:hint="eastAsia" w:cs="Times New Roman"/>
                <w:color w:val="auto"/>
                <w:sz w:val="24"/>
                <w:szCs w:val="24"/>
                <w:highlight w:val="none"/>
                <w:lang w:val="en-US" w:eastAsia="zh-CN"/>
              </w:rPr>
              <w:t>4560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vertAlign w:val="baseline"/>
                <w:lang w:val="en-US" w:eastAsia="zh-CN"/>
              </w:rPr>
              <w:t>（约</w:t>
            </w:r>
            <w:r>
              <w:rPr>
                <w:rFonts w:hint="eastAsia" w:cs="Times New Roman"/>
                <w:color w:val="auto"/>
                <w:sz w:val="24"/>
                <w:szCs w:val="24"/>
                <w:highlight w:val="none"/>
                <w:vertAlign w:val="baseline"/>
                <w:lang w:val="en-US" w:eastAsia="zh-CN"/>
              </w:rPr>
              <w:t>6.8</w:t>
            </w:r>
            <w:r>
              <w:rPr>
                <w:rFonts w:hint="default" w:ascii="Times New Roman" w:hAnsi="Times New Roman" w:eastAsia="宋体" w:cs="Times New Roman"/>
                <w:color w:val="auto"/>
                <w:sz w:val="24"/>
                <w:szCs w:val="24"/>
                <w:highlight w:val="none"/>
                <w:vertAlign w:val="baseline"/>
                <w:lang w:val="en-US" w:eastAsia="zh-CN"/>
              </w:rPr>
              <w:t>亩）</w:t>
            </w:r>
            <w:r>
              <w:rPr>
                <w:rFonts w:hint="default" w:ascii="Times New Roman" w:hAnsi="Times New Roman" w:eastAsia="宋体" w:cs="Times New Roman"/>
                <w:color w:val="auto"/>
                <w:sz w:val="24"/>
                <w:szCs w:val="24"/>
                <w:highlight w:val="none"/>
                <w:lang w:val="en-US" w:eastAsia="zh-CN"/>
              </w:rPr>
              <w:t>，总建筑面积</w:t>
            </w:r>
            <w:r>
              <w:rPr>
                <w:rFonts w:hint="eastAsia" w:cs="Times New Roman"/>
                <w:color w:val="auto"/>
                <w:sz w:val="24"/>
                <w:szCs w:val="24"/>
                <w:highlight w:val="none"/>
                <w:lang w:val="en-US" w:eastAsia="zh-CN"/>
              </w:rPr>
              <w:t>5020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建成后年产</w:t>
            </w:r>
            <w:r>
              <w:rPr>
                <w:rFonts w:hint="eastAsia" w:cs="Times New Roman"/>
                <w:color w:val="auto"/>
                <w:sz w:val="24"/>
                <w:szCs w:val="24"/>
                <w:highlight w:val="none"/>
                <w:lang w:val="en-US" w:eastAsia="zh-CN"/>
              </w:rPr>
              <w:t>竹木纤维集成墙板及扣板30万m</w:t>
            </w:r>
            <w:r>
              <w:rPr>
                <w:rFonts w:hint="eastAsia"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等</w:t>
            </w:r>
            <w:r>
              <w:rPr>
                <w:rFonts w:hint="eastAsia" w:ascii="宋体" w:hAnsi="宋体" w:eastAsia="宋体" w:cs="宋体"/>
                <w:color w:val="auto"/>
                <w:kern w:val="0"/>
                <w:sz w:val="24"/>
                <w:szCs w:val="24"/>
                <w:lang w:val="en-US" w:eastAsia="zh-CN" w:bidi="ar"/>
              </w:rPr>
              <w:t>。</w:t>
            </w:r>
          </w:p>
          <w:p w14:paraId="258F3BBB">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2、项目建设内容及规模</w:t>
            </w:r>
          </w:p>
          <w:p w14:paraId="7E9A0EE3">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本项目总投资</w:t>
            </w:r>
            <w:r>
              <w:rPr>
                <w:rFonts w:hint="eastAsia" w:cs="Times New Roman"/>
                <w:color w:val="auto"/>
                <w:sz w:val="24"/>
                <w:szCs w:val="24"/>
                <w:highlight w:val="none"/>
                <w:lang w:val="en-US" w:eastAsia="zh-CN"/>
              </w:rPr>
              <w:t>2600</w:t>
            </w:r>
            <w:r>
              <w:rPr>
                <w:rFonts w:hint="default" w:ascii="Times New Roman" w:hAnsi="Times New Roman" w:eastAsia="宋体" w:cs="Times New Roman"/>
                <w:color w:val="auto"/>
                <w:sz w:val="24"/>
                <w:szCs w:val="24"/>
                <w:highlight w:val="none"/>
                <w:lang w:val="en-US" w:eastAsia="zh-CN"/>
              </w:rPr>
              <w:t>万元，占地面积</w:t>
            </w:r>
            <w:r>
              <w:rPr>
                <w:rFonts w:hint="eastAsia" w:cs="Times New Roman"/>
                <w:color w:val="auto"/>
                <w:sz w:val="24"/>
                <w:szCs w:val="24"/>
                <w:highlight w:val="none"/>
                <w:lang w:val="en-US" w:eastAsia="zh-CN"/>
              </w:rPr>
              <w:t>4560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vertAlign w:val="baseline"/>
                <w:lang w:val="en-US" w:eastAsia="zh-CN"/>
              </w:rPr>
              <w:t>（约</w:t>
            </w:r>
            <w:r>
              <w:rPr>
                <w:rFonts w:hint="eastAsia" w:cs="Times New Roman"/>
                <w:color w:val="auto"/>
                <w:sz w:val="24"/>
                <w:szCs w:val="24"/>
                <w:highlight w:val="none"/>
                <w:vertAlign w:val="baseline"/>
                <w:lang w:val="en-US" w:eastAsia="zh-CN"/>
              </w:rPr>
              <w:t>6.8</w:t>
            </w:r>
            <w:r>
              <w:rPr>
                <w:rFonts w:hint="default" w:ascii="Times New Roman" w:hAnsi="Times New Roman" w:eastAsia="宋体" w:cs="Times New Roman"/>
                <w:color w:val="auto"/>
                <w:sz w:val="24"/>
                <w:szCs w:val="24"/>
                <w:highlight w:val="none"/>
                <w:vertAlign w:val="baseline"/>
                <w:lang w:val="en-US" w:eastAsia="zh-CN"/>
              </w:rPr>
              <w:t>亩）</w:t>
            </w:r>
            <w:r>
              <w:rPr>
                <w:rFonts w:hint="default" w:ascii="Times New Roman" w:hAnsi="Times New Roman" w:eastAsia="宋体" w:cs="Times New Roman"/>
                <w:color w:val="auto"/>
                <w:sz w:val="24"/>
                <w:szCs w:val="24"/>
                <w:highlight w:val="none"/>
                <w:lang w:val="en-US" w:eastAsia="zh-CN"/>
              </w:rPr>
              <w:t>，总建筑面积</w:t>
            </w:r>
            <w:r>
              <w:rPr>
                <w:rFonts w:hint="eastAsia" w:cs="Times New Roman"/>
                <w:color w:val="auto"/>
                <w:sz w:val="24"/>
                <w:szCs w:val="24"/>
                <w:highlight w:val="none"/>
                <w:lang w:val="en-US" w:eastAsia="zh-CN"/>
              </w:rPr>
              <w:t>5020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，建设内容</w:t>
            </w:r>
            <w:r>
              <w:rPr>
                <w:rFonts w:hint="default" w:ascii="Times New Roman" w:hAnsi="Times New Roman" w:eastAsia="宋体" w:cs="Times New Roman"/>
                <w:color w:val="auto"/>
                <w:sz w:val="24"/>
                <w:szCs w:val="24"/>
                <w:highlight w:val="none"/>
              </w:rPr>
              <w:t>包括主体工程</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辅助工程、公用工程、环保工</w:t>
            </w:r>
            <w:r>
              <w:rPr>
                <w:rFonts w:hint="default" w:ascii="Times New Roman" w:hAnsi="Times New Roman" w:eastAsia="宋体" w:cs="Times New Roman"/>
                <w:color w:val="auto"/>
                <w:sz w:val="24"/>
                <w:szCs w:val="24"/>
                <w:highlight w:val="none"/>
                <w:lang w:val="en-US" w:eastAsia="zh-CN"/>
              </w:rPr>
              <w:t>程。本项目设置</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条产能共为</w:t>
            </w:r>
            <w:r>
              <w:rPr>
                <w:rFonts w:hint="eastAsia" w:cs="Times New Roman"/>
                <w:color w:val="auto"/>
                <w:sz w:val="24"/>
                <w:szCs w:val="24"/>
                <w:highlight w:val="none"/>
                <w:lang w:val="en-US" w:eastAsia="zh-CN"/>
              </w:rPr>
              <w:t>30万m</w:t>
            </w:r>
            <w:r>
              <w:rPr>
                <w:rFonts w:hint="eastAsia"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的</w:t>
            </w:r>
            <w:r>
              <w:rPr>
                <w:rFonts w:hint="eastAsia" w:cs="Times New Roman"/>
                <w:color w:val="auto"/>
                <w:sz w:val="24"/>
                <w:szCs w:val="24"/>
                <w:highlight w:val="none"/>
                <w:lang w:val="en-US" w:eastAsia="zh-CN"/>
              </w:rPr>
              <w:t>竹木纤维集成墙板及扣板</w:t>
            </w:r>
            <w:r>
              <w:rPr>
                <w:rFonts w:hint="default" w:ascii="Times New Roman" w:hAnsi="Times New Roman" w:eastAsia="宋体" w:cs="Times New Roman"/>
                <w:color w:val="auto"/>
                <w:sz w:val="24"/>
                <w:szCs w:val="24"/>
                <w:highlight w:val="none"/>
                <w:lang w:val="en-US" w:eastAsia="zh-CN"/>
              </w:rPr>
              <w:t>生产线。</w:t>
            </w:r>
          </w:p>
          <w:p w14:paraId="1C4AAC25">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highlight w:val="none"/>
              </w:rPr>
              <w:t>主要建设内容见表</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-1。</w:t>
            </w:r>
          </w:p>
          <w:p w14:paraId="2B702DD3">
            <w:pPr>
              <w:shd w:val="clea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 xml:space="preserve">-1 </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 xml:space="preserve"> </w:t>
            </w:r>
            <w:r>
              <w:rPr>
                <w:rFonts w:hint="default" w:ascii="Times New Roman" w:hAnsi="Times New Roman" w:eastAsia="宋体" w:cs="Times New Roman"/>
                <w:b/>
                <w:bCs/>
                <w:color w:val="auto"/>
                <w:szCs w:val="21"/>
                <w:highlight w:val="none"/>
                <w:lang w:val="en-US" w:eastAsia="zh-CN"/>
              </w:rPr>
              <w:t>本</w:t>
            </w:r>
            <w:r>
              <w:rPr>
                <w:rFonts w:hint="default" w:ascii="Times New Roman" w:hAnsi="Times New Roman" w:eastAsia="宋体" w:cs="Times New Roman"/>
                <w:b/>
                <w:bCs/>
                <w:color w:val="auto"/>
                <w:szCs w:val="21"/>
                <w:highlight w:val="none"/>
              </w:rPr>
              <w:t>项目</w:t>
            </w:r>
            <w:r>
              <w:rPr>
                <w:rFonts w:hint="default" w:ascii="Times New Roman" w:hAnsi="Times New Roman" w:eastAsia="宋体" w:cs="Times New Roman"/>
                <w:b/>
                <w:bCs/>
                <w:color w:val="auto"/>
                <w:szCs w:val="21"/>
                <w:highlight w:val="none"/>
                <w:lang w:val="en-US" w:eastAsia="zh-CN"/>
              </w:rPr>
              <w:t>工程内容</w:t>
            </w:r>
            <w:r>
              <w:rPr>
                <w:rFonts w:hint="default" w:ascii="Times New Roman" w:hAnsi="Times New Roman" w:eastAsia="宋体" w:cs="Times New Roman"/>
                <w:b/>
                <w:bCs/>
                <w:color w:val="auto"/>
                <w:szCs w:val="21"/>
                <w:highlight w:val="none"/>
              </w:rPr>
              <w:t>组成一览表</w:t>
            </w:r>
          </w:p>
          <w:tbl>
            <w:tblPr>
              <w:tblStyle w:val="26"/>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84"/>
              <w:gridCol w:w="1152"/>
              <w:gridCol w:w="379"/>
              <w:gridCol w:w="5256"/>
              <w:gridCol w:w="708"/>
            </w:tblGrid>
            <w:tr w14:paraId="452F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6" w:type="dxa"/>
                  <w:vMerge w:val="restart"/>
                  <w:vAlign w:val="center"/>
                </w:tcPr>
                <w:p w14:paraId="59CA62D9">
                  <w:pPr>
                    <w:shd w:val="clea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工程分类</w:t>
                  </w:r>
                </w:p>
              </w:tc>
              <w:tc>
                <w:tcPr>
                  <w:tcW w:w="1936" w:type="dxa"/>
                  <w:gridSpan w:val="2"/>
                  <w:vMerge w:val="restart"/>
                  <w:vAlign w:val="center"/>
                </w:tcPr>
                <w:p w14:paraId="5F5D1783">
                  <w:pPr>
                    <w:shd w:val="clea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项目名称</w:t>
                  </w:r>
                </w:p>
              </w:tc>
              <w:tc>
                <w:tcPr>
                  <w:tcW w:w="5635" w:type="dxa"/>
                  <w:gridSpan w:val="2"/>
                  <w:vMerge w:val="restart"/>
                  <w:vAlign w:val="center"/>
                </w:tcPr>
                <w:p w14:paraId="383BAEE2">
                  <w:pPr>
                    <w:shd w:val="clea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建设内容及规模</w:t>
                  </w:r>
                </w:p>
              </w:tc>
              <w:tc>
                <w:tcPr>
                  <w:tcW w:w="708" w:type="dxa"/>
                  <w:vMerge w:val="restart"/>
                  <w:vAlign w:val="center"/>
                </w:tcPr>
                <w:p w14:paraId="417BF748">
                  <w:pPr>
                    <w:shd w:val="clea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14:paraId="3B22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6" w:type="dxa"/>
                  <w:vMerge w:val="continue"/>
                  <w:vAlign w:val="center"/>
                </w:tcPr>
                <w:p w14:paraId="017BE8C4">
                  <w:pPr>
                    <w:shd w:val="clea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1936" w:type="dxa"/>
                  <w:gridSpan w:val="2"/>
                  <w:vMerge w:val="continue"/>
                  <w:vAlign w:val="center"/>
                </w:tcPr>
                <w:p w14:paraId="073EB2E6">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5635" w:type="dxa"/>
                  <w:gridSpan w:val="2"/>
                  <w:vMerge w:val="continue"/>
                  <w:vAlign w:val="center"/>
                </w:tcPr>
                <w:p w14:paraId="60167EB3">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08" w:type="dxa"/>
                  <w:vMerge w:val="continue"/>
                  <w:vAlign w:val="center"/>
                </w:tcPr>
                <w:p w14:paraId="29602297">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r>
            <w:tr w14:paraId="525E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26" w:type="dxa"/>
                  <w:vMerge w:val="restart"/>
                  <w:vAlign w:val="center"/>
                </w:tcPr>
                <w:p w14:paraId="0DA3A918">
                  <w:pPr>
                    <w:shd w:val="clea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主体工程</w:t>
                  </w:r>
                </w:p>
              </w:tc>
              <w:tc>
                <w:tcPr>
                  <w:tcW w:w="784" w:type="dxa"/>
                  <w:vMerge w:val="restart"/>
                  <w:vAlign w:val="center"/>
                </w:tcPr>
                <w:p w14:paraId="518501E8">
                  <w:pPr>
                    <w:pStyle w:val="18"/>
                    <w:shd w:val="clear"/>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生产厂房（4</w:t>
                  </w:r>
                  <w:r>
                    <w:rPr>
                      <w:rFonts w:hint="eastAsia" w:cs="Times New Roman"/>
                      <w:color w:val="auto"/>
                      <w:sz w:val="21"/>
                      <w:szCs w:val="21"/>
                      <w:highlight w:val="none"/>
                      <w:lang w:val="en-US" w:eastAsia="zh-CN"/>
                    </w:rPr>
                    <w:t>100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vertAlign w:val="baseline"/>
                      <w:lang w:val="en-US" w:eastAsia="zh-CN"/>
                    </w:rPr>
                    <w:t>1F钢架结构，长</w:t>
                  </w:r>
                  <w:r>
                    <w:rPr>
                      <w:rFonts w:hint="eastAsia" w:cs="Times New Roman"/>
                      <w:color w:val="auto"/>
                      <w:sz w:val="21"/>
                      <w:szCs w:val="21"/>
                      <w:highlight w:val="none"/>
                      <w:vertAlign w:val="baseline"/>
                      <w:lang w:val="en-US" w:eastAsia="zh-CN"/>
                    </w:rPr>
                    <w:t>67.2</w:t>
                  </w:r>
                  <w:r>
                    <w:rPr>
                      <w:rFonts w:hint="default" w:ascii="Times New Roman" w:hAnsi="Times New Roman" w:eastAsia="宋体" w:cs="Times New Roman"/>
                      <w:color w:val="auto"/>
                      <w:sz w:val="21"/>
                      <w:szCs w:val="21"/>
                      <w:highlight w:val="none"/>
                      <w:vertAlign w:val="baseline"/>
                      <w:lang w:val="en-US" w:eastAsia="zh-CN"/>
                    </w:rPr>
                    <w:t>m，宽</w:t>
                  </w:r>
                  <w:r>
                    <w:rPr>
                      <w:rFonts w:hint="eastAsia" w:cs="Times New Roman"/>
                      <w:color w:val="auto"/>
                      <w:sz w:val="21"/>
                      <w:szCs w:val="21"/>
                      <w:highlight w:val="none"/>
                      <w:vertAlign w:val="baseline"/>
                      <w:lang w:val="en-US" w:eastAsia="zh-CN"/>
                    </w:rPr>
                    <w:t>61</w:t>
                  </w:r>
                  <w:r>
                    <w:rPr>
                      <w:rFonts w:hint="default" w:ascii="Times New Roman" w:hAnsi="Times New Roman" w:eastAsia="宋体" w:cs="Times New Roman"/>
                      <w:color w:val="auto"/>
                      <w:sz w:val="21"/>
                      <w:szCs w:val="21"/>
                      <w:highlight w:val="none"/>
                      <w:vertAlign w:val="baseline"/>
                      <w:lang w:val="en-US" w:eastAsia="zh-CN"/>
                    </w:rPr>
                    <w:t>m，高</w:t>
                  </w:r>
                  <w:r>
                    <w:rPr>
                      <w:rFonts w:hint="eastAsia" w:cs="Times New Roman"/>
                      <w:color w:val="auto"/>
                      <w:sz w:val="21"/>
                      <w:szCs w:val="21"/>
                      <w:highlight w:val="none"/>
                      <w:vertAlign w:val="baseline"/>
                      <w:lang w:val="en-US" w:eastAsia="zh-CN"/>
                    </w:rPr>
                    <w:t>12</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lang w:val="en-US" w:eastAsia="zh-CN"/>
                    </w:rPr>
                    <w:t>）</w:t>
                  </w:r>
                </w:p>
              </w:tc>
              <w:tc>
                <w:tcPr>
                  <w:tcW w:w="1152" w:type="dxa"/>
                  <w:vAlign w:val="center"/>
                </w:tcPr>
                <w:p w14:paraId="7AC4AAC5">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混料磨粉车间</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737</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w:t>
                  </w:r>
                </w:p>
              </w:tc>
              <w:tc>
                <w:tcPr>
                  <w:tcW w:w="5635" w:type="dxa"/>
                  <w:gridSpan w:val="2"/>
                  <w:vAlign w:val="center"/>
                </w:tcPr>
                <w:p w14:paraId="6CE3C4F0">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混料磨粉车间</w:t>
                  </w:r>
                  <w:r>
                    <w:rPr>
                      <w:rFonts w:hint="default" w:ascii="Times New Roman" w:hAnsi="Times New Roman" w:eastAsia="宋体" w:cs="Times New Roman"/>
                      <w:color w:val="auto"/>
                      <w:sz w:val="21"/>
                      <w:szCs w:val="21"/>
                      <w:highlight w:val="none"/>
                      <w:lang w:eastAsia="zh-CN"/>
                    </w:rPr>
                    <w:t>面积</w:t>
                  </w:r>
                  <w:r>
                    <w:rPr>
                      <w:rFonts w:hint="eastAsia" w:cs="Times New Roman"/>
                      <w:color w:val="auto"/>
                      <w:sz w:val="21"/>
                      <w:szCs w:val="21"/>
                      <w:highlight w:val="none"/>
                      <w:lang w:val="en-US" w:eastAsia="zh-CN"/>
                    </w:rPr>
                    <w:t>737</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位于生产</w:t>
                  </w:r>
                  <w:r>
                    <w:rPr>
                      <w:rFonts w:hint="eastAsia" w:cs="Times New Roman"/>
                      <w:color w:val="auto"/>
                      <w:sz w:val="21"/>
                      <w:szCs w:val="21"/>
                      <w:highlight w:val="none"/>
                      <w:lang w:val="en-US" w:eastAsia="zh-CN"/>
                    </w:rPr>
                    <w:t>厂房</w:t>
                  </w:r>
                  <w:r>
                    <w:rPr>
                      <w:rFonts w:hint="default" w:ascii="Times New Roman" w:hAnsi="Times New Roman" w:eastAsia="宋体" w:cs="Times New Roman"/>
                      <w:color w:val="auto"/>
                      <w:sz w:val="21"/>
                      <w:szCs w:val="21"/>
                      <w:highlight w:val="none"/>
                      <w:lang w:val="en-US" w:eastAsia="zh-CN"/>
                    </w:rPr>
                    <w:t>内西北侧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内</w:t>
                  </w:r>
                  <w:r>
                    <w:rPr>
                      <w:rFonts w:hint="default" w:ascii="Times New Roman" w:hAnsi="Times New Roman" w:eastAsia="宋体" w:cs="Times New Roman"/>
                      <w:color w:val="auto"/>
                      <w:sz w:val="21"/>
                      <w:szCs w:val="21"/>
                      <w:highlight w:val="none"/>
                      <w:lang w:eastAsia="zh-CN"/>
                    </w:rPr>
                    <w:t>设</w:t>
                  </w:r>
                  <w:r>
                    <w:rPr>
                      <w:rFonts w:hint="eastAsia" w:cs="Times New Roman"/>
                      <w:color w:val="auto"/>
                      <w:sz w:val="21"/>
                      <w:szCs w:val="21"/>
                      <w:highlight w:val="none"/>
                      <w:lang w:val="en-US" w:eastAsia="zh-CN"/>
                    </w:rPr>
                    <w:t>2台破碎机、2台磨粉机、10台搅拌机</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val="en-US" w:eastAsia="zh-CN"/>
                    </w:rPr>
                    <w:t>主要用于</w:t>
                  </w:r>
                  <w:r>
                    <w:rPr>
                      <w:rFonts w:hint="eastAsia" w:cs="Times New Roman"/>
                      <w:color w:val="auto"/>
                      <w:kern w:val="0"/>
                      <w:sz w:val="21"/>
                      <w:szCs w:val="21"/>
                      <w:highlight w:val="none"/>
                      <w:lang w:val="en-US" w:eastAsia="zh-CN"/>
                    </w:rPr>
                    <w:t>生产线中其中2条生产线生产的未覆膜竹木纤维集成墙板及扣板的破碎、磨粉；原辅料混料</w:t>
                  </w:r>
                  <w:r>
                    <w:rPr>
                      <w:rFonts w:hint="default" w:ascii="Times New Roman" w:hAnsi="Times New Roman" w:eastAsia="宋体" w:cs="Times New Roman"/>
                      <w:color w:val="auto"/>
                      <w:sz w:val="21"/>
                      <w:szCs w:val="21"/>
                      <w:highlight w:val="none"/>
                      <w:lang w:val="en-US" w:eastAsia="zh-CN"/>
                    </w:rPr>
                    <w:t>。</w:t>
                  </w:r>
                </w:p>
              </w:tc>
              <w:tc>
                <w:tcPr>
                  <w:tcW w:w="708" w:type="dxa"/>
                  <w:vMerge w:val="restart"/>
                  <w:vAlign w:val="center"/>
                </w:tcPr>
                <w:p w14:paraId="7BA5ABAE">
                  <w:pPr>
                    <w:shd w:val="clea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租赁已建标准化厂房使用</w:t>
                  </w:r>
                </w:p>
              </w:tc>
            </w:tr>
            <w:tr w14:paraId="6116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26" w:type="dxa"/>
                  <w:vMerge w:val="continue"/>
                  <w:vAlign w:val="center"/>
                </w:tcPr>
                <w:p w14:paraId="10E4F6B6">
                  <w:pPr>
                    <w:shd w:val="clea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784" w:type="dxa"/>
                  <w:vMerge w:val="continue"/>
                  <w:vAlign w:val="center"/>
                </w:tcPr>
                <w:p w14:paraId="718BEB19">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1152" w:type="dxa"/>
                  <w:vAlign w:val="center"/>
                </w:tcPr>
                <w:p w14:paraId="6D737634">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上料车间</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454</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w:t>
                  </w:r>
                </w:p>
              </w:tc>
              <w:tc>
                <w:tcPr>
                  <w:tcW w:w="5635" w:type="dxa"/>
                  <w:gridSpan w:val="2"/>
                  <w:vAlign w:val="center"/>
                </w:tcPr>
                <w:p w14:paraId="0CFFDAFE">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上料车间</w:t>
                  </w:r>
                  <w:r>
                    <w:rPr>
                      <w:rFonts w:hint="default" w:ascii="Times New Roman" w:hAnsi="Times New Roman" w:eastAsia="宋体" w:cs="Times New Roman"/>
                      <w:color w:val="auto"/>
                      <w:sz w:val="21"/>
                      <w:szCs w:val="21"/>
                      <w:highlight w:val="none"/>
                      <w:lang w:eastAsia="zh-CN"/>
                    </w:rPr>
                    <w:t>面积</w:t>
                  </w:r>
                  <w:r>
                    <w:rPr>
                      <w:rFonts w:hint="eastAsia" w:cs="Times New Roman"/>
                      <w:color w:val="auto"/>
                      <w:sz w:val="21"/>
                      <w:szCs w:val="21"/>
                      <w:highlight w:val="none"/>
                      <w:lang w:val="en-US" w:eastAsia="zh-CN"/>
                    </w:rPr>
                    <w:t>454</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位于生产</w:t>
                  </w:r>
                  <w:r>
                    <w:rPr>
                      <w:rFonts w:hint="eastAsia" w:cs="Times New Roman"/>
                      <w:color w:val="auto"/>
                      <w:sz w:val="21"/>
                      <w:szCs w:val="21"/>
                      <w:highlight w:val="none"/>
                      <w:lang w:val="en-US" w:eastAsia="zh-CN"/>
                    </w:rPr>
                    <w:t>厂房</w:t>
                  </w:r>
                  <w:r>
                    <w:rPr>
                      <w:rFonts w:hint="default" w:ascii="Times New Roman" w:hAnsi="Times New Roman" w:eastAsia="宋体" w:cs="Times New Roman"/>
                      <w:color w:val="auto"/>
                      <w:sz w:val="21"/>
                      <w:szCs w:val="21"/>
                      <w:highlight w:val="none"/>
                      <w:lang w:val="en-US" w:eastAsia="zh-CN"/>
                    </w:rPr>
                    <w:t>内中部</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内设</w:t>
                  </w:r>
                  <w:r>
                    <w:rPr>
                      <w:rFonts w:hint="eastAsia" w:cs="Times New Roman"/>
                      <w:color w:val="auto"/>
                      <w:sz w:val="21"/>
                      <w:szCs w:val="21"/>
                      <w:highlight w:val="none"/>
                      <w:lang w:val="en-US" w:eastAsia="zh-CN"/>
                    </w:rPr>
                    <w:t>10台上料机，</w:t>
                  </w:r>
                  <w:r>
                    <w:rPr>
                      <w:rFonts w:hint="eastAsia" w:cs="Times New Roman"/>
                      <w:color w:val="auto"/>
                      <w:sz w:val="21"/>
                      <w:szCs w:val="21"/>
                      <w:highlight w:val="none"/>
                      <w:lang w:eastAsia="zh-CN"/>
                    </w:rPr>
                    <w:t>主要用于原辅料上料。</w:t>
                  </w:r>
                </w:p>
              </w:tc>
              <w:tc>
                <w:tcPr>
                  <w:tcW w:w="708" w:type="dxa"/>
                  <w:vMerge w:val="continue"/>
                  <w:vAlign w:val="center"/>
                </w:tcPr>
                <w:p w14:paraId="18E877A2">
                  <w:pPr>
                    <w:shd w:val="clea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p>
              </w:tc>
            </w:tr>
            <w:tr w14:paraId="671A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26" w:type="dxa"/>
                  <w:vMerge w:val="continue"/>
                  <w:vAlign w:val="center"/>
                </w:tcPr>
                <w:p w14:paraId="481850C5">
                  <w:pPr>
                    <w:shd w:val="clea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784" w:type="dxa"/>
                  <w:vMerge w:val="continue"/>
                  <w:vAlign w:val="center"/>
                </w:tcPr>
                <w:p w14:paraId="52AF9109">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1152" w:type="dxa"/>
                  <w:vAlign w:val="center"/>
                </w:tcPr>
                <w:p w14:paraId="4FFC97AC">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挤出车间1200</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val="en-US" w:eastAsia="zh-CN"/>
                    </w:rPr>
                    <w:t>）</w:t>
                  </w:r>
                </w:p>
              </w:tc>
              <w:tc>
                <w:tcPr>
                  <w:tcW w:w="5635" w:type="dxa"/>
                  <w:gridSpan w:val="2"/>
                  <w:vAlign w:val="center"/>
                </w:tcPr>
                <w:p w14:paraId="6AA7D12B">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挤出车间</w:t>
                  </w:r>
                  <w:r>
                    <w:rPr>
                      <w:rFonts w:hint="default" w:ascii="Times New Roman" w:hAnsi="Times New Roman" w:eastAsia="宋体" w:cs="Times New Roman"/>
                      <w:color w:val="auto"/>
                      <w:sz w:val="21"/>
                      <w:szCs w:val="21"/>
                      <w:highlight w:val="none"/>
                      <w:lang w:eastAsia="zh-CN"/>
                    </w:rPr>
                    <w:t>面积</w:t>
                  </w:r>
                  <w:r>
                    <w:rPr>
                      <w:rFonts w:hint="eastAsia" w:cs="Times New Roman"/>
                      <w:color w:val="auto"/>
                      <w:sz w:val="21"/>
                      <w:szCs w:val="21"/>
                      <w:highlight w:val="none"/>
                      <w:lang w:val="en-US" w:eastAsia="zh-CN"/>
                    </w:rPr>
                    <w:t>1200</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位于生产</w:t>
                  </w:r>
                  <w:r>
                    <w:rPr>
                      <w:rFonts w:hint="eastAsia" w:cs="Times New Roman"/>
                      <w:color w:val="auto"/>
                      <w:sz w:val="21"/>
                      <w:szCs w:val="21"/>
                      <w:highlight w:val="none"/>
                      <w:lang w:val="en-US" w:eastAsia="zh-CN"/>
                    </w:rPr>
                    <w:t>厂房</w:t>
                  </w:r>
                  <w:r>
                    <w:rPr>
                      <w:rFonts w:hint="default" w:ascii="Times New Roman" w:hAnsi="Times New Roman" w:eastAsia="宋体" w:cs="Times New Roman"/>
                      <w:color w:val="auto"/>
                      <w:sz w:val="21"/>
                      <w:szCs w:val="21"/>
                      <w:highlight w:val="none"/>
                      <w:lang w:val="en-US" w:eastAsia="zh-CN"/>
                    </w:rPr>
                    <w:t>内</w:t>
                  </w:r>
                  <w:r>
                    <w:rPr>
                      <w:rFonts w:hint="eastAsia" w:cs="Times New Roman"/>
                      <w:color w:val="auto"/>
                      <w:sz w:val="21"/>
                      <w:szCs w:val="21"/>
                      <w:highlight w:val="none"/>
                      <w:lang w:val="en-US" w:eastAsia="zh-CN"/>
                    </w:rPr>
                    <w:t>中部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内设</w:t>
                  </w: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条</w:t>
                  </w:r>
                  <w:r>
                    <w:rPr>
                      <w:rFonts w:hint="default" w:ascii="Times New Roman" w:hAnsi="Times New Roman" w:eastAsia="宋体" w:cs="Times New Roman"/>
                      <w:color w:val="auto"/>
                      <w:kern w:val="0"/>
                      <w:sz w:val="21"/>
                      <w:szCs w:val="21"/>
                      <w:highlight w:val="none"/>
                    </w:rPr>
                    <w:t>生产线</w:t>
                  </w:r>
                  <w:r>
                    <w:rPr>
                      <w:rFonts w:hint="eastAsia" w:cs="Times New Roman"/>
                      <w:color w:val="auto"/>
                      <w:kern w:val="0"/>
                      <w:sz w:val="21"/>
                      <w:szCs w:val="21"/>
                      <w:highlight w:val="none"/>
                      <w:lang w:eastAsia="zh-CN"/>
                    </w:rPr>
                    <w:t>（</w:t>
                  </w:r>
                  <w:r>
                    <w:rPr>
                      <w:rFonts w:hint="eastAsia" w:cs="Times New Roman"/>
                      <w:color w:val="auto"/>
                      <w:kern w:val="0"/>
                      <w:sz w:val="21"/>
                      <w:szCs w:val="21"/>
                      <w:highlight w:val="none"/>
                      <w:lang w:val="en-US" w:eastAsia="zh-CN"/>
                    </w:rPr>
                    <w:t>10台挤出机、冷却定型装置、履带式牵引机、板材切割机、覆膜机等</w:t>
                  </w:r>
                  <w:r>
                    <w:rPr>
                      <w:rFonts w:hint="eastAsia"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val="en-US" w:eastAsia="zh-CN"/>
                    </w:rPr>
                    <w:t>用</w:t>
                  </w:r>
                  <w:r>
                    <w:rPr>
                      <w:rFonts w:hint="default" w:cs="Times New Roman"/>
                      <w:color w:val="auto"/>
                      <w:kern w:val="0"/>
                      <w:sz w:val="21"/>
                      <w:szCs w:val="21"/>
                      <w:highlight w:val="none"/>
                      <w:lang w:val="en-US" w:eastAsia="zh-CN"/>
                    </w:rPr>
                    <w:t>于</w:t>
                  </w:r>
                  <w:r>
                    <w:rPr>
                      <w:rFonts w:hint="eastAsia" w:cs="Times New Roman"/>
                      <w:color w:val="auto"/>
                      <w:kern w:val="0"/>
                      <w:sz w:val="21"/>
                      <w:szCs w:val="21"/>
                      <w:highlight w:val="none"/>
                      <w:lang w:val="en-US" w:eastAsia="zh-CN"/>
                    </w:rPr>
                    <w:t>竹木纤维集成墙板及扣板</w:t>
                  </w:r>
                  <w:r>
                    <w:rPr>
                      <w:rFonts w:hint="default" w:cs="Times New Roman"/>
                      <w:color w:val="auto"/>
                      <w:kern w:val="0"/>
                      <w:sz w:val="21"/>
                      <w:szCs w:val="21"/>
                      <w:highlight w:val="none"/>
                      <w:lang w:val="en-US" w:eastAsia="zh-CN"/>
                    </w:rPr>
                    <w:t>的生产。</w:t>
                  </w:r>
                </w:p>
              </w:tc>
              <w:tc>
                <w:tcPr>
                  <w:tcW w:w="708" w:type="dxa"/>
                  <w:vMerge w:val="continue"/>
                  <w:vAlign w:val="center"/>
                </w:tcPr>
                <w:p w14:paraId="0A091322">
                  <w:pPr>
                    <w:shd w:val="clea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p>
              </w:tc>
            </w:tr>
            <w:tr w14:paraId="782E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26" w:type="dxa"/>
                  <w:vMerge w:val="continue"/>
                  <w:vAlign w:val="center"/>
                </w:tcPr>
                <w:p w14:paraId="2F299842">
                  <w:pPr>
                    <w:shd w:val="clea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784" w:type="dxa"/>
                  <w:vMerge w:val="continue"/>
                  <w:vAlign w:val="center"/>
                </w:tcPr>
                <w:p w14:paraId="47F39753">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1152" w:type="dxa"/>
                  <w:vAlign w:val="center"/>
                </w:tcPr>
                <w:p w14:paraId="1CE8AA2F">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冷却塔及水池区域</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96</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val="en-US" w:eastAsia="zh-CN"/>
                    </w:rPr>
                    <w:t>）</w:t>
                  </w:r>
                </w:p>
              </w:tc>
              <w:tc>
                <w:tcPr>
                  <w:tcW w:w="5635" w:type="dxa"/>
                  <w:gridSpan w:val="2"/>
                  <w:vAlign w:val="center"/>
                </w:tcPr>
                <w:p w14:paraId="091A7C17">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冷却塔及水池区域</w:t>
                  </w:r>
                  <w:r>
                    <w:rPr>
                      <w:rFonts w:hint="default" w:ascii="Times New Roman" w:hAnsi="Times New Roman" w:eastAsia="宋体" w:cs="Times New Roman"/>
                      <w:color w:val="auto"/>
                      <w:sz w:val="21"/>
                      <w:szCs w:val="21"/>
                      <w:highlight w:val="none"/>
                      <w:lang w:eastAsia="zh-CN"/>
                    </w:rPr>
                    <w:t>面积</w:t>
                  </w:r>
                  <w:r>
                    <w:rPr>
                      <w:rFonts w:hint="eastAsia" w:cs="Times New Roman"/>
                      <w:color w:val="auto"/>
                      <w:sz w:val="21"/>
                      <w:szCs w:val="21"/>
                      <w:highlight w:val="none"/>
                      <w:lang w:val="en-US" w:eastAsia="zh-CN"/>
                    </w:rPr>
                    <w:t>96</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位于生产</w:t>
                  </w:r>
                  <w:r>
                    <w:rPr>
                      <w:rFonts w:hint="eastAsia" w:cs="Times New Roman"/>
                      <w:color w:val="auto"/>
                      <w:sz w:val="21"/>
                      <w:szCs w:val="21"/>
                      <w:highlight w:val="none"/>
                      <w:lang w:val="en-US" w:eastAsia="zh-CN"/>
                    </w:rPr>
                    <w:t>厂房</w:t>
                  </w:r>
                  <w:r>
                    <w:rPr>
                      <w:rFonts w:hint="default" w:ascii="Times New Roman" w:hAnsi="Times New Roman" w:eastAsia="宋体" w:cs="Times New Roman"/>
                      <w:color w:val="auto"/>
                      <w:sz w:val="21"/>
                      <w:szCs w:val="21"/>
                      <w:highlight w:val="none"/>
                      <w:lang w:val="en-US" w:eastAsia="zh-CN"/>
                    </w:rPr>
                    <w:t>内</w:t>
                  </w:r>
                  <w:r>
                    <w:rPr>
                      <w:rFonts w:hint="eastAsia" w:cs="Times New Roman"/>
                      <w:color w:val="auto"/>
                      <w:sz w:val="21"/>
                      <w:szCs w:val="21"/>
                      <w:highlight w:val="none"/>
                      <w:lang w:val="en-US" w:eastAsia="zh-CN"/>
                    </w:rPr>
                    <w:t>西</w:t>
                  </w:r>
                  <w:r>
                    <w:rPr>
                      <w:rFonts w:hint="default" w:ascii="Times New Roman" w:hAnsi="Times New Roman" w:eastAsia="宋体" w:cs="Times New Roman"/>
                      <w:color w:val="auto"/>
                      <w:sz w:val="21"/>
                      <w:szCs w:val="21"/>
                      <w:highlight w:val="none"/>
                      <w:lang w:val="en-US" w:eastAsia="zh-CN"/>
                    </w:rPr>
                    <w:t>南侧中部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内设</w:t>
                  </w:r>
                  <w:r>
                    <w:rPr>
                      <w:rFonts w:hint="eastAsia" w:cs="Times New Roman"/>
                      <w:color w:val="auto"/>
                      <w:sz w:val="21"/>
                      <w:szCs w:val="21"/>
                      <w:highlight w:val="none"/>
                      <w:lang w:val="en-US" w:eastAsia="zh-CN"/>
                    </w:rPr>
                    <w:t>1个冷却塔及水池，主要用于产品冷却工序，为直接冷却</w:t>
                  </w:r>
                  <w:r>
                    <w:rPr>
                      <w:rFonts w:hint="default" w:ascii="Times New Roman" w:hAnsi="Times New Roman" w:eastAsia="宋体" w:cs="Times New Roman"/>
                      <w:color w:val="auto"/>
                      <w:sz w:val="21"/>
                      <w:szCs w:val="21"/>
                      <w:highlight w:val="none"/>
                      <w:lang w:val="en-US" w:eastAsia="zh-CN"/>
                    </w:rPr>
                    <w:t>。</w:t>
                  </w:r>
                </w:p>
              </w:tc>
              <w:tc>
                <w:tcPr>
                  <w:tcW w:w="708" w:type="dxa"/>
                  <w:vMerge w:val="continue"/>
                  <w:vAlign w:val="center"/>
                </w:tcPr>
                <w:p w14:paraId="697375E5">
                  <w:pPr>
                    <w:shd w:val="clea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p>
              </w:tc>
            </w:tr>
            <w:tr w14:paraId="7AF8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26" w:type="dxa"/>
                  <w:vMerge w:val="continue"/>
                  <w:vAlign w:val="center"/>
                </w:tcPr>
                <w:p w14:paraId="1DCAB162">
                  <w:pPr>
                    <w:shd w:val="clea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784" w:type="dxa"/>
                  <w:vMerge w:val="continue"/>
                  <w:vAlign w:val="center"/>
                </w:tcPr>
                <w:p w14:paraId="1187086D">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1152" w:type="dxa"/>
                  <w:vAlign w:val="center"/>
                </w:tcPr>
                <w:p w14:paraId="2020F56E">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原料暂存区</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407</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w:t>
                  </w:r>
                </w:p>
              </w:tc>
              <w:tc>
                <w:tcPr>
                  <w:tcW w:w="5635" w:type="dxa"/>
                  <w:gridSpan w:val="2"/>
                  <w:vAlign w:val="center"/>
                </w:tcPr>
                <w:p w14:paraId="714901DA">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原料暂存区</w:t>
                  </w:r>
                  <w:r>
                    <w:rPr>
                      <w:rFonts w:hint="default" w:ascii="Times New Roman" w:hAnsi="Times New Roman" w:eastAsia="宋体" w:cs="Times New Roman"/>
                      <w:color w:val="auto"/>
                      <w:sz w:val="21"/>
                      <w:szCs w:val="21"/>
                      <w:highlight w:val="none"/>
                      <w:lang w:eastAsia="zh-CN"/>
                    </w:rPr>
                    <w:t>面积</w:t>
                  </w:r>
                  <w:r>
                    <w:rPr>
                      <w:rFonts w:hint="eastAsia" w:cs="Times New Roman"/>
                      <w:color w:val="auto"/>
                      <w:sz w:val="21"/>
                      <w:szCs w:val="21"/>
                      <w:highlight w:val="none"/>
                      <w:lang w:val="en-US" w:eastAsia="zh-CN"/>
                    </w:rPr>
                    <w:t>407</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位于生产</w:t>
                  </w:r>
                  <w:r>
                    <w:rPr>
                      <w:rFonts w:hint="eastAsia" w:cs="Times New Roman"/>
                      <w:color w:val="auto"/>
                      <w:sz w:val="21"/>
                      <w:szCs w:val="21"/>
                      <w:highlight w:val="none"/>
                      <w:lang w:val="en-US" w:eastAsia="zh-CN"/>
                    </w:rPr>
                    <w:t>厂房</w:t>
                  </w:r>
                  <w:r>
                    <w:rPr>
                      <w:rFonts w:hint="default" w:ascii="Times New Roman" w:hAnsi="Times New Roman" w:eastAsia="宋体" w:cs="Times New Roman"/>
                      <w:color w:val="auto"/>
                      <w:sz w:val="21"/>
                      <w:szCs w:val="21"/>
                      <w:highlight w:val="none"/>
                      <w:lang w:val="en-US" w:eastAsia="zh-CN"/>
                    </w:rPr>
                    <w:t>内</w:t>
                  </w:r>
                  <w:r>
                    <w:rPr>
                      <w:rFonts w:hint="eastAsia" w:cs="Times New Roman"/>
                      <w:color w:val="auto"/>
                      <w:sz w:val="21"/>
                      <w:szCs w:val="21"/>
                      <w:highlight w:val="none"/>
                      <w:lang w:val="en-US" w:eastAsia="zh-CN"/>
                    </w:rPr>
                    <w:t>西侧</w:t>
                  </w:r>
                  <w:r>
                    <w:rPr>
                      <w:rFonts w:hint="default" w:ascii="Times New Roman" w:hAnsi="Times New Roman" w:eastAsia="宋体" w:cs="Times New Roman"/>
                      <w:color w:val="auto"/>
                      <w:sz w:val="21"/>
                      <w:szCs w:val="21"/>
                      <w:highlight w:val="none"/>
                      <w:lang w:val="en-US" w:eastAsia="zh-CN"/>
                    </w:rPr>
                    <w:t>中部</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主要</w:t>
                  </w:r>
                  <w:r>
                    <w:rPr>
                      <w:rFonts w:hint="default" w:ascii="Times New Roman" w:hAnsi="Times New Roman" w:eastAsia="宋体" w:cs="Times New Roman"/>
                      <w:color w:val="auto"/>
                      <w:kern w:val="0"/>
                      <w:sz w:val="21"/>
                      <w:szCs w:val="21"/>
                      <w:highlight w:val="none"/>
                      <w:lang w:val="en-US" w:eastAsia="zh-CN"/>
                    </w:rPr>
                    <w:t>用于</w:t>
                  </w:r>
                  <w:r>
                    <w:rPr>
                      <w:rFonts w:hint="eastAsia" w:cs="Times New Roman"/>
                      <w:color w:val="auto"/>
                      <w:kern w:val="0"/>
                      <w:sz w:val="21"/>
                      <w:szCs w:val="21"/>
                      <w:highlight w:val="none"/>
                      <w:lang w:val="en-US" w:eastAsia="zh-CN"/>
                    </w:rPr>
                    <w:t>原料混料前暂存</w:t>
                  </w:r>
                  <w:r>
                    <w:rPr>
                      <w:rFonts w:hint="default" w:ascii="Times New Roman" w:hAnsi="Times New Roman" w:eastAsia="宋体" w:cs="Times New Roman"/>
                      <w:color w:val="auto"/>
                      <w:sz w:val="21"/>
                      <w:szCs w:val="21"/>
                      <w:highlight w:val="none"/>
                      <w:lang w:val="en-US" w:eastAsia="zh-CN"/>
                    </w:rPr>
                    <w:t>。</w:t>
                  </w:r>
                </w:p>
              </w:tc>
              <w:tc>
                <w:tcPr>
                  <w:tcW w:w="708" w:type="dxa"/>
                  <w:vMerge w:val="continue"/>
                  <w:vAlign w:val="center"/>
                </w:tcPr>
                <w:p w14:paraId="3956A988">
                  <w:pPr>
                    <w:shd w:val="clea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p>
              </w:tc>
            </w:tr>
            <w:tr w14:paraId="0DE9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26" w:type="dxa"/>
                  <w:vMerge w:val="continue"/>
                  <w:vAlign w:val="center"/>
                </w:tcPr>
                <w:p w14:paraId="45B3178D">
                  <w:pPr>
                    <w:shd w:val="clea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784" w:type="dxa"/>
                  <w:vMerge w:val="continue"/>
                  <w:vAlign w:val="center"/>
                </w:tcPr>
                <w:p w14:paraId="362920EB">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1152" w:type="dxa"/>
                  <w:vAlign w:val="center"/>
                </w:tcPr>
                <w:p w14:paraId="29004159">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成品仓库</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504</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val="en-US" w:eastAsia="zh-CN"/>
                    </w:rPr>
                    <w:t>）</w:t>
                  </w:r>
                </w:p>
              </w:tc>
              <w:tc>
                <w:tcPr>
                  <w:tcW w:w="5635" w:type="dxa"/>
                  <w:gridSpan w:val="2"/>
                  <w:vAlign w:val="center"/>
                </w:tcPr>
                <w:p w14:paraId="3BF2ACD5">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成品仓库</w:t>
                  </w:r>
                  <w:r>
                    <w:rPr>
                      <w:rFonts w:hint="default" w:ascii="Times New Roman" w:hAnsi="Times New Roman" w:eastAsia="宋体" w:cs="Times New Roman"/>
                      <w:color w:val="auto"/>
                      <w:sz w:val="21"/>
                      <w:szCs w:val="21"/>
                      <w:highlight w:val="none"/>
                      <w:lang w:eastAsia="zh-CN"/>
                    </w:rPr>
                    <w:t>面积</w:t>
                  </w:r>
                  <w:r>
                    <w:rPr>
                      <w:rFonts w:hint="eastAsia" w:cs="Times New Roman"/>
                      <w:color w:val="auto"/>
                      <w:sz w:val="21"/>
                      <w:szCs w:val="21"/>
                      <w:highlight w:val="none"/>
                      <w:lang w:val="en-US" w:eastAsia="zh-CN"/>
                    </w:rPr>
                    <w:t>504</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位于生产</w:t>
                  </w:r>
                  <w:r>
                    <w:rPr>
                      <w:rFonts w:hint="eastAsia" w:cs="Times New Roman"/>
                      <w:color w:val="auto"/>
                      <w:sz w:val="21"/>
                      <w:szCs w:val="21"/>
                      <w:highlight w:val="none"/>
                      <w:lang w:val="en-US" w:eastAsia="zh-CN"/>
                    </w:rPr>
                    <w:t>厂房</w:t>
                  </w:r>
                  <w:r>
                    <w:rPr>
                      <w:rFonts w:hint="default" w:ascii="Times New Roman" w:hAnsi="Times New Roman" w:eastAsia="宋体" w:cs="Times New Roman"/>
                      <w:color w:val="auto"/>
                      <w:sz w:val="21"/>
                      <w:szCs w:val="21"/>
                      <w:highlight w:val="none"/>
                      <w:lang w:val="en-US" w:eastAsia="zh-CN"/>
                    </w:rPr>
                    <w:t>内</w:t>
                  </w:r>
                  <w:r>
                    <w:rPr>
                      <w:rFonts w:hint="eastAsia" w:cs="Times New Roman"/>
                      <w:color w:val="auto"/>
                      <w:sz w:val="21"/>
                      <w:szCs w:val="21"/>
                      <w:highlight w:val="none"/>
                      <w:lang w:val="en-US" w:eastAsia="zh-CN"/>
                    </w:rPr>
                    <w:t>南侧</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主要用于成品堆存</w:t>
                  </w:r>
                  <w:r>
                    <w:rPr>
                      <w:rFonts w:hint="default" w:ascii="Times New Roman" w:hAnsi="Times New Roman" w:eastAsia="宋体" w:cs="Times New Roman"/>
                      <w:color w:val="auto"/>
                      <w:sz w:val="21"/>
                      <w:szCs w:val="21"/>
                      <w:highlight w:val="none"/>
                      <w:lang w:val="en-US" w:eastAsia="zh-CN"/>
                    </w:rPr>
                    <w:t>。</w:t>
                  </w:r>
                </w:p>
              </w:tc>
              <w:tc>
                <w:tcPr>
                  <w:tcW w:w="708" w:type="dxa"/>
                  <w:vMerge w:val="continue"/>
                  <w:vAlign w:val="center"/>
                </w:tcPr>
                <w:p w14:paraId="58EC5197">
                  <w:pPr>
                    <w:shd w:val="clea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p>
              </w:tc>
            </w:tr>
            <w:tr w14:paraId="535A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26" w:type="dxa"/>
                  <w:vMerge w:val="continue"/>
                  <w:vAlign w:val="center"/>
                </w:tcPr>
                <w:p w14:paraId="17AEEA89">
                  <w:pPr>
                    <w:shd w:val="clea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784" w:type="dxa"/>
                  <w:vMerge w:val="continue"/>
                  <w:vAlign w:val="center"/>
                </w:tcPr>
                <w:p w14:paraId="4941465F">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1152" w:type="dxa"/>
                  <w:vAlign w:val="center"/>
                </w:tcPr>
                <w:p w14:paraId="538FA1D7">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包装纸箱存放区</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302</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val="en-US" w:eastAsia="zh-CN"/>
                    </w:rPr>
                    <w:t>）</w:t>
                  </w:r>
                </w:p>
              </w:tc>
              <w:tc>
                <w:tcPr>
                  <w:tcW w:w="5635" w:type="dxa"/>
                  <w:gridSpan w:val="2"/>
                  <w:vAlign w:val="center"/>
                </w:tcPr>
                <w:p w14:paraId="62E6F7C8">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包装纸箱存放区</w:t>
                  </w:r>
                  <w:r>
                    <w:rPr>
                      <w:rFonts w:hint="default" w:ascii="Times New Roman" w:hAnsi="Times New Roman" w:eastAsia="宋体" w:cs="Times New Roman"/>
                      <w:color w:val="auto"/>
                      <w:sz w:val="21"/>
                      <w:szCs w:val="21"/>
                      <w:highlight w:val="none"/>
                      <w:lang w:eastAsia="zh-CN"/>
                    </w:rPr>
                    <w:t>面积</w:t>
                  </w:r>
                  <w:r>
                    <w:rPr>
                      <w:rFonts w:hint="eastAsia" w:cs="Times New Roman"/>
                      <w:color w:val="auto"/>
                      <w:sz w:val="21"/>
                      <w:szCs w:val="21"/>
                      <w:highlight w:val="none"/>
                      <w:lang w:val="en-US" w:eastAsia="zh-CN"/>
                    </w:rPr>
                    <w:t>302</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位于生产</w:t>
                  </w:r>
                  <w:r>
                    <w:rPr>
                      <w:rFonts w:hint="eastAsia" w:cs="Times New Roman"/>
                      <w:color w:val="auto"/>
                      <w:sz w:val="21"/>
                      <w:szCs w:val="21"/>
                      <w:highlight w:val="none"/>
                      <w:lang w:val="en-US" w:eastAsia="zh-CN"/>
                    </w:rPr>
                    <w:t>厂房</w:t>
                  </w:r>
                  <w:r>
                    <w:rPr>
                      <w:rFonts w:hint="default" w:ascii="Times New Roman" w:hAnsi="Times New Roman" w:eastAsia="宋体" w:cs="Times New Roman"/>
                      <w:color w:val="auto"/>
                      <w:sz w:val="21"/>
                      <w:szCs w:val="21"/>
                      <w:highlight w:val="none"/>
                      <w:lang w:val="en-US" w:eastAsia="zh-CN"/>
                    </w:rPr>
                    <w:t>内</w:t>
                  </w:r>
                  <w:r>
                    <w:rPr>
                      <w:rFonts w:hint="eastAsia" w:cs="Times New Roman"/>
                      <w:color w:val="auto"/>
                      <w:sz w:val="21"/>
                      <w:szCs w:val="21"/>
                      <w:highlight w:val="none"/>
                      <w:lang w:val="en-US" w:eastAsia="zh-CN"/>
                    </w:rPr>
                    <w:t>东</w:t>
                  </w:r>
                  <w:r>
                    <w:rPr>
                      <w:rFonts w:hint="default" w:ascii="Times New Roman" w:hAnsi="Times New Roman" w:eastAsia="宋体" w:cs="Times New Roman"/>
                      <w:color w:val="auto"/>
                      <w:sz w:val="21"/>
                      <w:szCs w:val="21"/>
                      <w:highlight w:val="none"/>
                      <w:lang w:val="en-US" w:eastAsia="zh-CN"/>
                    </w:rPr>
                    <w:t>南侧</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主要</w:t>
                  </w:r>
                  <w:r>
                    <w:rPr>
                      <w:rFonts w:hint="default" w:ascii="Times New Roman" w:hAnsi="Times New Roman" w:eastAsia="宋体" w:cs="Times New Roman"/>
                      <w:color w:val="auto"/>
                      <w:kern w:val="0"/>
                      <w:sz w:val="21"/>
                      <w:szCs w:val="21"/>
                      <w:highlight w:val="none"/>
                      <w:lang w:val="en-US" w:eastAsia="zh-CN"/>
                    </w:rPr>
                    <w:t>用于</w:t>
                  </w:r>
                  <w:r>
                    <w:rPr>
                      <w:rFonts w:hint="eastAsia" w:cs="Times New Roman"/>
                      <w:color w:val="auto"/>
                      <w:kern w:val="0"/>
                      <w:sz w:val="21"/>
                      <w:szCs w:val="21"/>
                      <w:highlight w:val="none"/>
                      <w:lang w:val="en-US" w:eastAsia="zh-CN"/>
                    </w:rPr>
                    <w:t>存放产品包装时所使用的纸箱</w:t>
                  </w:r>
                  <w:r>
                    <w:rPr>
                      <w:rFonts w:hint="default" w:ascii="Times New Roman" w:hAnsi="Times New Roman" w:eastAsia="宋体" w:cs="Times New Roman"/>
                      <w:color w:val="auto"/>
                      <w:sz w:val="21"/>
                      <w:szCs w:val="21"/>
                      <w:highlight w:val="none"/>
                      <w:lang w:val="en-US" w:eastAsia="zh-CN"/>
                    </w:rPr>
                    <w:t>。</w:t>
                  </w:r>
                </w:p>
              </w:tc>
              <w:tc>
                <w:tcPr>
                  <w:tcW w:w="708" w:type="dxa"/>
                  <w:vMerge w:val="continue"/>
                  <w:vAlign w:val="center"/>
                </w:tcPr>
                <w:p w14:paraId="43F4D676">
                  <w:pPr>
                    <w:shd w:val="clea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p>
              </w:tc>
            </w:tr>
            <w:tr w14:paraId="7C3A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6" w:type="dxa"/>
                  <w:vMerge w:val="continue"/>
                  <w:vAlign w:val="center"/>
                </w:tcPr>
                <w:p w14:paraId="2551746D">
                  <w:pPr>
                    <w:shd w:val="clea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784" w:type="dxa"/>
                  <w:vMerge w:val="continue"/>
                  <w:vAlign w:val="center"/>
                </w:tcPr>
                <w:p w14:paraId="331884CC">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1152" w:type="dxa"/>
                  <w:vAlign w:val="center"/>
                </w:tcPr>
                <w:p w14:paraId="19BCFA58">
                  <w:pPr>
                    <w:pStyle w:val="18"/>
                    <w:shd w:val="clear"/>
                    <w:adjustRightInd w:val="0"/>
                    <w:snapToGrid w:val="0"/>
                    <w:spacing w:line="0" w:lineRule="atLeast"/>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车间办公室</w:t>
                  </w:r>
                  <w:r>
                    <w:rPr>
                      <w:rFonts w:hint="default" w:ascii="Times New Roman" w:hAnsi="Times New Roman" w:eastAsia="宋体" w:cs="Times New Roman"/>
                      <w:b w:val="0"/>
                      <w:bCs w:val="0"/>
                      <w:color w:val="auto"/>
                      <w:sz w:val="21"/>
                      <w:szCs w:val="21"/>
                      <w:highlight w:val="none"/>
                      <w:lang w:val="en-US" w:eastAsia="zh-CN"/>
                    </w:rPr>
                    <w:t>（</w:t>
                  </w:r>
                  <w:r>
                    <w:rPr>
                      <w:rFonts w:hint="eastAsia" w:cs="Times New Roman"/>
                      <w:b w:val="0"/>
                      <w:bCs w:val="0"/>
                      <w:color w:val="auto"/>
                      <w:sz w:val="21"/>
                      <w:szCs w:val="21"/>
                      <w:highlight w:val="none"/>
                      <w:lang w:val="en-US" w:eastAsia="zh-CN"/>
                    </w:rPr>
                    <w:t>20</w:t>
                  </w:r>
                  <w:r>
                    <w:rPr>
                      <w:rFonts w:hint="default" w:ascii="Times New Roman" w:hAnsi="Times New Roman" w:eastAsia="宋体" w:cs="Times New Roman"/>
                      <w:b w:val="0"/>
                      <w:bCs w:val="0"/>
                      <w:color w:val="auto"/>
                      <w:sz w:val="21"/>
                      <w:szCs w:val="21"/>
                      <w:highlight w:val="none"/>
                      <w:lang w:val="en-US" w:eastAsia="zh-CN"/>
                    </w:rPr>
                    <w:t>0m</w:t>
                  </w:r>
                  <w:r>
                    <w:rPr>
                      <w:rFonts w:hint="default" w:ascii="Times New Roman" w:hAnsi="Times New Roman" w:eastAsia="宋体" w:cs="Times New Roman"/>
                      <w:b w:val="0"/>
                      <w:bCs w:val="0"/>
                      <w:color w:val="auto"/>
                      <w:sz w:val="21"/>
                      <w:szCs w:val="21"/>
                      <w:highlight w:val="none"/>
                      <w:vertAlign w:val="superscript"/>
                      <w:lang w:val="en-US" w:eastAsia="zh-CN"/>
                    </w:rPr>
                    <w:t>2</w:t>
                  </w:r>
                  <w:r>
                    <w:rPr>
                      <w:rFonts w:hint="default" w:ascii="Times New Roman" w:hAnsi="Times New Roman" w:eastAsia="宋体" w:cs="Times New Roman"/>
                      <w:b w:val="0"/>
                      <w:bCs w:val="0"/>
                      <w:color w:val="auto"/>
                      <w:sz w:val="21"/>
                      <w:szCs w:val="21"/>
                      <w:highlight w:val="none"/>
                      <w:lang w:val="en-US" w:eastAsia="zh-CN"/>
                    </w:rPr>
                    <w:t>）</w:t>
                  </w:r>
                </w:p>
              </w:tc>
              <w:tc>
                <w:tcPr>
                  <w:tcW w:w="5635" w:type="dxa"/>
                  <w:gridSpan w:val="2"/>
                  <w:vAlign w:val="center"/>
                </w:tcPr>
                <w:p w14:paraId="7AA4B938">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车间办公室面积</w:t>
                  </w:r>
                  <w:r>
                    <w:rPr>
                      <w:rFonts w:hint="eastAsia" w:cs="Times New Roman"/>
                      <w:color w:val="auto"/>
                      <w:sz w:val="21"/>
                      <w:szCs w:val="21"/>
                      <w:highlight w:val="none"/>
                      <w:lang w:val="en-US" w:eastAsia="zh-CN"/>
                    </w:rPr>
                    <w:t>200</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位于生产厂房东侧中部，主要用于员工日常临时休息以及车间内办公。</w:t>
                  </w:r>
                </w:p>
              </w:tc>
              <w:tc>
                <w:tcPr>
                  <w:tcW w:w="708" w:type="dxa"/>
                  <w:vMerge w:val="continue"/>
                  <w:vAlign w:val="center"/>
                </w:tcPr>
                <w:p w14:paraId="35F81514">
                  <w:pPr>
                    <w:shd w:val="clea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p>
              </w:tc>
            </w:tr>
            <w:tr w14:paraId="3744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6" w:type="dxa"/>
                  <w:vMerge w:val="continue"/>
                  <w:vAlign w:val="center"/>
                </w:tcPr>
                <w:p w14:paraId="07243682">
                  <w:pPr>
                    <w:keepNext w:val="0"/>
                    <w:keepLines w:val="0"/>
                    <w:widowControl w:val="0"/>
                    <w:suppressLineNumbers w:val="0"/>
                    <w:shd w:val="clear"/>
                    <w:spacing w:before="0" w:beforeAutospacing="0" w:after="0" w:afterAutospacing="0"/>
                    <w:ind w:left="0" w:leftChars="0" w:right="0" w:rightChars="0"/>
                    <w:jc w:val="center"/>
                  </w:pPr>
                </w:p>
              </w:tc>
              <w:tc>
                <w:tcPr>
                  <w:tcW w:w="784" w:type="dxa"/>
                  <w:vMerge w:val="continue"/>
                  <w:vAlign w:val="center"/>
                </w:tcPr>
                <w:p w14:paraId="567440DC">
                  <w:pPr>
                    <w:keepNext w:val="0"/>
                    <w:keepLines w:val="0"/>
                    <w:widowControl w:val="0"/>
                    <w:suppressLineNumbers w:val="0"/>
                    <w:shd w:val="clear"/>
                    <w:spacing w:before="0" w:beforeAutospacing="0" w:after="0" w:afterAutospacing="0"/>
                    <w:ind w:left="0" w:leftChars="0" w:right="0" w:rightChars="0"/>
                    <w:jc w:val="center"/>
                  </w:pPr>
                </w:p>
              </w:tc>
              <w:tc>
                <w:tcPr>
                  <w:tcW w:w="1152" w:type="dxa"/>
                  <w:vAlign w:val="center"/>
                </w:tcPr>
                <w:p w14:paraId="00A5D971">
                  <w:pPr>
                    <w:keepNext w:val="0"/>
                    <w:keepLines w:val="0"/>
                    <w:widowControl w:val="0"/>
                    <w:suppressLineNumbers w:val="0"/>
                    <w:shd w:val="clear"/>
                    <w:spacing w:before="0" w:beforeAutospacing="0" w:after="0" w:afterAutospacing="0"/>
                    <w:ind w:left="0" w:leftChars="0" w:right="0" w:rightChars="0"/>
                    <w:jc w:val="center"/>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原料仓库</w:t>
                  </w:r>
                  <w:r>
                    <w:rPr>
                      <w:rFonts w:hint="default" w:ascii="Times New Roman" w:hAnsi="Times New Roman" w:eastAsia="宋体" w:cs="Times New Roman"/>
                      <w:b w:val="0"/>
                      <w:bCs w:val="0"/>
                      <w:color w:val="auto"/>
                      <w:sz w:val="21"/>
                      <w:szCs w:val="21"/>
                      <w:highlight w:val="none"/>
                      <w:lang w:val="en-US" w:eastAsia="zh-CN"/>
                    </w:rPr>
                    <w:t>（</w:t>
                  </w:r>
                  <w:r>
                    <w:rPr>
                      <w:rFonts w:hint="eastAsia" w:cs="Times New Roman"/>
                      <w:b w:val="0"/>
                      <w:bCs w:val="0"/>
                      <w:color w:val="auto"/>
                      <w:sz w:val="21"/>
                      <w:szCs w:val="21"/>
                      <w:highlight w:val="none"/>
                      <w:lang w:val="en-US" w:eastAsia="zh-CN"/>
                    </w:rPr>
                    <w:t>15</w:t>
                  </w:r>
                  <w:r>
                    <w:rPr>
                      <w:rFonts w:hint="default" w:ascii="Times New Roman" w:hAnsi="Times New Roman" w:eastAsia="宋体" w:cs="Times New Roman"/>
                      <w:b w:val="0"/>
                      <w:bCs w:val="0"/>
                      <w:color w:val="auto"/>
                      <w:sz w:val="21"/>
                      <w:szCs w:val="21"/>
                      <w:highlight w:val="none"/>
                      <w:lang w:val="en-US" w:eastAsia="zh-CN"/>
                    </w:rPr>
                    <w:t>0m</w:t>
                  </w:r>
                  <w:r>
                    <w:rPr>
                      <w:rFonts w:hint="default" w:ascii="Times New Roman" w:hAnsi="Times New Roman" w:eastAsia="宋体" w:cs="Times New Roman"/>
                      <w:b w:val="0"/>
                      <w:bCs w:val="0"/>
                      <w:color w:val="auto"/>
                      <w:sz w:val="21"/>
                      <w:szCs w:val="21"/>
                      <w:highlight w:val="none"/>
                      <w:vertAlign w:val="superscript"/>
                      <w:lang w:val="en-US" w:eastAsia="zh-CN"/>
                    </w:rPr>
                    <w:t>2</w:t>
                  </w:r>
                  <w:r>
                    <w:rPr>
                      <w:rFonts w:hint="default" w:ascii="Times New Roman" w:hAnsi="Times New Roman" w:eastAsia="宋体" w:cs="Times New Roman"/>
                      <w:b w:val="0"/>
                      <w:bCs w:val="0"/>
                      <w:color w:val="auto"/>
                      <w:sz w:val="21"/>
                      <w:szCs w:val="21"/>
                      <w:highlight w:val="none"/>
                      <w:lang w:val="en-US" w:eastAsia="zh-CN"/>
                    </w:rPr>
                    <w:t>）</w:t>
                  </w:r>
                </w:p>
              </w:tc>
              <w:tc>
                <w:tcPr>
                  <w:tcW w:w="5635" w:type="dxa"/>
                  <w:gridSpan w:val="2"/>
                  <w:vAlign w:val="center"/>
                </w:tcPr>
                <w:p w14:paraId="3A2DBAA3">
                  <w:pPr>
                    <w:keepNext w:val="0"/>
                    <w:keepLines w:val="0"/>
                    <w:widowControl w:val="0"/>
                    <w:suppressLineNumbers w:val="0"/>
                    <w:shd w:val="clear"/>
                    <w:spacing w:before="0" w:beforeAutospacing="0" w:after="0" w:afterAutospacing="0"/>
                    <w:ind w:left="0" w:leftChars="0" w:right="0" w:rightChars="0"/>
                    <w:jc w:val="center"/>
                    <w:rPr>
                      <w:rFonts w:hint="eastAsia"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原料仓库面积302</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位于生产厂房东北侧，主要用于原料堆存。</w:t>
                  </w:r>
                </w:p>
              </w:tc>
              <w:tc>
                <w:tcPr>
                  <w:tcW w:w="708" w:type="dxa"/>
                  <w:vMerge w:val="continue"/>
                  <w:vAlign w:val="center"/>
                </w:tcPr>
                <w:p w14:paraId="4C80CDCC">
                  <w:pPr>
                    <w:keepNext w:val="0"/>
                    <w:keepLines w:val="0"/>
                    <w:widowControl w:val="0"/>
                    <w:suppressLineNumbers w:val="0"/>
                    <w:shd w:val="clear"/>
                    <w:spacing w:before="0" w:beforeAutospacing="0" w:after="0" w:afterAutospacing="0"/>
                    <w:ind w:left="0" w:leftChars="0" w:right="0" w:rightChars="0"/>
                    <w:jc w:val="center"/>
                    <w:rPr>
                      <w:rFonts w:hint="eastAsia" w:cs="Times New Roman"/>
                      <w:b w:val="0"/>
                      <w:bCs w:val="0"/>
                      <w:color w:val="auto"/>
                      <w:sz w:val="21"/>
                      <w:szCs w:val="21"/>
                      <w:highlight w:val="none"/>
                      <w:lang w:val="en-US" w:eastAsia="zh-CN"/>
                    </w:rPr>
                  </w:pPr>
                </w:p>
              </w:tc>
            </w:tr>
            <w:tr w14:paraId="7F62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6" w:type="dxa"/>
                  <w:vMerge w:val="continue"/>
                  <w:vAlign w:val="center"/>
                </w:tcPr>
                <w:p w14:paraId="0275FDB2">
                  <w:pPr>
                    <w:keepNext w:val="0"/>
                    <w:keepLines w:val="0"/>
                    <w:widowControl w:val="0"/>
                    <w:suppressLineNumbers w:val="0"/>
                    <w:shd w:val="clear"/>
                    <w:spacing w:before="0" w:beforeAutospacing="0" w:after="0" w:afterAutospacing="0"/>
                    <w:ind w:left="0" w:leftChars="0" w:right="0" w:rightChars="0"/>
                    <w:jc w:val="center"/>
                    <w:rPr>
                      <w:rFonts w:hint="eastAsia" w:cs="Times New Roman"/>
                      <w:b w:val="0"/>
                      <w:bCs w:val="0"/>
                      <w:color w:val="auto"/>
                      <w:sz w:val="21"/>
                      <w:szCs w:val="21"/>
                      <w:highlight w:val="none"/>
                      <w:lang w:val="en-US" w:eastAsia="zh-CN"/>
                    </w:rPr>
                  </w:pPr>
                </w:p>
              </w:tc>
              <w:tc>
                <w:tcPr>
                  <w:tcW w:w="784" w:type="dxa"/>
                  <w:vMerge w:val="continue"/>
                  <w:vAlign w:val="center"/>
                </w:tcPr>
                <w:p w14:paraId="1B8E194B">
                  <w:pPr>
                    <w:keepNext w:val="0"/>
                    <w:keepLines w:val="0"/>
                    <w:widowControl w:val="0"/>
                    <w:suppressLineNumbers w:val="0"/>
                    <w:shd w:val="clear"/>
                    <w:spacing w:before="0" w:beforeAutospacing="0" w:after="0" w:afterAutospacing="0"/>
                    <w:ind w:left="0" w:leftChars="0" w:right="0" w:rightChars="0"/>
                    <w:jc w:val="center"/>
                    <w:rPr>
                      <w:rFonts w:hint="eastAsia" w:cs="Times New Roman"/>
                      <w:b w:val="0"/>
                      <w:bCs w:val="0"/>
                      <w:color w:val="auto"/>
                      <w:sz w:val="21"/>
                      <w:szCs w:val="21"/>
                      <w:highlight w:val="none"/>
                      <w:lang w:val="en-US" w:eastAsia="zh-CN"/>
                    </w:rPr>
                  </w:pPr>
                </w:p>
              </w:tc>
              <w:tc>
                <w:tcPr>
                  <w:tcW w:w="1152" w:type="dxa"/>
                  <w:vAlign w:val="center"/>
                </w:tcPr>
                <w:p w14:paraId="7B62E448">
                  <w:pPr>
                    <w:keepNext w:val="0"/>
                    <w:keepLines w:val="0"/>
                    <w:widowControl w:val="0"/>
                    <w:suppressLineNumbers w:val="0"/>
                    <w:shd w:val="clear"/>
                    <w:spacing w:before="0" w:beforeAutospacing="0" w:after="0" w:afterAutospacing="0"/>
                    <w:ind w:left="0" w:leftChars="0" w:right="0" w:rightChars="0"/>
                    <w:jc w:val="center"/>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工具房</w:t>
                  </w:r>
                  <w:r>
                    <w:rPr>
                      <w:rFonts w:hint="default" w:ascii="Times New Roman" w:hAnsi="Times New Roman" w:eastAsia="宋体" w:cs="Times New Roman"/>
                      <w:b w:val="0"/>
                      <w:bCs w:val="0"/>
                      <w:color w:val="auto"/>
                      <w:sz w:val="21"/>
                      <w:szCs w:val="21"/>
                      <w:highlight w:val="none"/>
                      <w:lang w:val="en-US" w:eastAsia="zh-CN"/>
                    </w:rPr>
                    <w:t>（</w:t>
                  </w:r>
                  <w:r>
                    <w:rPr>
                      <w:rFonts w:hint="eastAsia" w:cs="Times New Roman"/>
                      <w:b w:val="0"/>
                      <w:bCs w:val="0"/>
                      <w:color w:val="auto"/>
                      <w:sz w:val="21"/>
                      <w:szCs w:val="21"/>
                      <w:highlight w:val="none"/>
                      <w:lang w:val="en-US" w:eastAsia="zh-CN"/>
                    </w:rPr>
                    <w:t>50</w:t>
                  </w:r>
                  <w:r>
                    <w:rPr>
                      <w:rFonts w:hint="default" w:ascii="Times New Roman" w:hAnsi="Times New Roman" w:eastAsia="宋体" w:cs="Times New Roman"/>
                      <w:b w:val="0"/>
                      <w:bCs w:val="0"/>
                      <w:color w:val="auto"/>
                      <w:sz w:val="21"/>
                      <w:szCs w:val="21"/>
                      <w:highlight w:val="none"/>
                      <w:lang w:val="en-US" w:eastAsia="zh-CN"/>
                    </w:rPr>
                    <w:t>m</w:t>
                  </w:r>
                  <w:r>
                    <w:rPr>
                      <w:rFonts w:hint="default" w:ascii="Times New Roman" w:hAnsi="Times New Roman" w:eastAsia="宋体" w:cs="Times New Roman"/>
                      <w:b w:val="0"/>
                      <w:bCs w:val="0"/>
                      <w:color w:val="auto"/>
                      <w:sz w:val="21"/>
                      <w:szCs w:val="21"/>
                      <w:highlight w:val="none"/>
                      <w:vertAlign w:val="superscript"/>
                      <w:lang w:val="en-US" w:eastAsia="zh-CN"/>
                    </w:rPr>
                    <w:t>2</w:t>
                  </w:r>
                  <w:r>
                    <w:rPr>
                      <w:rFonts w:hint="default" w:ascii="Times New Roman" w:hAnsi="Times New Roman" w:eastAsia="宋体" w:cs="Times New Roman"/>
                      <w:b w:val="0"/>
                      <w:bCs w:val="0"/>
                      <w:color w:val="auto"/>
                      <w:sz w:val="21"/>
                      <w:szCs w:val="21"/>
                      <w:highlight w:val="none"/>
                      <w:lang w:val="en-US" w:eastAsia="zh-CN"/>
                    </w:rPr>
                    <w:t>）</w:t>
                  </w:r>
                </w:p>
              </w:tc>
              <w:tc>
                <w:tcPr>
                  <w:tcW w:w="5635" w:type="dxa"/>
                  <w:gridSpan w:val="2"/>
                  <w:vAlign w:val="center"/>
                </w:tcPr>
                <w:p w14:paraId="77DDCD90">
                  <w:pPr>
                    <w:keepNext w:val="0"/>
                    <w:keepLines w:val="0"/>
                    <w:widowControl w:val="0"/>
                    <w:suppressLineNumbers w:val="0"/>
                    <w:shd w:val="clear"/>
                    <w:spacing w:before="0" w:beforeAutospacing="0" w:after="0" w:afterAutospacing="0"/>
                    <w:ind w:left="0" w:leftChars="0" w:right="0" w:rightChars="0"/>
                    <w:jc w:val="center"/>
                    <w:rPr>
                      <w:rFonts w:hint="eastAsia"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工具房面积50</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eastAsia="zh-CN"/>
                    </w:rPr>
                    <w:t>主要用于维修设备以及生产时所用工具的存放。</w:t>
                  </w:r>
                </w:p>
              </w:tc>
              <w:tc>
                <w:tcPr>
                  <w:tcW w:w="708" w:type="dxa"/>
                  <w:vMerge w:val="continue"/>
                  <w:vAlign w:val="center"/>
                </w:tcPr>
                <w:p w14:paraId="25030570">
                  <w:pPr>
                    <w:keepNext w:val="0"/>
                    <w:keepLines w:val="0"/>
                    <w:widowControl w:val="0"/>
                    <w:suppressLineNumbers w:val="0"/>
                    <w:shd w:val="clear"/>
                    <w:spacing w:before="0" w:beforeAutospacing="0" w:after="0" w:afterAutospacing="0"/>
                    <w:ind w:left="0" w:leftChars="0" w:right="0" w:rightChars="0"/>
                    <w:jc w:val="center"/>
                    <w:rPr>
                      <w:rFonts w:hint="eastAsia" w:cs="Times New Roman"/>
                      <w:b w:val="0"/>
                      <w:bCs w:val="0"/>
                      <w:color w:val="auto"/>
                      <w:sz w:val="21"/>
                      <w:szCs w:val="21"/>
                      <w:highlight w:val="none"/>
                      <w:lang w:val="en-US" w:eastAsia="zh-CN"/>
                    </w:rPr>
                  </w:pPr>
                </w:p>
              </w:tc>
            </w:tr>
            <w:tr w14:paraId="6515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426" w:type="dxa"/>
                  <w:vAlign w:val="center"/>
                </w:tcPr>
                <w:p w14:paraId="079A82B9">
                  <w:pPr>
                    <w:shd w:val="clear"/>
                    <w:adjustRightInd w:val="0"/>
                    <w:snapToGrid w:val="0"/>
                    <w:spacing w:line="0" w:lineRule="atLeast"/>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辅助工程</w:t>
                  </w:r>
                </w:p>
              </w:tc>
              <w:tc>
                <w:tcPr>
                  <w:tcW w:w="1936" w:type="dxa"/>
                  <w:gridSpan w:val="2"/>
                  <w:vAlign w:val="center"/>
                </w:tcPr>
                <w:p w14:paraId="4925D2D9">
                  <w:pPr>
                    <w:widowControl/>
                    <w:shd w:val="clea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办公综合</w:t>
                  </w:r>
                  <w:r>
                    <w:rPr>
                      <w:rFonts w:hint="eastAsia" w:cs="Times New Roman"/>
                      <w:color w:val="auto"/>
                      <w:kern w:val="0"/>
                      <w:sz w:val="21"/>
                      <w:szCs w:val="21"/>
                      <w:highlight w:val="none"/>
                      <w:lang w:val="en-US" w:eastAsia="zh-CN"/>
                    </w:rPr>
                    <w:t>区</w:t>
                  </w:r>
                  <w:r>
                    <w:rPr>
                      <w:rFonts w:hint="default" w:ascii="Times New Roman" w:hAnsi="Times New Roman" w:eastAsia="宋体" w:cs="Times New Roman"/>
                      <w:color w:val="auto"/>
                      <w:kern w:val="0"/>
                      <w:sz w:val="21"/>
                      <w:szCs w:val="21"/>
                      <w:highlight w:val="none"/>
                      <w:lang w:eastAsia="zh-CN"/>
                    </w:rPr>
                    <w:t>（</w:t>
                  </w:r>
                  <w:r>
                    <w:rPr>
                      <w:rFonts w:hint="eastAsia" w:cs="Times New Roman"/>
                      <w:color w:val="auto"/>
                      <w:kern w:val="0"/>
                      <w:sz w:val="21"/>
                      <w:szCs w:val="21"/>
                      <w:highlight w:val="none"/>
                      <w:lang w:val="en-US" w:eastAsia="zh-CN"/>
                    </w:rPr>
                    <w:t>920</w:t>
                  </w:r>
                  <w:r>
                    <w:rPr>
                      <w:rFonts w:hint="default" w:ascii="Times New Roman" w:hAnsi="Times New Roman" w:eastAsia="宋体" w:cs="Times New Roman"/>
                      <w:color w:val="auto"/>
                      <w:kern w:val="0"/>
                      <w:sz w:val="21"/>
                      <w:szCs w:val="21"/>
                      <w:highlight w:val="none"/>
                      <w:lang w:val="en-US" w:eastAsia="zh-CN"/>
                    </w:rPr>
                    <w:t>m</w:t>
                  </w:r>
                  <w:r>
                    <w:rPr>
                      <w:rFonts w:hint="default" w:ascii="Times New Roman" w:hAnsi="Times New Roman" w:eastAsia="宋体" w:cs="Times New Roman"/>
                      <w:color w:val="auto"/>
                      <w:kern w:val="0"/>
                      <w:sz w:val="21"/>
                      <w:szCs w:val="21"/>
                      <w:highlight w:val="none"/>
                      <w:vertAlign w:val="superscript"/>
                      <w:lang w:val="en-US" w:eastAsia="zh-CN"/>
                    </w:rPr>
                    <w:t>2</w:t>
                  </w:r>
                  <w:r>
                    <w:rPr>
                      <w:rFonts w:hint="default" w:ascii="Times New Roman" w:hAnsi="Times New Roman" w:eastAsia="宋体" w:cs="Times New Roman"/>
                      <w:color w:val="auto"/>
                      <w:kern w:val="0"/>
                      <w:sz w:val="21"/>
                      <w:szCs w:val="21"/>
                      <w:highlight w:val="none"/>
                      <w:lang w:eastAsia="zh-CN"/>
                    </w:rPr>
                    <w:t>）</w:t>
                  </w:r>
                </w:p>
              </w:tc>
              <w:tc>
                <w:tcPr>
                  <w:tcW w:w="5635" w:type="dxa"/>
                  <w:gridSpan w:val="2"/>
                  <w:vAlign w:val="center"/>
                </w:tcPr>
                <w:p w14:paraId="18F88008">
                  <w:pPr>
                    <w:widowControl/>
                    <w:shd w:val="clear"/>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办公综合区</w:t>
                  </w:r>
                  <w:r>
                    <w:rPr>
                      <w:rFonts w:hint="default" w:ascii="Times New Roman" w:hAnsi="Times New Roman" w:eastAsia="宋体" w:cs="Times New Roman"/>
                      <w:color w:val="auto"/>
                      <w:kern w:val="0"/>
                      <w:sz w:val="21"/>
                      <w:szCs w:val="21"/>
                      <w:highlight w:val="none"/>
                    </w:rPr>
                    <w:t>面积为</w:t>
                  </w:r>
                  <w:r>
                    <w:rPr>
                      <w:rFonts w:hint="eastAsia" w:cs="Times New Roman"/>
                      <w:color w:val="auto"/>
                      <w:kern w:val="0"/>
                      <w:sz w:val="21"/>
                      <w:szCs w:val="21"/>
                      <w:highlight w:val="none"/>
                      <w:lang w:val="en-US" w:eastAsia="zh-CN"/>
                    </w:rPr>
                    <w:t>92</w:t>
                  </w:r>
                  <w:r>
                    <w:rPr>
                      <w:rFonts w:hint="default" w:ascii="Times New Roman" w:hAnsi="Times New Roman" w:eastAsia="宋体" w:cs="Times New Roman"/>
                      <w:color w:val="auto"/>
                      <w:kern w:val="0"/>
                      <w:sz w:val="21"/>
                      <w:szCs w:val="21"/>
                      <w:highlight w:val="none"/>
                      <w:lang w:val="en-US" w:eastAsia="zh-CN"/>
                    </w:rPr>
                    <w:t>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r>
                    <w:rPr>
                      <w:rFonts w:hint="default" w:ascii="Times New Roman" w:hAnsi="Times New Roman" w:eastAsia="宋体" w:cs="Times New Roman"/>
                      <w:color w:val="auto"/>
                      <w:kern w:val="0"/>
                      <w:sz w:val="21"/>
                      <w:szCs w:val="21"/>
                      <w:highlight w:val="none"/>
                      <w:vertAlign w:val="baseline"/>
                      <w:lang w:val="en-US" w:eastAsia="zh-CN"/>
                    </w:rPr>
                    <w:t>，</w:t>
                  </w:r>
                  <w:r>
                    <w:rPr>
                      <w:rFonts w:hint="eastAsia" w:cs="Times New Roman"/>
                      <w:color w:val="auto"/>
                      <w:kern w:val="0"/>
                      <w:sz w:val="21"/>
                      <w:szCs w:val="21"/>
                      <w:highlight w:val="none"/>
                      <w:vertAlign w:val="baseline"/>
                      <w:lang w:val="en-US" w:eastAsia="zh-CN"/>
                    </w:rPr>
                    <w:t>为租</w:t>
                  </w:r>
                  <w:r>
                    <w:rPr>
                      <w:rFonts w:hint="eastAsia" w:ascii="Times New Roman" w:hAnsi="Times New Roman" w:eastAsia="宋体" w:cs="Times New Roman"/>
                      <w:color w:val="auto"/>
                      <w:sz w:val="21"/>
                      <w:szCs w:val="21"/>
                      <w:highlight w:val="none"/>
                      <w:lang w:val="en-US" w:eastAsia="zh-CN"/>
                    </w:rPr>
                    <w:t>用云南得奥海绵制造有限公司已建办公综合楼1楼及4楼，</w:t>
                  </w:r>
                  <w:r>
                    <w:rPr>
                      <w:rFonts w:hint="default" w:ascii="Times New Roman" w:hAnsi="Times New Roman" w:eastAsia="宋体" w:cs="Times New Roman"/>
                      <w:color w:val="auto"/>
                      <w:kern w:val="0"/>
                      <w:sz w:val="21"/>
                      <w:szCs w:val="21"/>
                      <w:highlight w:val="none"/>
                      <w:lang w:val="en-US" w:eastAsia="zh-CN"/>
                    </w:rPr>
                    <w:t>位于整个项目区西北侧</w:t>
                  </w:r>
                  <w:r>
                    <w:rPr>
                      <w:rFonts w:hint="default" w:ascii="Times New Roman" w:hAnsi="Times New Roman" w:eastAsia="宋体" w:cs="Times New Roman"/>
                      <w:color w:val="auto"/>
                      <w:kern w:val="0"/>
                      <w:sz w:val="21"/>
                      <w:szCs w:val="21"/>
                      <w:highlight w:val="none"/>
                    </w:rPr>
                    <w:t>；主要包含办公室、接待室</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val="en-US" w:eastAsia="zh-CN"/>
                    </w:rPr>
                    <w:t>会议室、</w:t>
                  </w:r>
                  <w:r>
                    <w:rPr>
                      <w:rFonts w:hint="default" w:ascii="Times New Roman" w:hAnsi="Times New Roman" w:eastAsia="宋体" w:cs="Times New Roman"/>
                      <w:color w:val="auto"/>
                      <w:kern w:val="0"/>
                      <w:sz w:val="21"/>
                      <w:szCs w:val="21"/>
                      <w:highlight w:val="none"/>
                    </w:rPr>
                    <w:t>员工</w:t>
                  </w:r>
                  <w:r>
                    <w:rPr>
                      <w:rFonts w:hint="default" w:ascii="Times New Roman" w:hAnsi="Times New Roman" w:eastAsia="宋体" w:cs="Times New Roman"/>
                      <w:color w:val="auto"/>
                      <w:kern w:val="0"/>
                      <w:sz w:val="21"/>
                      <w:szCs w:val="21"/>
                      <w:highlight w:val="none"/>
                      <w:lang w:val="en-US" w:eastAsia="zh-CN"/>
                    </w:rPr>
                    <w:t>宿舍</w:t>
                  </w:r>
                  <w:r>
                    <w:rPr>
                      <w:rFonts w:hint="eastAsia" w:cs="Times New Roman"/>
                      <w:color w:val="auto"/>
                      <w:kern w:val="0"/>
                      <w:sz w:val="21"/>
                      <w:szCs w:val="21"/>
                      <w:highlight w:val="none"/>
                      <w:lang w:val="en-US" w:eastAsia="zh-CN"/>
                    </w:rPr>
                    <w:t>食堂</w:t>
                  </w:r>
                  <w:r>
                    <w:rPr>
                      <w:rFonts w:hint="default" w:ascii="Times New Roman" w:hAnsi="Times New Roman" w:eastAsia="宋体" w:cs="Times New Roman"/>
                      <w:color w:val="auto"/>
                      <w:kern w:val="0"/>
                      <w:sz w:val="21"/>
                      <w:szCs w:val="21"/>
                      <w:highlight w:val="none"/>
                      <w:lang w:val="en-US" w:eastAsia="zh-CN"/>
                    </w:rPr>
                    <w:t>等</w:t>
                  </w:r>
                  <w:r>
                    <w:rPr>
                      <w:rFonts w:hint="default" w:ascii="Times New Roman" w:hAnsi="Times New Roman" w:eastAsia="宋体" w:cs="Times New Roman"/>
                      <w:color w:val="auto"/>
                      <w:kern w:val="0"/>
                      <w:sz w:val="21"/>
                      <w:szCs w:val="21"/>
                      <w:highlight w:val="none"/>
                    </w:rPr>
                    <w:t>。</w:t>
                  </w:r>
                </w:p>
              </w:tc>
              <w:tc>
                <w:tcPr>
                  <w:tcW w:w="708" w:type="dxa"/>
                  <w:vAlign w:val="center"/>
                </w:tcPr>
                <w:p w14:paraId="0668583C">
                  <w:pPr>
                    <w:shd w:val="clea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lang w:val="en-US" w:eastAsia="zh-CN" w:bidi="ar-SA"/>
                    </w:rPr>
                    <w:t>租赁已建建筑物进行使用</w:t>
                  </w:r>
                </w:p>
              </w:tc>
            </w:tr>
            <w:tr w14:paraId="3CFE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Merge w:val="restart"/>
                  <w:vAlign w:val="center"/>
                </w:tcPr>
                <w:p w14:paraId="71C35CA4">
                  <w:pPr>
                    <w:shd w:val="clea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公用工程</w:t>
                  </w:r>
                </w:p>
              </w:tc>
              <w:tc>
                <w:tcPr>
                  <w:tcW w:w="1936" w:type="dxa"/>
                  <w:gridSpan w:val="2"/>
                  <w:vAlign w:val="center"/>
                </w:tcPr>
                <w:p w14:paraId="241B9CFA">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供水</w:t>
                  </w:r>
                </w:p>
              </w:tc>
              <w:tc>
                <w:tcPr>
                  <w:tcW w:w="5635" w:type="dxa"/>
                  <w:gridSpan w:val="2"/>
                  <w:vAlign w:val="center"/>
                </w:tcPr>
                <w:p w14:paraId="1A7CFC07">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由园区供水管网供给。</w:t>
                  </w:r>
                </w:p>
              </w:tc>
              <w:tc>
                <w:tcPr>
                  <w:tcW w:w="708" w:type="dxa"/>
                  <w:vAlign w:val="center"/>
                </w:tcPr>
                <w:p w14:paraId="21C824ED">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14:paraId="0F82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Merge w:val="continue"/>
                  <w:vAlign w:val="center"/>
                </w:tcPr>
                <w:p w14:paraId="4F93C6C6">
                  <w:pPr>
                    <w:shd w:val="clea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1936" w:type="dxa"/>
                  <w:gridSpan w:val="2"/>
                  <w:vAlign w:val="center"/>
                </w:tcPr>
                <w:p w14:paraId="7830420B">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排水</w:t>
                  </w:r>
                </w:p>
              </w:tc>
              <w:tc>
                <w:tcPr>
                  <w:tcW w:w="5635" w:type="dxa"/>
                  <w:gridSpan w:val="2"/>
                  <w:vAlign w:val="center"/>
                </w:tcPr>
                <w:p w14:paraId="3CBD2E7D">
                  <w:pPr>
                    <w:pStyle w:val="72"/>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本项目排水采用雨污分流的排水方式，项目区建筑物屋面及地面雨水经厂区雨水沟收集后排入园区雨水市政管网；冷却废水经循环水冷却池冷却后循环使用，不外排；食堂废水经隔油池处理后，与生活污水一同进入</w:t>
                  </w:r>
                  <w:r>
                    <w:rPr>
                      <w:rFonts w:hint="eastAsia" w:ascii="Times New Roman" w:hAnsi="Times New Roman" w:eastAsia="宋体" w:cs="Times New Roman"/>
                      <w:color w:val="auto"/>
                      <w:kern w:val="2"/>
                      <w:sz w:val="21"/>
                      <w:szCs w:val="21"/>
                      <w:highlight w:val="none"/>
                      <w:lang w:val="en-US" w:eastAsia="zh-CN" w:bidi="ar-SA"/>
                    </w:rPr>
                    <w:t>依托的</w:t>
                  </w:r>
                  <w:r>
                    <w:rPr>
                      <w:rFonts w:hint="default" w:ascii="Times New Roman" w:hAnsi="Times New Roman" w:eastAsia="宋体" w:cs="Times New Roman"/>
                      <w:color w:val="auto"/>
                      <w:kern w:val="2"/>
                      <w:sz w:val="21"/>
                      <w:szCs w:val="21"/>
                      <w:highlight w:val="none"/>
                      <w:lang w:val="en-US" w:eastAsia="zh-CN" w:bidi="ar-SA"/>
                    </w:rPr>
                    <w:t>化粪池处理</w:t>
                  </w:r>
                  <w:r>
                    <w:rPr>
                      <w:rFonts w:hint="eastAsia" w:ascii="Times New Roman" w:hAnsi="Times New Roman" w:eastAsia="宋体" w:cs="Times New Roman"/>
                      <w:color w:val="auto"/>
                      <w:kern w:val="2"/>
                      <w:sz w:val="21"/>
                      <w:szCs w:val="21"/>
                      <w:highlight w:val="none"/>
                      <w:lang w:val="en-US" w:eastAsia="zh-CN" w:bidi="ar-SA"/>
                    </w:rPr>
                    <w:t>后</w:t>
                  </w:r>
                  <w:r>
                    <w:rPr>
                      <w:rFonts w:hint="default" w:ascii="Times New Roman" w:hAnsi="Times New Roman" w:eastAsia="宋体" w:cs="Times New Roman"/>
                      <w:color w:val="auto"/>
                      <w:kern w:val="2"/>
                      <w:sz w:val="21"/>
                      <w:szCs w:val="21"/>
                      <w:highlight w:val="none"/>
                      <w:lang w:val="en-US" w:eastAsia="zh-CN" w:bidi="ar-SA"/>
                    </w:rPr>
                    <w:t>再进入到厂区</w:t>
                  </w:r>
                  <w:r>
                    <w:rPr>
                      <w:rFonts w:hint="eastAsia" w:ascii="Times New Roman" w:hAnsi="Times New Roman" w:eastAsia="宋体" w:cs="Times New Roman"/>
                      <w:color w:val="auto"/>
                      <w:kern w:val="2"/>
                      <w:sz w:val="21"/>
                      <w:szCs w:val="21"/>
                      <w:highlight w:val="none"/>
                      <w:lang w:val="en-US" w:eastAsia="zh-CN" w:bidi="ar-SA"/>
                    </w:rPr>
                    <w:t>依托的一体化污水处理站</w:t>
                  </w:r>
                  <w:r>
                    <w:rPr>
                      <w:rFonts w:hint="default" w:ascii="Times New Roman" w:hAnsi="Times New Roman" w:eastAsia="宋体" w:cs="Times New Roman"/>
                      <w:color w:val="auto"/>
                      <w:kern w:val="2"/>
                      <w:sz w:val="21"/>
                      <w:szCs w:val="21"/>
                      <w:highlight w:val="none"/>
                      <w:lang w:val="en-US" w:eastAsia="zh-CN" w:bidi="ar-SA"/>
                    </w:rPr>
                    <w:t>处理后，达到《城市污水再生利用 城市杂用水水质》（GB/T18920-2020）中的城市绿化、道路清扫、消防、建筑施工标准后，用于项目区内绿化及道路场地洒水降尘，不外排。</w:t>
                  </w:r>
                </w:p>
              </w:tc>
              <w:tc>
                <w:tcPr>
                  <w:tcW w:w="708" w:type="dxa"/>
                  <w:vAlign w:val="center"/>
                </w:tcPr>
                <w:p w14:paraId="3F340DDD">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部分新建、部分依托</w:t>
                  </w:r>
                </w:p>
              </w:tc>
            </w:tr>
            <w:tr w14:paraId="54C6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Merge w:val="continue"/>
                  <w:vAlign w:val="center"/>
                </w:tcPr>
                <w:p w14:paraId="55A55C3C">
                  <w:pPr>
                    <w:shd w:val="clea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1936" w:type="dxa"/>
                  <w:gridSpan w:val="2"/>
                  <w:vAlign w:val="center"/>
                </w:tcPr>
                <w:p w14:paraId="36B9C291">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供电</w:t>
                  </w:r>
                </w:p>
              </w:tc>
              <w:tc>
                <w:tcPr>
                  <w:tcW w:w="5635" w:type="dxa"/>
                  <w:gridSpan w:val="2"/>
                  <w:vAlign w:val="center"/>
                </w:tcPr>
                <w:p w14:paraId="4C53A494">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从园区已有供电系统接入。</w:t>
                  </w:r>
                </w:p>
              </w:tc>
              <w:tc>
                <w:tcPr>
                  <w:tcW w:w="708" w:type="dxa"/>
                  <w:vAlign w:val="center"/>
                </w:tcPr>
                <w:p w14:paraId="6D9DEAF3">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14:paraId="4045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Merge w:val="continue"/>
                  <w:vAlign w:val="center"/>
                </w:tcPr>
                <w:p w14:paraId="4B3DE121">
                  <w:pPr>
                    <w:shd w:val="clea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1936" w:type="dxa"/>
                  <w:gridSpan w:val="2"/>
                  <w:vAlign w:val="center"/>
                </w:tcPr>
                <w:p w14:paraId="1F2AAFAF">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eastAsia="zh-CN"/>
                    </w:rPr>
                    <w:t>供热</w:t>
                  </w:r>
                </w:p>
              </w:tc>
              <w:tc>
                <w:tcPr>
                  <w:tcW w:w="5635" w:type="dxa"/>
                  <w:gridSpan w:val="2"/>
                  <w:vAlign w:val="center"/>
                </w:tcPr>
                <w:p w14:paraId="10ABD406">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项目生产过程</w:t>
                  </w:r>
                  <w:r>
                    <w:rPr>
                      <w:rFonts w:hint="eastAsia" w:cs="Times New Roman"/>
                      <w:color w:val="auto"/>
                      <w:sz w:val="21"/>
                      <w:szCs w:val="21"/>
                      <w:highlight w:val="none"/>
                      <w:lang w:eastAsia="zh-CN"/>
                    </w:rPr>
                    <w:t>及</w:t>
                  </w:r>
                  <w:r>
                    <w:rPr>
                      <w:rFonts w:hint="default" w:ascii="Times New Roman" w:hAnsi="Times New Roman" w:eastAsia="宋体" w:cs="Times New Roman"/>
                      <w:color w:val="auto"/>
                      <w:sz w:val="21"/>
                      <w:szCs w:val="21"/>
                      <w:highlight w:val="none"/>
                    </w:rPr>
                    <w:t>办公生活区</w:t>
                  </w:r>
                  <w:r>
                    <w:rPr>
                      <w:rFonts w:hint="eastAsia" w:cs="Times New Roman"/>
                      <w:color w:val="auto"/>
                      <w:sz w:val="21"/>
                      <w:szCs w:val="21"/>
                      <w:highlight w:val="none"/>
                      <w:lang w:eastAsia="zh-CN"/>
                    </w:rPr>
                    <w:t>均</w:t>
                  </w:r>
                  <w:r>
                    <w:rPr>
                      <w:rFonts w:hint="default" w:ascii="Times New Roman" w:hAnsi="Times New Roman" w:eastAsia="宋体" w:cs="Times New Roman"/>
                      <w:color w:val="auto"/>
                      <w:sz w:val="21"/>
                      <w:szCs w:val="21"/>
                      <w:highlight w:val="none"/>
                    </w:rPr>
                    <w:t>使用电能</w:t>
                  </w:r>
                  <w:r>
                    <w:rPr>
                      <w:rFonts w:hint="eastAsia" w:cs="Times New Roman"/>
                      <w:color w:val="auto"/>
                      <w:sz w:val="21"/>
                      <w:szCs w:val="21"/>
                      <w:highlight w:val="none"/>
                      <w:lang w:eastAsia="zh-CN"/>
                    </w:rPr>
                    <w:t>进行供热</w:t>
                  </w:r>
                </w:p>
              </w:tc>
              <w:tc>
                <w:tcPr>
                  <w:tcW w:w="708" w:type="dxa"/>
                  <w:vAlign w:val="center"/>
                </w:tcPr>
                <w:p w14:paraId="0FA711A1">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08BD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Merge w:val="continue"/>
                  <w:vAlign w:val="center"/>
                </w:tcPr>
                <w:p w14:paraId="13A304AB">
                  <w:pPr>
                    <w:shd w:val="clea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1936" w:type="dxa"/>
                  <w:gridSpan w:val="2"/>
                  <w:vAlign w:val="center"/>
                </w:tcPr>
                <w:p w14:paraId="45D5366C">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消防</w:t>
                  </w:r>
                </w:p>
              </w:tc>
              <w:tc>
                <w:tcPr>
                  <w:tcW w:w="5635" w:type="dxa"/>
                  <w:gridSpan w:val="2"/>
                  <w:vAlign w:val="center"/>
                </w:tcPr>
                <w:p w14:paraId="6DCEEDC2">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项目建筑均</w:t>
                  </w:r>
                  <w:r>
                    <w:rPr>
                      <w:rFonts w:hint="default" w:ascii="Times New Roman" w:hAnsi="Times New Roman" w:eastAsia="宋体" w:cs="Times New Roman"/>
                      <w:color w:val="auto"/>
                      <w:kern w:val="0"/>
                      <w:sz w:val="21"/>
                      <w:szCs w:val="21"/>
                      <w:highlight w:val="none"/>
                      <w:lang w:eastAsia="zh-CN"/>
                    </w:rPr>
                    <w:t>配置</w:t>
                  </w:r>
                  <w:r>
                    <w:rPr>
                      <w:rFonts w:hint="default" w:ascii="Times New Roman" w:hAnsi="Times New Roman" w:eastAsia="宋体" w:cs="Times New Roman"/>
                      <w:color w:val="auto"/>
                      <w:kern w:val="0"/>
                      <w:sz w:val="21"/>
                      <w:szCs w:val="21"/>
                      <w:highlight w:val="none"/>
                    </w:rPr>
                    <w:t>灭火</w:t>
                  </w:r>
                  <w:r>
                    <w:rPr>
                      <w:rFonts w:hint="default" w:ascii="Times New Roman" w:hAnsi="Times New Roman" w:eastAsia="宋体" w:cs="Times New Roman"/>
                      <w:color w:val="auto"/>
                      <w:kern w:val="0"/>
                      <w:sz w:val="21"/>
                      <w:szCs w:val="21"/>
                      <w:highlight w:val="none"/>
                      <w:lang w:eastAsia="zh-CN"/>
                    </w:rPr>
                    <w:t>器材</w:t>
                  </w:r>
                  <w:r>
                    <w:rPr>
                      <w:rFonts w:hint="default" w:ascii="Times New Roman" w:hAnsi="Times New Roman" w:eastAsia="宋体" w:cs="Times New Roman"/>
                      <w:color w:val="auto"/>
                      <w:kern w:val="0"/>
                      <w:sz w:val="21"/>
                      <w:szCs w:val="21"/>
                      <w:highlight w:val="none"/>
                    </w:rPr>
                    <w:t>，消防水源为市政管网水，水量水压能满足消防要求。</w:t>
                  </w:r>
                </w:p>
              </w:tc>
              <w:tc>
                <w:tcPr>
                  <w:tcW w:w="708" w:type="dxa"/>
                  <w:vAlign w:val="center"/>
                </w:tcPr>
                <w:p w14:paraId="6702E968">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590A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Merge w:val="restart"/>
                  <w:vAlign w:val="center"/>
                </w:tcPr>
                <w:p w14:paraId="3B923256">
                  <w:pPr>
                    <w:shd w:val="clea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环保工程</w:t>
                  </w:r>
                </w:p>
              </w:tc>
              <w:tc>
                <w:tcPr>
                  <w:tcW w:w="784" w:type="dxa"/>
                  <w:vMerge w:val="restart"/>
                  <w:vAlign w:val="center"/>
                </w:tcPr>
                <w:p w14:paraId="45C0BDA6">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废气处理设施</w:t>
                  </w:r>
                </w:p>
              </w:tc>
              <w:tc>
                <w:tcPr>
                  <w:tcW w:w="1152" w:type="dxa"/>
                  <w:tcBorders>
                    <w:bottom w:val="single" w:color="auto" w:sz="4" w:space="0"/>
                  </w:tcBorders>
                  <w:vAlign w:val="center"/>
                </w:tcPr>
                <w:p w14:paraId="224DD1A4">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混料</w:t>
                  </w:r>
                  <w:r>
                    <w:rPr>
                      <w:rFonts w:hint="default" w:ascii="Times New Roman" w:hAnsi="Times New Roman" w:eastAsia="宋体" w:cs="Times New Roman"/>
                      <w:color w:val="auto"/>
                      <w:sz w:val="21"/>
                      <w:szCs w:val="21"/>
                      <w:highlight w:val="none"/>
                      <w:lang w:val="en-US" w:eastAsia="zh-CN"/>
                    </w:rPr>
                    <w:t>粉尘</w:t>
                  </w:r>
                </w:p>
              </w:tc>
              <w:tc>
                <w:tcPr>
                  <w:tcW w:w="5635" w:type="dxa"/>
                  <w:gridSpan w:val="2"/>
                  <w:vMerge w:val="restart"/>
                  <w:vAlign w:val="center"/>
                </w:tcPr>
                <w:p w14:paraId="7A82E98C">
                  <w:pPr>
                    <w:shd w:val="clea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本项目在</w:t>
                  </w:r>
                  <w:r>
                    <w:rPr>
                      <w:rFonts w:hint="eastAsia" w:ascii="Times New Roman" w:hAnsi="Times New Roman" w:eastAsia="宋体" w:cs="Times New Roman"/>
                      <w:color w:val="auto"/>
                      <w:sz w:val="21"/>
                      <w:szCs w:val="21"/>
                      <w:highlight w:val="none"/>
                      <w:lang w:val="en-US" w:eastAsia="zh-CN"/>
                    </w:rPr>
                    <w:t>搅拌</w:t>
                  </w:r>
                  <w:r>
                    <w:rPr>
                      <w:rFonts w:hint="default" w:ascii="Times New Roman" w:hAnsi="Times New Roman" w:eastAsia="宋体" w:cs="Times New Roman"/>
                      <w:color w:val="auto"/>
                      <w:sz w:val="21"/>
                      <w:szCs w:val="21"/>
                      <w:highlight w:val="none"/>
                      <w:lang w:val="en-US" w:eastAsia="zh-CN"/>
                    </w:rPr>
                    <w:t>机</w:t>
                  </w:r>
                  <w:r>
                    <w:rPr>
                      <w:rFonts w:hint="eastAsia" w:ascii="Times New Roman" w:hAnsi="Times New Roman" w:eastAsia="宋体" w:cs="Times New Roman"/>
                      <w:color w:val="auto"/>
                      <w:sz w:val="21"/>
                      <w:szCs w:val="21"/>
                      <w:highlight w:val="none"/>
                      <w:lang w:val="en-US" w:eastAsia="zh-CN"/>
                    </w:rPr>
                    <w:t>、破碎机</w:t>
                  </w:r>
                  <w:r>
                    <w:rPr>
                      <w:rFonts w:hint="default" w:ascii="Times New Roman" w:hAnsi="Times New Roman" w:eastAsia="宋体" w:cs="Times New Roman"/>
                      <w:color w:val="auto"/>
                      <w:sz w:val="21"/>
                      <w:szCs w:val="21"/>
                      <w:highlight w:val="none"/>
                      <w:lang w:val="en-US" w:eastAsia="zh-CN"/>
                    </w:rPr>
                    <w:t>及</w:t>
                  </w:r>
                  <w:r>
                    <w:rPr>
                      <w:rFonts w:hint="eastAsia" w:ascii="Times New Roman" w:hAnsi="Times New Roman" w:eastAsia="宋体" w:cs="Times New Roman"/>
                      <w:color w:val="auto"/>
                      <w:sz w:val="21"/>
                      <w:szCs w:val="21"/>
                      <w:highlight w:val="none"/>
                      <w:lang w:val="en-US" w:eastAsia="zh-CN"/>
                    </w:rPr>
                    <w:t>磨粉</w:t>
                  </w:r>
                  <w:r>
                    <w:rPr>
                      <w:rFonts w:hint="default" w:ascii="Times New Roman" w:hAnsi="Times New Roman" w:eastAsia="宋体" w:cs="Times New Roman"/>
                      <w:color w:val="auto"/>
                      <w:sz w:val="21"/>
                      <w:szCs w:val="21"/>
                      <w:highlight w:val="none"/>
                      <w:lang w:val="en-US" w:eastAsia="zh-CN"/>
                    </w:rPr>
                    <w:t>机上方分别设置集气罩，共设置</w:t>
                  </w:r>
                  <w:r>
                    <w:rPr>
                      <w:rFonts w:hint="eastAsia"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lang w:val="en-US" w:eastAsia="zh-CN"/>
                    </w:rPr>
                    <w:t>个集气罩将废气统一收集进入</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布袋除尘器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1根15m高排气筒（</w:t>
                  </w: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排放，配套</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ascii="Times New Roman" w:hAnsi="Times New Roman" w:cs="Times New Roman"/>
                      <w:color w:val="auto"/>
                      <w:sz w:val="21"/>
                      <w:szCs w:val="21"/>
                      <w:highlight w:val="none"/>
                      <w:lang w:val="en-US" w:eastAsia="zh-CN"/>
                    </w:rPr>
                    <w:t>26875</w:t>
                  </w:r>
                  <w:r>
                    <w:rPr>
                      <w:rFonts w:hint="default" w:ascii="Times New Roman" w:hAnsi="Times New Roman" w:eastAsia="宋体" w:cs="Times New Roman"/>
                      <w:i w:val="0"/>
                      <w:iCs w:val="0"/>
                      <w:color w:val="auto"/>
                      <w:kern w:val="0"/>
                      <w:sz w:val="21"/>
                      <w:szCs w:val="21"/>
                      <w:u w:val="none"/>
                      <w:lang w:val="en-US" w:eastAsia="zh-CN" w:bidi="ar"/>
                    </w:rPr>
                    <w:t>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/h</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2"/>
                      <w:sz w:val="21"/>
                      <w:szCs w:val="21"/>
                      <w:highlight w:val="none"/>
                    </w:rPr>
                    <w:t>废气收集效率为</w:t>
                  </w:r>
                  <w:r>
                    <w:rPr>
                      <w:rFonts w:hint="eastAsia" w:cs="Times New Roman"/>
                      <w:color w:val="auto"/>
                      <w:kern w:val="2"/>
                      <w:sz w:val="21"/>
                      <w:szCs w:val="21"/>
                      <w:highlight w:val="none"/>
                      <w:lang w:val="en-US" w:eastAsia="zh-CN"/>
                    </w:rPr>
                    <w:t>8</w:t>
                  </w:r>
                  <w:r>
                    <w:rPr>
                      <w:rFonts w:hint="default" w:ascii="Times New Roman" w:hAnsi="Times New Roman" w:eastAsia="宋体" w:cs="Times New Roman"/>
                      <w:color w:val="auto"/>
                      <w:kern w:val="2"/>
                      <w:sz w:val="21"/>
                      <w:szCs w:val="21"/>
                      <w:highlight w:val="none"/>
                      <w:lang w:val="en-US" w:eastAsia="zh-CN"/>
                    </w:rPr>
                    <w:t>0</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val="en-US" w:eastAsia="zh-CN"/>
                    </w:rPr>
                    <w:t>，</w:t>
                  </w:r>
                  <w:r>
                    <w:rPr>
                      <w:rFonts w:hint="eastAsia" w:ascii="Times New Roman" w:hAnsi="Times New Roman" w:eastAsia="宋体" w:cs="Times New Roman"/>
                      <w:color w:val="auto"/>
                      <w:kern w:val="2"/>
                      <w:sz w:val="21"/>
                      <w:szCs w:val="21"/>
                      <w:highlight w:val="none"/>
                      <w:lang w:val="en-US" w:eastAsia="zh-CN"/>
                    </w:rPr>
                    <w:t>布袋除尘</w:t>
                  </w:r>
                  <w:r>
                    <w:rPr>
                      <w:rFonts w:hint="default" w:ascii="Times New Roman" w:hAnsi="Times New Roman" w:eastAsia="宋体" w:cs="Times New Roman"/>
                      <w:bCs/>
                      <w:color w:val="auto"/>
                      <w:sz w:val="21"/>
                      <w:szCs w:val="21"/>
                      <w:highlight w:val="none"/>
                    </w:rPr>
                    <w:t>效率</w:t>
                  </w:r>
                  <w:r>
                    <w:rPr>
                      <w:rFonts w:hint="eastAsia" w:cs="Times New Roman"/>
                      <w:bCs/>
                      <w:color w:val="auto"/>
                      <w:sz w:val="21"/>
                      <w:szCs w:val="21"/>
                      <w:highlight w:val="none"/>
                      <w:lang w:val="en-US" w:eastAsia="zh-CN"/>
                    </w:rPr>
                    <w:t>99</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0.6</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708" w:type="dxa"/>
                  <w:vAlign w:val="center"/>
                </w:tcPr>
                <w:p w14:paraId="1FE1E945">
                  <w:pPr>
                    <w:shd w:val="clea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p>
              </w:tc>
            </w:tr>
            <w:tr w14:paraId="04D6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Merge w:val="continue"/>
                  <w:vAlign w:val="center"/>
                </w:tcPr>
                <w:p w14:paraId="41B3D790">
                  <w:pPr>
                    <w:shd w:val="clea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784" w:type="dxa"/>
                  <w:vMerge w:val="continue"/>
                  <w:vAlign w:val="center"/>
                </w:tcPr>
                <w:p w14:paraId="0D1B8CF7">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1152" w:type="dxa"/>
                  <w:tcBorders>
                    <w:bottom w:val="single" w:color="auto" w:sz="4" w:space="0"/>
                  </w:tcBorders>
                  <w:vAlign w:val="center"/>
                </w:tcPr>
                <w:p w14:paraId="27882B13">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破碎粉尘</w:t>
                  </w:r>
                </w:p>
              </w:tc>
              <w:tc>
                <w:tcPr>
                  <w:tcW w:w="5635" w:type="dxa"/>
                  <w:gridSpan w:val="2"/>
                  <w:vMerge w:val="continue"/>
                  <w:vAlign w:val="center"/>
                </w:tcPr>
                <w:p w14:paraId="0665C2B2">
                  <w:pPr>
                    <w:tabs>
                      <w:tab w:val="left" w:pos="3255"/>
                    </w:tabs>
                    <w:jc w:val="center"/>
                    <w:rPr>
                      <w:rFonts w:hint="default" w:ascii="Times New Roman" w:hAnsi="Times New Roman" w:eastAsia="宋体" w:cs="Times New Roman"/>
                      <w:color w:val="FF0000"/>
                      <w:sz w:val="21"/>
                      <w:szCs w:val="21"/>
                      <w:highlight w:val="none"/>
                      <w:lang w:val="en-US" w:eastAsia="zh-CN"/>
                    </w:rPr>
                  </w:pPr>
                </w:p>
              </w:tc>
              <w:tc>
                <w:tcPr>
                  <w:tcW w:w="708" w:type="dxa"/>
                  <w:vAlign w:val="center"/>
                </w:tcPr>
                <w:p w14:paraId="6FFEB9CD">
                  <w:pPr>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p>
              </w:tc>
            </w:tr>
            <w:tr w14:paraId="0B5E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Merge w:val="continue"/>
                  <w:vAlign w:val="center"/>
                </w:tcPr>
                <w:p w14:paraId="4B4C4E44">
                  <w:pPr>
                    <w:shd w:val="clea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784" w:type="dxa"/>
                  <w:vMerge w:val="continue"/>
                  <w:vAlign w:val="center"/>
                </w:tcPr>
                <w:p w14:paraId="7E782EBF">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1152" w:type="dxa"/>
                  <w:tcBorders>
                    <w:bottom w:val="single" w:color="auto" w:sz="4" w:space="0"/>
                  </w:tcBorders>
                  <w:vAlign w:val="center"/>
                </w:tcPr>
                <w:p w14:paraId="4EBFC33D">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highlight w:val="none"/>
                      <w:lang w:val="en-US" w:eastAsia="zh-CN"/>
                    </w:rPr>
                    <w:t>磨粉粉尘</w:t>
                  </w:r>
                </w:p>
              </w:tc>
              <w:tc>
                <w:tcPr>
                  <w:tcW w:w="5635" w:type="dxa"/>
                  <w:gridSpan w:val="2"/>
                  <w:vMerge w:val="continue"/>
                  <w:tcBorders>
                    <w:bottom w:val="single" w:color="auto" w:sz="4" w:space="0"/>
                  </w:tcBorders>
                  <w:vAlign w:val="center"/>
                </w:tcPr>
                <w:p w14:paraId="712F70DC">
                  <w:pPr>
                    <w:shd w:val="clea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708" w:type="dxa"/>
                  <w:vAlign w:val="center"/>
                </w:tcPr>
                <w:p w14:paraId="6B0A0BE6">
                  <w:pPr>
                    <w:shd w:val="clea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p>
              </w:tc>
            </w:tr>
            <w:tr w14:paraId="24F9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26" w:type="dxa"/>
                  <w:vMerge w:val="continue"/>
                  <w:vAlign w:val="center"/>
                </w:tcPr>
                <w:p w14:paraId="046D74C2">
                  <w:pPr>
                    <w:shd w:val="clea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784" w:type="dxa"/>
                  <w:vMerge w:val="continue"/>
                  <w:vAlign w:val="center"/>
                </w:tcPr>
                <w:p w14:paraId="6EE6D021">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1152" w:type="dxa"/>
                  <w:vAlign w:val="center"/>
                </w:tcPr>
                <w:p w14:paraId="29291B6C">
                  <w:pPr>
                    <w:shd w:val="clear"/>
                    <w:adjustRightInd w:val="0"/>
                    <w:snapToGrid w:val="0"/>
                    <w:jc w:val="center"/>
                    <w:rPr>
                      <w:rFonts w:hint="default" w:ascii="Times New Roman" w:hAnsi="Times New Roman" w:eastAsia="宋体" w:cs="Times New Roman"/>
                      <w:bCs/>
                      <w:color w:val="auto"/>
                      <w:sz w:val="21"/>
                      <w:szCs w:val="21"/>
                      <w:highlight w:val="none"/>
                      <w:lang w:val="en-US" w:eastAsia="zh-CN"/>
                    </w:rPr>
                  </w:pPr>
                  <w:r>
                    <w:rPr>
                      <w:rFonts w:hint="eastAsia" w:cs="Times New Roman"/>
                      <w:color w:val="auto"/>
                      <w:sz w:val="21"/>
                      <w:szCs w:val="21"/>
                      <w:highlight w:val="none"/>
                      <w:lang w:val="en-US" w:eastAsia="zh-CN"/>
                    </w:rPr>
                    <w:t>挤出废气</w:t>
                  </w:r>
                </w:p>
              </w:tc>
              <w:tc>
                <w:tcPr>
                  <w:tcW w:w="5635" w:type="dxa"/>
                  <w:gridSpan w:val="2"/>
                  <w:vMerge w:val="restart"/>
                  <w:vAlign w:val="center"/>
                </w:tcPr>
                <w:p w14:paraId="73EDC5D8">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本项目在</w:t>
                  </w:r>
                  <w:r>
                    <w:rPr>
                      <w:rFonts w:hint="eastAsia" w:ascii="Times New Roman" w:hAnsi="Times New Roman" w:eastAsia="宋体" w:cs="Times New Roman"/>
                      <w:color w:val="auto"/>
                      <w:sz w:val="21"/>
                      <w:szCs w:val="21"/>
                      <w:highlight w:val="none"/>
                      <w:lang w:val="en-US" w:eastAsia="zh-CN"/>
                    </w:rPr>
                    <w:t>挤出</w:t>
                  </w:r>
                  <w:r>
                    <w:rPr>
                      <w:rFonts w:hint="default" w:ascii="Times New Roman" w:hAnsi="Times New Roman" w:eastAsia="宋体" w:cs="Times New Roman"/>
                      <w:color w:val="auto"/>
                      <w:sz w:val="21"/>
                      <w:szCs w:val="21"/>
                      <w:highlight w:val="none"/>
                      <w:lang w:val="en-US" w:eastAsia="zh-CN"/>
                    </w:rPr>
                    <w:t>机及</w:t>
                  </w:r>
                  <w:r>
                    <w:rPr>
                      <w:rFonts w:hint="eastAsia" w:ascii="Times New Roman" w:hAnsi="Times New Roman" w:eastAsia="宋体" w:cs="Times New Roman"/>
                      <w:color w:val="auto"/>
                      <w:sz w:val="21"/>
                      <w:szCs w:val="21"/>
                      <w:highlight w:val="none"/>
                      <w:lang w:val="en-US" w:eastAsia="zh-CN"/>
                    </w:rPr>
                    <w:t>覆膜</w:t>
                  </w:r>
                  <w:r>
                    <w:rPr>
                      <w:rFonts w:hint="default" w:ascii="Times New Roman" w:hAnsi="Times New Roman" w:eastAsia="宋体" w:cs="Times New Roman"/>
                      <w:color w:val="auto"/>
                      <w:sz w:val="21"/>
                      <w:szCs w:val="21"/>
                      <w:highlight w:val="none"/>
                      <w:lang w:val="en-US" w:eastAsia="zh-CN"/>
                    </w:rPr>
                    <w:t>型机上方分别设置集气罩，共设置</w:t>
                  </w: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个集气罩将废气统一收集进入</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default" w:ascii="Times New Roman" w:hAnsi="Times New Roman" w:eastAsia="宋体" w:cs="Times New Roman"/>
                      <w:color w:val="auto"/>
                      <w:sz w:val="21"/>
                      <w:szCs w:val="21"/>
                      <w:highlight w:val="none"/>
                      <w:lang w:eastAsia="zh-CN"/>
                    </w:rPr>
                    <w:t>“三级活性炭吸附装置”</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1根15m高排气筒（</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排放，配套</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ascii="Times New Roman" w:hAnsi="Times New Roman" w:cs="Times New Roman"/>
                      <w:i w:val="0"/>
                      <w:iCs w:val="0"/>
                      <w:color w:val="auto"/>
                      <w:kern w:val="0"/>
                      <w:sz w:val="21"/>
                      <w:szCs w:val="21"/>
                      <w:u w:val="none"/>
                      <w:lang w:val="en-US" w:eastAsia="zh-CN" w:bidi="ar"/>
                    </w:rPr>
                    <w:t>2</w:t>
                  </w:r>
                  <w:r>
                    <w:rPr>
                      <w:rFonts w:hint="eastAsia" w:cs="Times New Roman"/>
                      <w:i w:val="0"/>
                      <w:iCs w:val="0"/>
                      <w:color w:val="auto"/>
                      <w:kern w:val="0"/>
                      <w:sz w:val="21"/>
                      <w:szCs w:val="21"/>
                      <w:u w:val="none"/>
                      <w:lang w:val="en-US" w:eastAsia="zh-CN" w:bidi="ar"/>
                    </w:rPr>
                    <w:t>5920</w:t>
                  </w:r>
                  <w:r>
                    <w:rPr>
                      <w:rFonts w:hint="default" w:ascii="Times New Roman" w:hAnsi="Times New Roman" w:eastAsia="宋体" w:cs="Times New Roman"/>
                      <w:i w:val="0"/>
                      <w:iCs w:val="0"/>
                      <w:color w:val="auto"/>
                      <w:kern w:val="0"/>
                      <w:sz w:val="21"/>
                      <w:szCs w:val="21"/>
                      <w:u w:val="none"/>
                      <w:lang w:val="en-US" w:eastAsia="zh-CN" w:bidi="ar"/>
                    </w:rPr>
                    <w:t>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/h</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2"/>
                      <w:sz w:val="21"/>
                      <w:szCs w:val="21"/>
                      <w:highlight w:val="none"/>
                    </w:rPr>
                    <w:t>废气收集效率为</w:t>
                  </w:r>
                  <w:r>
                    <w:rPr>
                      <w:rFonts w:hint="eastAsia" w:cs="Times New Roman"/>
                      <w:color w:val="auto"/>
                      <w:kern w:val="2"/>
                      <w:sz w:val="21"/>
                      <w:szCs w:val="21"/>
                      <w:highlight w:val="none"/>
                      <w:lang w:val="en-US" w:eastAsia="zh-CN"/>
                    </w:rPr>
                    <w:t>8</w:t>
                  </w:r>
                  <w:r>
                    <w:rPr>
                      <w:rFonts w:hint="default" w:ascii="Times New Roman" w:hAnsi="Times New Roman" w:eastAsia="宋体" w:cs="Times New Roman"/>
                      <w:color w:val="auto"/>
                      <w:kern w:val="2"/>
                      <w:sz w:val="21"/>
                      <w:szCs w:val="21"/>
                      <w:highlight w:val="none"/>
                      <w:lang w:val="en-US" w:eastAsia="zh-CN"/>
                    </w:rPr>
                    <w:t>0</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val="en-US" w:eastAsia="zh-CN"/>
                    </w:rPr>
                    <w:t>，三</w:t>
                  </w:r>
                  <w:r>
                    <w:rPr>
                      <w:rFonts w:hint="default" w:ascii="Times New Roman" w:hAnsi="Times New Roman" w:eastAsia="宋体" w:cs="Times New Roman"/>
                      <w:bCs/>
                      <w:color w:val="auto"/>
                      <w:sz w:val="21"/>
                      <w:szCs w:val="21"/>
                      <w:highlight w:val="none"/>
                      <w:lang w:val="en-US" w:eastAsia="zh-CN"/>
                    </w:rPr>
                    <w:t>级</w:t>
                  </w:r>
                  <w:r>
                    <w:rPr>
                      <w:rFonts w:hint="default" w:ascii="Times New Roman" w:hAnsi="Times New Roman" w:eastAsia="宋体" w:cs="Times New Roman"/>
                      <w:bCs/>
                      <w:color w:val="auto"/>
                      <w:sz w:val="21"/>
                      <w:szCs w:val="21"/>
                      <w:highlight w:val="none"/>
                    </w:rPr>
                    <w:t>活性炭去除效率</w:t>
                  </w:r>
                  <w:r>
                    <w:rPr>
                      <w:rFonts w:hint="eastAsia" w:cs="Times New Roman"/>
                      <w:bCs/>
                      <w:color w:val="auto"/>
                      <w:sz w:val="21"/>
                      <w:szCs w:val="21"/>
                      <w:highlight w:val="none"/>
                      <w:lang w:val="en-US" w:eastAsia="zh-CN"/>
                    </w:rPr>
                    <w:t>7</w:t>
                  </w:r>
                  <w:r>
                    <w:rPr>
                      <w:rFonts w:hint="default" w:ascii="Times New Roman" w:hAnsi="Times New Roman" w:eastAsia="宋体" w:cs="Times New Roman"/>
                      <w:bCs/>
                      <w:color w:val="auto"/>
                      <w:sz w:val="21"/>
                      <w:szCs w:val="21"/>
                      <w:highlight w:val="none"/>
                    </w:rPr>
                    <w:t>0%</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0.6</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r>
                    <w:rPr>
                      <w:rFonts w:hint="eastAsia" w:eastAsia="宋体"/>
                      <w:color w:val="auto"/>
                      <w:kern w:val="0"/>
                      <w:szCs w:val="21"/>
                      <w:lang w:bidi="ar"/>
                    </w:rPr>
                    <w:t>对氯化氢无处理效率</w:t>
                  </w:r>
                  <w:r>
                    <w:rPr>
                      <w:rFonts w:hint="eastAsia"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排气筒内径0.</w:t>
                  </w:r>
                  <w:r>
                    <w:rPr>
                      <w:rFonts w:hint="eastAsia" w:ascii="Times New Roman" w:hAnsi="Times New Roman" w:eastAsia="宋体" w:cs="Times New Roman"/>
                      <w:bCs/>
                      <w:color w:val="auto"/>
                      <w:sz w:val="21"/>
                      <w:szCs w:val="21"/>
                      <w:highlight w:val="none"/>
                      <w:lang w:val="en-US" w:eastAsia="zh-CN"/>
                    </w:rPr>
                    <w:t>8</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lang w:val="en-US" w:eastAsia="zh-CN"/>
                    </w:rPr>
                    <w:t>。</w:t>
                  </w:r>
                </w:p>
              </w:tc>
              <w:tc>
                <w:tcPr>
                  <w:tcW w:w="708" w:type="dxa"/>
                  <w:vAlign w:val="center"/>
                </w:tcPr>
                <w:p w14:paraId="33164FE7">
                  <w:pPr>
                    <w:keepNext w:val="0"/>
                    <w:keepLines w:val="0"/>
                    <w:pageBreakBefore w:val="0"/>
                    <w:shd w:val="clear"/>
                    <w:kinsoku/>
                    <w:wordWrap/>
                    <w:overflowPunct/>
                    <w:topLinePunct w:val="0"/>
                    <w:autoSpaceDE/>
                    <w:autoSpaceDN/>
                    <w:bidi w:val="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14:paraId="48ED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26" w:type="dxa"/>
                  <w:vMerge w:val="continue"/>
                  <w:vAlign w:val="center"/>
                </w:tcPr>
                <w:p w14:paraId="39703F48">
                  <w:pPr>
                    <w:shd w:val="clea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784" w:type="dxa"/>
                  <w:vMerge w:val="continue"/>
                  <w:vAlign w:val="center"/>
                </w:tcPr>
                <w:p w14:paraId="3AFA621E">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1152" w:type="dxa"/>
                  <w:vAlign w:val="center"/>
                </w:tcPr>
                <w:p w14:paraId="01593062">
                  <w:pPr>
                    <w:shd w:val="clear"/>
                    <w:adjustRightInd w:val="0"/>
                    <w:snapToGrid w:val="0"/>
                    <w:jc w:val="center"/>
                    <w:rPr>
                      <w:rFonts w:hint="default" w:ascii="Times New Roman" w:hAnsi="Times New Roman" w:eastAsia="宋体" w:cs="Times New Roman"/>
                      <w:bCs/>
                      <w:color w:val="auto"/>
                      <w:sz w:val="21"/>
                      <w:szCs w:val="21"/>
                      <w:highlight w:val="none"/>
                      <w:lang w:val="en-US" w:eastAsia="zh-CN"/>
                    </w:rPr>
                  </w:pPr>
                  <w:r>
                    <w:rPr>
                      <w:rFonts w:hint="eastAsia" w:cs="Times New Roman"/>
                      <w:color w:val="auto"/>
                      <w:sz w:val="21"/>
                      <w:szCs w:val="21"/>
                      <w:highlight w:val="none"/>
                      <w:lang w:val="en-US" w:eastAsia="zh-CN"/>
                    </w:rPr>
                    <w:t>覆膜废气</w:t>
                  </w:r>
                </w:p>
              </w:tc>
              <w:tc>
                <w:tcPr>
                  <w:tcW w:w="5635" w:type="dxa"/>
                  <w:gridSpan w:val="2"/>
                  <w:vMerge w:val="continue"/>
                  <w:vAlign w:val="center"/>
                </w:tcPr>
                <w:p w14:paraId="54BA8C45">
                  <w:pPr>
                    <w:pStyle w:val="6"/>
                    <w:shd w:val="clear"/>
                    <w:rPr>
                      <w:rFonts w:hint="default" w:ascii="Times New Roman" w:hAnsi="Times New Roman" w:eastAsia="宋体" w:cs="Times New Roman"/>
                      <w:color w:val="auto"/>
                      <w:sz w:val="21"/>
                      <w:szCs w:val="21"/>
                      <w:highlight w:val="none"/>
                    </w:rPr>
                  </w:pPr>
                </w:p>
              </w:tc>
              <w:tc>
                <w:tcPr>
                  <w:tcW w:w="708" w:type="dxa"/>
                  <w:vAlign w:val="center"/>
                </w:tcPr>
                <w:p w14:paraId="679080F1">
                  <w:pPr>
                    <w:keepNext w:val="0"/>
                    <w:keepLines w:val="0"/>
                    <w:pageBreakBefore w:val="0"/>
                    <w:shd w:val="clear"/>
                    <w:kinsoku/>
                    <w:wordWrap/>
                    <w:overflowPunct/>
                    <w:topLinePunct w:val="0"/>
                    <w:autoSpaceDE/>
                    <w:autoSpaceDN/>
                    <w:bidi w:val="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14:paraId="6458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26" w:type="dxa"/>
                  <w:vMerge w:val="continue"/>
                  <w:vAlign w:val="center"/>
                </w:tcPr>
                <w:p w14:paraId="21B4CCF4">
                  <w:pPr>
                    <w:shd w:val="clea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784" w:type="dxa"/>
                  <w:vMerge w:val="continue"/>
                  <w:vAlign w:val="center"/>
                </w:tcPr>
                <w:p w14:paraId="1C8E7ED8">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1152" w:type="dxa"/>
                  <w:vAlign w:val="center"/>
                </w:tcPr>
                <w:p w14:paraId="2C2C663E">
                  <w:pPr>
                    <w:shd w:val="clear"/>
                    <w:adjustRightInd w:val="0"/>
                    <w:snapToGrid w:val="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kern w:val="0"/>
                      <w:sz w:val="21"/>
                      <w:szCs w:val="21"/>
                      <w:lang w:val="en-US" w:eastAsia="zh-CN"/>
                    </w:rPr>
                    <w:t>生产</w:t>
                  </w:r>
                  <w:r>
                    <w:rPr>
                      <w:rFonts w:hint="default" w:ascii="Times New Roman" w:hAnsi="Times New Roman" w:eastAsia="宋体" w:cs="Times New Roman"/>
                      <w:color w:val="auto"/>
                      <w:sz w:val="21"/>
                      <w:szCs w:val="21"/>
                      <w:highlight w:val="none"/>
                      <w:lang w:val="en-US" w:eastAsia="zh-CN"/>
                    </w:rPr>
                    <w:t>过程未收集无组织废气</w:t>
                  </w:r>
                </w:p>
              </w:tc>
              <w:tc>
                <w:tcPr>
                  <w:tcW w:w="5635" w:type="dxa"/>
                  <w:gridSpan w:val="2"/>
                  <w:vAlign w:val="center"/>
                </w:tcPr>
                <w:p w14:paraId="05C0F301">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加强通风</w:t>
                  </w:r>
                  <w:r>
                    <w:rPr>
                      <w:rFonts w:hint="eastAsia" w:ascii="Times New Roman" w:hAnsi="Times New Roman" w:eastAsia="宋体" w:cs="Times New Roman"/>
                      <w:color w:val="auto"/>
                      <w:sz w:val="21"/>
                      <w:szCs w:val="21"/>
                      <w:highlight w:val="none"/>
                      <w:lang w:val="en-US" w:eastAsia="zh-CN"/>
                    </w:rPr>
                    <w:t>及管理</w:t>
                  </w:r>
                  <w:r>
                    <w:rPr>
                      <w:rFonts w:hint="default" w:ascii="Times New Roman" w:hAnsi="Times New Roman" w:eastAsia="宋体" w:cs="Times New Roman"/>
                      <w:color w:val="auto"/>
                      <w:sz w:val="21"/>
                      <w:szCs w:val="21"/>
                      <w:highlight w:val="none"/>
                      <w:lang w:val="en-US" w:eastAsia="zh-CN"/>
                    </w:rPr>
                    <w:t>。</w:t>
                  </w:r>
                </w:p>
              </w:tc>
              <w:tc>
                <w:tcPr>
                  <w:tcW w:w="708" w:type="dxa"/>
                  <w:vAlign w:val="center"/>
                </w:tcPr>
                <w:p w14:paraId="76847BD8">
                  <w:pPr>
                    <w:keepNext w:val="0"/>
                    <w:keepLines w:val="0"/>
                    <w:pageBreakBefore w:val="0"/>
                    <w:shd w:val="clear"/>
                    <w:kinsoku/>
                    <w:wordWrap/>
                    <w:overflowPunct/>
                    <w:topLinePunct w:val="0"/>
                    <w:autoSpaceDE/>
                    <w:autoSpaceDN/>
                    <w:bidi w:val="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14:paraId="5AC6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26" w:type="dxa"/>
                  <w:vMerge w:val="continue"/>
                  <w:vAlign w:val="center"/>
                </w:tcPr>
                <w:p w14:paraId="6AEBE0D7">
                  <w:pPr>
                    <w:shd w:val="clea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784" w:type="dxa"/>
                  <w:vMerge w:val="continue"/>
                  <w:vAlign w:val="center"/>
                </w:tcPr>
                <w:p w14:paraId="44D7C0FF">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1152" w:type="dxa"/>
                  <w:vAlign w:val="center"/>
                </w:tcPr>
                <w:p w14:paraId="33270DD8">
                  <w:pPr>
                    <w:keepNext w:val="0"/>
                    <w:keepLines w:val="0"/>
                    <w:pageBreakBefore w:val="0"/>
                    <w:shd w:val="clear"/>
                    <w:kinsoku/>
                    <w:wordWrap/>
                    <w:overflowPunct/>
                    <w:topLinePunct w:val="0"/>
                    <w:autoSpaceDE/>
                    <w:autoSpaceDN/>
                    <w:bidi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食堂油烟</w:t>
                  </w:r>
                </w:p>
              </w:tc>
              <w:tc>
                <w:tcPr>
                  <w:tcW w:w="5635" w:type="dxa"/>
                  <w:gridSpan w:val="2"/>
                  <w:vAlign w:val="center"/>
                </w:tcPr>
                <w:p w14:paraId="72424115">
                  <w:pPr>
                    <w:pStyle w:val="6"/>
                    <w:shd w:val="clea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食堂油烟配套“1台油烟净化设施+高于</w:t>
                  </w:r>
                  <w:r>
                    <w:rPr>
                      <w:rFonts w:hint="default" w:ascii="Times New Roman" w:hAnsi="Times New Roman" w:eastAsia="宋体" w:cs="Times New Roman"/>
                      <w:color w:val="auto"/>
                      <w:sz w:val="21"/>
                      <w:szCs w:val="21"/>
                      <w:highlight w:val="none"/>
                      <w:lang w:val="en-US" w:eastAsia="zh-CN"/>
                    </w:rPr>
                    <w:t>食堂</w:t>
                  </w:r>
                  <w:r>
                    <w:rPr>
                      <w:rFonts w:hint="default" w:ascii="Times New Roman" w:hAnsi="Times New Roman" w:eastAsia="宋体" w:cs="Times New Roman"/>
                      <w:color w:val="auto"/>
                      <w:sz w:val="21"/>
                      <w:szCs w:val="21"/>
                      <w:highlight w:val="none"/>
                    </w:rPr>
                    <w:t>房顶1.5m高的排气筒”，油烟净化器净化效率不低于60%。</w:t>
                  </w:r>
                </w:p>
              </w:tc>
              <w:tc>
                <w:tcPr>
                  <w:tcW w:w="708" w:type="dxa"/>
                  <w:vAlign w:val="center"/>
                </w:tcPr>
                <w:p w14:paraId="08D230D8">
                  <w:pPr>
                    <w:keepNext w:val="0"/>
                    <w:keepLines w:val="0"/>
                    <w:pageBreakBefore w:val="0"/>
                    <w:shd w:val="clear"/>
                    <w:kinsoku/>
                    <w:wordWrap/>
                    <w:overflowPunct/>
                    <w:topLinePunct w:val="0"/>
                    <w:autoSpaceDE/>
                    <w:autoSpaceDN/>
                    <w:bidi w:val="0"/>
                    <w:jc w:val="center"/>
                    <w:textAlignment w:val="auto"/>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新建</w:t>
                  </w:r>
                </w:p>
              </w:tc>
            </w:tr>
            <w:tr w14:paraId="5BAC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Merge w:val="continue"/>
                  <w:vAlign w:val="center"/>
                </w:tcPr>
                <w:p w14:paraId="55353A50">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84" w:type="dxa"/>
                  <w:vMerge w:val="restart"/>
                  <w:vAlign w:val="center"/>
                </w:tcPr>
                <w:p w14:paraId="0A417F1A">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废水</w:t>
                  </w:r>
                  <w:r>
                    <w:rPr>
                      <w:rFonts w:hint="default" w:ascii="Times New Roman" w:hAnsi="Times New Roman" w:eastAsia="宋体" w:cs="Times New Roman"/>
                      <w:color w:val="auto"/>
                      <w:sz w:val="21"/>
                      <w:szCs w:val="21"/>
                      <w:highlight w:val="none"/>
                      <w:lang w:val="en-US" w:eastAsia="zh-CN"/>
                    </w:rPr>
                    <w:t>处理设施</w:t>
                  </w:r>
                </w:p>
              </w:tc>
              <w:tc>
                <w:tcPr>
                  <w:tcW w:w="1152" w:type="dxa"/>
                  <w:vAlign w:val="center"/>
                </w:tcPr>
                <w:p w14:paraId="621E2C70">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雨污分流</w:t>
                  </w:r>
                </w:p>
              </w:tc>
              <w:tc>
                <w:tcPr>
                  <w:tcW w:w="5635" w:type="dxa"/>
                  <w:gridSpan w:val="2"/>
                  <w:vAlign w:val="center"/>
                </w:tcPr>
                <w:p w14:paraId="6AE18ABA">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项目实行雨污分流制，雨水经雨水管外排至</w:t>
                  </w:r>
                  <w:r>
                    <w:rPr>
                      <w:rFonts w:hint="default" w:ascii="Times New Roman" w:hAnsi="Times New Roman" w:eastAsia="宋体" w:cs="Times New Roman"/>
                      <w:color w:val="auto"/>
                      <w:sz w:val="21"/>
                      <w:szCs w:val="21"/>
                      <w:highlight w:val="none"/>
                      <w:lang w:val="en-US" w:eastAsia="zh-CN"/>
                    </w:rPr>
                    <w:t>附近雨水沟</w:t>
                  </w:r>
                  <w:r>
                    <w:rPr>
                      <w:rFonts w:hint="default" w:ascii="Times New Roman" w:hAnsi="Times New Roman" w:eastAsia="宋体" w:cs="Times New Roman"/>
                      <w:color w:val="auto"/>
                      <w:sz w:val="21"/>
                      <w:szCs w:val="21"/>
                      <w:highlight w:val="none"/>
                    </w:rPr>
                    <w:t>。</w:t>
                  </w:r>
                </w:p>
              </w:tc>
              <w:tc>
                <w:tcPr>
                  <w:tcW w:w="708" w:type="dxa"/>
                  <w:vAlign w:val="center"/>
                </w:tcPr>
                <w:p w14:paraId="00B5965F">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14:paraId="003C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Merge w:val="continue"/>
                  <w:vAlign w:val="center"/>
                </w:tcPr>
                <w:p w14:paraId="1BE864BE">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84" w:type="dxa"/>
                  <w:vMerge w:val="continue"/>
                  <w:vAlign w:val="center"/>
                </w:tcPr>
                <w:p w14:paraId="757F2DD1">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1152" w:type="dxa"/>
                  <w:vAlign w:val="center"/>
                </w:tcPr>
                <w:p w14:paraId="75FBDA3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Style w:val="101"/>
                      <w:rFonts w:hint="default" w:ascii="Times New Roman" w:hAnsi="Times New Roman" w:eastAsia="宋体" w:cs="Times New Roman"/>
                      <w:color w:val="auto"/>
                      <w:sz w:val="21"/>
                      <w:szCs w:val="21"/>
                      <w:highlight w:val="none"/>
                    </w:rPr>
                    <w:t>冷却水循环系统</w:t>
                  </w:r>
                </w:p>
              </w:tc>
              <w:tc>
                <w:tcPr>
                  <w:tcW w:w="5635" w:type="dxa"/>
                  <w:gridSpan w:val="2"/>
                  <w:vAlign w:val="center"/>
                </w:tcPr>
                <w:p w14:paraId="7B3BA8F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Style w:val="101"/>
                      <w:rFonts w:hint="default" w:ascii="Times New Roman" w:hAnsi="Times New Roman" w:eastAsia="宋体" w:cs="Times New Roman"/>
                      <w:color w:val="auto"/>
                      <w:sz w:val="21"/>
                      <w:szCs w:val="21"/>
                      <w:highlight w:val="none"/>
                      <w:lang w:val="en-US" w:eastAsia="zh-CN"/>
                    </w:rPr>
                    <w:t>配套设置</w:t>
                  </w:r>
                  <w:r>
                    <w:rPr>
                      <w:rStyle w:val="101"/>
                      <w:rFonts w:hint="default" w:ascii="Times New Roman" w:hAnsi="Times New Roman" w:eastAsia="宋体" w:cs="Times New Roman"/>
                      <w:color w:val="auto"/>
                      <w:sz w:val="21"/>
                      <w:szCs w:val="21"/>
                      <w:highlight w:val="none"/>
                    </w:rPr>
                    <w:t>1个容积</w:t>
                  </w:r>
                  <w:r>
                    <w:rPr>
                      <w:rStyle w:val="101"/>
                      <w:rFonts w:hint="default" w:ascii="Times New Roman" w:hAnsi="Times New Roman" w:eastAsia="宋体" w:cs="Times New Roman"/>
                      <w:color w:val="auto"/>
                      <w:sz w:val="21"/>
                      <w:szCs w:val="21"/>
                      <w:highlight w:val="none"/>
                      <w:lang w:eastAsia="zh-CN"/>
                    </w:rPr>
                    <w:t>约</w:t>
                  </w:r>
                  <w:r>
                    <w:rPr>
                      <w:rStyle w:val="101"/>
                      <w:rFonts w:hint="default" w:ascii="Times New Roman" w:hAnsi="Times New Roman" w:eastAsia="宋体" w:cs="Times New Roman"/>
                      <w:color w:val="auto"/>
                      <w:sz w:val="21"/>
                      <w:szCs w:val="21"/>
                      <w:highlight w:val="none"/>
                    </w:rPr>
                    <w:t>为</w:t>
                  </w:r>
                  <w:r>
                    <w:rPr>
                      <w:rStyle w:val="101"/>
                      <w:rFonts w:hint="eastAsia" w:cs="Times New Roman"/>
                      <w:color w:val="auto"/>
                      <w:sz w:val="21"/>
                      <w:szCs w:val="21"/>
                      <w:highlight w:val="none"/>
                      <w:lang w:val="en-US" w:eastAsia="zh-CN"/>
                    </w:rPr>
                    <w:t>24</w:t>
                  </w:r>
                  <w:r>
                    <w:rPr>
                      <w:rStyle w:val="101"/>
                      <w:rFonts w:hint="default" w:ascii="Times New Roman" w:hAnsi="Times New Roman" w:eastAsia="宋体" w:cs="Times New Roman"/>
                      <w:color w:val="auto"/>
                      <w:sz w:val="21"/>
                      <w:szCs w:val="21"/>
                      <w:highlight w:val="none"/>
                    </w:rPr>
                    <w:t>m</w:t>
                  </w:r>
                  <w:r>
                    <w:rPr>
                      <w:rStyle w:val="101"/>
                      <w:rFonts w:hint="default" w:ascii="Times New Roman" w:hAnsi="Times New Roman" w:eastAsia="宋体" w:cs="Times New Roman"/>
                      <w:color w:val="auto"/>
                      <w:sz w:val="21"/>
                      <w:szCs w:val="21"/>
                      <w:highlight w:val="none"/>
                      <w:vertAlign w:val="superscript"/>
                    </w:rPr>
                    <w:t>3</w:t>
                  </w:r>
                  <w:r>
                    <w:rPr>
                      <w:rStyle w:val="101"/>
                      <w:rFonts w:hint="default" w:ascii="Times New Roman" w:hAnsi="Times New Roman" w:eastAsia="宋体" w:cs="Times New Roman"/>
                      <w:color w:val="auto"/>
                      <w:sz w:val="21"/>
                      <w:szCs w:val="21"/>
                      <w:highlight w:val="none"/>
                    </w:rPr>
                    <w:t>的冷却循环水池</w:t>
                  </w:r>
                  <w:r>
                    <w:rPr>
                      <w:rStyle w:val="101"/>
                      <w:rFonts w:hint="eastAsia" w:cs="Times New Roman"/>
                      <w:color w:val="auto"/>
                      <w:sz w:val="21"/>
                      <w:szCs w:val="21"/>
                      <w:highlight w:val="none"/>
                      <w:lang w:val="en-US" w:eastAsia="zh-CN"/>
                    </w:rPr>
                    <w:t>及冷却塔</w:t>
                  </w:r>
                  <w:r>
                    <w:rPr>
                      <w:rStyle w:val="101"/>
                      <w:rFonts w:hint="default" w:ascii="Times New Roman" w:hAnsi="Times New Roman" w:eastAsia="宋体" w:cs="Times New Roman"/>
                      <w:color w:val="auto"/>
                      <w:sz w:val="21"/>
                      <w:szCs w:val="21"/>
                      <w:highlight w:val="none"/>
                    </w:rPr>
                    <w:t>，</w:t>
                  </w:r>
                  <w:r>
                    <w:rPr>
                      <w:rStyle w:val="101"/>
                      <w:rFonts w:hint="default" w:ascii="Times New Roman" w:hAnsi="Times New Roman" w:eastAsia="宋体" w:cs="Times New Roman"/>
                      <w:color w:val="auto"/>
                      <w:sz w:val="21"/>
                      <w:szCs w:val="21"/>
                      <w:highlight w:val="none"/>
                      <w:lang w:val="en-US" w:eastAsia="zh-CN"/>
                    </w:rPr>
                    <w:t>冷却废水经循环冷却池处理后循环使用，</w:t>
                  </w:r>
                  <w:r>
                    <w:rPr>
                      <w:rStyle w:val="101"/>
                      <w:rFonts w:hint="eastAsia" w:cs="Times New Roman"/>
                      <w:color w:val="auto"/>
                      <w:sz w:val="21"/>
                      <w:szCs w:val="21"/>
                      <w:highlight w:val="none"/>
                      <w:lang w:val="en-US" w:eastAsia="zh-CN"/>
                    </w:rPr>
                    <w:t>不外排</w:t>
                  </w:r>
                  <w:r>
                    <w:rPr>
                      <w:rStyle w:val="101"/>
                      <w:rFonts w:hint="default" w:ascii="Times New Roman" w:hAnsi="Times New Roman" w:eastAsia="宋体" w:cs="Times New Roman"/>
                      <w:color w:val="auto"/>
                      <w:sz w:val="21"/>
                      <w:szCs w:val="21"/>
                      <w:highlight w:val="none"/>
                      <w:lang w:val="en-US" w:eastAsia="zh-CN"/>
                    </w:rPr>
                    <w:t>。</w:t>
                  </w:r>
                </w:p>
              </w:tc>
              <w:tc>
                <w:tcPr>
                  <w:tcW w:w="708" w:type="dxa"/>
                  <w:vAlign w:val="center"/>
                </w:tcPr>
                <w:p w14:paraId="6347B4EC">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新建</w:t>
                  </w:r>
                </w:p>
              </w:tc>
            </w:tr>
            <w:tr w14:paraId="183B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Merge w:val="continue"/>
                  <w:vAlign w:val="center"/>
                </w:tcPr>
                <w:p w14:paraId="0BA50602">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84" w:type="dxa"/>
                  <w:vMerge w:val="continue"/>
                  <w:vAlign w:val="center"/>
                </w:tcPr>
                <w:p w14:paraId="39561E98">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1152" w:type="dxa"/>
                  <w:vAlign w:val="center"/>
                </w:tcPr>
                <w:p w14:paraId="3F89269A">
                  <w:pPr>
                    <w:widowControl/>
                    <w:adjustRightInd w:val="0"/>
                    <w:snapToGrid w:val="0"/>
                    <w:jc w:val="center"/>
                    <w:rPr>
                      <w:rFonts w:hint="default" w:ascii="Times New Roman" w:hAnsi="Times New Roman" w:eastAsia="宋体" w:cs="Times New Roman"/>
                      <w:color w:val="auto"/>
                      <w:sz w:val="21"/>
                      <w:szCs w:val="21"/>
                      <w:highlight w:val="none"/>
                    </w:rPr>
                  </w:pPr>
                  <w:r>
                    <w:rPr>
                      <w:color w:val="auto"/>
                      <w:kern w:val="0"/>
                      <w:szCs w:val="21"/>
                    </w:rPr>
                    <w:t>化粪池</w:t>
                  </w:r>
                </w:p>
              </w:tc>
              <w:tc>
                <w:tcPr>
                  <w:tcW w:w="5635" w:type="dxa"/>
                  <w:gridSpan w:val="2"/>
                  <w:vAlign w:val="center"/>
                </w:tcPr>
                <w:p w14:paraId="63042CA9">
                  <w:pPr>
                    <w:widowControl/>
                    <w:adjustRightInd w:val="0"/>
                    <w:snapToGrid w:val="0"/>
                    <w:rPr>
                      <w:rFonts w:hint="default" w:ascii="Times New Roman" w:hAnsi="Times New Roman" w:eastAsia="宋体" w:cs="Times New Roman"/>
                      <w:color w:val="auto"/>
                      <w:sz w:val="21"/>
                      <w:szCs w:val="21"/>
                      <w:highlight w:val="none"/>
                    </w:rPr>
                  </w:pPr>
                  <w:r>
                    <w:rPr>
                      <w:rFonts w:hint="eastAsia"/>
                      <w:color w:val="auto"/>
                      <w:kern w:val="0"/>
                    </w:rPr>
                    <w:t>依托租赁厂房已建化粪池，</w:t>
                  </w:r>
                  <w:r>
                    <w:rPr>
                      <w:color w:val="auto"/>
                      <w:kern w:val="0"/>
                    </w:rPr>
                    <w:t>位于</w:t>
                  </w:r>
                  <w:r>
                    <w:rPr>
                      <w:rFonts w:hint="eastAsia"/>
                      <w:color w:val="auto"/>
                      <w:kern w:val="0"/>
                    </w:rPr>
                    <w:t>办公楼旁，</w:t>
                  </w:r>
                  <w:r>
                    <w:rPr>
                      <w:color w:val="auto"/>
                      <w:kern w:val="0"/>
                    </w:rPr>
                    <w:t>1个，容积为</w:t>
                  </w:r>
                  <w:r>
                    <w:rPr>
                      <w:rFonts w:hint="eastAsia"/>
                      <w:color w:val="auto"/>
                      <w:kern w:val="0"/>
                    </w:rPr>
                    <w:t>20</w:t>
                  </w:r>
                  <w:r>
                    <w:rPr>
                      <w:color w:val="auto"/>
                      <w:kern w:val="0"/>
                    </w:rPr>
                    <w:t>m</w:t>
                  </w:r>
                  <w:r>
                    <w:rPr>
                      <w:color w:val="auto"/>
                      <w:kern w:val="0"/>
                      <w:vertAlign w:val="superscript"/>
                    </w:rPr>
                    <w:t>3</w:t>
                  </w:r>
                  <w:r>
                    <w:rPr>
                      <w:color w:val="auto"/>
                      <w:kern w:val="0"/>
                    </w:rPr>
                    <w:t>。</w:t>
                  </w:r>
                  <w:r>
                    <w:rPr>
                      <w:rFonts w:hint="eastAsia"/>
                      <w:color w:val="auto"/>
                      <w:kern w:val="0"/>
                    </w:rPr>
                    <w:t>化粪池</w:t>
                  </w:r>
                  <w:r>
                    <w:rPr>
                      <w:rFonts w:hint="eastAsia" w:ascii="宋体" w:hAnsi="宋体"/>
                      <w:color w:val="auto"/>
                    </w:rPr>
                    <w:t>与云南得奥海绵制造有限公司共用，</w:t>
                  </w:r>
                  <w:r>
                    <w:rPr>
                      <w:color w:val="auto"/>
                      <w:kern w:val="0"/>
                    </w:rPr>
                    <w:t>用于处理项目内的</w:t>
                  </w:r>
                  <w:r>
                    <w:rPr>
                      <w:rFonts w:hint="eastAsia"/>
                      <w:color w:val="auto"/>
                      <w:kern w:val="0"/>
                    </w:rPr>
                    <w:t>生活废水</w:t>
                  </w:r>
                  <w:r>
                    <w:rPr>
                      <w:color w:val="auto"/>
                      <w:kern w:val="0"/>
                    </w:rPr>
                    <w:t>。</w:t>
                  </w:r>
                </w:p>
              </w:tc>
              <w:tc>
                <w:tcPr>
                  <w:tcW w:w="708" w:type="dxa"/>
                  <w:vAlign w:val="center"/>
                </w:tcPr>
                <w:p w14:paraId="3C71E956">
                  <w:pPr>
                    <w:widowControl/>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olor w:val="auto"/>
                      <w:kern w:val="0"/>
                      <w:szCs w:val="21"/>
                    </w:rPr>
                    <w:t>依托原有</w:t>
                  </w:r>
                </w:p>
              </w:tc>
            </w:tr>
            <w:tr w14:paraId="1409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Merge w:val="continue"/>
                  <w:vAlign w:val="center"/>
                </w:tcPr>
                <w:p w14:paraId="733BABA1">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84" w:type="dxa"/>
                  <w:vMerge w:val="continue"/>
                  <w:vAlign w:val="center"/>
                </w:tcPr>
                <w:p w14:paraId="66A8D038">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1152" w:type="dxa"/>
                  <w:vAlign w:val="center"/>
                </w:tcPr>
                <w:p w14:paraId="541C60CF">
                  <w:pPr>
                    <w:widowControl/>
                    <w:adjustRightInd w:val="0"/>
                    <w:snapToGrid w:val="0"/>
                    <w:jc w:val="center"/>
                    <w:rPr>
                      <w:rFonts w:hint="default" w:ascii="Times New Roman" w:hAnsi="Times New Roman" w:eastAsia="宋体" w:cs="Times New Roman"/>
                      <w:color w:val="auto"/>
                      <w:sz w:val="21"/>
                      <w:szCs w:val="21"/>
                      <w:highlight w:val="none"/>
                    </w:rPr>
                  </w:pPr>
                  <w:r>
                    <w:rPr>
                      <w:color w:val="auto"/>
                      <w:kern w:val="0"/>
                      <w:szCs w:val="21"/>
                    </w:rPr>
                    <w:t>一体化</w:t>
                  </w:r>
                  <w:r>
                    <w:rPr>
                      <w:rFonts w:hint="eastAsia"/>
                      <w:color w:val="auto"/>
                    </w:rPr>
                    <w:t>生活</w:t>
                  </w:r>
                  <w:r>
                    <w:rPr>
                      <w:rFonts w:hint="eastAsia"/>
                      <w:color w:val="auto"/>
                      <w:kern w:val="0"/>
                      <w:szCs w:val="21"/>
                    </w:rPr>
                    <w:t>污水处理站</w:t>
                  </w:r>
                </w:p>
              </w:tc>
              <w:tc>
                <w:tcPr>
                  <w:tcW w:w="5635" w:type="dxa"/>
                  <w:gridSpan w:val="2"/>
                  <w:vAlign w:val="center"/>
                </w:tcPr>
                <w:p w14:paraId="420F4CBB">
                  <w:pPr>
                    <w:widowControl/>
                    <w:adjustRightInd w:val="0"/>
                    <w:snapToGrid w:val="0"/>
                    <w:ind w:firstLine="420" w:firstLineChars="200"/>
                    <w:rPr>
                      <w:rFonts w:hint="default" w:ascii="Times New Roman" w:hAnsi="Times New Roman" w:eastAsia="宋体" w:cs="Times New Roman"/>
                      <w:color w:val="auto"/>
                      <w:sz w:val="21"/>
                      <w:szCs w:val="21"/>
                      <w:highlight w:val="none"/>
                    </w:rPr>
                  </w:pPr>
                  <w:r>
                    <w:rPr>
                      <w:rFonts w:hint="eastAsia"/>
                      <w:color w:val="auto"/>
                      <w:kern w:val="0"/>
                      <w:sz w:val="21"/>
                      <w:szCs w:val="21"/>
                    </w:rPr>
                    <w:t>依托租赁厂房已建生活废水一体化污水处理设备，一体化污水处理设备为“云南安亦家具有限公司、云南艾家建筑材料有限公司、</w:t>
                  </w:r>
                  <w:r>
                    <w:rPr>
                      <w:rFonts w:hint="eastAsia" w:ascii="宋体" w:hAnsi="宋体"/>
                      <w:color w:val="auto"/>
                      <w:sz w:val="21"/>
                      <w:szCs w:val="21"/>
                    </w:rPr>
                    <w:t>云南得奥海绵制造有限公司</w:t>
                  </w:r>
                  <w:r>
                    <w:rPr>
                      <w:rFonts w:hint="eastAsia" w:ascii="宋体" w:hAnsi="宋体"/>
                      <w:color w:val="auto"/>
                      <w:sz w:val="21"/>
                      <w:szCs w:val="21"/>
                      <w:lang w:eastAsia="zh-CN"/>
                    </w:rPr>
                    <w:t>、</w:t>
                  </w:r>
                  <w:r>
                    <w:rPr>
                      <w:rFonts w:hint="eastAsia"/>
                      <w:color w:val="auto"/>
                      <w:sz w:val="21"/>
                      <w:szCs w:val="21"/>
                      <w:lang w:val="zh-CN"/>
                    </w:rPr>
                    <w:t>云南圣唯铝业有限责任公司</w:t>
                  </w:r>
                  <w:r>
                    <w:rPr>
                      <w:rFonts w:hint="eastAsia"/>
                      <w:color w:val="auto"/>
                      <w:kern w:val="0"/>
                      <w:sz w:val="21"/>
                      <w:szCs w:val="21"/>
                    </w:rPr>
                    <w:t>”</w:t>
                  </w:r>
                  <w:r>
                    <w:rPr>
                      <w:rFonts w:hint="eastAsia"/>
                      <w:color w:val="auto"/>
                      <w:kern w:val="0"/>
                      <w:sz w:val="21"/>
                      <w:szCs w:val="21"/>
                      <w:lang w:val="en-US" w:eastAsia="zh-CN"/>
                    </w:rPr>
                    <w:t>4</w:t>
                  </w:r>
                  <w:r>
                    <w:rPr>
                      <w:rFonts w:hint="eastAsia"/>
                      <w:color w:val="auto"/>
                      <w:kern w:val="0"/>
                      <w:sz w:val="21"/>
                      <w:szCs w:val="21"/>
                    </w:rPr>
                    <w:t>家企业共用1座设计处理能力为20m</w:t>
                  </w:r>
                  <w:r>
                    <w:rPr>
                      <w:rFonts w:hint="eastAsia"/>
                      <w:color w:val="auto"/>
                      <w:kern w:val="0"/>
                      <w:sz w:val="21"/>
                      <w:szCs w:val="21"/>
                      <w:vertAlign w:val="superscript"/>
                    </w:rPr>
                    <w:t>3</w:t>
                  </w:r>
                  <w:r>
                    <w:rPr>
                      <w:rFonts w:hint="eastAsia"/>
                      <w:color w:val="auto"/>
                      <w:kern w:val="0"/>
                      <w:sz w:val="21"/>
                      <w:szCs w:val="21"/>
                    </w:rPr>
                    <w:t>/d的一体化污水处理设备。处理工艺为“A/O+消毒工艺”，</w:t>
                  </w:r>
                  <w:r>
                    <w:rPr>
                      <w:color w:val="auto"/>
                      <w:kern w:val="0"/>
                      <w:sz w:val="21"/>
                      <w:szCs w:val="21"/>
                    </w:rPr>
                    <w:t>废水处理达</w:t>
                  </w:r>
                  <w:r>
                    <w:rPr>
                      <w:rFonts w:hint="eastAsia"/>
                      <w:color w:val="auto"/>
                      <w:kern w:val="0"/>
                      <w:sz w:val="21"/>
                      <w:szCs w:val="21"/>
                    </w:rPr>
                    <w:t>《城市污水再生利用 城市杂用水水质》</w:t>
                  </w:r>
                  <w:r>
                    <w:rPr>
                      <w:color w:val="auto"/>
                      <w:kern w:val="0"/>
                      <w:sz w:val="21"/>
                      <w:szCs w:val="21"/>
                    </w:rPr>
                    <w:t>（GB/T18920-2020）中</w:t>
                  </w:r>
                  <w:r>
                    <w:rPr>
                      <w:rFonts w:hint="eastAsia"/>
                      <w:color w:val="auto"/>
                      <w:kern w:val="0"/>
                      <w:sz w:val="21"/>
                      <w:szCs w:val="21"/>
                    </w:rPr>
                    <w:t>城市绿化、道路清扫、消防、建筑施工标准</w:t>
                  </w:r>
                  <w:r>
                    <w:rPr>
                      <w:color w:val="auto"/>
                      <w:kern w:val="0"/>
                      <w:sz w:val="21"/>
                      <w:szCs w:val="21"/>
                    </w:rPr>
                    <w:t>后回用于绿化</w:t>
                  </w:r>
                  <w:r>
                    <w:rPr>
                      <w:rFonts w:hint="eastAsia"/>
                      <w:color w:val="auto"/>
                      <w:kern w:val="0"/>
                      <w:sz w:val="21"/>
                      <w:szCs w:val="21"/>
                    </w:rPr>
                    <w:t>和道路洒水降尘</w:t>
                  </w:r>
                  <w:r>
                    <w:rPr>
                      <w:color w:val="auto"/>
                      <w:kern w:val="0"/>
                      <w:sz w:val="21"/>
                      <w:szCs w:val="21"/>
                    </w:rPr>
                    <w:t>。</w:t>
                  </w:r>
                  <w:r>
                    <w:rPr>
                      <w:rFonts w:hint="default" w:ascii="Times New Roman" w:hAnsi="Times New Roman" w:eastAsia="宋体" w:cs="Times New Roman"/>
                      <w:color w:val="auto"/>
                      <w:sz w:val="21"/>
                      <w:szCs w:val="21"/>
                      <w:highlight w:val="none"/>
                      <w:lang w:val="en-US" w:eastAsia="zh-CN"/>
                    </w:rPr>
                    <w:t>雨天储存于</w:t>
                  </w:r>
                  <w:r>
                    <w:rPr>
                      <w:rFonts w:hint="eastAsia" w:ascii="Times New Roman" w:hAnsi="Times New Roman" w:eastAsia="宋体" w:cs="Times New Roman"/>
                      <w:color w:val="auto"/>
                      <w:sz w:val="21"/>
                      <w:szCs w:val="21"/>
                      <w:highlight w:val="none"/>
                      <w:lang w:val="en-US" w:eastAsia="zh-CN"/>
                    </w:rPr>
                    <w:t>清</w:t>
                  </w:r>
                  <w:r>
                    <w:rPr>
                      <w:rFonts w:hint="default" w:ascii="Times New Roman" w:hAnsi="Times New Roman" w:eastAsia="宋体" w:cs="Times New Roman"/>
                      <w:color w:val="auto"/>
                      <w:sz w:val="21"/>
                      <w:szCs w:val="21"/>
                      <w:highlight w:val="none"/>
                      <w:lang w:val="en-US" w:eastAsia="zh-CN"/>
                    </w:rPr>
                    <w:t>水池中待晴天再回用，不外排。</w:t>
                  </w:r>
                </w:p>
              </w:tc>
              <w:tc>
                <w:tcPr>
                  <w:tcW w:w="708" w:type="dxa"/>
                  <w:vAlign w:val="center"/>
                </w:tcPr>
                <w:p w14:paraId="61317E8D">
                  <w:pPr>
                    <w:widowControl/>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olor w:val="auto"/>
                      <w:kern w:val="0"/>
                      <w:szCs w:val="21"/>
                    </w:rPr>
                    <w:t>依托原有</w:t>
                  </w:r>
                </w:p>
              </w:tc>
            </w:tr>
            <w:tr w14:paraId="44E6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Merge w:val="continue"/>
                  <w:vAlign w:val="center"/>
                </w:tcPr>
                <w:p w14:paraId="38DC51EB">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84" w:type="dxa"/>
                  <w:vMerge w:val="continue"/>
                  <w:vAlign w:val="center"/>
                </w:tcPr>
                <w:p w14:paraId="1D719D7F">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1152" w:type="dxa"/>
                  <w:vAlign w:val="center"/>
                </w:tcPr>
                <w:p w14:paraId="6B7BE988">
                  <w:pPr>
                    <w:widowControl/>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olor w:val="auto"/>
                      <w:kern w:val="0"/>
                      <w:szCs w:val="21"/>
                    </w:rPr>
                    <w:t>清水池</w:t>
                  </w:r>
                </w:p>
              </w:tc>
              <w:tc>
                <w:tcPr>
                  <w:tcW w:w="5635" w:type="dxa"/>
                  <w:gridSpan w:val="2"/>
                  <w:vAlign w:val="center"/>
                </w:tcPr>
                <w:p w14:paraId="6C4D5EF7">
                  <w:pPr>
                    <w:widowControl/>
                    <w:adjustRightInd w:val="0"/>
                    <w:snapToGrid w:val="0"/>
                    <w:rPr>
                      <w:rFonts w:hint="default" w:ascii="Times New Roman" w:hAnsi="Times New Roman" w:eastAsia="宋体" w:cs="Times New Roman"/>
                      <w:color w:val="auto"/>
                      <w:sz w:val="21"/>
                      <w:szCs w:val="21"/>
                      <w:highlight w:val="none"/>
                    </w:rPr>
                  </w:pPr>
                  <w:r>
                    <w:rPr>
                      <w:rFonts w:hint="eastAsia"/>
                      <w:color w:val="auto"/>
                    </w:rPr>
                    <w:t>位于租用办公楼西侧，1个，容积35m</w:t>
                  </w:r>
                  <w:r>
                    <w:rPr>
                      <w:rFonts w:hint="eastAsia"/>
                      <w:color w:val="auto"/>
                      <w:vertAlign w:val="superscript"/>
                    </w:rPr>
                    <w:t>3</w:t>
                  </w:r>
                  <w:r>
                    <w:rPr>
                      <w:rFonts w:hint="eastAsia"/>
                      <w:color w:val="auto"/>
                    </w:rPr>
                    <w:t>，</w:t>
                  </w:r>
                  <w:r>
                    <w:rPr>
                      <w:color w:val="auto"/>
                      <w:kern w:val="0"/>
                    </w:rPr>
                    <w:t>用于暂存处理后的</w:t>
                  </w:r>
                  <w:r>
                    <w:rPr>
                      <w:rFonts w:hint="eastAsia"/>
                      <w:color w:val="auto"/>
                      <w:kern w:val="0"/>
                    </w:rPr>
                    <w:t>生活</w:t>
                  </w:r>
                  <w:r>
                    <w:rPr>
                      <w:color w:val="auto"/>
                      <w:kern w:val="0"/>
                    </w:rPr>
                    <w:t>废水</w:t>
                  </w:r>
                  <w:r>
                    <w:rPr>
                      <w:rFonts w:hint="eastAsia"/>
                      <w:color w:val="auto"/>
                      <w:kern w:val="0"/>
                    </w:rPr>
                    <w:t>，</w:t>
                  </w:r>
                  <w:r>
                    <w:rPr>
                      <w:color w:val="auto"/>
                      <w:kern w:val="0"/>
                    </w:rPr>
                    <w:t>可确保连续</w:t>
                  </w:r>
                  <w:r>
                    <w:rPr>
                      <w:rFonts w:hint="eastAsia"/>
                      <w:color w:val="auto"/>
                      <w:kern w:val="0"/>
                    </w:rPr>
                    <w:t>5天</w:t>
                  </w:r>
                  <w:r>
                    <w:rPr>
                      <w:color w:val="auto"/>
                      <w:kern w:val="0"/>
                    </w:rPr>
                    <w:t>降雨时</w:t>
                  </w:r>
                  <w:r>
                    <w:rPr>
                      <w:rFonts w:hint="eastAsia"/>
                      <w:color w:val="auto"/>
                      <w:kern w:val="0"/>
                    </w:rPr>
                    <w:t>，</w:t>
                  </w:r>
                  <w:r>
                    <w:rPr>
                      <w:color w:val="auto"/>
                      <w:kern w:val="0"/>
                    </w:rPr>
                    <w:t>对废水的收集</w:t>
                  </w:r>
                  <w:r>
                    <w:rPr>
                      <w:rFonts w:hint="eastAsia"/>
                      <w:color w:val="auto"/>
                      <w:kern w:val="0"/>
                    </w:rPr>
                    <w:t>。</w:t>
                  </w:r>
                </w:p>
              </w:tc>
              <w:tc>
                <w:tcPr>
                  <w:tcW w:w="708" w:type="dxa"/>
                  <w:vAlign w:val="center"/>
                </w:tcPr>
                <w:p w14:paraId="3227FCC4">
                  <w:pPr>
                    <w:widowControl/>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olor w:val="auto"/>
                      <w:kern w:val="0"/>
                      <w:szCs w:val="21"/>
                    </w:rPr>
                    <w:t>依托原有</w:t>
                  </w:r>
                </w:p>
              </w:tc>
            </w:tr>
            <w:tr w14:paraId="1A24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Merge w:val="continue"/>
                  <w:vAlign w:val="center"/>
                </w:tcPr>
                <w:p w14:paraId="52E3A956">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84" w:type="dxa"/>
                  <w:vAlign w:val="center"/>
                </w:tcPr>
                <w:p w14:paraId="69F18227">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6787" w:type="dxa"/>
                  <w:gridSpan w:val="3"/>
                  <w:vAlign w:val="center"/>
                </w:tcPr>
                <w:p w14:paraId="723A12FF">
                  <w:pPr>
                    <w:shd w:val="clea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项目区所有生产设备</w:t>
                  </w:r>
                  <w:r>
                    <w:rPr>
                      <w:rFonts w:hint="default" w:ascii="Times New Roman" w:hAnsi="Times New Roman" w:eastAsia="宋体" w:cs="Times New Roman"/>
                      <w:color w:val="auto"/>
                      <w:sz w:val="21"/>
                      <w:szCs w:val="21"/>
                      <w:highlight w:val="none"/>
                      <w:lang w:val="en-US" w:eastAsia="zh-CN"/>
                    </w:rPr>
                    <w:t>均</w:t>
                  </w:r>
                  <w:r>
                    <w:rPr>
                      <w:rFonts w:hint="default" w:ascii="Times New Roman" w:hAnsi="Times New Roman" w:eastAsia="宋体" w:cs="Times New Roman"/>
                      <w:color w:val="auto"/>
                      <w:sz w:val="21"/>
                      <w:szCs w:val="21"/>
                      <w:highlight w:val="none"/>
                    </w:rPr>
                    <w:t>置于厂房内，高噪声设备安装消声、减振装置。</w:t>
                  </w:r>
                </w:p>
              </w:tc>
              <w:tc>
                <w:tcPr>
                  <w:tcW w:w="708" w:type="dxa"/>
                  <w:vAlign w:val="center"/>
                </w:tcPr>
                <w:p w14:paraId="4EAEBB67">
                  <w:pPr>
                    <w:shd w:val="clear"/>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新建</w:t>
                  </w:r>
                </w:p>
              </w:tc>
            </w:tr>
            <w:tr w14:paraId="2566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Merge w:val="continue"/>
                  <w:vAlign w:val="center"/>
                </w:tcPr>
                <w:p w14:paraId="7DF150F6">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84" w:type="dxa"/>
                  <w:vMerge w:val="restart"/>
                  <w:vAlign w:val="center"/>
                </w:tcPr>
                <w:p w14:paraId="04949224">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固废处理设施</w:t>
                  </w:r>
                </w:p>
              </w:tc>
              <w:tc>
                <w:tcPr>
                  <w:tcW w:w="1152" w:type="dxa"/>
                  <w:vAlign w:val="center"/>
                </w:tcPr>
                <w:p w14:paraId="0B578BA6">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带盖垃圾收集桶</w:t>
                  </w:r>
                </w:p>
              </w:tc>
              <w:tc>
                <w:tcPr>
                  <w:tcW w:w="5635" w:type="dxa"/>
                  <w:gridSpan w:val="2"/>
                  <w:vAlign w:val="center"/>
                </w:tcPr>
                <w:p w14:paraId="3945CF35">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厂区内分散设置若干带盖垃圾收集桶，用于收集生活垃圾。</w:t>
                  </w:r>
                </w:p>
              </w:tc>
              <w:tc>
                <w:tcPr>
                  <w:tcW w:w="708" w:type="dxa"/>
                  <w:vAlign w:val="center"/>
                </w:tcPr>
                <w:p w14:paraId="2A454EFF">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14:paraId="667F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Merge w:val="continue"/>
                  <w:vAlign w:val="center"/>
                </w:tcPr>
                <w:p w14:paraId="0BE1C10D">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84" w:type="dxa"/>
                  <w:vMerge w:val="continue"/>
                  <w:vAlign w:val="center"/>
                </w:tcPr>
                <w:p w14:paraId="17442F20">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1152" w:type="dxa"/>
                  <w:vAlign w:val="center"/>
                </w:tcPr>
                <w:p w14:paraId="67F2BC74">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泔水桶</w:t>
                  </w:r>
                </w:p>
              </w:tc>
              <w:tc>
                <w:tcPr>
                  <w:tcW w:w="5635" w:type="dxa"/>
                  <w:gridSpan w:val="2"/>
                  <w:vAlign w:val="center"/>
                </w:tcPr>
                <w:p w14:paraId="6944FE99">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食堂内设置2只泔水桶，1用1备，用于收集食堂泔水。</w:t>
                  </w:r>
                </w:p>
              </w:tc>
              <w:tc>
                <w:tcPr>
                  <w:tcW w:w="708" w:type="dxa"/>
                  <w:vAlign w:val="center"/>
                </w:tcPr>
                <w:p w14:paraId="1A675864">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14:paraId="71B2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Merge w:val="continue"/>
                  <w:vAlign w:val="center"/>
                </w:tcPr>
                <w:p w14:paraId="55A1BCC1">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84" w:type="dxa"/>
                  <w:vMerge w:val="continue"/>
                  <w:vAlign w:val="center"/>
                </w:tcPr>
                <w:p w14:paraId="6DF405C3">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1152" w:type="dxa"/>
                  <w:vAlign w:val="center"/>
                </w:tcPr>
                <w:p w14:paraId="6A81506F">
                  <w:pPr>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废油脂收集桶</w:t>
                  </w:r>
                </w:p>
              </w:tc>
              <w:tc>
                <w:tcPr>
                  <w:tcW w:w="5635" w:type="dxa"/>
                  <w:gridSpan w:val="2"/>
                  <w:vAlign w:val="center"/>
                </w:tcPr>
                <w:p w14:paraId="4C2AC11F">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2只，1用1备，用于收集食堂隔油池废油脂。</w:t>
                  </w:r>
                </w:p>
              </w:tc>
              <w:tc>
                <w:tcPr>
                  <w:tcW w:w="708" w:type="dxa"/>
                  <w:vAlign w:val="center"/>
                </w:tcPr>
                <w:p w14:paraId="70F0E68F">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14:paraId="0B63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Merge w:val="continue"/>
                  <w:vAlign w:val="center"/>
                </w:tcPr>
                <w:p w14:paraId="56035EDB">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84" w:type="dxa"/>
                  <w:vMerge w:val="continue"/>
                  <w:vAlign w:val="center"/>
                </w:tcPr>
                <w:p w14:paraId="35EE49FE">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1152" w:type="dxa"/>
                  <w:vAlign w:val="center"/>
                </w:tcPr>
                <w:p w14:paraId="55BDD643">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一般固废暂存区</w:t>
                  </w:r>
                </w:p>
              </w:tc>
              <w:tc>
                <w:tcPr>
                  <w:tcW w:w="5635" w:type="dxa"/>
                  <w:gridSpan w:val="2"/>
                  <w:vAlign w:val="center"/>
                </w:tcPr>
                <w:p w14:paraId="50494F3F">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建筑面积</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，用于收集暂存生产过程产生的一般固体废弃物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定期收集后外售</w:t>
                  </w:r>
                  <w:r>
                    <w:rPr>
                      <w:rFonts w:hint="default" w:ascii="Times New Roman" w:hAnsi="Times New Roman" w:eastAsia="宋体" w:cs="Times New Roman"/>
                      <w:color w:val="auto"/>
                      <w:sz w:val="21"/>
                      <w:szCs w:val="21"/>
                      <w:highlight w:val="none"/>
                    </w:rPr>
                    <w:t>。</w:t>
                  </w:r>
                </w:p>
              </w:tc>
              <w:tc>
                <w:tcPr>
                  <w:tcW w:w="708" w:type="dxa"/>
                  <w:vAlign w:val="center"/>
                </w:tcPr>
                <w:p w14:paraId="5FD43696">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14:paraId="5350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Merge w:val="continue"/>
                  <w:vAlign w:val="center"/>
                </w:tcPr>
                <w:p w14:paraId="1491173E">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84" w:type="dxa"/>
                  <w:vMerge w:val="continue"/>
                  <w:vAlign w:val="center"/>
                </w:tcPr>
                <w:p w14:paraId="32241148">
                  <w:pPr>
                    <w:pStyle w:val="18"/>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1531" w:type="dxa"/>
                  <w:gridSpan w:val="2"/>
                  <w:vAlign w:val="center"/>
                </w:tcPr>
                <w:p w14:paraId="677A5ED7">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危废</w:t>
                  </w:r>
                  <w:r>
                    <w:rPr>
                      <w:rFonts w:hint="default" w:ascii="Times New Roman" w:hAnsi="Times New Roman" w:eastAsia="宋体" w:cs="Times New Roman"/>
                      <w:color w:val="auto"/>
                      <w:sz w:val="21"/>
                      <w:szCs w:val="21"/>
                      <w:highlight w:val="none"/>
                      <w:lang w:val="en-US" w:eastAsia="zh-CN"/>
                    </w:rPr>
                    <w:t>暂存</w:t>
                  </w:r>
                  <w:r>
                    <w:rPr>
                      <w:rFonts w:hint="default" w:ascii="Times New Roman" w:hAnsi="Times New Roman" w:eastAsia="宋体" w:cs="Times New Roman"/>
                      <w:color w:val="auto"/>
                      <w:sz w:val="21"/>
                      <w:szCs w:val="21"/>
                      <w:highlight w:val="none"/>
                    </w:rPr>
                    <w:t>间</w:t>
                  </w:r>
                </w:p>
              </w:tc>
              <w:tc>
                <w:tcPr>
                  <w:tcW w:w="5256" w:type="dxa"/>
                  <w:vAlign w:val="center"/>
                </w:tcPr>
                <w:p w14:paraId="38F41CB6">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vertAlign w:val="subscript"/>
                      <w:lang w:val="en-US"/>
                    </w:rPr>
                  </w:pPr>
                  <w:r>
                    <w:rPr>
                      <w:rFonts w:hint="default" w:ascii="Times New Roman" w:hAnsi="Times New Roman" w:eastAsia="宋体" w:cs="Times New Roman"/>
                      <w:color w:val="auto"/>
                      <w:sz w:val="21"/>
                      <w:szCs w:val="21"/>
                      <w:highlight w:val="none"/>
                    </w:rPr>
                    <w:t>生产车间</w:t>
                  </w:r>
                  <w:r>
                    <w:rPr>
                      <w:rFonts w:hint="default" w:ascii="Times New Roman" w:hAnsi="Times New Roman" w:eastAsia="宋体" w:cs="Times New Roman"/>
                      <w:color w:val="auto"/>
                      <w:sz w:val="21"/>
                      <w:szCs w:val="21"/>
                      <w:highlight w:val="none"/>
                      <w:lang w:val="en-US" w:eastAsia="zh-CN"/>
                    </w:rPr>
                    <w:t>外</w:t>
                  </w:r>
                  <w:r>
                    <w:rPr>
                      <w:rFonts w:hint="default" w:ascii="Times New Roman" w:hAnsi="Times New Roman" w:eastAsia="宋体" w:cs="Times New Roman"/>
                      <w:color w:val="auto"/>
                      <w:sz w:val="21"/>
                      <w:szCs w:val="21"/>
                      <w:highlight w:val="none"/>
                    </w:rPr>
                    <w:t>设置1间占地面积为</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的危废暂存间，并配套2个危险废物专用收集容器，用于收集暂存</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废气处理过程中饱和失效的活性炭</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color w:val="auto"/>
                      <w:sz w:val="21"/>
                      <w:szCs w:val="21"/>
                      <w:highlight w:val="none"/>
                    </w:rPr>
                    <w:t>机修过程产生的废机油</w:t>
                  </w:r>
                  <w:r>
                    <w:rPr>
                      <w:rFonts w:hint="default" w:ascii="Times New Roman" w:hAnsi="Times New Roman" w:eastAsia="宋体" w:cs="Times New Roman"/>
                      <w:color w:val="auto"/>
                      <w:sz w:val="21"/>
                      <w:szCs w:val="21"/>
                      <w:highlight w:val="none"/>
                      <w:lang w:val="en-US" w:eastAsia="zh-CN"/>
                    </w:rPr>
                    <w:t>及机修废物</w:t>
                  </w:r>
                  <w:r>
                    <w:rPr>
                      <w:rFonts w:hint="default" w:ascii="Times New Roman" w:hAnsi="Times New Roman" w:eastAsia="宋体" w:cs="Times New Roman"/>
                      <w:color w:val="auto"/>
                      <w:sz w:val="21"/>
                      <w:szCs w:val="21"/>
                      <w:highlight w:val="none"/>
                    </w:rPr>
                    <w:t>。危险废物暂存间地面</w:t>
                  </w:r>
                  <w:r>
                    <w:rPr>
                      <w:rFonts w:hint="default" w:ascii="Times New Roman" w:hAnsi="Times New Roman" w:eastAsia="宋体" w:cs="Times New Roman"/>
                      <w:color w:val="auto"/>
                      <w:sz w:val="21"/>
                      <w:szCs w:val="21"/>
                      <w:highlight w:val="none"/>
                      <w:lang w:val="en-US" w:eastAsia="zh-CN"/>
                    </w:rPr>
                    <w:t>和四周墙裙脚</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kern w:val="2"/>
                      <w:sz w:val="21"/>
                      <w:szCs w:val="21"/>
                      <w:highlight w:val="none"/>
                    </w:rPr>
                    <w:t>“抗渗混凝土+2mm厚HDPE+环氧树脂涂料”</w:t>
                  </w:r>
                  <w:r>
                    <w:rPr>
                      <w:rFonts w:hint="default" w:ascii="Times New Roman" w:hAnsi="Times New Roman" w:eastAsia="宋体" w:cs="Times New Roman"/>
                      <w:color w:val="auto"/>
                      <w:sz w:val="21"/>
                      <w:szCs w:val="21"/>
                      <w:highlight w:val="none"/>
                      <w:lang w:val="en-US" w:eastAsia="zh-CN"/>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，并按照要求设置规范的标识标牌。</w:t>
                  </w:r>
                </w:p>
              </w:tc>
              <w:tc>
                <w:tcPr>
                  <w:tcW w:w="708" w:type="dxa"/>
                  <w:vAlign w:val="center"/>
                </w:tcPr>
                <w:p w14:paraId="5ED7ACB4">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14:paraId="720B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Merge w:val="continue"/>
                  <w:vAlign w:val="center"/>
                </w:tcPr>
                <w:p w14:paraId="20805317">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84" w:type="dxa"/>
                  <w:vAlign w:val="center"/>
                </w:tcPr>
                <w:p w14:paraId="30A55440">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分区防渗</w:t>
                  </w:r>
                </w:p>
              </w:tc>
              <w:tc>
                <w:tcPr>
                  <w:tcW w:w="6787" w:type="dxa"/>
                  <w:gridSpan w:val="3"/>
                  <w:vAlign w:val="center"/>
                </w:tcPr>
                <w:p w14:paraId="21D2804C">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重点防渗：</w:t>
                  </w:r>
                  <w:r>
                    <w:rPr>
                      <w:rFonts w:hint="default" w:ascii="Times New Roman" w:hAnsi="Times New Roman" w:eastAsia="宋体" w:cs="Times New Roman"/>
                      <w:b w:val="0"/>
                      <w:bCs w:val="0"/>
                      <w:color w:val="auto"/>
                      <w:sz w:val="21"/>
                      <w:szCs w:val="21"/>
                      <w:highlight w:val="none"/>
                      <w:lang w:val="zh-CN"/>
                    </w:rPr>
                    <w:t>危废暂存间地面及</w:t>
                  </w:r>
                  <w:r>
                    <w:rPr>
                      <w:rFonts w:hint="default" w:ascii="Times New Roman" w:hAnsi="Times New Roman" w:eastAsia="宋体" w:cs="Times New Roman"/>
                      <w:b w:val="0"/>
                      <w:bCs w:val="0"/>
                      <w:color w:val="auto"/>
                      <w:sz w:val="21"/>
                      <w:szCs w:val="21"/>
                      <w:highlight w:val="none"/>
                      <w:lang w:val="en-US" w:eastAsia="zh-CN"/>
                    </w:rPr>
                    <w:t>四周墙裙脚</w:t>
                  </w:r>
                  <w:r>
                    <w:rPr>
                      <w:rFonts w:hint="default" w:ascii="Times New Roman" w:hAnsi="Times New Roman" w:eastAsia="宋体" w:cs="Times New Roman"/>
                      <w:b w:val="0"/>
                      <w:bCs w:val="0"/>
                      <w:color w:val="auto"/>
                      <w:sz w:val="21"/>
                      <w:szCs w:val="21"/>
                      <w:highlight w:val="none"/>
                      <w:lang w:val="zh-CN"/>
                    </w:rPr>
                    <w:t>采用“</w:t>
                  </w:r>
                  <w:r>
                    <w:rPr>
                      <w:rFonts w:hint="default" w:ascii="Times New Roman" w:hAnsi="Times New Roman" w:eastAsia="宋体" w:cs="Times New Roman"/>
                      <w:b w:val="0"/>
                      <w:bCs w:val="0"/>
                      <w:color w:val="auto"/>
                      <w:sz w:val="21"/>
                      <w:szCs w:val="21"/>
                      <w:highlight w:val="none"/>
                      <w:lang w:val="en-US" w:eastAsia="zh-CN"/>
                    </w:rPr>
                    <w:t>抗渗混凝土</w:t>
                  </w:r>
                  <w:r>
                    <w:rPr>
                      <w:rFonts w:hint="default" w:ascii="Times New Roman" w:hAnsi="Times New Roman" w:eastAsia="宋体" w:cs="Times New Roman"/>
                      <w:b w:val="0"/>
                      <w:bCs w:val="0"/>
                      <w:color w:val="auto"/>
                      <w:sz w:val="21"/>
                      <w:szCs w:val="21"/>
                      <w:highlight w:val="none"/>
                      <w:lang w:val="zh-CN"/>
                    </w:rPr>
                    <w:t>+2mm厚HDPE+环氧树脂”</w:t>
                  </w:r>
                  <w:r>
                    <w:rPr>
                      <w:rFonts w:hint="default" w:ascii="Times New Roman" w:hAnsi="Times New Roman" w:eastAsia="宋体" w:cs="Times New Roman"/>
                      <w:b w:val="0"/>
                      <w:bCs w:val="0"/>
                      <w:color w:val="auto"/>
                      <w:sz w:val="21"/>
                      <w:szCs w:val="21"/>
                      <w:highlight w:val="none"/>
                      <w:lang w:val="en-US" w:eastAsia="zh-CN"/>
                    </w:rPr>
                    <w:t>进行重点防渗处理</w:t>
                  </w:r>
                  <w:r>
                    <w:rPr>
                      <w:rFonts w:hint="default" w:ascii="Times New Roman" w:hAnsi="Times New Roman" w:eastAsia="宋体" w:cs="Times New Roman"/>
                      <w:b w:val="0"/>
                      <w:bCs w:val="0"/>
                      <w:color w:val="auto"/>
                      <w:sz w:val="21"/>
                      <w:szCs w:val="21"/>
                      <w:highlight w:val="none"/>
                      <w:lang w:val="zh-CN"/>
                    </w:rPr>
                    <w:t>，渗透系数≤10</w:t>
                  </w:r>
                  <w:r>
                    <w:rPr>
                      <w:rFonts w:hint="default" w:ascii="Times New Roman" w:hAnsi="Times New Roman" w:eastAsia="宋体" w:cs="Times New Roman"/>
                      <w:b w:val="0"/>
                      <w:bCs w:val="0"/>
                      <w:color w:val="auto"/>
                      <w:sz w:val="21"/>
                      <w:szCs w:val="21"/>
                      <w:highlight w:val="none"/>
                      <w:vertAlign w:val="superscript"/>
                      <w:lang w:val="zh-CN"/>
                    </w:rPr>
                    <w:t>-10</w:t>
                  </w:r>
                  <w:r>
                    <w:rPr>
                      <w:rFonts w:hint="default" w:ascii="Times New Roman" w:hAnsi="Times New Roman" w:eastAsia="宋体" w:cs="Times New Roman"/>
                      <w:b w:val="0"/>
                      <w:bCs w:val="0"/>
                      <w:color w:val="auto"/>
                      <w:sz w:val="21"/>
                      <w:szCs w:val="21"/>
                      <w:highlight w:val="none"/>
                      <w:lang w:val="zh-CN"/>
                    </w:rPr>
                    <w:t>cm/s</w:t>
                  </w:r>
                  <w:r>
                    <w:rPr>
                      <w:rFonts w:hint="default" w:ascii="Times New Roman" w:hAnsi="Times New Roman" w:eastAsia="宋体" w:cs="Times New Roman"/>
                      <w:b w:val="0"/>
                      <w:bCs w:val="0"/>
                      <w:color w:val="auto"/>
                      <w:sz w:val="21"/>
                      <w:szCs w:val="21"/>
                      <w:highlight w:val="none"/>
                    </w:rPr>
                    <w:t>，并按照要求设置规范的标识</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标牌</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zh-CN"/>
                    </w:rPr>
                    <w:t>采用“</w:t>
                  </w:r>
                  <w:r>
                    <w:rPr>
                      <w:rFonts w:hint="default" w:ascii="Times New Roman" w:hAnsi="Times New Roman" w:eastAsia="宋体" w:cs="Times New Roman"/>
                      <w:b w:val="0"/>
                      <w:bCs w:val="0"/>
                      <w:color w:val="auto"/>
                      <w:sz w:val="21"/>
                      <w:szCs w:val="21"/>
                      <w:highlight w:val="none"/>
                      <w:lang w:val="en-US" w:eastAsia="zh-CN"/>
                    </w:rPr>
                    <w:t>抗渗混凝土</w:t>
                  </w:r>
                  <w:r>
                    <w:rPr>
                      <w:rFonts w:hint="default" w:ascii="Times New Roman" w:hAnsi="Times New Roman" w:eastAsia="宋体" w:cs="Times New Roman"/>
                      <w:b w:val="0"/>
                      <w:bCs w:val="0"/>
                      <w:color w:val="auto"/>
                      <w:sz w:val="21"/>
                      <w:szCs w:val="21"/>
                      <w:highlight w:val="none"/>
                      <w:lang w:val="zh-CN"/>
                    </w:rPr>
                    <w:t>+2mm厚HDPE+环氧树脂”</w:t>
                  </w:r>
                  <w:r>
                    <w:rPr>
                      <w:rFonts w:hint="default" w:ascii="Times New Roman" w:hAnsi="Times New Roman" w:eastAsia="宋体" w:cs="Times New Roman"/>
                      <w:b w:val="0"/>
                      <w:bCs w:val="0"/>
                      <w:color w:val="auto"/>
                      <w:sz w:val="21"/>
                      <w:szCs w:val="21"/>
                      <w:highlight w:val="none"/>
                      <w:lang w:val="en-US" w:eastAsia="zh-CN"/>
                    </w:rPr>
                    <w:t>进行重点防渗处理，</w:t>
                  </w:r>
                  <w:r>
                    <w:rPr>
                      <w:rFonts w:hint="default" w:ascii="Times New Roman" w:hAnsi="Times New Roman" w:eastAsia="宋体" w:cs="Times New Roman"/>
                      <w:color w:val="auto"/>
                      <w:kern w:val="0"/>
                      <w:sz w:val="21"/>
                      <w:szCs w:val="21"/>
                      <w:highlight w:val="none"/>
                    </w:rPr>
                    <w:t>等效粘土防渗层Mb≥6.0m，渗透系数≤1×10</w:t>
                  </w:r>
                  <w:r>
                    <w:rPr>
                      <w:rFonts w:hint="default" w:ascii="Times New Roman" w:hAnsi="Times New Roman" w:eastAsia="宋体" w:cs="Times New Roman"/>
                      <w:color w:val="auto"/>
                      <w:kern w:val="0"/>
                      <w:sz w:val="21"/>
                      <w:szCs w:val="21"/>
                      <w:highlight w:val="none"/>
                      <w:vertAlign w:val="superscript"/>
                    </w:rPr>
                    <w:t>-</w:t>
                  </w:r>
                  <w:r>
                    <w:rPr>
                      <w:rFonts w:hint="default" w:ascii="Times New Roman" w:hAnsi="Times New Roman" w:eastAsia="宋体" w:cs="Times New Roman"/>
                      <w:color w:val="auto"/>
                      <w:kern w:val="0"/>
                      <w:sz w:val="21"/>
                      <w:szCs w:val="21"/>
                      <w:highlight w:val="none"/>
                      <w:vertAlign w:val="superscript"/>
                      <w:lang w:val="en-US" w:eastAsia="zh-CN"/>
                    </w:rPr>
                    <w:t>10</w:t>
                  </w:r>
                  <w:r>
                    <w:rPr>
                      <w:rFonts w:hint="default" w:ascii="Times New Roman" w:hAnsi="Times New Roman" w:eastAsia="宋体" w:cs="Times New Roman"/>
                      <w:color w:val="auto"/>
                      <w:kern w:val="0"/>
                      <w:sz w:val="21"/>
                      <w:szCs w:val="21"/>
                      <w:highlight w:val="none"/>
                    </w:rPr>
                    <w:t>cm/s</w:t>
                  </w:r>
                  <w:r>
                    <w:rPr>
                      <w:rFonts w:hint="default" w:ascii="Times New Roman" w:hAnsi="Times New Roman" w:eastAsia="宋体" w:cs="Times New Roman"/>
                      <w:b w:val="0"/>
                      <w:bCs w:val="0"/>
                      <w:color w:val="auto"/>
                      <w:sz w:val="21"/>
                      <w:szCs w:val="21"/>
                      <w:highlight w:val="none"/>
                      <w:lang w:val="en-US" w:eastAsia="zh-CN"/>
                    </w:rPr>
                    <w:t>。</w:t>
                  </w:r>
                </w:p>
                <w:p w14:paraId="45CA00F0">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一般防渗区：</w:t>
                  </w:r>
                  <w:r>
                    <w:rPr>
                      <w:rFonts w:hint="default" w:ascii="Times New Roman" w:hAnsi="Times New Roman" w:eastAsia="宋体" w:cs="Times New Roman"/>
                      <w:color w:val="auto"/>
                      <w:sz w:val="21"/>
                      <w:szCs w:val="21"/>
                      <w:highlight w:val="none"/>
                      <w:lang w:val="en-US" w:eastAsia="zh-CN"/>
                    </w:rPr>
                    <w:t>冷却循环水池、隔油池、</w:t>
                  </w:r>
                  <w:r>
                    <w:rPr>
                      <w:rFonts w:hint="default" w:ascii="Times New Roman" w:hAnsi="Times New Roman" w:eastAsia="宋体" w:cs="Times New Roman"/>
                      <w:color w:val="auto"/>
                      <w:highlight w:val="none"/>
                      <w:lang w:val="en-US" w:eastAsia="zh-CN"/>
                    </w:rPr>
                    <w:t>一般固体废物暂存区</w:t>
                  </w:r>
                  <w:r>
                    <w:rPr>
                      <w:rFonts w:hint="default" w:ascii="Times New Roman" w:hAnsi="Times New Roman" w:eastAsia="宋体" w:cs="Times New Roman"/>
                      <w:b w:val="0"/>
                      <w:bCs w:val="0"/>
                      <w:color w:val="auto"/>
                      <w:sz w:val="21"/>
                      <w:szCs w:val="21"/>
                      <w:highlight w:val="none"/>
                      <w:lang w:val="zh-CN"/>
                    </w:rPr>
                    <w:t>防渗技术要求达到等效黏土防渗层Mb≥1.5m，渗透系数≤10</w:t>
                  </w:r>
                  <w:r>
                    <w:rPr>
                      <w:rFonts w:hint="default" w:ascii="Times New Roman" w:hAnsi="Times New Roman" w:eastAsia="宋体" w:cs="Times New Roman"/>
                      <w:b w:val="0"/>
                      <w:bCs w:val="0"/>
                      <w:color w:val="auto"/>
                      <w:sz w:val="21"/>
                      <w:szCs w:val="21"/>
                      <w:highlight w:val="none"/>
                      <w:vertAlign w:val="superscript"/>
                      <w:lang w:val="zh-CN"/>
                    </w:rPr>
                    <w:t>-</w:t>
                  </w:r>
                  <w:r>
                    <w:rPr>
                      <w:rFonts w:hint="default" w:ascii="Times New Roman" w:hAnsi="Times New Roman" w:eastAsia="宋体" w:cs="Times New Roman"/>
                      <w:b w:val="0"/>
                      <w:bCs w:val="0"/>
                      <w:color w:val="auto"/>
                      <w:sz w:val="21"/>
                      <w:szCs w:val="21"/>
                      <w:highlight w:val="none"/>
                      <w:vertAlign w:val="superscript"/>
                      <w:lang w:val="en-US" w:eastAsia="zh-CN"/>
                    </w:rPr>
                    <w:t>7</w:t>
                  </w:r>
                  <w:r>
                    <w:rPr>
                      <w:rFonts w:hint="default" w:ascii="Times New Roman" w:hAnsi="Times New Roman" w:eastAsia="宋体" w:cs="Times New Roman"/>
                      <w:b w:val="0"/>
                      <w:bCs w:val="0"/>
                      <w:color w:val="auto"/>
                      <w:sz w:val="21"/>
                      <w:szCs w:val="21"/>
                      <w:highlight w:val="none"/>
                      <w:lang w:val="zh-CN"/>
                    </w:rPr>
                    <w:t>cm/s。</w:t>
                  </w:r>
                </w:p>
                <w:p w14:paraId="32A3D2ED">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简单防渗区：</w:t>
                  </w:r>
                  <w:r>
                    <w:rPr>
                      <w:rFonts w:hint="default" w:ascii="Times New Roman" w:hAnsi="Times New Roman" w:eastAsia="宋体" w:cs="Times New Roman"/>
                      <w:color w:val="auto"/>
                      <w:sz w:val="21"/>
                      <w:szCs w:val="21"/>
                      <w:highlight w:val="none"/>
                      <w:lang w:val="zh-CN"/>
                    </w:rPr>
                    <w:t>其余生产区、</w:t>
                  </w:r>
                  <w:r>
                    <w:rPr>
                      <w:rFonts w:hint="default" w:ascii="Times New Roman" w:hAnsi="Times New Roman" w:eastAsia="宋体" w:cs="Times New Roman"/>
                      <w:color w:val="auto"/>
                      <w:sz w:val="21"/>
                      <w:szCs w:val="21"/>
                      <w:highlight w:val="none"/>
                    </w:rPr>
                    <w:t>道路及</w:t>
                  </w:r>
                  <w:r>
                    <w:rPr>
                      <w:rFonts w:hint="default" w:ascii="Times New Roman" w:hAnsi="Times New Roman" w:eastAsia="宋体"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rPr>
                    <w:t>区域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除绿化外</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zh-CN"/>
                    </w:rPr>
                    <w:t>进行一般</w:t>
                  </w:r>
                  <w:r>
                    <w:rPr>
                      <w:rFonts w:hint="default" w:ascii="Times New Roman" w:hAnsi="Times New Roman" w:eastAsia="宋体" w:cs="Times New Roman"/>
                      <w:color w:val="auto"/>
                      <w:sz w:val="21"/>
                      <w:szCs w:val="21"/>
                      <w:highlight w:val="none"/>
                      <w:lang w:val="en-US" w:eastAsia="zh-CN"/>
                    </w:rPr>
                    <w:t>硬化处理。</w:t>
                  </w:r>
                </w:p>
              </w:tc>
              <w:tc>
                <w:tcPr>
                  <w:tcW w:w="708" w:type="dxa"/>
                  <w:vAlign w:val="center"/>
                </w:tcPr>
                <w:p w14:paraId="2FC09E3B">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bl>
          <w:p w14:paraId="3176BA89">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bookmarkStart w:id="15" w:name="_Toc5921"/>
            <w:r>
              <w:rPr>
                <w:rFonts w:hint="default" w:ascii="Times New Roman" w:hAnsi="Times New Roman" w:eastAsia="宋体" w:cs="Times New Roman"/>
                <w:b/>
                <w:bCs w:val="0"/>
                <w:color w:val="auto"/>
                <w:sz w:val="24"/>
                <w:szCs w:val="24"/>
                <w:highlight w:val="none"/>
                <w:lang w:val="en-US" w:eastAsia="zh-CN"/>
              </w:rPr>
              <w:t>3、产品方案及规模</w:t>
            </w:r>
          </w:p>
          <w:p w14:paraId="03ED2974">
            <w:pPr>
              <w:shd w:val="clear"/>
              <w:adjustRightInd w:val="0"/>
              <w:snapToGrid w:val="0"/>
              <w:spacing w:line="360" w:lineRule="auto"/>
              <w:ind w:firstLine="480"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lang w:eastAsia="zh-CN"/>
              </w:rPr>
              <w:t>建成后年产</w:t>
            </w:r>
            <w:r>
              <w:rPr>
                <w:rFonts w:hint="eastAsia" w:cs="Times New Roman"/>
                <w:color w:val="auto"/>
                <w:sz w:val="24"/>
                <w:szCs w:val="24"/>
                <w:highlight w:val="none"/>
                <w:lang w:val="en-US" w:eastAsia="zh-CN"/>
              </w:rPr>
              <w:t>30万m</w:t>
            </w:r>
            <w:r>
              <w:rPr>
                <w:rFonts w:hint="eastAsia"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的</w:t>
            </w:r>
            <w:r>
              <w:rPr>
                <w:rFonts w:hint="eastAsia" w:cs="Times New Roman"/>
                <w:color w:val="auto"/>
                <w:sz w:val="24"/>
                <w:szCs w:val="24"/>
                <w:highlight w:val="none"/>
                <w:lang w:val="en-US" w:eastAsia="zh-CN"/>
              </w:rPr>
              <w:t>竹木纤维集成墙板及扣板</w:t>
            </w:r>
            <w:r>
              <w:rPr>
                <w:rFonts w:hint="default" w:ascii="Times New Roman" w:hAnsi="Times New Roman" w:eastAsia="宋体" w:cs="Times New Roman"/>
                <w:color w:val="auto"/>
                <w:sz w:val="24"/>
                <w:szCs w:val="24"/>
                <w:highlight w:val="none"/>
                <w:lang w:val="en-US" w:eastAsia="zh-CN"/>
              </w:rPr>
              <w:t>，项目主要产品见表2-2所示。</w:t>
            </w:r>
          </w:p>
          <w:p w14:paraId="71224913">
            <w:pPr>
              <w:shd w:val="clea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 xml:space="preserve">-2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项目</w:t>
            </w:r>
            <w:r>
              <w:rPr>
                <w:rFonts w:hint="default" w:ascii="Times New Roman" w:hAnsi="Times New Roman" w:eastAsia="宋体" w:cs="Times New Roman"/>
                <w:b/>
                <w:bCs/>
                <w:color w:val="auto"/>
                <w:sz w:val="21"/>
                <w:szCs w:val="21"/>
                <w:highlight w:val="none"/>
                <w:lang w:val="en-US" w:eastAsia="zh-CN"/>
              </w:rPr>
              <w:t>产品方案</w:t>
            </w:r>
            <w:r>
              <w:rPr>
                <w:rFonts w:hint="default" w:ascii="Times New Roman" w:hAnsi="Times New Roman" w:eastAsia="宋体" w:cs="Times New Roman"/>
                <w:b/>
                <w:bCs/>
                <w:color w:val="auto"/>
                <w:sz w:val="21"/>
                <w:szCs w:val="21"/>
                <w:highlight w:val="none"/>
              </w:rPr>
              <w:t>一览表</w:t>
            </w:r>
          </w:p>
          <w:tbl>
            <w:tblPr>
              <w:tblStyle w:val="26"/>
              <w:tblW w:w="8732"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336"/>
              <w:gridCol w:w="2497"/>
              <w:gridCol w:w="3225"/>
            </w:tblGrid>
            <w:tr w14:paraId="3E24A65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4" w:type="dxa"/>
                  <w:tcBorders>
                    <w:tl2br w:val="nil"/>
                    <w:tr2bl w:val="nil"/>
                  </w:tcBorders>
                  <w:noWrap w:val="0"/>
                  <w:vAlign w:val="center"/>
                </w:tcPr>
                <w:p w14:paraId="265E4974">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2336" w:type="dxa"/>
                  <w:tcBorders>
                    <w:tl2br w:val="nil"/>
                    <w:tr2bl w:val="nil"/>
                  </w:tcBorders>
                  <w:noWrap w:val="0"/>
                  <w:vAlign w:val="center"/>
                </w:tcPr>
                <w:p w14:paraId="5AB7AED4">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产品</w:t>
                  </w:r>
                  <w:r>
                    <w:rPr>
                      <w:rFonts w:hint="default" w:ascii="Times New Roman" w:hAnsi="Times New Roman" w:eastAsia="宋体" w:cs="Times New Roman"/>
                      <w:b/>
                      <w:bCs/>
                      <w:color w:val="auto"/>
                      <w:sz w:val="21"/>
                      <w:szCs w:val="21"/>
                      <w:highlight w:val="none"/>
                    </w:rPr>
                    <w:t>名称</w:t>
                  </w:r>
                </w:p>
              </w:tc>
              <w:tc>
                <w:tcPr>
                  <w:tcW w:w="2497" w:type="dxa"/>
                  <w:tcBorders>
                    <w:tl2br w:val="nil"/>
                    <w:tr2bl w:val="nil"/>
                  </w:tcBorders>
                  <w:noWrap w:val="0"/>
                  <w:vAlign w:val="center"/>
                </w:tcPr>
                <w:p w14:paraId="0F58D84E">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产品产量</w:t>
                  </w:r>
                </w:p>
              </w:tc>
              <w:tc>
                <w:tcPr>
                  <w:tcW w:w="3225" w:type="dxa"/>
                  <w:tcBorders>
                    <w:tl2br w:val="nil"/>
                    <w:tr2bl w:val="nil"/>
                  </w:tcBorders>
                  <w:noWrap w:val="0"/>
                  <w:vAlign w:val="center"/>
                </w:tcPr>
                <w:p w14:paraId="09505E4F">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规格</w:t>
                  </w:r>
                </w:p>
              </w:tc>
            </w:tr>
            <w:tr w14:paraId="76BA7CB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4" w:type="dxa"/>
                  <w:tcBorders>
                    <w:tl2br w:val="nil"/>
                    <w:tr2bl w:val="nil"/>
                  </w:tcBorders>
                  <w:noWrap w:val="0"/>
                  <w:vAlign w:val="center"/>
                </w:tcPr>
                <w:p w14:paraId="2DDB53A4">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2336" w:type="dxa"/>
                  <w:tcBorders>
                    <w:tl2br w:val="nil"/>
                    <w:tr2bl w:val="nil"/>
                  </w:tcBorders>
                  <w:noWrap w:val="0"/>
                  <w:vAlign w:val="center"/>
                </w:tcPr>
                <w:p w14:paraId="345C3D65">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竹木纤维集成墙板</w:t>
                  </w:r>
                </w:p>
              </w:tc>
              <w:tc>
                <w:tcPr>
                  <w:tcW w:w="2497" w:type="dxa"/>
                  <w:tcBorders>
                    <w:tl2br w:val="nil"/>
                    <w:tr2bl w:val="nil"/>
                  </w:tcBorders>
                  <w:noWrap w:val="0"/>
                  <w:vAlign w:val="center"/>
                </w:tcPr>
                <w:p w14:paraId="1D137F39">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lang w:eastAsia="zh-CN"/>
                    </w:rPr>
                    <w:t>万</w:t>
                  </w:r>
                  <w:r>
                    <w:rPr>
                      <w:rFonts w:hint="eastAsia" w:cs="Times New Roman"/>
                      <w:color w:val="auto"/>
                      <w:sz w:val="21"/>
                      <w:szCs w:val="21"/>
                      <w:highlight w:val="none"/>
                      <w:lang w:val="en-US" w:eastAsia="zh-CN"/>
                    </w:rPr>
                    <w:t>m</w:t>
                  </w:r>
                  <w:r>
                    <w:rPr>
                      <w:rFonts w:hint="eastAsia"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/a</w:t>
                  </w:r>
                  <w:r>
                    <w:rPr>
                      <w:rFonts w:hint="eastAsia" w:cs="Times New Roman"/>
                      <w:color w:val="auto"/>
                      <w:sz w:val="21"/>
                      <w:szCs w:val="21"/>
                      <w:highlight w:val="none"/>
                      <w:lang w:val="en-US" w:eastAsia="zh-CN"/>
                    </w:rPr>
                    <w:t>（750t/a）</w:t>
                  </w:r>
                </w:p>
              </w:tc>
              <w:tc>
                <w:tcPr>
                  <w:tcW w:w="3225" w:type="dxa"/>
                  <w:tcBorders>
                    <w:tl2br w:val="nil"/>
                    <w:tr2bl w:val="nil"/>
                  </w:tcBorders>
                  <w:noWrap w:val="0"/>
                  <w:vAlign w:val="center"/>
                </w:tcPr>
                <w:p w14:paraId="6FADE39C">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magenta"/>
                      <w:lang w:val="en-US" w:eastAsia="zh-CN"/>
                    </w:rPr>
                  </w:pPr>
                  <w:r>
                    <w:rPr>
                      <w:rFonts w:hint="eastAsia" w:ascii="Times New Roman" w:hAnsi="Times New Roman" w:eastAsia="宋体" w:cs="Times New Roman"/>
                      <w:color w:val="auto"/>
                      <w:sz w:val="21"/>
                      <w:szCs w:val="21"/>
                      <w:highlight w:val="none"/>
                      <w:lang w:val="en-US" w:eastAsia="zh-CN"/>
                    </w:rPr>
                    <w:t>3m*40cm（5kg/m</w:t>
                  </w:r>
                  <w:r>
                    <w:rPr>
                      <w:rFonts w:hint="eastAsia"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lang w:val="en-US" w:eastAsia="zh-CN"/>
                    </w:rPr>
                    <w:t>）</w:t>
                  </w:r>
                </w:p>
              </w:tc>
            </w:tr>
            <w:tr w14:paraId="6356B57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4" w:type="dxa"/>
                  <w:tcBorders>
                    <w:tl2br w:val="nil"/>
                    <w:tr2bl w:val="nil"/>
                  </w:tcBorders>
                  <w:noWrap w:val="0"/>
                  <w:vAlign w:val="center"/>
                </w:tcPr>
                <w:p w14:paraId="20EC7288">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2336" w:type="dxa"/>
                  <w:tcBorders>
                    <w:tl2br w:val="nil"/>
                    <w:tr2bl w:val="nil"/>
                  </w:tcBorders>
                  <w:noWrap w:val="0"/>
                  <w:vAlign w:val="center"/>
                </w:tcPr>
                <w:p w14:paraId="3D60C50E">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扣板</w:t>
                  </w:r>
                </w:p>
              </w:tc>
              <w:tc>
                <w:tcPr>
                  <w:tcW w:w="2497" w:type="dxa"/>
                  <w:tcBorders>
                    <w:tl2br w:val="nil"/>
                    <w:tr2bl w:val="nil"/>
                  </w:tcBorders>
                  <w:noWrap w:val="0"/>
                  <w:vAlign w:val="center"/>
                </w:tcPr>
                <w:p w14:paraId="330B81F1">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lang w:eastAsia="zh-CN"/>
                    </w:rPr>
                    <w:t>万</w:t>
                  </w:r>
                  <w:r>
                    <w:rPr>
                      <w:rFonts w:hint="eastAsia" w:cs="Times New Roman"/>
                      <w:color w:val="auto"/>
                      <w:sz w:val="21"/>
                      <w:szCs w:val="21"/>
                      <w:highlight w:val="none"/>
                      <w:lang w:val="en-US" w:eastAsia="zh-CN"/>
                    </w:rPr>
                    <w:t>m</w:t>
                  </w:r>
                  <w:r>
                    <w:rPr>
                      <w:rFonts w:hint="eastAsia"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/a（</w:t>
                  </w:r>
                  <w:r>
                    <w:rPr>
                      <w:rFonts w:hint="eastAsia" w:cs="Times New Roman"/>
                      <w:color w:val="auto"/>
                      <w:sz w:val="21"/>
                      <w:szCs w:val="21"/>
                      <w:highlight w:val="none"/>
                      <w:lang w:val="en-US" w:eastAsia="zh-CN"/>
                    </w:rPr>
                    <w:t>600</w:t>
                  </w:r>
                  <w:r>
                    <w:rPr>
                      <w:rFonts w:hint="default" w:ascii="Times New Roman" w:hAnsi="Times New Roman" w:eastAsia="宋体" w:cs="Times New Roman"/>
                      <w:color w:val="auto"/>
                      <w:sz w:val="21"/>
                      <w:szCs w:val="21"/>
                      <w:highlight w:val="none"/>
                      <w:lang w:val="en-US" w:eastAsia="zh-CN"/>
                    </w:rPr>
                    <w:t>t/a）</w:t>
                  </w:r>
                </w:p>
              </w:tc>
              <w:tc>
                <w:tcPr>
                  <w:tcW w:w="3225" w:type="dxa"/>
                  <w:tcBorders>
                    <w:tl2br w:val="nil"/>
                    <w:tr2bl w:val="nil"/>
                  </w:tcBorders>
                  <w:noWrap w:val="0"/>
                  <w:vAlign w:val="center"/>
                </w:tcPr>
                <w:p w14:paraId="3037E9D3">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6m*20cm</w:t>
                  </w:r>
                  <w:r>
                    <w:rPr>
                      <w:rFonts w:hint="eastAsia" w:ascii="Times New Roman" w:hAnsi="Times New Roman" w:eastAsia="宋体" w:cs="Times New Roman"/>
                      <w:color w:val="auto"/>
                      <w:sz w:val="21"/>
                      <w:szCs w:val="21"/>
                      <w:highlight w:val="none"/>
                      <w:lang w:val="en-US" w:eastAsia="zh-CN"/>
                    </w:rPr>
                    <w:t>（4kg/m</w:t>
                  </w:r>
                  <w:r>
                    <w:rPr>
                      <w:rFonts w:hint="eastAsia"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lang w:val="en-US" w:eastAsia="zh-CN"/>
                    </w:rPr>
                    <w:t>）</w:t>
                  </w:r>
                </w:p>
              </w:tc>
            </w:tr>
          </w:tbl>
          <w:p w14:paraId="48D59E88">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4、主要原辅料及用量</w:t>
            </w:r>
          </w:p>
          <w:p w14:paraId="073EB0CE">
            <w:pPr>
              <w:shd w:val="clear"/>
              <w:adjustRightInd w:val="0"/>
              <w:snapToGrid w:val="0"/>
              <w:spacing w:line="360" w:lineRule="auto"/>
              <w:ind w:firstLine="482" w:firstLineChars="200"/>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原辅料用量</w:t>
            </w:r>
          </w:p>
          <w:p w14:paraId="76954413">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sz w:val="24"/>
                <w:highlight w:val="none"/>
                <w:lang w:val="en-US" w:eastAsia="zh-CN"/>
              </w:rPr>
              <w:t>本</w:t>
            </w:r>
            <w:r>
              <w:rPr>
                <w:rFonts w:hint="default" w:ascii="Times New Roman" w:hAnsi="Times New Roman" w:eastAsia="宋体" w:cs="Times New Roman"/>
                <w:bCs/>
                <w:color w:val="auto"/>
                <w:sz w:val="24"/>
                <w:highlight w:val="none"/>
              </w:rPr>
              <w:t>项目主要原辅材料及能源消耗情况见表2-3。</w:t>
            </w:r>
          </w:p>
          <w:p w14:paraId="325A3784">
            <w:pPr>
              <w:shd w:val="clear"/>
              <w:ind w:firstLine="422" w:firstLineChars="200"/>
              <w:jc w:val="center"/>
              <w:rPr>
                <w:rFonts w:hint="default" w:ascii="Times New Roman" w:hAnsi="Times New Roman" w:eastAsia="宋体" w:cs="Times New Roman"/>
                <w:b/>
                <w:color w:val="auto"/>
                <w:highlight w:val="none"/>
              </w:rPr>
            </w:pPr>
          </w:p>
          <w:p w14:paraId="34B776FC">
            <w:pPr>
              <w:shd w:val="clear"/>
              <w:ind w:firstLine="422" w:firstLineChars="20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表2-3  生产原辅材料用量情况一览表</w:t>
            </w:r>
          </w:p>
          <w:tbl>
            <w:tblPr>
              <w:tblStyle w:val="26"/>
              <w:tblW w:w="8675"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99"/>
              <w:gridCol w:w="2028"/>
              <w:gridCol w:w="2050"/>
              <w:gridCol w:w="2196"/>
            </w:tblGrid>
            <w:tr w14:paraId="05A9EE1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tcBorders>
                    <w:tl2br w:val="nil"/>
                    <w:tr2bl w:val="nil"/>
                  </w:tcBorders>
                  <w:noWrap w:val="0"/>
                  <w:vAlign w:val="center"/>
                </w:tcPr>
                <w:p w14:paraId="6FAD3413">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序号</w:t>
                  </w:r>
                </w:p>
              </w:tc>
              <w:tc>
                <w:tcPr>
                  <w:tcW w:w="1699" w:type="dxa"/>
                  <w:tcBorders>
                    <w:tl2br w:val="nil"/>
                    <w:tr2bl w:val="nil"/>
                  </w:tcBorders>
                  <w:noWrap w:val="0"/>
                  <w:vAlign w:val="center"/>
                </w:tcPr>
                <w:p w14:paraId="70A3F02D">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eastAsia="zh-CN"/>
                    </w:rPr>
                    <w:t>材料</w:t>
                  </w:r>
                  <w:r>
                    <w:rPr>
                      <w:rFonts w:hint="default" w:ascii="Times New Roman" w:hAnsi="Times New Roman" w:eastAsia="宋体" w:cs="Times New Roman"/>
                      <w:b/>
                      <w:bCs/>
                      <w:color w:val="auto"/>
                      <w:sz w:val="21"/>
                      <w:szCs w:val="21"/>
                      <w:highlight w:val="none"/>
                    </w:rPr>
                    <w:t>名称</w:t>
                  </w:r>
                </w:p>
              </w:tc>
              <w:tc>
                <w:tcPr>
                  <w:tcW w:w="2028" w:type="dxa"/>
                  <w:tcBorders>
                    <w:tl2br w:val="nil"/>
                    <w:tr2bl w:val="nil"/>
                  </w:tcBorders>
                  <w:noWrap w:val="0"/>
                  <w:vAlign w:val="center"/>
                </w:tcPr>
                <w:p w14:paraId="524A1D19">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年耗量</w:t>
                  </w:r>
                </w:p>
              </w:tc>
              <w:tc>
                <w:tcPr>
                  <w:tcW w:w="2050" w:type="dxa"/>
                  <w:tcBorders>
                    <w:tl2br w:val="nil"/>
                    <w:tr2bl w:val="nil"/>
                  </w:tcBorders>
                  <w:noWrap w:val="0"/>
                  <w:vAlign w:val="center"/>
                </w:tcPr>
                <w:p w14:paraId="36D3BE4B">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val="en-US" w:eastAsia="zh-CN"/>
                    </w:rPr>
                    <w:t>最大储存量</w:t>
                  </w:r>
                </w:p>
              </w:tc>
              <w:tc>
                <w:tcPr>
                  <w:tcW w:w="2196" w:type="dxa"/>
                  <w:tcBorders>
                    <w:tl2br w:val="nil"/>
                    <w:tr2bl w:val="nil"/>
                  </w:tcBorders>
                  <w:noWrap w:val="0"/>
                  <w:vAlign w:val="center"/>
                </w:tcPr>
                <w:p w14:paraId="34D7C6EB">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备注</w:t>
                  </w:r>
                </w:p>
              </w:tc>
            </w:tr>
            <w:tr w14:paraId="7A8F226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02" w:type="dxa"/>
                  <w:tcBorders>
                    <w:tl2br w:val="nil"/>
                    <w:tr2bl w:val="nil"/>
                  </w:tcBorders>
                  <w:noWrap w:val="0"/>
                  <w:vAlign w:val="center"/>
                </w:tcPr>
                <w:p w14:paraId="054D8AE2">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699" w:type="dxa"/>
                  <w:tcBorders>
                    <w:tl2br w:val="nil"/>
                    <w:tr2bl w:val="nil"/>
                  </w:tcBorders>
                  <w:noWrap w:val="0"/>
                  <w:vAlign w:val="center"/>
                </w:tcPr>
                <w:p w14:paraId="3B9B4EC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PVC树脂</w:t>
                  </w:r>
                </w:p>
              </w:tc>
              <w:tc>
                <w:tcPr>
                  <w:tcW w:w="2028" w:type="dxa"/>
                  <w:tcBorders>
                    <w:tl2br w:val="nil"/>
                    <w:tr2bl w:val="nil"/>
                  </w:tcBorders>
                  <w:noWrap w:val="0"/>
                  <w:vAlign w:val="center"/>
                </w:tcPr>
                <w:p w14:paraId="2A5ED80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330t/a </w:t>
                  </w:r>
                </w:p>
              </w:tc>
              <w:tc>
                <w:tcPr>
                  <w:tcW w:w="2050" w:type="dxa"/>
                  <w:tcBorders>
                    <w:tl2br w:val="nil"/>
                    <w:tr2bl w:val="nil"/>
                  </w:tcBorders>
                  <w:noWrap w:val="0"/>
                  <w:vAlign w:val="center"/>
                </w:tcPr>
                <w:p w14:paraId="75F6F37D">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12t</w:t>
                  </w:r>
                </w:p>
              </w:tc>
              <w:tc>
                <w:tcPr>
                  <w:tcW w:w="2196" w:type="dxa"/>
                  <w:tcBorders>
                    <w:tl2br w:val="nil"/>
                    <w:tr2bl w:val="nil"/>
                  </w:tcBorders>
                  <w:noWrap w:val="0"/>
                  <w:vAlign w:val="center"/>
                </w:tcPr>
                <w:p w14:paraId="0F8CBF25">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外购，颗粒状，袋装，25kg/袋</w:t>
                  </w:r>
                </w:p>
              </w:tc>
            </w:tr>
            <w:tr w14:paraId="6884729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tcBorders>
                    <w:tl2br w:val="nil"/>
                    <w:tr2bl w:val="nil"/>
                  </w:tcBorders>
                  <w:noWrap w:val="0"/>
                  <w:vAlign w:val="center"/>
                </w:tcPr>
                <w:p w14:paraId="0B01E333">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699" w:type="dxa"/>
                  <w:tcBorders>
                    <w:tl2br w:val="nil"/>
                    <w:tr2bl w:val="nil"/>
                  </w:tcBorders>
                  <w:noWrap w:val="0"/>
                  <w:vAlign w:val="center"/>
                </w:tcPr>
                <w:p w14:paraId="227F4817">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钙粉</w:t>
                  </w:r>
                </w:p>
              </w:tc>
              <w:tc>
                <w:tcPr>
                  <w:tcW w:w="2028" w:type="dxa"/>
                  <w:tcBorders>
                    <w:tl2br w:val="nil"/>
                    <w:tr2bl w:val="nil"/>
                  </w:tcBorders>
                  <w:noWrap w:val="0"/>
                  <w:vAlign w:val="center"/>
                </w:tcPr>
                <w:p w14:paraId="4F81746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818.0087t/a</w:t>
                  </w:r>
                </w:p>
              </w:tc>
              <w:tc>
                <w:tcPr>
                  <w:tcW w:w="2050" w:type="dxa"/>
                  <w:tcBorders>
                    <w:tl2br w:val="nil"/>
                    <w:tr2bl w:val="nil"/>
                  </w:tcBorders>
                  <w:noWrap w:val="0"/>
                  <w:vAlign w:val="center"/>
                </w:tcPr>
                <w:p w14:paraId="01004027">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30t</w:t>
                  </w:r>
                </w:p>
              </w:tc>
              <w:tc>
                <w:tcPr>
                  <w:tcW w:w="2196" w:type="dxa"/>
                  <w:tcBorders>
                    <w:tl2br w:val="nil"/>
                    <w:tr2bl w:val="nil"/>
                  </w:tcBorders>
                  <w:noWrap w:val="0"/>
                  <w:vAlign w:val="center"/>
                </w:tcPr>
                <w:p w14:paraId="2E2006E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外购，粉末状，袋装，25kg/袋</w:t>
                  </w:r>
                </w:p>
              </w:tc>
            </w:tr>
            <w:tr w14:paraId="635EEA5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tcBorders>
                    <w:tl2br w:val="nil"/>
                    <w:tr2bl w:val="nil"/>
                  </w:tcBorders>
                  <w:noWrap w:val="0"/>
                  <w:vAlign w:val="center"/>
                </w:tcPr>
                <w:p w14:paraId="6F629DCD">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699" w:type="dxa"/>
                  <w:tcBorders>
                    <w:tl2br w:val="nil"/>
                    <w:tr2bl w:val="nil"/>
                  </w:tcBorders>
                  <w:noWrap w:val="0"/>
                  <w:vAlign w:val="center"/>
                </w:tcPr>
                <w:p w14:paraId="1812229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木粉</w:t>
                  </w:r>
                </w:p>
              </w:tc>
              <w:tc>
                <w:tcPr>
                  <w:tcW w:w="2028" w:type="dxa"/>
                  <w:tcBorders>
                    <w:tl2br w:val="nil"/>
                    <w:tr2bl w:val="nil"/>
                  </w:tcBorders>
                  <w:noWrap w:val="0"/>
                  <w:vAlign w:val="center"/>
                </w:tcPr>
                <w:p w14:paraId="510A2E8D">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202.5</w:t>
                  </w:r>
                  <w:r>
                    <w:rPr>
                      <w:rFonts w:hint="default" w:ascii="Times New Roman" w:hAnsi="Times New Roman" w:eastAsia="宋体" w:cs="Times New Roman"/>
                      <w:color w:val="auto"/>
                      <w:sz w:val="21"/>
                      <w:szCs w:val="21"/>
                      <w:highlight w:val="none"/>
                      <w:lang w:val="en-US" w:eastAsia="zh-CN"/>
                    </w:rPr>
                    <w:t>t/a</w:t>
                  </w:r>
                </w:p>
              </w:tc>
              <w:tc>
                <w:tcPr>
                  <w:tcW w:w="2050" w:type="dxa"/>
                  <w:tcBorders>
                    <w:tl2br w:val="nil"/>
                    <w:tr2bl w:val="nil"/>
                  </w:tcBorders>
                  <w:noWrap w:val="0"/>
                  <w:vAlign w:val="center"/>
                </w:tcPr>
                <w:p w14:paraId="29A4F5C2">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15t</w:t>
                  </w:r>
                </w:p>
              </w:tc>
              <w:tc>
                <w:tcPr>
                  <w:tcW w:w="2196" w:type="dxa"/>
                  <w:tcBorders>
                    <w:tl2br w:val="nil"/>
                    <w:tr2bl w:val="nil"/>
                  </w:tcBorders>
                  <w:noWrap w:val="0"/>
                  <w:vAlign w:val="center"/>
                </w:tcPr>
                <w:p w14:paraId="601DD7CB">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外购，粉末状，袋装，25kg/袋</w:t>
                  </w:r>
                </w:p>
              </w:tc>
            </w:tr>
            <w:tr w14:paraId="2618B85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tcBorders>
                    <w:tl2br w:val="nil"/>
                    <w:tr2bl w:val="nil"/>
                  </w:tcBorders>
                  <w:noWrap w:val="0"/>
                  <w:vAlign w:val="center"/>
                </w:tcPr>
                <w:p w14:paraId="31B8744E">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699" w:type="dxa"/>
                  <w:tcBorders>
                    <w:tl2br w:val="nil"/>
                    <w:tr2bl w:val="nil"/>
                  </w:tcBorders>
                  <w:noWrap w:val="0"/>
                  <w:vAlign w:val="center"/>
                </w:tcPr>
                <w:p w14:paraId="43619735">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钛白粉</w:t>
                  </w:r>
                </w:p>
              </w:tc>
              <w:tc>
                <w:tcPr>
                  <w:tcW w:w="2028" w:type="dxa"/>
                  <w:tcBorders>
                    <w:tl2br w:val="nil"/>
                    <w:tr2bl w:val="nil"/>
                  </w:tcBorders>
                  <w:noWrap w:val="0"/>
                  <w:vAlign w:val="center"/>
                </w:tcPr>
                <w:p w14:paraId="2BFAD43D">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0.135</w:t>
                  </w:r>
                  <w:r>
                    <w:rPr>
                      <w:rFonts w:hint="default" w:ascii="Times New Roman" w:hAnsi="Times New Roman" w:eastAsia="宋体" w:cs="Times New Roman"/>
                      <w:color w:val="auto"/>
                      <w:sz w:val="21"/>
                      <w:szCs w:val="21"/>
                      <w:highlight w:val="none"/>
                      <w:lang w:val="en-US" w:eastAsia="zh-CN"/>
                    </w:rPr>
                    <w:t>t/a</w:t>
                  </w:r>
                </w:p>
              </w:tc>
              <w:tc>
                <w:tcPr>
                  <w:tcW w:w="2050" w:type="dxa"/>
                  <w:tcBorders>
                    <w:tl2br w:val="nil"/>
                    <w:tr2bl w:val="nil"/>
                  </w:tcBorders>
                  <w:noWrap w:val="0"/>
                  <w:vAlign w:val="center"/>
                </w:tcPr>
                <w:p w14:paraId="6247EF7D">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0.02t</w:t>
                  </w:r>
                </w:p>
              </w:tc>
              <w:tc>
                <w:tcPr>
                  <w:tcW w:w="2196" w:type="dxa"/>
                  <w:tcBorders>
                    <w:tl2br w:val="nil"/>
                    <w:tr2bl w:val="nil"/>
                  </w:tcBorders>
                  <w:noWrap w:val="0"/>
                  <w:vAlign w:val="center"/>
                </w:tcPr>
                <w:p w14:paraId="158EAFA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外购，粉末状，袋装，25kg/袋</w:t>
                  </w:r>
                </w:p>
              </w:tc>
            </w:tr>
            <w:tr w14:paraId="0AF9735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tcBorders>
                    <w:tl2br w:val="nil"/>
                    <w:tr2bl w:val="nil"/>
                  </w:tcBorders>
                  <w:noWrap w:val="0"/>
                  <w:vAlign w:val="center"/>
                </w:tcPr>
                <w:p w14:paraId="67B5C8A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699" w:type="dxa"/>
                  <w:tcBorders>
                    <w:tl2br w:val="nil"/>
                    <w:tr2bl w:val="nil"/>
                  </w:tcBorders>
                  <w:noWrap w:val="0"/>
                  <w:vAlign w:val="center"/>
                </w:tcPr>
                <w:p w14:paraId="0866F4D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PE腊</w:t>
                  </w:r>
                </w:p>
              </w:tc>
              <w:tc>
                <w:tcPr>
                  <w:tcW w:w="2028" w:type="dxa"/>
                  <w:tcBorders>
                    <w:tl2br w:val="nil"/>
                    <w:tr2bl w:val="nil"/>
                  </w:tcBorders>
                  <w:noWrap w:val="0"/>
                  <w:vAlign w:val="center"/>
                </w:tcPr>
                <w:p w14:paraId="28A9BF3A">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2.7</w:t>
                  </w:r>
                  <w:r>
                    <w:rPr>
                      <w:rFonts w:hint="default" w:ascii="Times New Roman" w:hAnsi="Times New Roman" w:eastAsia="宋体" w:cs="Times New Roman"/>
                      <w:color w:val="auto"/>
                      <w:sz w:val="21"/>
                      <w:szCs w:val="21"/>
                      <w:highlight w:val="none"/>
                      <w:lang w:val="en-US" w:eastAsia="zh-CN"/>
                    </w:rPr>
                    <w:t>t/a</w:t>
                  </w:r>
                </w:p>
              </w:tc>
              <w:tc>
                <w:tcPr>
                  <w:tcW w:w="2050" w:type="dxa"/>
                  <w:tcBorders>
                    <w:tl2br w:val="nil"/>
                    <w:tr2bl w:val="nil"/>
                  </w:tcBorders>
                  <w:noWrap w:val="0"/>
                  <w:vAlign w:val="center"/>
                </w:tcPr>
                <w:p w14:paraId="713F19CD">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0.2t</w:t>
                  </w:r>
                </w:p>
              </w:tc>
              <w:tc>
                <w:tcPr>
                  <w:tcW w:w="2196" w:type="dxa"/>
                  <w:tcBorders>
                    <w:tl2br w:val="nil"/>
                    <w:tr2bl w:val="nil"/>
                  </w:tcBorders>
                  <w:noWrap w:val="0"/>
                  <w:vAlign w:val="center"/>
                </w:tcPr>
                <w:p w14:paraId="7746842D">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外购，颗粒状，袋装，25kg/袋</w:t>
                  </w:r>
                </w:p>
              </w:tc>
            </w:tr>
            <w:tr w14:paraId="5C972D7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tcBorders>
                    <w:tl2br w:val="nil"/>
                    <w:tr2bl w:val="nil"/>
                  </w:tcBorders>
                  <w:noWrap w:val="0"/>
                  <w:vAlign w:val="center"/>
                </w:tcPr>
                <w:p w14:paraId="5274367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1699" w:type="dxa"/>
                  <w:tcBorders>
                    <w:tl2br w:val="nil"/>
                    <w:tr2bl w:val="nil"/>
                  </w:tcBorders>
                  <w:noWrap w:val="0"/>
                  <w:vAlign w:val="center"/>
                </w:tcPr>
                <w:p w14:paraId="349D878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硬酸酯</w:t>
                  </w:r>
                </w:p>
              </w:tc>
              <w:tc>
                <w:tcPr>
                  <w:tcW w:w="2028" w:type="dxa"/>
                  <w:tcBorders>
                    <w:tl2br w:val="nil"/>
                    <w:tr2bl w:val="nil"/>
                  </w:tcBorders>
                  <w:noWrap w:val="0"/>
                  <w:vAlign w:val="center"/>
                </w:tcPr>
                <w:p w14:paraId="0BFE77DF">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2.7</w:t>
                  </w:r>
                  <w:r>
                    <w:rPr>
                      <w:rFonts w:hint="default" w:ascii="Times New Roman" w:hAnsi="Times New Roman" w:eastAsia="宋体" w:cs="Times New Roman"/>
                      <w:color w:val="auto"/>
                      <w:sz w:val="21"/>
                      <w:szCs w:val="21"/>
                      <w:highlight w:val="none"/>
                      <w:lang w:val="en-US" w:eastAsia="zh-CN"/>
                    </w:rPr>
                    <w:t>t/a</w:t>
                  </w:r>
                </w:p>
              </w:tc>
              <w:tc>
                <w:tcPr>
                  <w:tcW w:w="2050" w:type="dxa"/>
                  <w:tcBorders>
                    <w:tl2br w:val="nil"/>
                    <w:tr2bl w:val="nil"/>
                  </w:tcBorders>
                  <w:noWrap w:val="0"/>
                  <w:vAlign w:val="center"/>
                </w:tcPr>
                <w:p w14:paraId="3DDFFBC4">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0.2t</w:t>
                  </w:r>
                </w:p>
              </w:tc>
              <w:tc>
                <w:tcPr>
                  <w:tcW w:w="2196" w:type="dxa"/>
                  <w:tcBorders>
                    <w:tl2br w:val="nil"/>
                    <w:tr2bl w:val="nil"/>
                  </w:tcBorders>
                  <w:noWrap w:val="0"/>
                  <w:vAlign w:val="center"/>
                </w:tcPr>
                <w:p w14:paraId="53E58C16">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外购，粉末状，袋装，25kg/袋</w:t>
                  </w:r>
                </w:p>
              </w:tc>
            </w:tr>
            <w:tr w14:paraId="5EA15F0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tcBorders>
                    <w:tl2br w:val="nil"/>
                    <w:tr2bl w:val="nil"/>
                  </w:tcBorders>
                  <w:noWrap w:val="0"/>
                  <w:vAlign w:val="center"/>
                </w:tcPr>
                <w:p w14:paraId="24C6137B">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1699" w:type="dxa"/>
                  <w:tcBorders>
                    <w:tl2br w:val="nil"/>
                    <w:tr2bl w:val="nil"/>
                  </w:tcBorders>
                  <w:noWrap w:val="0"/>
                  <w:vAlign w:val="center"/>
                </w:tcPr>
                <w:p w14:paraId="399364B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稳定剂</w:t>
                  </w:r>
                </w:p>
              </w:tc>
              <w:tc>
                <w:tcPr>
                  <w:tcW w:w="2028" w:type="dxa"/>
                  <w:tcBorders>
                    <w:tl2br w:val="nil"/>
                    <w:tr2bl w:val="nil"/>
                  </w:tcBorders>
                  <w:noWrap w:val="0"/>
                  <w:vAlign w:val="center"/>
                </w:tcPr>
                <w:p w14:paraId="662F070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5.4</w:t>
                  </w:r>
                  <w:r>
                    <w:rPr>
                      <w:rFonts w:hint="default" w:ascii="Times New Roman" w:hAnsi="Times New Roman" w:eastAsia="宋体" w:cs="Times New Roman"/>
                      <w:color w:val="auto"/>
                      <w:sz w:val="21"/>
                      <w:szCs w:val="21"/>
                      <w:highlight w:val="none"/>
                      <w:lang w:val="en-US" w:eastAsia="zh-CN"/>
                    </w:rPr>
                    <w:t>t/a</w:t>
                  </w:r>
                </w:p>
              </w:tc>
              <w:tc>
                <w:tcPr>
                  <w:tcW w:w="2050" w:type="dxa"/>
                  <w:tcBorders>
                    <w:tl2br w:val="nil"/>
                    <w:tr2bl w:val="nil"/>
                  </w:tcBorders>
                  <w:noWrap w:val="0"/>
                  <w:vAlign w:val="center"/>
                </w:tcPr>
                <w:p w14:paraId="647FE79D">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0.5t</w:t>
                  </w:r>
                </w:p>
              </w:tc>
              <w:tc>
                <w:tcPr>
                  <w:tcW w:w="2196" w:type="dxa"/>
                  <w:tcBorders>
                    <w:tl2br w:val="nil"/>
                    <w:tr2bl w:val="nil"/>
                  </w:tcBorders>
                  <w:noWrap w:val="0"/>
                  <w:vAlign w:val="center"/>
                </w:tcPr>
                <w:p w14:paraId="4C135DCB">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外购，粉末状，袋装，25kg/袋</w:t>
                  </w:r>
                </w:p>
              </w:tc>
            </w:tr>
            <w:tr w14:paraId="6033C60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tcBorders>
                    <w:tl2br w:val="nil"/>
                    <w:tr2bl w:val="nil"/>
                  </w:tcBorders>
                  <w:noWrap w:val="0"/>
                  <w:vAlign w:val="center"/>
                </w:tcPr>
                <w:p w14:paraId="4F2A4935">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699" w:type="dxa"/>
                  <w:tcBorders>
                    <w:tl2br w:val="nil"/>
                    <w:tr2bl w:val="nil"/>
                  </w:tcBorders>
                  <w:noWrap w:val="0"/>
                  <w:vAlign w:val="center"/>
                </w:tcPr>
                <w:p w14:paraId="6AE83A02">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包覆胶</w:t>
                  </w:r>
                </w:p>
              </w:tc>
              <w:tc>
                <w:tcPr>
                  <w:tcW w:w="2028" w:type="dxa"/>
                  <w:tcBorders>
                    <w:tl2br w:val="nil"/>
                    <w:tr2bl w:val="nil"/>
                  </w:tcBorders>
                  <w:noWrap w:val="0"/>
                  <w:vAlign w:val="center"/>
                </w:tcPr>
                <w:p w14:paraId="27E54792">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t/a</w:t>
                  </w:r>
                </w:p>
              </w:tc>
              <w:tc>
                <w:tcPr>
                  <w:tcW w:w="2050" w:type="dxa"/>
                  <w:tcBorders>
                    <w:tl2br w:val="nil"/>
                    <w:tr2bl w:val="nil"/>
                  </w:tcBorders>
                  <w:noWrap w:val="0"/>
                  <w:vAlign w:val="center"/>
                </w:tcPr>
                <w:p w14:paraId="45A09673">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0.5t</w:t>
                  </w:r>
                </w:p>
              </w:tc>
              <w:tc>
                <w:tcPr>
                  <w:tcW w:w="2196" w:type="dxa"/>
                  <w:tcBorders>
                    <w:tl2br w:val="nil"/>
                    <w:tr2bl w:val="nil"/>
                  </w:tcBorders>
                  <w:noWrap w:val="0"/>
                  <w:vAlign w:val="center"/>
                </w:tcPr>
                <w:p w14:paraId="7D587E22">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外购，液态，桶装，25kg/桶</w:t>
                  </w:r>
                </w:p>
              </w:tc>
            </w:tr>
            <w:tr w14:paraId="0BE0CC4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tcBorders>
                    <w:tl2br w:val="nil"/>
                    <w:tr2bl w:val="nil"/>
                  </w:tcBorders>
                  <w:noWrap w:val="0"/>
                  <w:vAlign w:val="center"/>
                </w:tcPr>
                <w:p w14:paraId="39FB9EA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w:t>
                  </w:r>
                </w:p>
              </w:tc>
              <w:tc>
                <w:tcPr>
                  <w:tcW w:w="1699" w:type="dxa"/>
                  <w:tcBorders>
                    <w:tl2br w:val="nil"/>
                    <w:tr2bl w:val="nil"/>
                  </w:tcBorders>
                  <w:noWrap w:val="0"/>
                  <w:vAlign w:val="center"/>
                </w:tcPr>
                <w:p w14:paraId="27ACFE62">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PVC膜</w:t>
                  </w:r>
                </w:p>
              </w:tc>
              <w:tc>
                <w:tcPr>
                  <w:tcW w:w="2028" w:type="dxa"/>
                  <w:tcBorders>
                    <w:tl2br w:val="nil"/>
                    <w:tr2bl w:val="nil"/>
                  </w:tcBorders>
                  <w:noWrap w:val="0"/>
                  <w:vAlign w:val="center"/>
                </w:tcPr>
                <w:p w14:paraId="3A5BEF5E">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30</w:t>
                  </w:r>
                  <w:r>
                    <w:rPr>
                      <w:rFonts w:hint="eastAsia" w:cs="Times New Roman"/>
                      <w:color w:val="auto"/>
                      <w:sz w:val="21"/>
                      <w:szCs w:val="21"/>
                      <w:highlight w:val="none"/>
                      <w:lang w:eastAsia="zh-CN"/>
                    </w:rPr>
                    <w:t>万</w:t>
                  </w:r>
                  <w:r>
                    <w:rPr>
                      <w:rFonts w:hint="eastAsia" w:cs="Times New Roman"/>
                      <w:color w:val="auto"/>
                      <w:sz w:val="21"/>
                      <w:szCs w:val="21"/>
                      <w:highlight w:val="none"/>
                      <w:lang w:val="en-US" w:eastAsia="zh-CN"/>
                    </w:rPr>
                    <w:t>m</w:t>
                  </w:r>
                  <w:r>
                    <w:rPr>
                      <w:rFonts w:hint="eastAsia"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/a</w:t>
                  </w:r>
                </w:p>
              </w:tc>
              <w:tc>
                <w:tcPr>
                  <w:tcW w:w="2050" w:type="dxa"/>
                  <w:tcBorders>
                    <w:tl2br w:val="nil"/>
                    <w:tr2bl w:val="nil"/>
                  </w:tcBorders>
                  <w:noWrap w:val="0"/>
                  <w:vAlign w:val="center"/>
                </w:tcPr>
                <w:p w14:paraId="1F48EAB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r>
                    <w:rPr>
                      <w:rFonts w:hint="eastAsia" w:cs="Times New Roman"/>
                      <w:color w:val="auto"/>
                      <w:sz w:val="21"/>
                      <w:szCs w:val="21"/>
                      <w:highlight w:val="none"/>
                      <w:lang w:eastAsia="zh-CN"/>
                    </w:rPr>
                    <w:t>万</w:t>
                  </w:r>
                  <w:r>
                    <w:rPr>
                      <w:rFonts w:hint="eastAsia" w:cs="Times New Roman"/>
                      <w:color w:val="auto"/>
                      <w:sz w:val="21"/>
                      <w:szCs w:val="21"/>
                      <w:highlight w:val="none"/>
                      <w:lang w:val="en-US" w:eastAsia="zh-CN"/>
                    </w:rPr>
                    <w:t>m</w:t>
                  </w:r>
                  <w:r>
                    <w:rPr>
                      <w:rFonts w:hint="eastAsia"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/a</w:t>
                  </w:r>
                </w:p>
              </w:tc>
              <w:tc>
                <w:tcPr>
                  <w:tcW w:w="2196" w:type="dxa"/>
                  <w:tcBorders>
                    <w:tl2br w:val="nil"/>
                    <w:tr2bl w:val="nil"/>
                  </w:tcBorders>
                  <w:noWrap w:val="0"/>
                  <w:vAlign w:val="center"/>
                </w:tcPr>
                <w:p w14:paraId="20099B83">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外购，卷装</w:t>
                  </w:r>
                </w:p>
              </w:tc>
            </w:tr>
            <w:tr w14:paraId="37FE777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02" w:type="dxa"/>
                  <w:vMerge w:val="restart"/>
                  <w:tcBorders>
                    <w:tl2br w:val="nil"/>
                    <w:tr2bl w:val="nil"/>
                  </w:tcBorders>
                  <w:noWrap w:val="0"/>
                  <w:vAlign w:val="center"/>
                </w:tcPr>
                <w:p w14:paraId="6F6ED875">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1699" w:type="dxa"/>
                  <w:tcBorders>
                    <w:tl2br w:val="nil"/>
                    <w:tr2bl w:val="nil"/>
                  </w:tcBorders>
                  <w:noWrap w:val="0"/>
                  <w:vAlign w:val="center"/>
                </w:tcPr>
                <w:p w14:paraId="16CA2C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生产</w:t>
                  </w:r>
                  <w:r>
                    <w:rPr>
                      <w:rFonts w:hint="default" w:ascii="Times New Roman" w:hAnsi="Times New Roman" w:eastAsia="宋体" w:cs="Times New Roman"/>
                      <w:color w:val="auto"/>
                      <w:sz w:val="21"/>
                      <w:szCs w:val="21"/>
                      <w:highlight w:val="none"/>
                    </w:rPr>
                    <w:t>新鲜水</w:t>
                  </w:r>
                </w:p>
              </w:tc>
              <w:tc>
                <w:tcPr>
                  <w:tcW w:w="2028" w:type="dxa"/>
                  <w:tcBorders>
                    <w:tl2br w:val="nil"/>
                    <w:tr2bl w:val="nil"/>
                  </w:tcBorders>
                  <w:noWrap w:val="0"/>
                  <w:vAlign w:val="center"/>
                </w:tcPr>
                <w:p w14:paraId="2470265F">
                  <w:pPr>
                    <w:jc w:val="center"/>
                    <w:rPr>
                      <w:rFonts w:hint="default" w:ascii="Times New Roman" w:hAnsi="Times New Roman" w:eastAsia="宋体" w:cs="Times New Roman"/>
                      <w:color w:val="auto"/>
                      <w:sz w:val="21"/>
                      <w:szCs w:val="21"/>
                      <w:highlight w:val="none"/>
                      <w:lang w:eastAsia="zh-CN"/>
                    </w:rPr>
                  </w:pPr>
                  <w:r>
                    <w:rPr>
                      <w:rFonts w:hint="eastAsia" w:cs="Times New Roman"/>
                      <w:i w:val="0"/>
                      <w:iCs w:val="0"/>
                      <w:color w:val="auto"/>
                      <w:kern w:val="0"/>
                      <w:sz w:val="21"/>
                      <w:szCs w:val="21"/>
                      <w:highlight w:val="none"/>
                      <w:u w:val="none"/>
                      <w:lang w:val="en-US" w:eastAsia="zh-CN" w:bidi="ar"/>
                    </w:rPr>
                    <w:t>640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vertAlign w:val="baseline"/>
                      <w:lang w:val="en-US" w:eastAsia="zh-CN"/>
                    </w:rPr>
                    <w:t>/a</w:t>
                  </w:r>
                </w:p>
              </w:tc>
              <w:tc>
                <w:tcPr>
                  <w:tcW w:w="2050" w:type="dxa"/>
                  <w:vMerge w:val="restart"/>
                  <w:tcBorders>
                    <w:tl2br w:val="nil"/>
                    <w:tr2bl w:val="nil"/>
                  </w:tcBorders>
                  <w:noWrap w:val="0"/>
                  <w:vAlign w:val="center"/>
                </w:tcPr>
                <w:p w14:paraId="033D913D">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2196" w:type="dxa"/>
                  <w:vMerge w:val="restart"/>
                  <w:tcBorders>
                    <w:tl2br w:val="nil"/>
                    <w:tr2bl w:val="nil"/>
                  </w:tcBorders>
                  <w:noWrap w:val="0"/>
                  <w:vAlign w:val="center"/>
                </w:tcPr>
                <w:p w14:paraId="4969D4A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市政管网</w:t>
                  </w:r>
                </w:p>
              </w:tc>
            </w:tr>
            <w:tr w14:paraId="0FFDAEA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02" w:type="dxa"/>
                  <w:vMerge w:val="continue"/>
                  <w:tcBorders>
                    <w:tl2br w:val="nil"/>
                    <w:tr2bl w:val="nil"/>
                  </w:tcBorders>
                  <w:noWrap w:val="0"/>
                  <w:vAlign w:val="center"/>
                </w:tcPr>
                <w:p w14:paraId="17A6115E">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pPr>
                </w:p>
              </w:tc>
              <w:tc>
                <w:tcPr>
                  <w:tcW w:w="1699" w:type="dxa"/>
                  <w:tcBorders>
                    <w:tl2br w:val="nil"/>
                    <w:tr2bl w:val="nil"/>
                  </w:tcBorders>
                  <w:noWrap w:val="0"/>
                  <w:vAlign w:val="center"/>
                </w:tcPr>
                <w:p w14:paraId="67EBBB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生活新鲜水</w:t>
                  </w:r>
                </w:p>
              </w:tc>
              <w:tc>
                <w:tcPr>
                  <w:tcW w:w="2028" w:type="dxa"/>
                  <w:tcBorders>
                    <w:tl2br w:val="nil"/>
                    <w:tr2bl w:val="nil"/>
                  </w:tcBorders>
                  <w:noWrap w:val="0"/>
                  <w:vAlign w:val="center"/>
                </w:tcPr>
                <w:p w14:paraId="74763F4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600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vertAlign w:val="baseline"/>
                      <w:lang w:val="en-US" w:eastAsia="zh-CN"/>
                    </w:rPr>
                    <w:t>/a</w:t>
                  </w:r>
                </w:p>
              </w:tc>
              <w:tc>
                <w:tcPr>
                  <w:tcW w:w="2050" w:type="dxa"/>
                  <w:vMerge w:val="continue"/>
                  <w:tcBorders>
                    <w:tl2br w:val="nil"/>
                    <w:tr2bl w:val="nil"/>
                  </w:tcBorders>
                  <w:noWrap w:val="0"/>
                  <w:vAlign w:val="center"/>
                </w:tcPr>
                <w:p w14:paraId="7A6321D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p>
              </w:tc>
              <w:tc>
                <w:tcPr>
                  <w:tcW w:w="2196" w:type="dxa"/>
                  <w:vMerge w:val="continue"/>
                  <w:tcBorders>
                    <w:tl2br w:val="nil"/>
                    <w:tr2bl w:val="nil"/>
                  </w:tcBorders>
                  <w:noWrap w:val="0"/>
                  <w:vAlign w:val="center"/>
                </w:tcPr>
                <w:p w14:paraId="1C60F2E4">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p>
              </w:tc>
            </w:tr>
            <w:tr w14:paraId="3C37433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tcBorders>
                    <w:tl2br w:val="nil"/>
                    <w:tr2bl w:val="nil"/>
                  </w:tcBorders>
                  <w:noWrap w:val="0"/>
                  <w:vAlign w:val="center"/>
                </w:tcPr>
                <w:p w14:paraId="4A121CBD">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w:t>
                  </w:r>
                </w:p>
              </w:tc>
              <w:tc>
                <w:tcPr>
                  <w:tcW w:w="1699" w:type="dxa"/>
                  <w:tcBorders>
                    <w:tl2br w:val="nil"/>
                    <w:tr2bl w:val="nil"/>
                  </w:tcBorders>
                  <w:noWrap w:val="0"/>
                  <w:vAlign w:val="center"/>
                </w:tcPr>
                <w:p w14:paraId="5F8E142B">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电</w:t>
                  </w:r>
                </w:p>
              </w:tc>
              <w:tc>
                <w:tcPr>
                  <w:tcW w:w="2028" w:type="dxa"/>
                  <w:tcBorders>
                    <w:tl2br w:val="nil"/>
                    <w:tr2bl w:val="nil"/>
                  </w:tcBorders>
                  <w:noWrap w:val="0"/>
                  <w:vAlign w:val="center"/>
                </w:tcPr>
                <w:p w14:paraId="0C598BC9">
                  <w:pPr>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150</w:t>
                  </w:r>
                  <w:r>
                    <w:rPr>
                      <w:rFonts w:hint="default" w:ascii="Times New Roman" w:hAnsi="Times New Roman" w:eastAsia="宋体" w:cs="Times New Roman"/>
                      <w:color w:val="auto"/>
                      <w:sz w:val="21"/>
                      <w:szCs w:val="21"/>
                      <w:highlight w:val="none"/>
                    </w:rPr>
                    <w:t>×10</w:t>
                  </w:r>
                  <w:r>
                    <w:rPr>
                      <w:rFonts w:hint="default" w:ascii="Times New Roman" w:hAnsi="Times New Roman" w:eastAsia="宋体" w:cs="Times New Roman"/>
                      <w:color w:val="auto"/>
                      <w:sz w:val="21"/>
                      <w:szCs w:val="21"/>
                      <w:highlight w:val="none"/>
                      <w:vertAlign w:val="superscript"/>
                    </w:rPr>
                    <w:t>4</w:t>
                  </w:r>
                  <w:r>
                    <w:rPr>
                      <w:rFonts w:hint="default" w:ascii="Times New Roman" w:hAnsi="Times New Roman" w:eastAsia="宋体" w:cs="Times New Roman"/>
                      <w:color w:val="auto"/>
                      <w:sz w:val="21"/>
                      <w:szCs w:val="21"/>
                      <w:highlight w:val="none"/>
                    </w:rPr>
                    <w:t>kW·h</w:t>
                  </w:r>
                </w:p>
              </w:tc>
              <w:tc>
                <w:tcPr>
                  <w:tcW w:w="2050" w:type="dxa"/>
                  <w:tcBorders>
                    <w:tl2br w:val="nil"/>
                    <w:tr2bl w:val="nil"/>
                  </w:tcBorders>
                  <w:noWrap w:val="0"/>
                  <w:vAlign w:val="center"/>
                </w:tcPr>
                <w:p w14:paraId="1D515B45">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2196" w:type="dxa"/>
                  <w:tcBorders>
                    <w:tl2br w:val="nil"/>
                    <w:tr2bl w:val="nil"/>
                  </w:tcBorders>
                  <w:noWrap w:val="0"/>
                  <w:vAlign w:val="center"/>
                </w:tcPr>
                <w:p w14:paraId="2B2241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市政电网接入</w:t>
                  </w:r>
                </w:p>
              </w:tc>
            </w:tr>
            <w:tr w14:paraId="39FE06A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2" w:type="dxa"/>
                  <w:tcBorders>
                    <w:tl2br w:val="nil"/>
                    <w:tr2bl w:val="nil"/>
                  </w:tcBorders>
                  <w:noWrap w:val="0"/>
                  <w:vAlign w:val="center"/>
                </w:tcPr>
                <w:p w14:paraId="5CB2DF5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1699" w:type="dxa"/>
                  <w:tcBorders>
                    <w:tl2br w:val="nil"/>
                    <w:tr2bl w:val="nil"/>
                  </w:tcBorders>
                  <w:noWrap w:val="0"/>
                  <w:vAlign w:val="center"/>
                </w:tcPr>
                <w:p w14:paraId="3B717855">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活性炭</w:t>
                  </w:r>
                </w:p>
              </w:tc>
              <w:tc>
                <w:tcPr>
                  <w:tcW w:w="2028" w:type="dxa"/>
                  <w:tcBorders>
                    <w:tl2br w:val="nil"/>
                    <w:tr2bl w:val="nil"/>
                  </w:tcBorders>
                  <w:noWrap w:val="0"/>
                  <w:vAlign w:val="center"/>
                </w:tcPr>
                <w:p w14:paraId="54FA6666">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6.3386t/a</w:t>
                  </w:r>
                </w:p>
              </w:tc>
              <w:tc>
                <w:tcPr>
                  <w:tcW w:w="2050" w:type="dxa"/>
                  <w:tcBorders>
                    <w:tl2br w:val="nil"/>
                    <w:tr2bl w:val="nil"/>
                  </w:tcBorders>
                  <w:noWrap w:val="0"/>
                  <w:vAlign w:val="center"/>
                </w:tcPr>
                <w:p w14:paraId="476BDA8E">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t/a</w:t>
                  </w:r>
                </w:p>
              </w:tc>
              <w:tc>
                <w:tcPr>
                  <w:tcW w:w="2196" w:type="dxa"/>
                  <w:tcBorders>
                    <w:tl2br w:val="nil"/>
                    <w:tr2bl w:val="nil"/>
                  </w:tcBorders>
                  <w:noWrap w:val="0"/>
                  <w:vAlign w:val="center"/>
                </w:tcPr>
                <w:p w14:paraId="300643BF">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外购</w:t>
                  </w:r>
                </w:p>
              </w:tc>
            </w:tr>
          </w:tbl>
          <w:p w14:paraId="05C1B44B">
            <w:pPr>
              <w:pStyle w:val="77"/>
              <w:keepNext w:val="0"/>
              <w:keepLines w:val="0"/>
              <w:pageBreakBefore w:val="0"/>
              <w:widowControl w:val="0"/>
              <w:shd w:val="clear"/>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eastAsia="zh-CN"/>
              </w:rPr>
              <w:t>（</w:t>
            </w:r>
            <w:r>
              <w:rPr>
                <w:rFonts w:hint="default" w:ascii="Times New Roman" w:hAnsi="Times New Roman" w:eastAsia="宋体" w:cs="Times New Roman"/>
                <w:b/>
                <w:color w:val="auto"/>
                <w:sz w:val="24"/>
                <w:highlight w:val="none"/>
                <w:lang w:val="en-US" w:eastAsia="zh-CN"/>
              </w:rPr>
              <w:t>2</w:t>
            </w:r>
            <w:r>
              <w:rPr>
                <w:rFonts w:hint="default" w:ascii="Times New Roman" w:hAnsi="Times New Roman" w:eastAsia="宋体" w:cs="Times New Roman"/>
                <w:b/>
                <w:color w:val="auto"/>
                <w:sz w:val="24"/>
                <w:highlight w:val="none"/>
                <w:lang w:eastAsia="zh-CN"/>
              </w:rPr>
              <w:t>）</w:t>
            </w:r>
            <w:r>
              <w:rPr>
                <w:rFonts w:hint="default" w:ascii="Times New Roman" w:hAnsi="Times New Roman" w:eastAsia="宋体" w:cs="Times New Roman"/>
                <w:b/>
                <w:color w:val="auto"/>
                <w:sz w:val="24"/>
                <w:highlight w:val="none"/>
              </w:rPr>
              <w:t>原辅料</w:t>
            </w:r>
            <w:r>
              <w:rPr>
                <w:rFonts w:hint="default" w:ascii="Times New Roman" w:hAnsi="Times New Roman" w:eastAsia="宋体" w:cs="Times New Roman"/>
                <w:b/>
                <w:color w:val="auto"/>
                <w:sz w:val="24"/>
                <w:highlight w:val="none"/>
                <w:lang w:val="en-US" w:eastAsia="zh-CN"/>
              </w:rPr>
              <w:t>理化</w:t>
            </w:r>
            <w:r>
              <w:rPr>
                <w:rFonts w:hint="default" w:ascii="Times New Roman" w:hAnsi="Times New Roman" w:eastAsia="宋体" w:cs="Times New Roman"/>
                <w:b/>
                <w:color w:val="auto"/>
                <w:sz w:val="24"/>
                <w:highlight w:val="none"/>
              </w:rPr>
              <w:t>性质</w:t>
            </w:r>
          </w:p>
          <w:p w14:paraId="0315BF4A">
            <w:pPr>
              <w:adjustRightInd w:val="0"/>
              <w:snapToGrid w:val="0"/>
              <w:spacing w:line="360" w:lineRule="auto"/>
              <w:ind w:firstLine="482" w:firstLineChars="200"/>
              <w:jc w:val="left"/>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pacing w:val="0"/>
                <w:w w:val="100"/>
                <w:kern w:val="2"/>
                <w:position w:val="0"/>
                <w:sz w:val="24"/>
                <w:szCs w:val="24"/>
                <w:highlight w:val="none"/>
                <w:lang w:val="en-US" w:eastAsia="zh-CN" w:bidi="ar-SA"/>
              </w:rPr>
              <w:t>①</w:t>
            </w:r>
            <w:r>
              <w:rPr>
                <w:rFonts w:hint="default" w:ascii="Times New Roman" w:hAnsi="Times New Roman" w:eastAsia="宋体" w:cs="Times New Roman"/>
                <w:b/>
                <w:bCs/>
                <w:color w:val="auto"/>
                <w:sz w:val="24"/>
                <w:lang w:val="en-US" w:eastAsia="zh-CN"/>
              </w:rPr>
              <w:t>PVC</w:t>
            </w:r>
            <w:r>
              <w:rPr>
                <w:rFonts w:hint="eastAsia" w:ascii="Times New Roman" w:hAnsi="Times New Roman" w:eastAsia="宋体" w:cs="Times New Roman"/>
                <w:b/>
                <w:bCs/>
                <w:color w:val="auto"/>
                <w:sz w:val="24"/>
                <w:lang w:val="en-US" w:eastAsia="zh-CN"/>
              </w:rPr>
              <w:t>树脂（聚氯乙烯）</w:t>
            </w:r>
          </w:p>
          <w:p w14:paraId="23B76680">
            <w:pPr>
              <w:adjustRightInd w:val="0"/>
              <w:snapToGrid w:val="0"/>
              <w:spacing w:line="360" w:lineRule="auto"/>
              <w:ind w:firstLine="480" w:firstLineChars="200"/>
              <w:jc w:val="left"/>
              <w:rPr>
                <w:rFonts w:hint="default" w:ascii="Times New Roman" w:hAnsi="Times New Roman" w:eastAsia="宋体" w:cs="Times New Roman"/>
                <w:color w:val="auto"/>
                <w:sz w:val="24"/>
                <w:lang w:val="en-US"/>
              </w:rPr>
            </w:pPr>
            <w:r>
              <w:rPr>
                <w:rFonts w:hint="eastAsia" w:ascii="Times New Roman" w:hAnsi="Times New Roman" w:eastAsia="宋体" w:cs="Times New Roman"/>
                <w:color w:val="auto"/>
                <w:sz w:val="24"/>
                <w:lang w:val="en-US" w:eastAsia="zh-CN"/>
              </w:rPr>
              <w:t>聚氯乙烯性质稳定；不易被酸、碱腐蚀；对热比较耐受。聚氯乙烯具有阻燃（阻燃值为</w:t>
            </w:r>
            <w:r>
              <w:rPr>
                <w:rFonts w:hint="default" w:ascii="Times New Roman" w:hAnsi="Times New Roman" w:eastAsia="宋体" w:cs="Times New Roman"/>
                <w:color w:val="auto"/>
                <w:sz w:val="24"/>
                <w:lang w:val="en-US" w:eastAsia="zh-CN"/>
              </w:rPr>
              <w:t>40</w:t>
            </w:r>
            <w:r>
              <w:rPr>
                <w:rFonts w:hint="eastAsia" w:ascii="Times New Roman" w:hAnsi="Times New Roman" w:eastAsia="宋体" w:cs="Times New Roman"/>
                <w:color w:val="auto"/>
                <w:sz w:val="24"/>
                <w:lang w:val="en-US" w:eastAsia="zh-CN"/>
              </w:rPr>
              <w:t xml:space="preserve">以上）、耐化学药品性高（耐浓盐酸、浓度为 </w:t>
            </w:r>
            <w:r>
              <w:rPr>
                <w:rFonts w:hint="default" w:ascii="Times New Roman" w:hAnsi="Times New Roman" w:eastAsia="宋体" w:cs="Times New Roman"/>
                <w:color w:val="auto"/>
                <w:sz w:val="24"/>
                <w:lang w:val="en-US" w:eastAsia="zh-CN"/>
              </w:rPr>
              <w:t>90%</w:t>
            </w:r>
            <w:r>
              <w:rPr>
                <w:rFonts w:hint="eastAsia" w:ascii="Times New Roman" w:hAnsi="Times New Roman" w:eastAsia="宋体" w:cs="Times New Roman"/>
                <w:color w:val="auto"/>
                <w:sz w:val="24"/>
                <w:lang w:val="en-US" w:eastAsia="zh-CN"/>
              </w:rPr>
              <w:t xml:space="preserve">的硫酸、浓度为 </w:t>
            </w:r>
            <w:r>
              <w:rPr>
                <w:rFonts w:hint="default" w:ascii="Times New Roman" w:hAnsi="Times New Roman" w:eastAsia="宋体" w:cs="Times New Roman"/>
                <w:color w:val="auto"/>
                <w:sz w:val="24"/>
                <w:lang w:val="en-US" w:eastAsia="zh-CN"/>
              </w:rPr>
              <w:t>60%</w:t>
            </w:r>
            <w:r>
              <w:rPr>
                <w:rFonts w:hint="eastAsia" w:ascii="Times New Roman" w:hAnsi="Times New Roman" w:eastAsia="宋体" w:cs="Times New Roman"/>
                <w:color w:val="auto"/>
                <w:sz w:val="24"/>
                <w:lang w:val="en-US" w:eastAsia="zh-CN"/>
              </w:rPr>
              <w:t>的硝酸和浓度</w:t>
            </w:r>
            <w:r>
              <w:rPr>
                <w:rFonts w:hint="default" w:ascii="Times New Roman" w:hAnsi="Times New Roman" w:eastAsia="宋体" w:cs="Times New Roman"/>
                <w:color w:val="auto"/>
                <w:sz w:val="24"/>
                <w:lang w:val="en-US" w:eastAsia="zh-CN"/>
              </w:rPr>
              <w:t>20%</w:t>
            </w:r>
            <w:r>
              <w:rPr>
                <w:rFonts w:hint="eastAsia" w:ascii="Times New Roman" w:hAnsi="Times New Roman" w:eastAsia="宋体" w:cs="Times New Roman"/>
                <w:color w:val="auto"/>
                <w:sz w:val="24"/>
                <w:lang w:val="en-US" w:eastAsia="zh-CN"/>
              </w:rPr>
              <w:t>的氢氧化钠）、机械强度及电绝缘性良好的优点。但其耐热性较差，玻璃化温度为</w:t>
            </w:r>
            <w:r>
              <w:rPr>
                <w:rFonts w:hint="default" w:ascii="Times New Roman" w:hAnsi="Times New Roman" w:eastAsia="宋体" w:cs="Times New Roman"/>
                <w:color w:val="auto"/>
                <w:sz w:val="24"/>
                <w:lang w:val="en-US" w:eastAsia="zh-CN"/>
              </w:rPr>
              <w:t>77</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90℃</w:t>
            </w:r>
            <w:r>
              <w:rPr>
                <w:rFonts w:hint="eastAsia" w:ascii="Times New Roman" w:hAnsi="Times New Roman" w:eastAsia="宋体" w:cs="Times New Roman"/>
                <w:color w:val="auto"/>
                <w:sz w:val="24"/>
                <w:lang w:val="en-US" w:eastAsia="zh-CN"/>
              </w:rPr>
              <w:t>，分解温度约</w:t>
            </w:r>
            <w:r>
              <w:rPr>
                <w:rFonts w:hint="default" w:ascii="Times New Roman" w:hAnsi="Times New Roman" w:eastAsia="宋体" w:cs="Times New Roman"/>
                <w:color w:val="auto"/>
                <w:sz w:val="24"/>
                <w:lang w:val="en-US" w:eastAsia="zh-CN"/>
              </w:rPr>
              <w:t>130</w:t>
            </w:r>
            <w:r>
              <w:rPr>
                <w:rFonts w:hint="eastAsia" w:ascii="Times New Roman" w:hAnsi="Times New Roman" w:eastAsia="宋体" w:cs="Times New Roman"/>
                <w:color w:val="auto"/>
                <w:sz w:val="24"/>
                <w:lang w:val="en-US" w:eastAsia="zh-CN"/>
              </w:rPr>
              <w:t>℃，分解会产生</w:t>
            </w:r>
            <w:r>
              <w:rPr>
                <w:rFonts w:hint="default" w:ascii="Times New Roman" w:hAnsi="Times New Roman" w:eastAsia="宋体" w:cs="Times New Roman"/>
                <w:color w:val="auto"/>
                <w:sz w:val="24"/>
                <w:lang w:val="en-US" w:eastAsia="zh-CN"/>
              </w:rPr>
              <w:t>HCl</w:t>
            </w:r>
            <w:r>
              <w:rPr>
                <w:rFonts w:hint="eastAsia" w:ascii="Times New Roman" w:hAnsi="Times New Roman" w:eastAsia="宋体" w:cs="Times New Roman"/>
                <w:color w:val="auto"/>
                <w:sz w:val="24"/>
                <w:lang w:val="en-US" w:eastAsia="zh-CN"/>
              </w:rPr>
              <w:t>。</w:t>
            </w:r>
          </w:p>
          <w:p w14:paraId="4EFA5581">
            <w:pPr>
              <w:keepNext w:val="0"/>
              <w:keepLines w:val="0"/>
              <w:pageBreakBefore w:val="0"/>
              <w:widowControl w:val="0"/>
              <w:kinsoku/>
              <w:wordWrap/>
              <w:overflowPunct/>
              <w:topLinePunct w:val="0"/>
              <w:autoSpaceDE/>
              <w:autoSpaceDN/>
              <w:bidi w:val="0"/>
              <w:spacing w:line="351"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②</w:t>
            </w:r>
            <w:r>
              <w:rPr>
                <w:rFonts w:hint="eastAsia" w:cs="Times New Roman"/>
                <w:b/>
                <w:bCs w:val="0"/>
                <w:color w:val="auto"/>
                <w:sz w:val="24"/>
                <w:szCs w:val="24"/>
                <w:highlight w:val="none"/>
                <w:lang w:val="en-US" w:eastAsia="zh-CN"/>
              </w:rPr>
              <w:t>钙粉</w:t>
            </w:r>
          </w:p>
          <w:p w14:paraId="000685FE">
            <w:pPr>
              <w:adjustRightInd w:val="0"/>
              <w:snapToGrid w:val="0"/>
              <w:spacing w:line="360" w:lineRule="auto"/>
              <w:ind w:firstLine="480" w:firstLineChars="200"/>
              <w:jc w:val="left"/>
              <w:rPr>
                <w:rFonts w:hint="default" w:ascii="Times New Roman" w:hAnsi="Times New Roman" w:eastAsia="宋体" w:cs="Times New Roman"/>
                <w:b/>
                <w:bCs/>
                <w:color w:val="auto"/>
                <w:spacing w:val="0"/>
                <w:w w:val="100"/>
                <w:kern w:val="2"/>
                <w:position w:val="0"/>
                <w:sz w:val="24"/>
                <w:szCs w:val="24"/>
                <w:highlight w:val="none"/>
                <w:lang w:val="en-US" w:eastAsia="zh-CN" w:bidi="ar-SA"/>
              </w:rPr>
            </w:pPr>
            <w:r>
              <w:rPr>
                <w:rFonts w:hint="eastAsia" w:ascii="Times New Roman" w:hAnsi="Times New Roman" w:eastAsia="宋体" w:cs="Times New Roman"/>
                <w:color w:val="auto"/>
                <w:sz w:val="24"/>
                <w:lang w:val="en-US" w:eastAsia="zh-CN"/>
              </w:rPr>
              <w:t>钙粉，</w:t>
            </w:r>
            <w:r>
              <w:rPr>
                <w:rFonts w:hint="eastAsia" w:cs="Times New Roman"/>
                <w:color w:val="auto"/>
                <w:sz w:val="24"/>
                <w:lang w:val="en-US" w:eastAsia="zh-CN"/>
              </w:rPr>
              <w:t>俗</w:t>
            </w:r>
            <w:r>
              <w:rPr>
                <w:rFonts w:hint="eastAsia" w:ascii="Times New Roman" w:hAnsi="Times New Roman" w:eastAsia="宋体" w:cs="Times New Roman"/>
                <w:color w:val="auto"/>
                <w:sz w:val="24"/>
                <w:lang w:val="en-US" w:eastAsia="zh-CN"/>
              </w:rPr>
              <w:t>称石灰石、石粉，白色粉末。无味，无臭。比重约</w:t>
            </w:r>
            <w:r>
              <w:rPr>
                <w:rFonts w:hint="default" w:ascii="Times New Roman" w:hAnsi="Times New Roman" w:eastAsia="宋体" w:cs="Times New Roman"/>
                <w:color w:val="auto"/>
                <w:sz w:val="24"/>
                <w:lang w:val="en-US" w:eastAsia="zh-CN"/>
              </w:rPr>
              <w:t>2.71</w:t>
            </w:r>
            <w:r>
              <w:rPr>
                <w:rFonts w:hint="eastAsia" w:ascii="Times New Roman" w:hAnsi="Times New Roman" w:eastAsia="宋体" w:cs="Times New Roman"/>
                <w:color w:val="auto"/>
                <w:sz w:val="24"/>
                <w:lang w:val="en-US" w:eastAsia="zh-CN"/>
              </w:rPr>
              <w:t>。在</w:t>
            </w:r>
            <w:r>
              <w:rPr>
                <w:rFonts w:hint="default" w:ascii="Times New Roman" w:hAnsi="Times New Roman" w:eastAsia="宋体" w:cs="Times New Roman"/>
                <w:color w:val="auto"/>
                <w:sz w:val="24"/>
                <w:lang w:val="en-US" w:eastAsia="zh-CN"/>
              </w:rPr>
              <w:t>825~896.6℃</w:t>
            </w:r>
            <w:r>
              <w:rPr>
                <w:rFonts w:hint="eastAsia" w:ascii="Times New Roman" w:hAnsi="Times New Roman" w:eastAsia="宋体" w:cs="Times New Roman"/>
                <w:color w:val="auto"/>
                <w:sz w:val="24"/>
                <w:lang w:val="en-US" w:eastAsia="zh-CN"/>
              </w:rPr>
              <w:t>分解。熔点</w:t>
            </w:r>
            <w:r>
              <w:rPr>
                <w:rFonts w:hint="default" w:ascii="Times New Roman" w:hAnsi="Times New Roman" w:eastAsia="宋体" w:cs="Times New Roman"/>
                <w:color w:val="auto"/>
                <w:sz w:val="24"/>
                <w:lang w:val="en-US" w:eastAsia="zh-CN"/>
              </w:rPr>
              <w:t>1339℃</w:t>
            </w:r>
            <w:r>
              <w:rPr>
                <w:rFonts w:hint="eastAsia" w:ascii="Times New Roman" w:hAnsi="Times New Roman" w:eastAsia="宋体" w:cs="Times New Roman"/>
                <w:color w:val="auto"/>
                <w:sz w:val="24"/>
                <w:lang w:val="en-US" w:eastAsia="zh-CN"/>
              </w:rPr>
              <w:t>。有无定形和结晶形两种形态，结晶形中又可分为斜方晶系和六方晶系，呈柱状或菱形。难溶于水和醇。溶于酸，同时放出二氧化碳，呈放热反应。也溶于氯化铵溶液中。在空气中稳定，有轻微的吸潮能力。</w:t>
            </w:r>
          </w:p>
          <w:p w14:paraId="18D0002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eastAsia="宋体" w:cs="Times New Roman"/>
                <w:b/>
                <w:bCs/>
                <w:color w:val="auto"/>
                <w:spacing w:val="0"/>
                <w:w w:val="100"/>
                <w:kern w:val="2"/>
                <w:position w:val="0"/>
                <w:sz w:val="24"/>
                <w:szCs w:val="24"/>
                <w:highlight w:val="none"/>
                <w:lang w:val="en-US" w:eastAsia="zh-CN" w:bidi="ar-SA"/>
              </w:rPr>
            </w:pPr>
            <w:r>
              <w:rPr>
                <w:rFonts w:hint="default" w:ascii="Times New Roman" w:hAnsi="Times New Roman" w:eastAsia="宋体" w:cs="Times New Roman"/>
                <w:b/>
                <w:bCs/>
                <w:color w:val="auto"/>
                <w:spacing w:val="0"/>
                <w:w w:val="100"/>
                <w:kern w:val="2"/>
                <w:position w:val="0"/>
                <w:sz w:val="24"/>
                <w:szCs w:val="24"/>
                <w:highlight w:val="none"/>
                <w:lang w:val="en-US" w:eastAsia="zh-CN" w:bidi="ar-SA"/>
              </w:rPr>
              <w:t>③</w:t>
            </w:r>
            <w:r>
              <w:rPr>
                <w:rFonts w:hint="eastAsia" w:cs="Times New Roman"/>
                <w:b/>
                <w:bCs/>
                <w:color w:val="auto"/>
                <w:spacing w:val="0"/>
                <w:w w:val="100"/>
                <w:kern w:val="2"/>
                <w:position w:val="0"/>
                <w:sz w:val="24"/>
                <w:szCs w:val="24"/>
                <w:highlight w:val="none"/>
                <w:lang w:val="en-US" w:eastAsia="zh-CN" w:bidi="ar-SA"/>
              </w:rPr>
              <w:t>木粉</w:t>
            </w:r>
          </w:p>
          <w:p w14:paraId="6566EF7D">
            <w:pPr>
              <w:adjustRightInd w:val="0"/>
              <w:snapToGrid w:val="0"/>
              <w:spacing w:line="360" w:lineRule="auto"/>
              <w:ind w:firstLine="480" w:firstLineChars="200"/>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指木材打成的粉末，一般是指家具厂、密度板厂、多层板厂木材加工剩余的边角废料，分为造香木粉、造纸木粉、木塑木粉。木粉用途广泛，是新型节能环保原料。</w:t>
            </w:r>
          </w:p>
          <w:p w14:paraId="7BEC69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④</w:t>
            </w:r>
            <w:r>
              <w:rPr>
                <w:rFonts w:hint="eastAsia" w:cs="Times New Roman"/>
                <w:b/>
                <w:bCs/>
                <w:color w:val="auto"/>
                <w:sz w:val="24"/>
                <w:szCs w:val="24"/>
                <w:highlight w:val="none"/>
                <w:lang w:val="en-US" w:eastAsia="zh-CN"/>
              </w:rPr>
              <w:t>钛白粉</w:t>
            </w:r>
          </w:p>
          <w:p w14:paraId="3C2EC7A3">
            <w:pPr>
              <w:adjustRightInd w:val="0"/>
              <w:snapToGrid w:val="0"/>
              <w:spacing w:line="360" w:lineRule="auto"/>
              <w:ind w:firstLine="480" w:firstLineChars="200"/>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是一种重要的无机化工颜料，主要成分为二氧化钛。在涂料、油墨、造纸、塑料橡胶、化纤、陶瓷等工业中有重要用途。二氧化钛属于热稳定性好的物质。</w:t>
            </w:r>
          </w:p>
          <w:p w14:paraId="04D5B7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eastAsia="宋体" w:cs="Times New Roman"/>
                <w:b/>
                <w:bCs/>
                <w:color w:val="auto"/>
                <w:spacing w:val="0"/>
                <w:w w:val="100"/>
                <w:kern w:val="2"/>
                <w:position w:val="0"/>
                <w:sz w:val="24"/>
                <w:szCs w:val="24"/>
                <w:highlight w:val="none"/>
                <w:lang w:val="en-US" w:eastAsia="zh-CN" w:bidi="ar-SA"/>
              </w:rPr>
            </w:pPr>
            <w:r>
              <w:rPr>
                <w:rFonts w:hint="default" w:ascii="Times New Roman" w:hAnsi="Times New Roman" w:eastAsia="宋体" w:cs="Times New Roman"/>
                <w:b/>
                <w:bCs/>
                <w:color w:val="auto"/>
                <w:sz w:val="24"/>
                <w:szCs w:val="24"/>
                <w:highlight w:val="none"/>
                <w:lang w:val="en-US" w:eastAsia="zh-CN"/>
              </w:rPr>
              <w:t>⑤</w:t>
            </w:r>
            <w:r>
              <w:rPr>
                <w:rFonts w:hint="eastAsia" w:cs="Times New Roman"/>
                <w:b/>
                <w:bCs/>
                <w:color w:val="auto"/>
                <w:sz w:val="24"/>
                <w:szCs w:val="24"/>
                <w:highlight w:val="none"/>
                <w:lang w:val="en-US" w:eastAsia="zh-CN"/>
              </w:rPr>
              <w:t>PE腊</w:t>
            </w:r>
          </w:p>
          <w:p w14:paraId="074B12A0">
            <w:pPr>
              <w:adjustRightInd w:val="0"/>
              <w:snapToGrid w:val="0"/>
              <w:spacing w:line="360" w:lineRule="auto"/>
              <w:ind w:firstLine="480" w:firstLineChars="200"/>
              <w:jc w:val="left"/>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PE</w:t>
            </w:r>
            <w:r>
              <w:rPr>
                <w:rFonts w:hint="eastAsia" w:ascii="Times New Roman" w:hAnsi="Times New Roman" w:eastAsia="宋体" w:cs="Times New Roman"/>
                <w:color w:val="auto"/>
                <w:sz w:val="24"/>
                <w:lang w:val="en-US" w:eastAsia="zh-CN"/>
              </w:rPr>
              <w:t>蜡（聚乙烯蜡），又称高分子蜡简称聚乙烯蜡。外观白色片状或颗粒，熔点：</w:t>
            </w:r>
            <w:r>
              <w:rPr>
                <w:rFonts w:hint="default" w:ascii="Times New Roman" w:hAnsi="Times New Roman" w:eastAsia="宋体" w:cs="Times New Roman"/>
                <w:color w:val="auto"/>
                <w:sz w:val="24"/>
                <w:lang w:val="en-US" w:eastAsia="zh-CN"/>
              </w:rPr>
              <w:t>90~120°C</w:t>
            </w:r>
            <w:r>
              <w:rPr>
                <w:rFonts w:hint="eastAsia" w:ascii="Times New Roman" w:hAnsi="Times New Roman" w:eastAsia="宋体" w:cs="Times New Roman"/>
                <w:color w:val="auto"/>
                <w:sz w:val="24"/>
                <w:lang w:val="en-US" w:eastAsia="zh-CN"/>
              </w:rPr>
              <w:t>（随分子量变化）；密度：</w:t>
            </w:r>
            <w:r>
              <w:rPr>
                <w:rFonts w:hint="default" w:ascii="Times New Roman" w:hAnsi="Times New Roman" w:eastAsia="宋体" w:cs="Times New Roman"/>
                <w:color w:val="auto"/>
                <w:sz w:val="24"/>
                <w:lang w:val="en-US" w:eastAsia="zh-CN"/>
              </w:rPr>
              <w:t>0.93~0.98</w:t>
            </w:r>
            <w:r>
              <w:rPr>
                <w:rFonts w:hint="eastAsia" w:ascii="Times New Roman" w:hAnsi="Times New Roman" w:eastAsia="宋体" w:cs="Times New Roman"/>
                <w:color w:val="auto"/>
                <w:sz w:val="24"/>
                <w:lang w:val="en-US" w:eastAsia="zh-CN"/>
              </w:rPr>
              <w:t>；硬度：</w:t>
            </w:r>
            <w:r>
              <w:rPr>
                <w:rFonts w:hint="default" w:ascii="Times New Roman" w:hAnsi="Times New Roman" w:eastAsia="宋体" w:cs="Times New Roman"/>
                <w:color w:val="auto"/>
                <w:sz w:val="24"/>
                <w:lang w:val="en-US" w:eastAsia="zh-CN"/>
              </w:rPr>
              <w:t>MAX3-8</w:t>
            </w:r>
            <w:r>
              <w:rPr>
                <w:rFonts w:hint="eastAsia" w:ascii="Times New Roman" w:hAnsi="Times New Roman" w:eastAsia="宋体" w:cs="Times New Roman"/>
                <w:color w:val="auto"/>
                <w:sz w:val="24"/>
                <w:lang w:val="en-US" w:eastAsia="zh-CN"/>
              </w:rPr>
              <w:t>；黏度：（</w:t>
            </w:r>
            <w:r>
              <w:rPr>
                <w:rFonts w:hint="default" w:ascii="Times New Roman" w:hAnsi="Times New Roman" w:eastAsia="宋体" w:cs="Times New Roman"/>
                <w:color w:val="auto"/>
                <w:sz w:val="24"/>
                <w:lang w:val="en-US" w:eastAsia="zh-CN"/>
              </w:rPr>
              <w:t>CPS140℃</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10~500</w:t>
            </w:r>
            <w:r>
              <w:rPr>
                <w:rFonts w:hint="eastAsia" w:ascii="Times New Roman" w:hAnsi="Times New Roman" w:eastAsia="宋体" w:cs="Times New Roman"/>
                <w:color w:val="auto"/>
                <w:sz w:val="24"/>
                <w:lang w:val="en-US" w:eastAsia="zh-CN"/>
              </w:rPr>
              <w:t>。</w:t>
            </w:r>
          </w:p>
          <w:p w14:paraId="27E6C704">
            <w:pPr>
              <w:pStyle w:val="5"/>
              <w:keepNext w:val="0"/>
              <w:keepLines w:val="0"/>
              <w:pageBreakBefore w:val="0"/>
              <w:widowControl w:val="0"/>
              <w:kinsoku/>
              <w:wordWrap/>
              <w:overflowPunct/>
              <w:topLinePunct w:val="0"/>
              <w:autoSpaceDE/>
              <w:autoSpaceDN/>
              <w:bidi w:val="0"/>
              <w:spacing w:after="0" w:line="360" w:lineRule="auto"/>
              <w:ind w:left="0" w:leftChars="0"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highlight w:val="none"/>
                <w:lang w:val="en-US" w:eastAsia="zh-CN"/>
              </w:rPr>
              <w:t>⑥</w:t>
            </w:r>
            <w:r>
              <w:rPr>
                <w:rFonts w:hint="eastAsia" w:cs="Times New Roman"/>
                <w:b/>
                <w:bCs/>
                <w:color w:val="auto"/>
                <w:sz w:val="24"/>
                <w:szCs w:val="24"/>
                <w:highlight w:val="none"/>
                <w:lang w:val="en-US" w:eastAsia="zh-CN"/>
              </w:rPr>
              <w:t>稳定剂</w:t>
            </w:r>
          </w:p>
          <w:p w14:paraId="4A44DD15">
            <w:pPr>
              <w:adjustRightInd w:val="0"/>
              <w:snapToGrid w:val="0"/>
              <w:spacing w:line="360" w:lineRule="auto"/>
              <w:ind w:firstLine="480" w:firstLineChars="200"/>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钙锌稳定剂由钙盐、锌盐、润滑剂等为主要组分采用特殊复合工艺而合成。它不但可以取代铅镉盐类和有机锡类等有毒稳定剂，而且具有相当好的热稳定性、光稳定性和透明性及着色力。实践证明，在</w:t>
            </w:r>
            <w:r>
              <w:rPr>
                <w:rFonts w:hint="default" w:ascii="Times New Roman" w:hAnsi="Times New Roman" w:eastAsia="宋体" w:cs="Times New Roman"/>
                <w:color w:val="auto"/>
                <w:sz w:val="24"/>
                <w:lang w:val="en-US" w:eastAsia="zh-CN"/>
              </w:rPr>
              <w:t>PVC</w:t>
            </w:r>
            <w:r>
              <w:rPr>
                <w:rFonts w:hint="eastAsia" w:ascii="Times New Roman" w:hAnsi="Times New Roman" w:eastAsia="宋体" w:cs="Times New Roman"/>
                <w:color w:val="auto"/>
                <w:sz w:val="24"/>
                <w:lang w:val="en-US" w:eastAsia="zh-CN"/>
              </w:rPr>
              <w:t>树脂制品中，加工性能好，热稳定作用相当于铅盐类稳定剂，是一种良好的无毒稳定剂。钙锌稳定剂外观主要呈白色粉状、片状、膏状。</w:t>
            </w:r>
          </w:p>
          <w:p w14:paraId="6C79AB37">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⑦</w:t>
            </w:r>
            <w:r>
              <w:rPr>
                <w:rFonts w:hint="eastAsia" w:cs="Times New Roman"/>
                <w:b/>
                <w:bCs/>
                <w:color w:val="auto"/>
                <w:kern w:val="0"/>
                <w:sz w:val="24"/>
                <w:szCs w:val="24"/>
                <w:lang w:eastAsia="zh-CN" w:bidi="ar"/>
              </w:rPr>
              <w:t>硬脂酸</w:t>
            </w:r>
          </w:p>
          <w:p w14:paraId="6A8BB6F1">
            <w:pPr>
              <w:adjustRightInd w:val="0"/>
              <w:snapToGrid w:val="0"/>
              <w:spacing w:line="360" w:lineRule="auto"/>
              <w:ind w:firstLine="480" w:firstLineChars="200"/>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一种高级饱和脂肪酸，纯品为带有光泽的白色柔软小片。相对密度</w:t>
            </w:r>
            <w:r>
              <w:rPr>
                <w:rFonts w:hint="default" w:ascii="Times New Roman" w:hAnsi="Times New Roman" w:eastAsia="宋体" w:cs="Times New Roman"/>
                <w:color w:val="auto"/>
                <w:sz w:val="24"/>
                <w:lang w:val="en-US" w:eastAsia="zh-CN"/>
              </w:rPr>
              <w:t>0.9408</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20℃</w:t>
            </w:r>
            <w:r>
              <w:rPr>
                <w:rFonts w:hint="eastAsia" w:ascii="Times New Roman" w:hAnsi="Times New Roman" w:eastAsia="宋体" w:cs="Times New Roman"/>
                <w:color w:val="auto"/>
                <w:sz w:val="24"/>
                <w:lang w:val="en-US" w:eastAsia="zh-CN"/>
              </w:rPr>
              <w:t>），熔点</w:t>
            </w:r>
            <w:r>
              <w:rPr>
                <w:rFonts w:hint="default" w:ascii="Times New Roman" w:hAnsi="Times New Roman" w:eastAsia="宋体" w:cs="Times New Roman"/>
                <w:color w:val="auto"/>
                <w:sz w:val="24"/>
                <w:lang w:val="en-US" w:eastAsia="zh-CN"/>
              </w:rPr>
              <w:t>69~70℃</w:t>
            </w:r>
            <w:r>
              <w:rPr>
                <w:rFonts w:hint="eastAsia" w:ascii="Times New Roman" w:hAnsi="Times New Roman" w:eastAsia="宋体" w:cs="Times New Roman"/>
                <w:color w:val="auto"/>
                <w:sz w:val="24"/>
                <w:lang w:val="en-US" w:eastAsia="zh-CN"/>
              </w:rPr>
              <w:t>，沸点</w:t>
            </w:r>
            <w:r>
              <w:rPr>
                <w:rFonts w:hint="default" w:ascii="Times New Roman" w:hAnsi="Times New Roman" w:eastAsia="宋体" w:cs="Times New Roman"/>
                <w:color w:val="auto"/>
                <w:sz w:val="24"/>
                <w:lang w:val="en-US" w:eastAsia="zh-CN"/>
              </w:rPr>
              <w:t>383℃</w:t>
            </w:r>
            <w:r>
              <w:rPr>
                <w:rFonts w:hint="eastAsia" w:ascii="Times New Roman" w:hAnsi="Times New Roman" w:eastAsia="宋体" w:cs="Times New Roman"/>
                <w:color w:val="auto"/>
                <w:sz w:val="24"/>
                <w:lang w:val="en-US" w:eastAsia="zh-CN"/>
              </w:rPr>
              <w:t>，折射率</w:t>
            </w:r>
            <w:r>
              <w:rPr>
                <w:rFonts w:hint="default" w:ascii="Times New Roman" w:hAnsi="Times New Roman" w:eastAsia="宋体" w:cs="Times New Roman"/>
                <w:color w:val="auto"/>
                <w:sz w:val="24"/>
                <w:lang w:val="en-US" w:eastAsia="zh-CN"/>
              </w:rPr>
              <w:t>1.4299</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80℃</w:t>
            </w:r>
            <w:r>
              <w:rPr>
                <w:rFonts w:hint="eastAsia" w:ascii="Times New Roman" w:hAnsi="Times New Roman" w:eastAsia="宋体" w:cs="Times New Roman"/>
                <w:color w:val="auto"/>
                <w:sz w:val="24"/>
                <w:lang w:val="en-US" w:eastAsia="zh-CN"/>
              </w:rPr>
              <w:t>），工业品为白色或微黄色颗粒状，为硬脂酸与棕榈酸的混合物，并含有少量油酸，微有牛油样气味。极微溶于冷水，易溶于苯、甲苯、氯仿、四氯化碳、二硫化碳、乙酸戊酯等，也溶于乙醇、丙酮。</w:t>
            </w:r>
          </w:p>
          <w:p w14:paraId="0A4B3D7F">
            <w:pPr>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kern w:val="0"/>
                <w:sz w:val="24"/>
                <w:szCs w:val="24"/>
                <w:lang w:val="en-US" w:eastAsia="zh-CN" w:bidi="ar"/>
              </w:rPr>
            </w:pPr>
            <w:r>
              <w:rPr>
                <w:rFonts w:hint="eastAsia" w:ascii="Times New Roman" w:hAnsi="Times New Roman" w:eastAsia="宋体" w:cs="Times New Roman"/>
                <w:b/>
                <w:bCs/>
                <w:color w:val="auto"/>
                <w:kern w:val="0"/>
                <w:sz w:val="24"/>
                <w:szCs w:val="24"/>
                <w:lang w:val="en-US" w:eastAsia="zh-CN" w:bidi="ar"/>
              </w:rPr>
              <w:t>⑧</w:t>
            </w:r>
            <w:r>
              <w:rPr>
                <w:rFonts w:hint="eastAsia" w:cs="Times New Roman"/>
                <w:b/>
                <w:bCs/>
                <w:color w:val="auto"/>
                <w:kern w:val="0"/>
                <w:sz w:val="24"/>
                <w:szCs w:val="24"/>
                <w:lang w:val="en-US" w:eastAsia="zh-CN" w:bidi="ar"/>
              </w:rPr>
              <w:t>包覆胶</w:t>
            </w:r>
          </w:p>
          <w:p w14:paraId="59D3082A">
            <w:pPr>
              <w:adjustRightInd w:val="0"/>
              <w:snapToGrid w:val="0"/>
              <w:spacing w:line="360" w:lineRule="auto"/>
              <w:ind w:firstLine="480" w:firstLineChars="200"/>
              <w:jc w:val="left"/>
              <w:rPr>
                <w:rFonts w:hint="default" w:ascii="Times New Roman" w:hAnsi="Times New Roman" w:eastAsia="宋体" w:cs="Times New Roman"/>
                <w:b/>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无色透明至淡黄色透明粘稠液体 ，稍有气味，不混溶于水，密度</w:t>
            </w:r>
            <w:r>
              <w:rPr>
                <w:rFonts w:hint="default" w:ascii="Times New Roman" w:hAnsi="Times New Roman" w:eastAsia="宋体" w:cs="Times New Roman"/>
                <w:color w:val="000000" w:themeColor="text1"/>
                <w:sz w:val="24"/>
                <w:lang w:val="en-US" w:eastAsia="zh-CN"/>
                <w14:textFill>
                  <w14:solidFill>
                    <w14:schemeClr w14:val="tx1"/>
                  </w14:solidFill>
                </w14:textFill>
              </w:rPr>
              <w:t>1.01g/cm</w:t>
            </w:r>
            <w:r>
              <w:rPr>
                <w:rFonts w:hint="default" w:ascii="Times New Roman" w:hAnsi="Times New Roman" w:eastAsia="宋体" w:cs="Times New Roman"/>
                <w:color w:val="000000" w:themeColor="text1"/>
                <w:sz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lang w:val="en-US" w:eastAsia="zh-CN"/>
                <w14:textFill>
                  <w14:solidFill>
                    <w14:schemeClr w14:val="tx1"/>
                  </w14:solidFill>
                </w14:textFill>
              </w:rPr>
              <w:t>，闪点</w:t>
            </w:r>
            <w:r>
              <w:rPr>
                <w:rFonts w:hint="default" w:ascii="Times New Roman" w:hAnsi="Times New Roman" w:eastAsia="宋体" w:cs="Times New Roman"/>
                <w:color w:val="000000" w:themeColor="text1"/>
                <w:sz w:val="24"/>
                <w:lang w:val="en-US" w:eastAsia="zh-CN"/>
                <w14:textFill>
                  <w14:solidFill>
                    <w14:schemeClr w14:val="tx1"/>
                  </w14:solidFill>
                </w14:textFill>
              </w:rPr>
              <w:t>14.0</w:t>
            </w:r>
            <w:r>
              <w:rPr>
                <w:rFonts w:hint="eastAsia" w:ascii="Times New Roman" w:hAnsi="Times New Roman" w:eastAsia="宋体" w:cs="Times New Roman"/>
                <w:color w:val="000000" w:themeColor="text1"/>
                <w:sz w:val="24"/>
                <w:lang w:val="en-US" w:eastAsia="zh-CN"/>
                <w14:textFill>
                  <w14:solidFill>
                    <w14:schemeClr w14:val="tx1"/>
                  </w14:solidFill>
                </w14:textFill>
              </w:rPr>
              <w:t>℃，常温常压下稳定，由碳酸二甲酯、乙酸乙酯、环己酮、二元氯醋树脂、三元氯醋树脂组成。根据建设单位提供的检测报告，</w:t>
            </w:r>
            <w:r>
              <w:rPr>
                <w:rFonts w:hint="default" w:ascii="Times New Roman" w:hAnsi="Times New Roman" w:eastAsia="宋体" w:cs="Times New Roman"/>
                <w:color w:val="000000" w:themeColor="text1"/>
                <w:sz w:val="24"/>
                <w:lang w:val="en-US" w:eastAsia="zh-CN"/>
                <w14:textFill>
                  <w14:solidFill>
                    <w14:schemeClr w14:val="tx1"/>
                  </w14:solidFill>
                </w14:textFill>
              </w:rPr>
              <w:t>VOCs</w:t>
            </w:r>
            <w:r>
              <w:rPr>
                <w:rFonts w:hint="eastAsia" w:ascii="Times New Roman" w:hAnsi="Times New Roman" w:eastAsia="宋体" w:cs="Times New Roman"/>
                <w:color w:val="000000" w:themeColor="text1"/>
                <w:sz w:val="24"/>
                <w:lang w:val="en-US" w:eastAsia="zh-CN"/>
                <w14:textFill>
                  <w14:solidFill>
                    <w14:schemeClr w14:val="tx1"/>
                  </w14:solidFill>
                </w14:textFill>
              </w:rPr>
              <w:t>含量为</w:t>
            </w:r>
            <w:r>
              <w:rPr>
                <w:rFonts w:hint="eastAsia" w:cs="Times New Roman"/>
                <w:color w:val="000000" w:themeColor="text1"/>
                <w:sz w:val="24"/>
                <w:lang w:val="en-US" w:eastAsia="zh-CN"/>
                <w14:textFill>
                  <w14:solidFill>
                    <w14:schemeClr w14:val="tx1"/>
                  </w14:solidFill>
                </w14:textFill>
              </w:rPr>
              <w:t>385.2</w:t>
            </w:r>
            <w:r>
              <w:rPr>
                <w:rFonts w:hint="default" w:ascii="Times New Roman" w:hAnsi="Times New Roman" w:eastAsia="宋体" w:cs="Times New Roman"/>
                <w:color w:val="000000" w:themeColor="text1"/>
                <w:sz w:val="24"/>
                <w:lang w:val="en-US" w:eastAsia="zh-CN"/>
                <w14:textFill>
                  <w14:solidFill>
                    <w14:schemeClr w14:val="tx1"/>
                  </w14:solidFill>
                </w14:textFill>
              </w:rPr>
              <w:t>g/L</w:t>
            </w:r>
            <w:r>
              <w:rPr>
                <w:rFonts w:hint="eastAsia" w:ascii="Times New Roman" w:hAnsi="Times New Roman" w:eastAsia="宋体" w:cs="Times New Roman"/>
                <w:color w:val="000000" w:themeColor="text1"/>
                <w:sz w:val="24"/>
                <w:lang w:val="en-US" w:eastAsia="zh-CN"/>
                <w14:textFill>
                  <w14:solidFill>
                    <w14:schemeClr w14:val="tx1"/>
                  </w14:solidFill>
                </w14:textFill>
              </w:rPr>
              <w:t>，符合</w:t>
            </w:r>
            <w:r>
              <w:rPr>
                <w:rFonts w:hint="default" w:ascii="Times New Roman" w:hAnsi="Times New Roman" w:eastAsia="宋体" w:cs="Times New Roman"/>
                <w:color w:val="000000" w:themeColor="text1"/>
                <w:sz w:val="24"/>
                <w:lang w:val="en-US" w:eastAsia="zh-CN"/>
                <w14:textFill>
                  <w14:solidFill>
                    <w14:schemeClr w14:val="tx1"/>
                  </w14:solidFill>
                </w14:textFill>
              </w:rPr>
              <w:t>GB33372-2020</w:t>
            </w:r>
            <w:r>
              <w:rPr>
                <w:rFonts w:hint="eastAsia" w:ascii="Times New Roman" w:hAnsi="Times New Roman" w:eastAsia="宋体" w:cs="Times New Roman"/>
                <w:color w:val="000000" w:themeColor="text1"/>
                <w:sz w:val="24"/>
                <w:lang w:val="en-US" w:eastAsia="zh-CN"/>
                <w14:textFill>
                  <w14:solidFill>
                    <w14:schemeClr w14:val="tx1"/>
                  </w14:solidFill>
                </w14:textFill>
              </w:rPr>
              <w:t>（溶剂型室内装饰装修</w:t>
            </w:r>
            <w:r>
              <w:rPr>
                <w:rFonts w:hint="default" w:ascii="Times New Roman" w:hAnsi="Times New Roman" w:eastAsia="宋体" w:cs="Times New Roman"/>
                <w:color w:val="000000" w:themeColor="text1"/>
                <w:sz w:val="24"/>
                <w:lang w:val="en-US"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其他</w:t>
            </w:r>
            <w:r>
              <w:rPr>
                <w:rFonts w:hint="eastAsia" w:ascii="Times New Roman" w:hAnsi="Times New Roman" w:eastAsia="宋体" w:cs="Times New Roman"/>
                <w:color w:val="000000" w:themeColor="text1"/>
                <w:sz w:val="24"/>
                <w:lang w:val="en-US" w:eastAsia="zh-CN"/>
                <w14:textFill>
                  <w14:solidFill>
                    <w14:schemeClr w14:val="tx1"/>
                  </w14:solidFill>
                </w14:textFill>
              </w:rPr>
              <w:t>类≤</w:t>
            </w:r>
            <w:r>
              <w:rPr>
                <w:rFonts w:hint="eastAsia" w:cs="Times New Roman"/>
                <w:color w:val="000000" w:themeColor="text1"/>
                <w:sz w:val="24"/>
                <w:lang w:val="en-US" w:eastAsia="zh-CN"/>
                <w14:textFill>
                  <w14:solidFill>
                    <w14:schemeClr w14:val="tx1"/>
                  </w14:solidFill>
                </w14:textFill>
              </w:rPr>
              <w:t>450</w:t>
            </w:r>
            <w:r>
              <w:rPr>
                <w:rFonts w:hint="default" w:ascii="Times New Roman" w:hAnsi="Times New Roman" w:eastAsia="宋体" w:cs="Times New Roman"/>
                <w:color w:val="000000" w:themeColor="text1"/>
                <w:sz w:val="24"/>
                <w:lang w:val="en-US" w:eastAsia="zh-CN"/>
                <w14:textFill>
                  <w14:solidFill>
                    <w14:schemeClr w14:val="tx1"/>
                  </w14:solidFill>
                </w14:textFill>
              </w:rPr>
              <w:t>g/L</w:t>
            </w:r>
            <w:r>
              <w:rPr>
                <w:rFonts w:hint="eastAsia" w:ascii="Times New Roman" w:hAnsi="Times New Roman" w:eastAsia="宋体" w:cs="Times New Roman"/>
                <w:color w:val="000000" w:themeColor="text1"/>
                <w:sz w:val="24"/>
                <w:lang w:val="en-US" w:eastAsia="zh-CN"/>
                <w14:textFill>
                  <w14:solidFill>
                    <w14:schemeClr w14:val="tx1"/>
                  </w14:solidFill>
                </w14:textFill>
              </w:rPr>
              <w:t>）要求。</w:t>
            </w:r>
          </w:p>
          <w:p w14:paraId="4984736A">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5、主要设备</w:t>
            </w:r>
            <w:bookmarkEnd w:id="15"/>
          </w:p>
          <w:p w14:paraId="6C8E3F2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bCs/>
                <w:color w:val="auto"/>
                <w:sz w:val="21"/>
                <w:szCs w:val="21"/>
                <w:highlight w:val="none"/>
                <w:lang w:eastAsia="zh-CN"/>
              </w:rPr>
            </w:pPr>
            <w:bookmarkStart w:id="16" w:name="_Toc22683"/>
            <w:r>
              <w:rPr>
                <w:rFonts w:hint="default" w:ascii="Times New Roman" w:hAnsi="Times New Roman" w:eastAsia="宋体" w:cs="Times New Roman"/>
                <w:color w:val="auto"/>
                <w:sz w:val="24"/>
                <w:szCs w:val="24"/>
                <w:highlight w:val="none"/>
                <w:shd w:val="clear" w:color="auto" w:fill="FFFFFF"/>
                <w:lang w:eastAsia="zh-CN"/>
              </w:rPr>
              <w:t>本项目主要生产设备及设施详见表</w:t>
            </w:r>
            <w:r>
              <w:rPr>
                <w:rFonts w:hint="default" w:ascii="Times New Roman" w:hAnsi="Times New Roman" w:eastAsia="宋体" w:cs="Times New Roman"/>
                <w:color w:val="auto"/>
                <w:sz w:val="24"/>
                <w:szCs w:val="24"/>
                <w:highlight w:val="none"/>
                <w:shd w:val="clear" w:color="auto" w:fill="FFFFFF"/>
                <w:lang w:val="en-US" w:eastAsia="zh-CN"/>
              </w:rPr>
              <w:t>2-</w:t>
            </w:r>
            <w:r>
              <w:rPr>
                <w:rFonts w:hint="eastAsia" w:cs="Times New Roman"/>
                <w:color w:val="auto"/>
                <w:sz w:val="24"/>
                <w:szCs w:val="24"/>
                <w:highlight w:val="none"/>
                <w:shd w:val="clear" w:color="auto" w:fill="FFFFFF"/>
                <w:lang w:val="en-US" w:eastAsia="zh-CN"/>
              </w:rPr>
              <w:t>4</w:t>
            </w:r>
            <w:r>
              <w:rPr>
                <w:rFonts w:hint="default" w:ascii="Times New Roman" w:hAnsi="Times New Roman" w:eastAsia="宋体" w:cs="Times New Roman"/>
                <w:color w:val="auto"/>
                <w:sz w:val="24"/>
                <w:szCs w:val="24"/>
                <w:highlight w:val="none"/>
                <w:shd w:val="clear" w:color="auto" w:fill="FFFFFF"/>
                <w:lang w:eastAsia="zh-CN"/>
              </w:rPr>
              <w:t>。</w:t>
            </w:r>
          </w:p>
          <w:p w14:paraId="30538B51">
            <w:pPr>
              <w:pStyle w:val="17"/>
              <w:widowControl w:val="0"/>
              <w:shd w:val="clear"/>
              <w:snapToGrid w:val="0"/>
              <w:jc w:val="center"/>
              <w:rPr>
                <w:rFonts w:hint="default" w:ascii="Times New Roman" w:hAnsi="Times New Roman" w:eastAsia="宋体" w:cs="Times New Roman"/>
                <w:b/>
                <w:bCs/>
                <w:color w:val="auto"/>
                <w:sz w:val="21"/>
                <w:szCs w:val="21"/>
                <w:highlight w:val="none"/>
                <w:lang w:eastAsia="zh-CN"/>
              </w:rPr>
            </w:pPr>
          </w:p>
          <w:p w14:paraId="2C24599F">
            <w:pPr>
              <w:pStyle w:val="17"/>
              <w:widowControl w:val="0"/>
              <w:shd w:val="clear"/>
              <w:snapToGrid w:val="0"/>
              <w:jc w:val="center"/>
              <w:rPr>
                <w:rFonts w:hint="default" w:ascii="Times New Roman" w:hAnsi="Times New Roman" w:eastAsia="宋体" w:cs="Times New Roman"/>
                <w:b/>
                <w:bCs/>
                <w:color w:val="auto"/>
                <w:sz w:val="21"/>
                <w:szCs w:val="21"/>
                <w:highlight w:val="none"/>
                <w:lang w:eastAsia="zh-CN"/>
              </w:rPr>
            </w:pPr>
          </w:p>
          <w:p w14:paraId="389D4AA2">
            <w:pPr>
              <w:pStyle w:val="17"/>
              <w:widowControl w:val="0"/>
              <w:shd w:val="clear"/>
              <w:snapToGrid w:val="0"/>
              <w:jc w:val="center"/>
              <w:rPr>
                <w:rFonts w:hint="default" w:ascii="Times New Roman" w:hAnsi="Times New Roman" w:eastAsia="宋体" w:cs="Times New Roman"/>
                <w:b/>
                <w:bCs/>
                <w:color w:val="auto"/>
                <w:sz w:val="21"/>
                <w:szCs w:val="21"/>
                <w:highlight w:val="none"/>
                <w:lang w:eastAsia="zh-CN"/>
              </w:rPr>
            </w:pPr>
          </w:p>
          <w:p w14:paraId="6204C372">
            <w:pPr>
              <w:pStyle w:val="17"/>
              <w:widowControl w:val="0"/>
              <w:shd w:val="clear"/>
              <w:snapToGrid w:val="0"/>
              <w:jc w:val="center"/>
              <w:rPr>
                <w:rFonts w:hint="default" w:ascii="Times New Roman" w:hAnsi="Times New Roman" w:eastAsia="宋体" w:cs="Times New Roman"/>
                <w:b/>
                <w:bCs/>
                <w:color w:val="auto"/>
                <w:sz w:val="21"/>
                <w:szCs w:val="21"/>
                <w:highlight w:val="none"/>
                <w:lang w:eastAsia="zh-CN"/>
              </w:rPr>
            </w:pPr>
          </w:p>
          <w:p w14:paraId="5ABEFBD4">
            <w:pPr>
              <w:pStyle w:val="17"/>
              <w:widowControl w:val="0"/>
              <w:shd w:val="clear"/>
              <w:snapToGrid w:val="0"/>
              <w:jc w:val="center"/>
              <w:rPr>
                <w:rFonts w:hint="default" w:ascii="Times New Roman" w:hAnsi="Times New Roman" w:eastAsia="宋体" w:cs="Times New Roman"/>
                <w:b/>
                <w:bCs/>
                <w:color w:val="auto"/>
                <w:sz w:val="21"/>
                <w:szCs w:val="21"/>
                <w:highlight w:val="none"/>
                <w:lang w:eastAsia="zh-CN"/>
              </w:rPr>
            </w:pPr>
          </w:p>
          <w:p w14:paraId="45279215">
            <w:pPr>
              <w:pStyle w:val="17"/>
              <w:widowControl w:val="0"/>
              <w:shd w:val="clear"/>
              <w:snapToGrid w:val="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表</w:t>
            </w:r>
            <w:r>
              <w:rPr>
                <w:rFonts w:hint="default" w:ascii="Times New Roman" w:hAnsi="Times New Roman" w:eastAsia="宋体" w:cs="Times New Roman"/>
                <w:b/>
                <w:bCs/>
                <w:color w:val="auto"/>
                <w:sz w:val="21"/>
                <w:szCs w:val="21"/>
                <w:highlight w:val="none"/>
                <w:lang w:val="en-US" w:eastAsia="zh-CN"/>
              </w:rPr>
              <w:t>2-</w:t>
            </w:r>
            <w:r>
              <w:rPr>
                <w:rFonts w:hint="eastAsia" w:ascii="Times New Roman" w:hAnsi="Times New Roman"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eastAsia="zh-CN"/>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eastAsia="zh-CN"/>
              </w:rPr>
              <w:t>项目主要生产设备及设施一览表</w:t>
            </w:r>
          </w:p>
          <w:bookmarkEnd w:id="16"/>
          <w:tbl>
            <w:tblPr>
              <w:tblStyle w:val="26"/>
              <w:tblW w:w="86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0"/>
              <w:gridCol w:w="1702"/>
              <w:gridCol w:w="1971"/>
              <w:gridCol w:w="1000"/>
              <w:gridCol w:w="1188"/>
              <w:gridCol w:w="1992"/>
            </w:tblGrid>
            <w:tr w14:paraId="28161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90" w:type="dxa"/>
                  <w:noWrap w:val="0"/>
                  <w:vAlign w:val="center"/>
                </w:tcPr>
                <w:p w14:paraId="0587AC8C">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序号</w:t>
                  </w:r>
                </w:p>
              </w:tc>
              <w:tc>
                <w:tcPr>
                  <w:tcW w:w="1702" w:type="dxa"/>
                  <w:noWrap w:val="0"/>
                  <w:vAlign w:val="center"/>
                </w:tcPr>
                <w:p w14:paraId="5A1C5A00">
                  <w:pPr>
                    <w:widowControl/>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lang w:val="en-US" w:eastAsia="zh-CN"/>
                    </w:rPr>
                    <w:t>设备</w:t>
                  </w:r>
                  <w:r>
                    <w:rPr>
                      <w:rFonts w:hint="default" w:ascii="Times New Roman" w:hAnsi="Times New Roman" w:eastAsia="宋体" w:cs="Times New Roman"/>
                      <w:b/>
                      <w:bCs/>
                      <w:color w:val="auto"/>
                      <w:kern w:val="0"/>
                      <w:sz w:val="21"/>
                      <w:szCs w:val="21"/>
                    </w:rPr>
                    <w:t>名称</w:t>
                  </w:r>
                </w:p>
              </w:tc>
              <w:tc>
                <w:tcPr>
                  <w:tcW w:w="1971" w:type="dxa"/>
                  <w:noWrap w:val="0"/>
                  <w:vAlign w:val="center"/>
                </w:tcPr>
                <w:p w14:paraId="39ADC738">
                  <w:pPr>
                    <w:widowControl/>
                    <w:jc w:val="center"/>
                    <w:rPr>
                      <w:rFonts w:hint="default" w:ascii="Times New Roman" w:hAnsi="Times New Roman" w:eastAsia="宋体" w:cs="Times New Roman"/>
                      <w:b/>
                      <w:bCs/>
                      <w:color w:val="auto"/>
                      <w:kern w:val="0"/>
                      <w:sz w:val="21"/>
                      <w:szCs w:val="21"/>
                      <w:lang w:val="en-US" w:eastAsia="zh-CN"/>
                    </w:rPr>
                  </w:pPr>
                  <w:r>
                    <w:rPr>
                      <w:rFonts w:hint="eastAsia" w:cs="Times New Roman"/>
                      <w:b/>
                      <w:bCs/>
                      <w:color w:val="auto"/>
                      <w:kern w:val="0"/>
                      <w:sz w:val="21"/>
                      <w:szCs w:val="21"/>
                      <w:lang w:val="en-US" w:eastAsia="zh-CN"/>
                    </w:rPr>
                    <w:t>型号</w:t>
                  </w:r>
                </w:p>
              </w:tc>
              <w:tc>
                <w:tcPr>
                  <w:tcW w:w="1000" w:type="dxa"/>
                  <w:noWrap w:val="0"/>
                  <w:vAlign w:val="center"/>
                </w:tcPr>
                <w:p w14:paraId="6FB40336">
                  <w:pPr>
                    <w:widowControl/>
                    <w:jc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数量</w:t>
                  </w:r>
                </w:p>
              </w:tc>
              <w:tc>
                <w:tcPr>
                  <w:tcW w:w="1188" w:type="dxa"/>
                  <w:noWrap w:val="0"/>
                  <w:vAlign w:val="center"/>
                </w:tcPr>
                <w:p w14:paraId="6037243E">
                  <w:pPr>
                    <w:widowControl/>
                    <w:jc w:val="center"/>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单位</w:t>
                  </w:r>
                </w:p>
              </w:tc>
              <w:tc>
                <w:tcPr>
                  <w:tcW w:w="1992" w:type="dxa"/>
                  <w:noWrap w:val="0"/>
                  <w:vAlign w:val="center"/>
                </w:tcPr>
                <w:p w14:paraId="46E4159B">
                  <w:pPr>
                    <w:widowControl/>
                    <w:jc w:val="center"/>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备注</w:t>
                  </w:r>
                  <w:r>
                    <w:rPr>
                      <w:rFonts w:hint="default"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lang w:val="en-US" w:eastAsia="zh-CN"/>
                    </w:rPr>
                    <w:t>用途</w:t>
                  </w:r>
                  <w:r>
                    <w:rPr>
                      <w:rFonts w:hint="default" w:ascii="Times New Roman" w:hAnsi="Times New Roman" w:eastAsia="宋体" w:cs="Times New Roman"/>
                      <w:b/>
                      <w:bCs/>
                      <w:color w:val="auto"/>
                      <w:kern w:val="0"/>
                      <w:sz w:val="21"/>
                      <w:szCs w:val="21"/>
                      <w:highlight w:val="none"/>
                      <w:lang w:eastAsia="zh-CN"/>
                    </w:rPr>
                    <w:t>）</w:t>
                  </w:r>
                </w:p>
              </w:tc>
            </w:tr>
            <w:tr w14:paraId="001B5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0" w:type="dxa"/>
                  <w:noWrap w:val="0"/>
                  <w:vAlign w:val="center"/>
                </w:tcPr>
                <w:p w14:paraId="3C13C450">
                  <w:pPr>
                    <w:widowControl/>
                    <w:jc w:val="center"/>
                    <w:rPr>
                      <w:rFonts w:hint="default" w:ascii="Times New Roman" w:hAnsi="Times New Roman" w:eastAsia="宋体" w:cs="Times New Roman"/>
                      <w:b w:val="0"/>
                      <w:bCs w:val="0"/>
                      <w:color w:val="auto"/>
                      <w:kern w:val="0"/>
                      <w:sz w:val="21"/>
                      <w:szCs w:val="21"/>
                      <w:lang w:val="en-US" w:eastAsia="zh-CN"/>
                    </w:rPr>
                  </w:pPr>
                  <w:r>
                    <w:rPr>
                      <w:rFonts w:hint="default" w:ascii="Times New Roman" w:hAnsi="Times New Roman" w:eastAsia="宋体" w:cs="Times New Roman"/>
                      <w:color w:val="auto"/>
                      <w:kern w:val="0"/>
                      <w:szCs w:val="21"/>
                    </w:rPr>
                    <w:t>1</w:t>
                  </w:r>
                </w:p>
              </w:tc>
              <w:tc>
                <w:tcPr>
                  <w:tcW w:w="1702" w:type="dxa"/>
                  <w:noWrap w:val="0"/>
                  <w:vAlign w:val="center"/>
                </w:tcPr>
                <w:p w14:paraId="4301C839">
                  <w:pPr>
                    <w:widowControl/>
                    <w:jc w:val="center"/>
                    <w:rPr>
                      <w:rFonts w:hint="eastAsia" w:ascii="Times New Roman" w:hAnsi="Times New Roman" w:eastAsia="宋体" w:cs="Times New Roman"/>
                      <w:b w:val="0"/>
                      <w:bCs w:val="0"/>
                      <w:color w:val="auto"/>
                      <w:kern w:val="0"/>
                      <w:sz w:val="21"/>
                      <w:szCs w:val="21"/>
                      <w:lang w:val="en-US" w:eastAsia="zh-CN"/>
                    </w:rPr>
                  </w:pPr>
                  <w:r>
                    <w:rPr>
                      <w:rFonts w:hint="eastAsia" w:cs="Times New Roman"/>
                      <w:color w:val="auto"/>
                      <w:kern w:val="0"/>
                      <w:szCs w:val="21"/>
                      <w:lang w:eastAsia="zh-CN"/>
                    </w:rPr>
                    <w:t>搅拌机</w:t>
                  </w:r>
                </w:p>
              </w:tc>
              <w:tc>
                <w:tcPr>
                  <w:tcW w:w="1971" w:type="dxa"/>
                  <w:noWrap w:val="0"/>
                  <w:vAlign w:val="center"/>
                </w:tcPr>
                <w:p w14:paraId="21925DDC">
                  <w:pPr>
                    <w:widowControl/>
                    <w:jc w:val="center"/>
                    <w:rPr>
                      <w:rFonts w:hint="default" w:cs="Times New Roman"/>
                      <w:color w:val="auto"/>
                      <w:kern w:val="0"/>
                      <w:szCs w:val="21"/>
                      <w:lang w:val="en-US" w:eastAsia="zh-CN"/>
                    </w:rPr>
                  </w:pPr>
                  <w:r>
                    <w:rPr>
                      <w:rFonts w:hint="eastAsia" w:cs="Times New Roman"/>
                      <w:color w:val="auto"/>
                      <w:kern w:val="0"/>
                      <w:szCs w:val="21"/>
                      <w:lang w:val="en-US" w:eastAsia="zh-CN"/>
                    </w:rPr>
                    <w:t>/</w:t>
                  </w:r>
                </w:p>
              </w:tc>
              <w:tc>
                <w:tcPr>
                  <w:tcW w:w="1000" w:type="dxa"/>
                  <w:noWrap w:val="0"/>
                  <w:vAlign w:val="center"/>
                </w:tcPr>
                <w:p w14:paraId="30027375">
                  <w:pPr>
                    <w:widowControl/>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Cs w:val="21"/>
                      <w:lang w:val="en-US" w:eastAsia="zh-CN"/>
                    </w:rPr>
                    <w:t>10</w:t>
                  </w:r>
                </w:p>
              </w:tc>
              <w:tc>
                <w:tcPr>
                  <w:tcW w:w="1188" w:type="dxa"/>
                  <w:noWrap w:val="0"/>
                  <w:vAlign w:val="center"/>
                </w:tcPr>
                <w:p w14:paraId="68564D9B">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Cs w:val="21"/>
                    </w:rPr>
                    <w:t>台</w:t>
                  </w:r>
                </w:p>
              </w:tc>
              <w:tc>
                <w:tcPr>
                  <w:tcW w:w="1992" w:type="dxa"/>
                  <w:noWrap w:val="0"/>
                  <w:vAlign w:val="center"/>
                </w:tcPr>
                <w:p w14:paraId="69F2427B">
                  <w:pPr>
                    <w:widowControl/>
                    <w:jc w:val="center"/>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混料工序</w:t>
                  </w:r>
                </w:p>
              </w:tc>
            </w:tr>
            <w:tr w14:paraId="4F062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0" w:type="dxa"/>
                  <w:noWrap w:val="0"/>
                  <w:vAlign w:val="center"/>
                </w:tcPr>
                <w:p w14:paraId="14CCE66A">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w:t>
                  </w:r>
                </w:p>
              </w:tc>
              <w:tc>
                <w:tcPr>
                  <w:tcW w:w="1702" w:type="dxa"/>
                  <w:noWrap w:val="0"/>
                  <w:vAlign w:val="center"/>
                </w:tcPr>
                <w:p w14:paraId="7729E54A">
                  <w:pPr>
                    <w:widowControl/>
                    <w:jc w:val="center"/>
                    <w:rPr>
                      <w:rFonts w:hint="eastAsia" w:cs="Times New Roman"/>
                      <w:color w:val="auto"/>
                      <w:kern w:val="0"/>
                      <w:szCs w:val="21"/>
                      <w:lang w:eastAsia="zh-CN"/>
                    </w:rPr>
                  </w:pPr>
                  <w:r>
                    <w:rPr>
                      <w:rFonts w:hint="eastAsia" w:cs="Times New Roman"/>
                      <w:color w:val="auto"/>
                      <w:kern w:val="0"/>
                      <w:szCs w:val="21"/>
                      <w:lang w:eastAsia="zh-CN"/>
                    </w:rPr>
                    <w:t>破碎机</w:t>
                  </w:r>
                </w:p>
              </w:tc>
              <w:tc>
                <w:tcPr>
                  <w:tcW w:w="1971" w:type="dxa"/>
                  <w:noWrap w:val="0"/>
                  <w:vAlign w:val="center"/>
                </w:tcPr>
                <w:p w14:paraId="6E2501CC">
                  <w:pPr>
                    <w:widowControl/>
                    <w:jc w:val="center"/>
                    <w:rPr>
                      <w:rFonts w:hint="default" w:cs="Times New Roman"/>
                      <w:color w:val="auto"/>
                      <w:kern w:val="0"/>
                      <w:szCs w:val="21"/>
                      <w:lang w:val="en-US" w:eastAsia="zh-CN"/>
                    </w:rPr>
                  </w:pPr>
                  <w:r>
                    <w:rPr>
                      <w:rFonts w:hint="eastAsia" w:cs="Times New Roman"/>
                      <w:color w:val="auto"/>
                      <w:kern w:val="0"/>
                      <w:szCs w:val="21"/>
                      <w:lang w:val="en-US" w:eastAsia="zh-CN"/>
                    </w:rPr>
                    <w:t>/</w:t>
                  </w:r>
                </w:p>
              </w:tc>
              <w:tc>
                <w:tcPr>
                  <w:tcW w:w="1000" w:type="dxa"/>
                  <w:noWrap w:val="0"/>
                  <w:vAlign w:val="center"/>
                </w:tcPr>
                <w:p w14:paraId="65049C9A">
                  <w:pPr>
                    <w:widowControl/>
                    <w:jc w:val="center"/>
                    <w:rPr>
                      <w:rFonts w:hint="default" w:cs="Times New Roman"/>
                      <w:color w:val="auto"/>
                      <w:kern w:val="0"/>
                      <w:szCs w:val="21"/>
                      <w:lang w:val="en-US" w:eastAsia="zh-CN"/>
                    </w:rPr>
                  </w:pPr>
                  <w:r>
                    <w:rPr>
                      <w:rFonts w:hint="eastAsia" w:cs="Times New Roman"/>
                      <w:color w:val="auto"/>
                      <w:kern w:val="0"/>
                      <w:szCs w:val="21"/>
                      <w:lang w:val="en-US" w:eastAsia="zh-CN"/>
                    </w:rPr>
                    <w:t>2</w:t>
                  </w:r>
                </w:p>
              </w:tc>
              <w:tc>
                <w:tcPr>
                  <w:tcW w:w="1188" w:type="dxa"/>
                  <w:noWrap w:val="0"/>
                  <w:vAlign w:val="center"/>
                </w:tcPr>
                <w:p w14:paraId="2026F040">
                  <w:pPr>
                    <w:widowControl/>
                    <w:jc w:val="center"/>
                    <w:rPr>
                      <w:rFonts w:hint="eastAsia" w:ascii="Times New Roman" w:hAnsi="Times New Roman" w:eastAsia="宋体" w:cs="Times New Roman"/>
                      <w:color w:val="auto"/>
                      <w:kern w:val="0"/>
                      <w:szCs w:val="21"/>
                      <w:lang w:eastAsia="zh-CN"/>
                    </w:rPr>
                  </w:pPr>
                  <w:r>
                    <w:rPr>
                      <w:rFonts w:hint="eastAsia" w:cs="Times New Roman"/>
                      <w:color w:val="auto"/>
                      <w:kern w:val="0"/>
                      <w:szCs w:val="21"/>
                      <w:lang w:eastAsia="zh-CN"/>
                    </w:rPr>
                    <w:t>台</w:t>
                  </w:r>
                </w:p>
              </w:tc>
              <w:tc>
                <w:tcPr>
                  <w:tcW w:w="1992" w:type="dxa"/>
                  <w:noWrap w:val="0"/>
                  <w:vAlign w:val="center"/>
                </w:tcPr>
                <w:p w14:paraId="200485EC">
                  <w:pPr>
                    <w:widowControl/>
                    <w:jc w:val="center"/>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破碎工序</w:t>
                  </w:r>
                </w:p>
              </w:tc>
            </w:tr>
            <w:tr w14:paraId="53F45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90" w:type="dxa"/>
                  <w:noWrap w:val="0"/>
                  <w:vAlign w:val="center"/>
                </w:tcPr>
                <w:p w14:paraId="7FA13650">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w:t>
                  </w:r>
                </w:p>
              </w:tc>
              <w:tc>
                <w:tcPr>
                  <w:tcW w:w="1702" w:type="dxa"/>
                  <w:noWrap w:val="0"/>
                  <w:vAlign w:val="center"/>
                </w:tcPr>
                <w:p w14:paraId="1C9A200B">
                  <w:pPr>
                    <w:widowControl/>
                    <w:jc w:val="center"/>
                    <w:rPr>
                      <w:rFonts w:hint="eastAsia" w:cs="Times New Roman"/>
                      <w:color w:val="auto"/>
                      <w:kern w:val="0"/>
                      <w:szCs w:val="21"/>
                      <w:lang w:eastAsia="zh-CN"/>
                    </w:rPr>
                  </w:pPr>
                  <w:r>
                    <w:rPr>
                      <w:rFonts w:hint="eastAsia" w:cs="Times New Roman"/>
                      <w:color w:val="auto"/>
                      <w:kern w:val="0"/>
                      <w:szCs w:val="21"/>
                      <w:lang w:eastAsia="zh-CN"/>
                    </w:rPr>
                    <w:t>磨粉机</w:t>
                  </w:r>
                </w:p>
              </w:tc>
              <w:tc>
                <w:tcPr>
                  <w:tcW w:w="1971" w:type="dxa"/>
                  <w:noWrap w:val="0"/>
                  <w:vAlign w:val="center"/>
                </w:tcPr>
                <w:p w14:paraId="0E707FC6">
                  <w:pPr>
                    <w:widowControl/>
                    <w:jc w:val="center"/>
                    <w:rPr>
                      <w:rFonts w:hint="default" w:cs="Times New Roman"/>
                      <w:color w:val="auto"/>
                      <w:kern w:val="0"/>
                      <w:szCs w:val="21"/>
                      <w:lang w:val="en-US" w:eastAsia="zh-CN"/>
                    </w:rPr>
                  </w:pPr>
                  <w:r>
                    <w:rPr>
                      <w:rFonts w:hint="eastAsia" w:cs="Times New Roman"/>
                      <w:color w:val="auto"/>
                      <w:kern w:val="0"/>
                      <w:szCs w:val="21"/>
                      <w:lang w:val="en-US" w:eastAsia="zh-CN"/>
                    </w:rPr>
                    <w:t>/</w:t>
                  </w:r>
                </w:p>
              </w:tc>
              <w:tc>
                <w:tcPr>
                  <w:tcW w:w="1000" w:type="dxa"/>
                  <w:noWrap w:val="0"/>
                  <w:vAlign w:val="center"/>
                </w:tcPr>
                <w:p w14:paraId="64EF2AE6">
                  <w:pPr>
                    <w:widowControl/>
                    <w:jc w:val="center"/>
                    <w:rPr>
                      <w:rFonts w:hint="default" w:cs="Times New Roman"/>
                      <w:color w:val="auto"/>
                      <w:kern w:val="0"/>
                      <w:szCs w:val="21"/>
                      <w:lang w:val="en-US" w:eastAsia="zh-CN"/>
                    </w:rPr>
                  </w:pPr>
                  <w:r>
                    <w:rPr>
                      <w:rFonts w:hint="eastAsia" w:cs="Times New Roman"/>
                      <w:color w:val="auto"/>
                      <w:kern w:val="0"/>
                      <w:szCs w:val="21"/>
                      <w:lang w:val="en-US" w:eastAsia="zh-CN"/>
                    </w:rPr>
                    <w:t>2</w:t>
                  </w:r>
                </w:p>
              </w:tc>
              <w:tc>
                <w:tcPr>
                  <w:tcW w:w="1188" w:type="dxa"/>
                  <w:noWrap w:val="0"/>
                  <w:vAlign w:val="center"/>
                </w:tcPr>
                <w:p w14:paraId="39A4D607">
                  <w:pPr>
                    <w:widowControl/>
                    <w:jc w:val="center"/>
                    <w:rPr>
                      <w:rFonts w:hint="eastAsia" w:cs="Times New Roman"/>
                      <w:color w:val="auto"/>
                      <w:kern w:val="0"/>
                      <w:szCs w:val="21"/>
                      <w:lang w:eastAsia="zh-CN"/>
                    </w:rPr>
                  </w:pPr>
                  <w:r>
                    <w:rPr>
                      <w:rFonts w:hint="eastAsia" w:cs="Times New Roman"/>
                      <w:color w:val="auto"/>
                      <w:kern w:val="0"/>
                      <w:szCs w:val="21"/>
                      <w:lang w:eastAsia="zh-CN"/>
                    </w:rPr>
                    <w:t>台</w:t>
                  </w:r>
                </w:p>
              </w:tc>
              <w:tc>
                <w:tcPr>
                  <w:tcW w:w="1992" w:type="dxa"/>
                  <w:noWrap w:val="0"/>
                  <w:vAlign w:val="center"/>
                </w:tcPr>
                <w:p w14:paraId="07BE3827">
                  <w:pPr>
                    <w:widowControl/>
                    <w:jc w:val="center"/>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磨粉工序</w:t>
                  </w:r>
                </w:p>
              </w:tc>
            </w:tr>
            <w:tr w14:paraId="20AB3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90" w:type="dxa"/>
                  <w:noWrap w:val="0"/>
                  <w:vAlign w:val="center"/>
                </w:tcPr>
                <w:p w14:paraId="28C164DE">
                  <w:pPr>
                    <w:widowControl/>
                    <w:jc w:val="center"/>
                    <w:rPr>
                      <w:rFonts w:hint="eastAsia" w:ascii="Times New Roman" w:hAnsi="Times New Roman" w:eastAsia="宋体" w:cs="Times New Roman"/>
                      <w:b w:val="0"/>
                      <w:bCs w:val="0"/>
                      <w:color w:val="auto"/>
                      <w:kern w:val="0"/>
                      <w:sz w:val="21"/>
                      <w:szCs w:val="21"/>
                      <w:lang w:eastAsia="zh-CN"/>
                    </w:rPr>
                  </w:pPr>
                  <w:r>
                    <w:rPr>
                      <w:rFonts w:hint="eastAsia" w:cs="Times New Roman"/>
                      <w:color w:val="auto"/>
                      <w:kern w:val="0"/>
                      <w:szCs w:val="21"/>
                      <w:lang w:val="en-US" w:eastAsia="zh-CN"/>
                    </w:rPr>
                    <w:t>4</w:t>
                  </w:r>
                </w:p>
              </w:tc>
              <w:tc>
                <w:tcPr>
                  <w:tcW w:w="1702" w:type="dxa"/>
                  <w:noWrap w:val="0"/>
                  <w:vAlign w:val="center"/>
                </w:tcPr>
                <w:p w14:paraId="4E632857">
                  <w:pPr>
                    <w:widowControl/>
                    <w:jc w:val="center"/>
                    <w:rPr>
                      <w:rFonts w:hint="eastAsia" w:ascii="Times New Roman" w:hAnsi="Times New Roman" w:eastAsia="宋体" w:cs="Times New Roman"/>
                      <w:b w:val="0"/>
                      <w:bCs w:val="0"/>
                      <w:color w:val="auto"/>
                      <w:kern w:val="0"/>
                      <w:sz w:val="21"/>
                      <w:szCs w:val="21"/>
                      <w:lang w:eastAsia="zh-CN"/>
                    </w:rPr>
                  </w:pPr>
                  <w:r>
                    <w:rPr>
                      <w:rFonts w:hint="eastAsia" w:cs="Times New Roman"/>
                      <w:color w:val="auto"/>
                      <w:kern w:val="0"/>
                      <w:szCs w:val="21"/>
                      <w:lang w:eastAsia="zh-CN"/>
                    </w:rPr>
                    <w:t>挤出机</w:t>
                  </w:r>
                </w:p>
              </w:tc>
              <w:tc>
                <w:tcPr>
                  <w:tcW w:w="1971" w:type="dxa"/>
                  <w:noWrap w:val="0"/>
                  <w:vAlign w:val="center"/>
                </w:tcPr>
                <w:p w14:paraId="559E334E">
                  <w:pPr>
                    <w:widowControl/>
                    <w:jc w:val="center"/>
                    <w:rPr>
                      <w:rFonts w:hint="default" w:cs="Times New Roman"/>
                      <w:color w:val="auto"/>
                      <w:kern w:val="0"/>
                      <w:szCs w:val="21"/>
                      <w:lang w:val="en-US" w:eastAsia="zh-CN"/>
                    </w:rPr>
                  </w:pPr>
                  <w:r>
                    <w:rPr>
                      <w:rFonts w:hint="eastAsia" w:cs="Times New Roman"/>
                      <w:color w:val="auto"/>
                      <w:kern w:val="0"/>
                      <w:szCs w:val="21"/>
                      <w:lang w:val="en-US" w:eastAsia="zh-CN"/>
                    </w:rPr>
                    <w:t>SZ65</w:t>
                  </w:r>
                </w:p>
              </w:tc>
              <w:tc>
                <w:tcPr>
                  <w:tcW w:w="1000" w:type="dxa"/>
                  <w:noWrap w:val="0"/>
                  <w:vAlign w:val="center"/>
                </w:tcPr>
                <w:p w14:paraId="46C2E269">
                  <w:pPr>
                    <w:widowControl/>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Cs w:val="21"/>
                      <w:lang w:val="en-US" w:eastAsia="zh-CN"/>
                    </w:rPr>
                    <w:t>10</w:t>
                  </w:r>
                </w:p>
              </w:tc>
              <w:tc>
                <w:tcPr>
                  <w:tcW w:w="1188" w:type="dxa"/>
                  <w:noWrap w:val="0"/>
                  <w:vAlign w:val="center"/>
                </w:tcPr>
                <w:p w14:paraId="378D0E92">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Cs w:val="21"/>
                    </w:rPr>
                    <w:t>台</w:t>
                  </w:r>
                </w:p>
              </w:tc>
              <w:tc>
                <w:tcPr>
                  <w:tcW w:w="1992" w:type="dxa"/>
                  <w:noWrap w:val="0"/>
                  <w:vAlign w:val="top"/>
                </w:tcPr>
                <w:p w14:paraId="10473053">
                  <w:pPr>
                    <w:jc w:val="center"/>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挤出工序</w:t>
                  </w:r>
                </w:p>
              </w:tc>
            </w:tr>
            <w:tr w14:paraId="582F1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790" w:type="dxa"/>
                  <w:noWrap w:val="0"/>
                  <w:vAlign w:val="center"/>
                </w:tcPr>
                <w:p w14:paraId="5B35CD9C">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Cs w:val="21"/>
                    </w:rPr>
                    <w:t>5</w:t>
                  </w:r>
                </w:p>
              </w:tc>
              <w:tc>
                <w:tcPr>
                  <w:tcW w:w="1702" w:type="dxa"/>
                  <w:noWrap w:val="0"/>
                  <w:vAlign w:val="center"/>
                </w:tcPr>
                <w:p w14:paraId="09D02B85">
                  <w:pPr>
                    <w:widowControl/>
                    <w:jc w:val="center"/>
                    <w:rPr>
                      <w:rFonts w:hint="eastAsia" w:ascii="Times New Roman" w:hAnsi="Times New Roman" w:eastAsia="宋体" w:cs="Times New Roman"/>
                      <w:color w:val="auto"/>
                      <w:kern w:val="0"/>
                      <w:sz w:val="21"/>
                      <w:szCs w:val="21"/>
                      <w:lang w:eastAsia="zh-CN"/>
                    </w:rPr>
                  </w:pPr>
                  <w:r>
                    <w:rPr>
                      <w:rFonts w:hint="eastAsia" w:cs="Times New Roman"/>
                      <w:color w:val="auto"/>
                      <w:kern w:val="0"/>
                      <w:szCs w:val="21"/>
                      <w:lang w:eastAsia="zh-CN"/>
                    </w:rPr>
                    <w:t>冷却定型装置</w:t>
                  </w:r>
                </w:p>
              </w:tc>
              <w:tc>
                <w:tcPr>
                  <w:tcW w:w="1971" w:type="dxa"/>
                  <w:noWrap w:val="0"/>
                  <w:vAlign w:val="center"/>
                </w:tcPr>
                <w:p w14:paraId="40D42559">
                  <w:pPr>
                    <w:widowControl/>
                    <w:jc w:val="center"/>
                    <w:rPr>
                      <w:rFonts w:hint="eastAsia" w:cs="Times New Roman"/>
                      <w:color w:val="auto"/>
                      <w:kern w:val="0"/>
                      <w:szCs w:val="21"/>
                      <w:lang w:eastAsia="zh-CN"/>
                    </w:rPr>
                  </w:pPr>
                  <w:r>
                    <w:rPr>
                      <w:rFonts w:hint="eastAsia" w:cs="Times New Roman"/>
                      <w:color w:val="auto"/>
                      <w:kern w:val="0"/>
                      <w:szCs w:val="21"/>
                      <w:lang w:val="en-US" w:eastAsia="zh-CN"/>
                    </w:rPr>
                    <w:t>SZ65</w:t>
                  </w:r>
                </w:p>
              </w:tc>
              <w:tc>
                <w:tcPr>
                  <w:tcW w:w="1000" w:type="dxa"/>
                  <w:noWrap w:val="0"/>
                  <w:vAlign w:val="center"/>
                </w:tcPr>
                <w:p w14:paraId="2F1AB255">
                  <w:pPr>
                    <w:widowControl/>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Cs w:val="21"/>
                      <w:lang w:val="en-US" w:eastAsia="zh-CN"/>
                    </w:rPr>
                    <w:t>10</w:t>
                  </w:r>
                </w:p>
              </w:tc>
              <w:tc>
                <w:tcPr>
                  <w:tcW w:w="1188" w:type="dxa"/>
                  <w:noWrap w:val="0"/>
                  <w:vAlign w:val="center"/>
                </w:tcPr>
                <w:p w14:paraId="2F370A2F">
                  <w:pPr>
                    <w:widowControl/>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Cs w:val="21"/>
                    </w:rPr>
                    <w:t>台</w:t>
                  </w:r>
                </w:p>
              </w:tc>
              <w:tc>
                <w:tcPr>
                  <w:tcW w:w="1992" w:type="dxa"/>
                  <w:noWrap w:val="0"/>
                  <w:vAlign w:val="top"/>
                </w:tcPr>
                <w:p w14:paraId="77319D1C">
                  <w:pPr>
                    <w:jc w:val="center"/>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冷却定型工序</w:t>
                  </w:r>
                </w:p>
              </w:tc>
            </w:tr>
            <w:tr w14:paraId="2E09B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90" w:type="dxa"/>
                  <w:noWrap w:val="0"/>
                  <w:vAlign w:val="center"/>
                </w:tcPr>
                <w:p w14:paraId="1669A84B">
                  <w:pPr>
                    <w:widowControl/>
                    <w:jc w:val="center"/>
                    <w:rPr>
                      <w:rFonts w:hint="eastAsia" w:cs="Times New Roman"/>
                      <w:color w:val="auto"/>
                      <w:kern w:val="0"/>
                      <w:szCs w:val="21"/>
                      <w:lang w:val="en-US" w:eastAsia="zh-CN"/>
                    </w:rPr>
                  </w:pPr>
                  <w:r>
                    <w:rPr>
                      <w:rFonts w:hint="eastAsia" w:cs="Times New Roman"/>
                      <w:color w:val="auto"/>
                      <w:kern w:val="0"/>
                      <w:szCs w:val="21"/>
                      <w:lang w:val="en-US" w:eastAsia="zh-CN"/>
                    </w:rPr>
                    <w:t>6</w:t>
                  </w:r>
                </w:p>
              </w:tc>
              <w:tc>
                <w:tcPr>
                  <w:tcW w:w="1702" w:type="dxa"/>
                  <w:noWrap w:val="0"/>
                  <w:vAlign w:val="center"/>
                </w:tcPr>
                <w:p w14:paraId="2485A04C">
                  <w:pPr>
                    <w:widowControl/>
                    <w:jc w:val="center"/>
                    <w:rPr>
                      <w:rFonts w:hint="eastAsia" w:cs="Times New Roman"/>
                      <w:color w:val="auto"/>
                      <w:kern w:val="0"/>
                      <w:szCs w:val="21"/>
                      <w:lang w:eastAsia="zh-CN"/>
                    </w:rPr>
                  </w:pPr>
                  <w:r>
                    <w:rPr>
                      <w:rFonts w:hint="eastAsia" w:cs="Times New Roman"/>
                      <w:color w:val="auto"/>
                      <w:kern w:val="0"/>
                      <w:szCs w:val="21"/>
                      <w:lang w:eastAsia="zh-CN"/>
                    </w:rPr>
                    <w:t>真空泵</w:t>
                  </w:r>
                </w:p>
              </w:tc>
              <w:tc>
                <w:tcPr>
                  <w:tcW w:w="1971" w:type="dxa"/>
                  <w:noWrap w:val="0"/>
                  <w:vAlign w:val="center"/>
                </w:tcPr>
                <w:p w14:paraId="1F078C89">
                  <w:pPr>
                    <w:widowControl/>
                    <w:jc w:val="center"/>
                    <w:rPr>
                      <w:rFonts w:hint="default" w:cs="Times New Roman"/>
                      <w:color w:val="auto"/>
                      <w:kern w:val="0"/>
                      <w:szCs w:val="21"/>
                      <w:lang w:val="en-US" w:eastAsia="zh-CN"/>
                    </w:rPr>
                  </w:pPr>
                  <w:r>
                    <w:rPr>
                      <w:rFonts w:hint="eastAsia" w:cs="Times New Roman"/>
                      <w:color w:val="auto"/>
                      <w:kern w:val="0"/>
                      <w:szCs w:val="21"/>
                      <w:lang w:val="en-US" w:eastAsia="zh-CN"/>
                    </w:rPr>
                    <w:t>/</w:t>
                  </w:r>
                </w:p>
              </w:tc>
              <w:tc>
                <w:tcPr>
                  <w:tcW w:w="1000" w:type="dxa"/>
                  <w:noWrap w:val="0"/>
                  <w:vAlign w:val="center"/>
                </w:tcPr>
                <w:p w14:paraId="2A73B40B">
                  <w:pPr>
                    <w:widowControl/>
                    <w:jc w:val="center"/>
                    <w:rPr>
                      <w:rFonts w:hint="default" w:cs="Times New Roman"/>
                      <w:color w:val="auto"/>
                      <w:kern w:val="0"/>
                      <w:szCs w:val="21"/>
                      <w:lang w:val="en-US" w:eastAsia="zh-CN"/>
                    </w:rPr>
                  </w:pPr>
                  <w:r>
                    <w:rPr>
                      <w:rFonts w:hint="eastAsia" w:cs="Times New Roman"/>
                      <w:color w:val="auto"/>
                      <w:kern w:val="0"/>
                      <w:szCs w:val="21"/>
                      <w:lang w:val="en-US" w:eastAsia="zh-CN"/>
                    </w:rPr>
                    <w:t>10</w:t>
                  </w:r>
                </w:p>
              </w:tc>
              <w:tc>
                <w:tcPr>
                  <w:tcW w:w="1188" w:type="dxa"/>
                  <w:noWrap w:val="0"/>
                  <w:vAlign w:val="center"/>
                </w:tcPr>
                <w:p w14:paraId="706BD5E8">
                  <w:pPr>
                    <w:widowControl/>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台</w:t>
                  </w:r>
                </w:p>
              </w:tc>
              <w:tc>
                <w:tcPr>
                  <w:tcW w:w="1992" w:type="dxa"/>
                  <w:noWrap w:val="0"/>
                  <w:vAlign w:val="top"/>
                </w:tcPr>
                <w:p w14:paraId="503DC51C">
                  <w:pPr>
                    <w:jc w:val="center"/>
                    <w:rPr>
                      <w:rFonts w:hint="eastAsia" w:cs="Times New Roman"/>
                      <w:color w:val="auto"/>
                      <w:kern w:val="0"/>
                      <w:sz w:val="21"/>
                      <w:szCs w:val="21"/>
                      <w:highlight w:val="none"/>
                      <w:lang w:eastAsia="zh-CN"/>
                    </w:rPr>
                  </w:pPr>
                  <w:r>
                    <w:rPr>
                      <w:rFonts w:hint="eastAsia" w:cs="Times New Roman"/>
                      <w:color w:val="auto"/>
                      <w:kern w:val="0"/>
                      <w:sz w:val="21"/>
                      <w:szCs w:val="21"/>
                      <w:highlight w:val="none"/>
                      <w:lang w:eastAsia="zh-CN"/>
                    </w:rPr>
                    <w:t>干燥工序（吸水）</w:t>
                  </w:r>
                </w:p>
              </w:tc>
            </w:tr>
            <w:tr w14:paraId="27D23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790" w:type="dxa"/>
                  <w:noWrap w:val="0"/>
                  <w:vAlign w:val="center"/>
                </w:tcPr>
                <w:p w14:paraId="49614D6A">
                  <w:pPr>
                    <w:widowControl/>
                    <w:jc w:val="center"/>
                    <w:rPr>
                      <w:rFonts w:hint="eastAsia" w:ascii="Times New Roman" w:hAnsi="Times New Roman" w:eastAsia="宋体" w:cs="Times New Roman"/>
                      <w:color w:val="auto"/>
                      <w:kern w:val="0"/>
                      <w:sz w:val="21"/>
                      <w:szCs w:val="21"/>
                      <w:lang w:eastAsia="zh-CN"/>
                    </w:rPr>
                  </w:pPr>
                  <w:r>
                    <w:rPr>
                      <w:rFonts w:hint="eastAsia" w:cs="Times New Roman"/>
                      <w:color w:val="auto"/>
                      <w:kern w:val="0"/>
                      <w:szCs w:val="21"/>
                      <w:lang w:val="en-US" w:eastAsia="zh-CN"/>
                    </w:rPr>
                    <w:t>7</w:t>
                  </w:r>
                </w:p>
              </w:tc>
              <w:tc>
                <w:tcPr>
                  <w:tcW w:w="1702" w:type="dxa"/>
                  <w:noWrap w:val="0"/>
                  <w:vAlign w:val="center"/>
                </w:tcPr>
                <w:p w14:paraId="3ED3325D">
                  <w:pPr>
                    <w:widowControl/>
                    <w:jc w:val="center"/>
                    <w:rPr>
                      <w:rFonts w:hint="eastAsia" w:ascii="Times New Roman" w:hAnsi="Times New Roman" w:eastAsia="宋体" w:cs="Times New Roman"/>
                      <w:color w:val="auto"/>
                      <w:kern w:val="0"/>
                      <w:sz w:val="21"/>
                      <w:szCs w:val="21"/>
                      <w:lang w:eastAsia="zh-CN"/>
                    </w:rPr>
                  </w:pPr>
                  <w:r>
                    <w:rPr>
                      <w:rFonts w:hint="eastAsia" w:cs="Times New Roman"/>
                      <w:color w:val="auto"/>
                      <w:kern w:val="0"/>
                      <w:szCs w:val="21"/>
                      <w:lang w:eastAsia="zh-CN"/>
                    </w:rPr>
                    <w:t>履带式牵引机</w:t>
                  </w:r>
                </w:p>
              </w:tc>
              <w:tc>
                <w:tcPr>
                  <w:tcW w:w="1971" w:type="dxa"/>
                  <w:noWrap w:val="0"/>
                  <w:vAlign w:val="center"/>
                </w:tcPr>
                <w:p w14:paraId="67B4666D">
                  <w:pPr>
                    <w:widowControl/>
                    <w:jc w:val="center"/>
                    <w:rPr>
                      <w:rFonts w:hint="eastAsia" w:cs="Times New Roman"/>
                      <w:color w:val="auto"/>
                      <w:kern w:val="0"/>
                      <w:szCs w:val="21"/>
                      <w:lang w:eastAsia="zh-CN"/>
                    </w:rPr>
                  </w:pPr>
                  <w:r>
                    <w:rPr>
                      <w:rFonts w:hint="eastAsia" w:cs="Times New Roman"/>
                      <w:color w:val="auto"/>
                      <w:kern w:val="0"/>
                      <w:szCs w:val="21"/>
                      <w:lang w:val="en-US" w:eastAsia="zh-CN"/>
                    </w:rPr>
                    <w:t>SZ65</w:t>
                  </w:r>
                </w:p>
              </w:tc>
              <w:tc>
                <w:tcPr>
                  <w:tcW w:w="1000" w:type="dxa"/>
                  <w:noWrap w:val="0"/>
                  <w:vAlign w:val="center"/>
                </w:tcPr>
                <w:p w14:paraId="01365FC5">
                  <w:pPr>
                    <w:widowControl/>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Cs w:val="21"/>
                      <w:highlight w:val="none"/>
                      <w:lang w:val="en-US" w:eastAsia="zh-CN"/>
                    </w:rPr>
                    <w:t>10</w:t>
                  </w:r>
                </w:p>
              </w:tc>
              <w:tc>
                <w:tcPr>
                  <w:tcW w:w="1188" w:type="dxa"/>
                  <w:noWrap w:val="0"/>
                  <w:vAlign w:val="center"/>
                </w:tcPr>
                <w:p w14:paraId="30807CE2">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Cs w:val="21"/>
                      <w:highlight w:val="none"/>
                    </w:rPr>
                    <w:t>台</w:t>
                  </w:r>
                </w:p>
              </w:tc>
              <w:tc>
                <w:tcPr>
                  <w:tcW w:w="1992" w:type="dxa"/>
                  <w:noWrap w:val="0"/>
                  <w:vAlign w:val="top"/>
                </w:tcPr>
                <w:p w14:paraId="13072E19">
                  <w:pPr>
                    <w:jc w:val="center"/>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牵引工序</w:t>
                  </w:r>
                </w:p>
              </w:tc>
            </w:tr>
            <w:tr w14:paraId="1D384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90" w:type="dxa"/>
                  <w:noWrap w:val="0"/>
                  <w:vAlign w:val="center"/>
                </w:tcPr>
                <w:p w14:paraId="6AC8944F">
                  <w:pPr>
                    <w:widowControl/>
                    <w:jc w:val="center"/>
                    <w:rPr>
                      <w:rFonts w:hint="eastAsia" w:ascii="Times New Roman" w:hAnsi="Times New Roman" w:eastAsia="宋体" w:cs="Times New Roman"/>
                      <w:color w:val="auto"/>
                      <w:kern w:val="0"/>
                      <w:sz w:val="21"/>
                      <w:szCs w:val="21"/>
                      <w:lang w:eastAsia="zh-CN"/>
                    </w:rPr>
                  </w:pPr>
                  <w:r>
                    <w:rPr>
                      <w:rFonts w:hint="eastAsia" w:cs="Times New Roman"/>
                      <w:color w:val="auto"/>
                      <w:kern w:val="0"/>
                      <w:szCs w:val="21"/>
                      <w:lang w:val="en-US" w:eastAsia="zh-CN"/>
                    </w:rPr>
                    <w:t>8</w:t>
                  </w:r>
                </w:p>
              </w:tc>
              <w:tc>
                <w:tcPr>
                  <w:tcW w:w="1702" w:type="dxa"/>
                  <w:noWrap w:val="0"/>
                  <w:vAlign w:val="center"/>
                </w:tcPr>
                <w:p w14:paraId="482BD764">
                  <w:pPr>
                    <w:widowControl/>
                    <w:jc w:val="center"/>
                    <w:rPr>
                      <w:rFonts w:hint="eastAsia" w:ascii="Times New Roman" w:hAnsi="Times New Roman" w:eastAsia="宋体" w:cs="Times New Roman"/>
                      <w:color w:val="auto"/>
                      <w:kern w:val="0"/>
                      <w:sz w:val="21"/>
                      <w:szCs w:val="21"/>
                      <w:lang w:eastAsia="zh-CN"/>
                    </w:rPr>
                  </w:pPr>
                  <w:r>
                    <w:rPr>
                      <w:rFonts w:hint="eastAsia" w:cs="Times New Roman"/>
                      <w:color w:val="auto"/>
                      <w:kern w:val="0"/>
                      <w:sz w:val="21"/>
                      <w:szCs w:val="21"/>
                      <w:lang w:eastAsia="zh-CN"/>
                    </w:rPr>
                    <w:t>板材切割机</w:t>
                  </w:r>
                </w:p>
              </w:tc>
              <w:tc>
                <w:tcPr>
                  <w:tcW w:w="1971" w:type="dxa"/>
                  <w:noWrap w:val="0"/>
                  <w:vAlign w:val="center"/>
                </w:tcPr>
                <w:p w14:paraId="25A3277F">
                  <w:pPr>
                    <w:widowControl/>
                    <w:jc w:val="center"/>
                    <w:rPr>
                      <w:rFonts w:hint="eastAsia" w:cs="Times New Roman"/>
                      <w:color w:val="auto"/>
                      <w:kern w:val="0"/>
                      <w:sz w:val="21"/>
                      <w:szCs w:val="21"/>
                      <w:lang w:eastAsia="zh-CN"/>
                    </w:rPr>
                  </w:pPr>
                  <w:r>
                    <w:rPr>
                      <w:rFonts w:hint="eastAsia" w:cs="Times New Roman"/>
                      <w:color w:val="auto"/>
                      <w:kern w:val="0"/>
                      <w:szCs w:val="21"/>
                      <w:lang w:val="en-US" w:eastAsia="zh-CN"/>
                    </w:rPr>
                    <w:t>SZ65</w:t>
                  </w:r>
                </w:p>
              </w:tc>
              <w:tc>
                <w:tcPr>
                  <w:tcW w:w="1000" w:type="dxa"/>
                  <w:noWrap w:val="0"/>
                  <w:vAlign w:val="center"/>
                </w:tcPr>
                <w:p w14:paraId="1649AA72">
                  <w:pPr>
                    <w:widowControl/>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Cs w:val="21"/>
                      <w:highlight w:val="none"/>
                      <w:lang w:val="en-US" w:eastAsia="zh-CN"/>
                    </w:rPr>
                    <w:t>10</w:t>
                  </w:r>
                </w:p>
              </w:tc>
              <w:tc>
                <w:tcPr>
                  <w:tcW w:w="1188" w:type="dxa"/>
                  <w:noWrap w:val="0"/>
                  <w:vAlign w:val="center"/>
                </w:tcPr>
                <w:p w14:paraId="1AE94F6B">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Cs w:val="21"/>
                      <w:highlight w:val="none"/>
                    </w:rPr>
                    <w:t>台</w:t>
                  </w:r>
                </w:p>
              </w:tc>
              <w:tc>
                <w:tcPr>
                  <w:tcW w:w="1992" w:type="dxa"/>
                  <w:noWrap w:val="0"/>
                  <w:vAlign w:val="top"/>
                </w:tcPr>
                <w:p w14:paraId="549BFDCB">
                  <w:pPr>
                    <w:jc w:val="center"/>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切割工序</w:t>
                  </w:r>
                </w:p>
              </w:tc>
            </w:tr>
            <w:tr w14:paraId="674D2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90" w:type="dxa"/>
                  <w:noWrap w:val="0"/>
                  <w:vAlign w:val="center"/>
                </w:tcPr>
                <w:p w14:paraId="2BBF0554">
                  <w:pPr>
                    <w:widowControl/>
                    <w:jc w:val="center"/>
                    <w:rPr>
                      <w:rFonts w:hint="eastAsia"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9</w:t>
                  </w:r>
                </w:p>
              </w:tc>
              <w:tc>
                <w:tcPr>
                  <w:tcW w:w="1702" w:type="dxa"/>
                  <w:noWrap w:val="0"/>
                  <w:vAlign w:val="center"/>
                </w:tcPr>
                <w:p w14:paraId="46798C07">
                  <w:pPr>
                    <w:widowControl/>
                    <w:jc w:val="center"/>
                    <w:rPr>
                      <w:rFonts w:hint="eastAsia" w:cs="Times New Roman"/>
                      <w:color w:val="auto"/>
                      <w:kern w:val="0"/>
                      <w:sz w:val="21"/>
                      <w:szCs w:val="21"/>
                      <w:lang w:eastAsia="zh-CN"/>
                    </w:rPr>
                  </w:pPr>
                  <w:r>
                    <w:rPr>
                      <w:rFonts w:hint="eastAsia" w:cs="Times New Roman"/>
                      <w:color w:val="auto"/>
                      <w:kern w:val="0"/>
                      <w:sz w:val="21"/>
                      <w:szCs w:val="21"/>
                      <w:lang w:eastAsia="zh-CN"/>
                    </w:rPr>
                    <w:t>覆膜机</w:t>
                  </w:r>
                </w:p>
              </w:tc>
              <w:tc>
                <w:tcPr>
                  <w:tcW w:w="1971" w:type="dxa"/>
                  <w:noWrap w:val="0"/>
                  <w:vAlign w:val="center"/>
                </w:tcPr>
                <w:p w14:paraId="55382A2A">
                  <w:pPr>
                    <w:widowControl/>
                    <w:jc w:val="center"/>
                    <w:rPr>
                      <w:rFonts w:hint="eastAsia" w:cs="Times New Roman"/>
                      <w:color w:val="auto"/>
                      <w:kern w:val="0"/>
                      <w:sz w:val="21"/>
                      <w:szCs w:val="21"/>
                      <w:lang w:eastAsia="zh-CN"/>
                    </w:rPr>
                  </w:pPr>
                  <w:r>
                    <w:rPr>
                      <w:rFonts w:hint="eastAsia" w:cs="Times New Roman"/>
                      <w:color w:val="auto"/>
                      <w:kern w:val="0"/>
                      <w:szCs w:val="21"/>
                      <w:lang w:val="en-US" w:eastAsia="zh-CN"/>
                    </w:rPr>
                    <w:t>SZ65</w:t>
                  </w:r>
                </w:p>
              </w:tc>
              <w:tc>
                <w:tcPr>
                  <w:tcW w:w="1000" w:type="dxa"/>
                  <w:noWrap w:val="0"/>
                  <w:vAlign w:val="center"/>
                </w:tcPr>
                <w:p w14:paraId="6DEF419C">
                  <w:pPr>
                    <w:widowControl/>
                    <w:jc w:val="center"/>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10</w:t>
                  </w:r>
                </w:p>
              </w:tc>
              <w:tc>
                <w:tcPr>
                  <w:tcW w:w="1188" w:type="dxa"/>
                  <w:noWrap w:val="0"/>
                  <w:vAlign w:val="center"/>
                </w:tcPr>
                <w:p w14:paraId="03EFEE90">
                  <w:pPr>
                    <w:widowControl/>
                    <w:jc w:val="center"/>
                    <w:rPr>
                      <w:rFonts w:hint="eastAsia"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eastAsia="zh-CN"/>
                    </w:rPr>
                    <w:t>台</w:t>
                  </w:r>
                </w:p>
              </w:tc>
              <w:tc>
                <w:tcPr>
                  <w:tcW w:w="1992" w:type="dxa"/>
                  <w:noWrap w:val="0"/>
                  <w:vAlign w:val="top"/>
                </w:tcPr>
                <w:p w14:paraId="4D2471E7">
                  <w:pPr>
                    <w:jc w:val="center"/>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覆膜工序</w:t>
                  </w:r>
                </w:p>
              </w:tc>
            </w:tr>
            <w:tr w14:paraId="290D6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90" w:type="dxa"/>
                  <w:noWrap w:val="0"/>
                  <w:vAlign w:val="center"/>
                </w:tcPr>
                <w:p w14:paraId="21A53ED0">
                  <w:pPr>
                    <w:widowControl/>
                    <w:jc w:val="center"/>
                    <w:rPr>
                      <w:rFonts w:hint="eastAsia" w:ascii="Times New Roman" w:hAnsi="Times New Roman" w:eastAsia="宋体" w:cs="Times New Roman"/>
                      <w:color w:val="auto"/>
                      <w:kern w:val="0"/>
                      <w:sz w:val="21"/>
                      <w:szCs w:val="21"/>
                      <w:lang w:eastAsia="zh-CN"/>
                    </w:rPr>
                  </w:pPr>
                  <w:r>
                    <w:rPr>
                      <w:rFonts w:hint="eastAsia" w:cs="Times New Roman"/>
                      <w:color w:val="auto"/>
                      <w:kern w:val="0"/>
                      <w:szCs w:val="21"/>
                      <w:lang w:val="en-US" w:eastAsia="zh-CN"/>
                    </w:rPr>
                    <w:t>10</w:t>
                  </w:r>
                </w:p>
              </w:tc>
              <w:tc>
                <w:tcPr>
                  <w:tcW w:w="1702" w:type="dxa"/>
                  <w:noWrap w:val="0"/>
                  <w:vAlign w:val="center"/>
                </w:tcPr>
                <w:p w14:paraId="60043EA4">
                  <w:pPr>
                    <w:widowControl/>
                    <w:jc w:val="center"/>
                    <w:rPr>
                      <w:rFonts w:hint="eastAsia" w:ascii="Times New Roman" w:hAnsi="Times New Roman" w:eastAsia="宋体" w:cs="Times New Roman"/>
                      <w:color w:val="auto"/>
                      <w:kern w:val="0"/>
                      <w:sz w:val="21"/>
                      <w:szCs w:val="21"/>
                      <w:lang w:eastAsia="zh-CN"/>
                    </w:rPr>
                  </w:pPr>
                  <w:r>
                    <w:rPr>
                      <w:rFonts w:hint="eastAsia" w:cs="Times New Roman"/>
                      <w:color w:val="auto"/>
                      <w:kern w:val="0"/>
                      <w:szCs w:val="21"/>
                      <w:lang w:eastAsia="zh-CN"/>
                    </w:rPr>
                    <w:t>空压机</w:t>
                  </w:r>
                </w:p>
              </w:tc>
              <w:tc>
                <w:tcPr>
                  <w:tcW w:w="1971" w:type="dxa"/>
                  <w:noWrap w:val="0"/>
                  <w:vAlign w:val="center"/>
                </w:tcPr>
                <w:p w14:paraId="6955B399">
                  <w:pPr>
                    <w:widowControl/>
                    <w:jc w:val="center"/>
                    <w:rPr>
                      <w:rFonts w:hint="default" w:cs="Times New Roman"/>
                      <w:color w:val="auto"/>
                      <w:kern w:val="0"/>
                      <w:szCs w:val="21"/>
                      <w:lang w:val="en-US" w:eastAsia="zh-CN"/>
                    </w:rPr>
                  </w:pPr>
                  <w:r>
                    <w:rPr>
                      <w:rFonts w:hint="eastAsia" w:cs="Times New Roman"/>
                      <w:color w:val="auto"/>
                      <w:kern w:val="0"/>
                      <w:szCs w:val="21"/>
                      <w:lang w:val="en-US" w:eastAsia="zh-CN"/>
                    </w:rPr>
                    <w:t>BMVF15</w:t>
                  </w:r>
                </w:p>
              </w:tc>
              <w:tc>
                <w:tcPr>
                  <w:tcW w:w="1000" w:type="dxa"/>
                  <w:noWrap w:val="0"/>
                  <w:vAlign w:val="center"/>
                </w:tcPr>
                <w:p w14:paraId="14868CEA">
                  <w:pPr>
                    <w:widowControl/>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1188" w:type="dxa"/>
                  <w:noWrap w:val="0"/>
                  <w:vAlign w:val="center"/>
                </w:tcPr>
                <w:p w14:paraId="6F24A8E2">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Cs w:val="21"/>
                      <w:highlight w:val="none"/>
                    </w:rPr>
                    <w:t>台</w:t>
                  </w:r>
                </w:p>
              </w:tc>
              <w:tc>
                <w:tcPr>
                  <w:tcW w:w="1992" w:type="dxa"/>
                  <w:noWrap w:val="0"/>
                  <w:vAlign w:val="top"/>
                </w:tcPr>
                <w:p w14:paraId="243DFA97">
                  <w:pPr>
                    <w:jc w:val="center"/>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14:paraId="771AB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90" w:type="dxa"/>
                  <w:noWrap w:val="0"/>
                  <w:vAlign w:val="center"/>
                </w:tcPr>
                <w:p w14:paraId="4ADEEC48">
                  <w:pPr>
                    <w:widowControl/>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Cs w:val="21"/>
                      <w:lang w:val="en-US" w:eastAsia="zh-CN"/>
                    </w:rPr>
                    <w:t>11</w:t>
                  </w:r>
                </w:p>
              </w:tc>
              <w:tc>
                <w:tcPr>
                  <w:tcW w:w="1702" w:type="dxa"/>
                  <w:noWrap w:val="0"/>
                  <w:vAlign w:val="center"/>
                </w:tcPr>
                <w:p w14:paraId="229A2B05">
                  <w:pPr>
                    <w:widowControl/>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eastAsia="zh-CN"/>
                    </w:rPr>
                    <w:t>冷却水池及冷却塔</w:t>
                  </w:r>
                </w:p>
              </w:tc>
              <w:tc>
                <w:tcPr>
                  <w:tcW w:w="1971" w:type="dxa"/>
                  <w:noWrap w:val="0"/>
                  <w:vAlign w:val="center"/>
                </w:tcPr>
                <w:p w14:paraId="441B41FF">
                  <w:pPr>
                    <w:widowControl/>
                    <w:jc w:val="center"/>
                    <w:rPr>
                      <w:rFonts w:hint="default" w:cs="Times New Roman"/>
                      <w:color w:val="auto"/>
                      <w:kern w:val="0"/>
                      <w:sz w:val="21"/>
                      <w:szCs w:val="21"/>
                      <w:vertAlign w:val="baseline"/>
                      <w:lang w:val="en-US" w:eastAsia="zh-CN"/>
                    </w:rPr>
                  </w:pPr>
                  <w:r>
                    <w:rPr>
                      <w:rFonts w:hint="eastAsia" w:cs="Times New Roman"/>
                      <w:color w:val="auto"/>
                      <w:kern w:val="0"/>
                      <w:sz w:val="21"/>
                      <w:szCs w:val="21"/>
                      <w:lang w:val="en-US" w:eastAsia="zh-CN"/>
                    </w:rPr>
                    <w:t>24m</w:t>
                  </w:r>
                  <w:r>
                    <w:rPr>
                      <w:rFonts w:hint="eastAsia" w:cs="Times New Roman"/>
                      <w:color w:val="auto"/>
                      <w:kern w:val="0"/>
                      <w:sz w:val="21"/>
                      <w:szCs w:val="21"/>
                      <w:vertAlign w:val="superscript"/>
                      <w:lang w:val="en-US" w:eastAsia="zh-CN"/>
                    </w:rPr>
                    <w:t>3</w:t>
                  </w:r>
                </w:p>
              </w:tc>
              <w:tc>
                <w:tcPr>
                  <w:tcW w:w="1000" w:type="dxa"/>
                  <w:noWrap w:val="0"/>
                  <w:vAlign w:val="center"/>
                </w:tcPr>
                <w:p w14:paraId="4CBBF30F">
                  <w:pPr>
                    <w:widowControl/>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w:t>
                  </w:r>
                </w:p>
              </w:tc>
              <w:tc>
                <w:tcPr>
                  <w:tcW w:w="1188" w:type="dxa"/>
                  <w:noWrap w:val="0"/>
                  <w:vAlign w:val="center"/>
                </w:tcPr>
                <w:p w14:paraId="5755994F">
                  <w:pPr>
                    <w:widowControl/>
                    <w:jc w:val="center"/>
                    <w:rPr>
                      <w:rFonts w:hint="eastAsia" w:ascii="Times New Roman" w:hAnsi="Times New Roman" w:eastAsia="宋体" w:cs="Times New Roman"/>
                      <w:color w:val="auto"/>
                      <w:kern w:val="0"/>
                      <w:sz w:val="21"/>
                      <w:szCs w:val="21"/>
                      <w:lang w:eastAsia="zh-CN"/>
                    </w:rPr>
                  </w:pPr>
                  <w:r>
                    <w:rPr>
                      <w:rFonts w:hint="eastAsia" w:cs="Times New Roman"/>
                      <w:color w:val="auto"/>
                      <w:kern w:val="0"/>
                      <w:sz w:val="21"/>
                      <w:szCs w:val="21"/>
                      <w:lang w:eastAsia="zh-CN"/>
                    </w:rPr>
                    <w:t>套</w:t>
                  </w:r>
                </w:p>
              </w:tc>
              <w:tc>
                <w:tcPr>
                  <w:tcW w:w="1992" w:type="dxa"/>
                  <w:noWrap w:val="0"/>
                  <w:vAlign w:val="center"/>
                </w:tcPr>
                <w:p w14:paraId="1256E519">
                  <w:pPr>
                    <w:widowControl/>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冷却工序</w:t>
                  </w:r>
                </w:p>
              </w:tc>
            </w:tr>
          </w:tbl>
          <w:p w14:paraId="068B097E">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6、劳动定员及工作制度</w:t>
            </w:r>
          </w:p>
          <w:p w14:paraId="6FEF4AB5">
            <w:pPr>
              <w:keepNext w:val="0"/>
              <w:keepLines w:val="0"/>
              <w:pageBreakBefore w:val="0"/>
              <w:widowControl w:val="0"/>
              <w:shd w:val="clear"/>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劳动定员：</w:t>
            </w:r>
            <w:r>
              <w:rPr>
                <w:rFonts w:hint="default" w:ascii="Times New Roman" w:hAnsi="Times New Roman" w:eastAsia="宋体" w:cs="Times New Roman"/>
                <w:color w:val="auto"/>
                <w:sz w:val="24"/>
                <w:szCs w:val="24"/>
                <w:highlight w:val="none"/>
              </w:rPr>
              <w:t>本项目运营期间工作人员数量为</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人，项目区</w:t>
            </w:r>
            <w:r>
              <w:rPr>
                <w:rFonts w:hint="default" w:ascii="Times New Roman" w:hAnsi="Times New Roman" w:eastAsia="宋体" w:cs="Times New Roman"/>
                <w:color w:val="auto"/>
                <w:sz w:val="24"/>
                <w:szCs w:val="24"/>
                <w:highlight w:val="none"/>
                <w:lang w:val="en-US" w:eastAsia="zh-CN"/>
              </w:rPr>
              <w:t>设置</w:t>
            </w:r>
            <w:r>
              <w:rPr>
                <w:rFonts w:hint="default" w:ascii="Times New Roman" w:hAnsi="Times New Roman" w:eastAsia="宋体" w:cs="Times New Roman"/>
                <w:color w:val="auto"/>
                <w:sz w:val="24"/>
                <w:szCs w:val="24"/>
                <w:highlight w:val="none"/>
              </w:rPr>
              <w:t>食堂及宿舍，职工均在厂区食宿。</w:t>
            </w:r>
          </w:p>
          <w:p w14:paraId="1C34D61E">
            <w:pPr>
              <w:keepNext w:val="0"/>
              <w:keepLines w:val="0"/>
              <w:pageBreakBefore w:val="0"/>
              <w:widowControl w:val="0"/>
              <w:shd w:val="clear"/>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工作制度：</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b w:val="0"/>
                <w:bCs w:val="0"/>
                <w:color w:val="auto"/>
                <w:sz w:val="24"/>
                <w:szCs w:val="24"/>
                <w:highlight w:val="none"/>
              </w:rPr>
              <w:t>工作天数300天，实行</w:t>
            </w:r>
            <w:r>
              <w:rPr>
                <w:rFonts w:hint="default" w:ascii="Times New Roman" w:hAnsi="Times New Roman" w:eastAsia="宋体" w:cs="Times New Roman"/>
                <w:b w:val="0"/>
                <w:bCs w:val="0"/>
                <w:color w:val="auto"/>
                <w:sz w:val="24"/>
                <w:szCs w:val="24"/>
                <w:highlight w:val="none"/>
                <w:lang w:val="en-US" w:eastAsia="zh-CN"/>
              </w:rPr>
              <w:t>两</w:t>
            </w:r>
            <w:r>
              <w:rPr>
                <w:rFonts w:hint="default" w:ascii="Times New Roman" w:hAnsi="Times New Roman" w:eastAsia="宋体" w:cs="Times New Roman"/>
                <w:b w:val="0"/>
                <w:bCs w:val="0"/>
                <w:color w:val="auto"/>
                <w:sz w:val="24"/>
                <w:szCs w:val="24"/>
                <w:highlight w:val="none"/>
              </w:rPr>
              <w:t>班制，每班工作</w:t>
            </w:r>
            <w:r>
              <w:rPr>
                <w:rFonts w:hint="eastAsia" w:cs="Times New Roman"/>
                <w:b w:val="0"/>
                <w:bCs w:val="0"/>
                <w:color w:val="auto"/>
                <w:sz w:val="24"/>
                <w:szCs w:val="24"/>
                <w:highlight w:val="none"/>
                <w:lang w:val="en-US" w:eastAsia="zh-CN"/>
              </w:rPr>
              <w:t>6</w:t>
            </w:r>
            <w:r>
              <w:rPr>
                <w:rFonts w:hint="default" w:ascii="Times New Roman" w:hAnsi="Times New Roman" w:eastAsia="宋体" w:cs="Times New Roman"/>
                <w:b w:val="0"/>
                <w:bCs w:val="0"/>
                <w:color w:val="auto"/>
                <w:sz w:val="24"/>
                <w:szCs w:val="24"/>
                <w:highlight w:val="none"/>
              </w:rPr>
              <w:t>小时，夜间不生产。年总生产时间为</w:t>
            </w:r>
            <w:r>
              <w:rPr>
                <w:rFonts w:hint="eastAsia" w:cs="Times New Roman"/>
                <w:b w:val="0"/>
                <w:bCs w:val="0"/>
                <w:color w:val="auto"/>
                <w:sz w:val="24"/>
                <w:szCs w:val="24"/>
                <w:highlight w:val="none"/>
                <w:lang w:val="en-US" w:eastAsia="zh-CN"/>
              </w:rPr>
              <w:t>36</w:t>
            </w:r>
            <w:r>
              <w:rPr>
                <w:rFonts w:hint="default" w:ascii="Times New Roman" w:hAnsi="Times New Roman" w:eastAsia="宋体" w:cs="Times New Roman"/>
                <w:b w:val="0"/>
                <w:bCs w:val="0"/>
                <w:color w:val="auto"/>
                <w:sz w:val="24"/>
                <w:szCs w:val="24"/>
                <w:highlight w:val="none"/>
              </w:rPr>
              <w:t>00小时</w:t>
            </w:r>
            <w:r>
              <w:rPr>
                <w:rFonts w:hint="default" w:ascii="Times New Roman" w:hAnsi="Times New Roman" w:eastAsia="宋体" w:cs="Times New Roman"/>
                <w:b w:val="0"/>
                <w:bCs w:val="0"/>
                <w:color w:val="auto"/>
                <w:sz w:val="24"/>
                <w:szCs w:val="24"/>
                <w:highlight w:val="none"/>
                <w:lang w:bidi="en-US"/>
              </w:rPr>
              <w:t>。</w:t>
            </w:r>
          </w:p>
          <w:p w14:paraId="343C19E0">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7、施工进度</w:t>
            </w:r>
          </w:p>
          <w:p w14:paraId="127A357E">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项目开发建设时段划分为两个时段，分别为施工期和运营期。</w:t>
            </w:r>
          </w:p>
          <w:p w14:paraId="50386A58">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本项目现还未动工，计划于</w:t>
            </w:r>
            <w:r>
              <w:rPr>
                <w:rFonts w:hint="default" w:ascii="Times New Roman" w:hAnsi="Times New Roman" w:eastAsia="宋体" w:cs="Times New Roman"/>
                <w:color w:val="auto"/>
                <w:sz w:val="24"/>
                <w:highlight w:val="none"/>
                <w:lang w:val="en-US" w:eastAsia="zh-CN"/>
              </w:rPr>
              <w:t>202</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5</w:t>
            </w:r>
            <w:r>
              <w:rPr>
                <w:rFonts w:hint="default" w:ascii="Times New Roman" w:hAnsi="Times New Roman" w:eastAsia="宋体" w:cs="Times New Roman"/>
                <w:color w:val="auto"/>
                <w:sz w:val="24"/>
                <w:highlight w:val="none"/>
              </w:rPr>
              <w:t>月开始进行</w:t>
            </w:r>
            <w:r>
              <w:rPr>
                <w:rFonts w:hint="default" w:ascii="Times New Roman" w:hAnsi="Times New Roman" w:eastAsia="宋体" w:cs="Times New Roman"/>
                <w:color w:val="auto"/>
                <w:sz w:val="24"/>
                <w:highlight w:val="none"/>
                <w:lang w:eastAsia="zh-CN"/>
              </w:rPr>
              <w:t>相关辅助设施的建设及</w:t>
            </w:r>
            <w:r>
              <w:rPr>
                <w:rFonts w:hint="default" w:ascii="Times New Roman" w:hAnsi="Times New Roman" w:eastAsia="宋体" w:cs="Times New Roman"/>
                <w:color w:val="auto"/>
                <w:sz w:val="24"/>
                <w:highlight w:val="none"/>
              </w:rPr>
              <w:t>设备安装</w:t>
            </w:r>
            <w:r>
              <w:rPr>
                <w:rFonts w:hint="default" w:ascii="Times New Roman" w:hAnsi="Times New Roman" w:eastAsia="宋体" w:cs="Times New Roman"/>
                <w:color w:val="auto"/>
                <w:sz w:val="24"/>
                <w:highlight w:val="none"/>
                <w:lang w:val="en-US" w:eastAsia="zh-CN"/>
              </w:rPr>
              <w:t>、环保设施施工</w:t>
            </w:r>
            <w:r>
              <w:rPr>
                <w:rFonts w:hint="default" w:ascii="Times New Roman" w:hAnsi="Times New Roman" w:eastAsia="宋体" w:cs="Times New Roman"/>
                <w:color w:val="auto"/>
                <w:sz w:val="24"/>
                <w:highlight w:val="none"/>
              </w:rPr>
              <w:t>，预计于202</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12</w:t>
            </w:r>
            <w:r>
              <w:rPr>
                <w:rFonts w:hint="default" w:ascii="Times New Roman" w:hAnsi="Times New Roman" w:eastAsia="宋体" w:cs="Times New Roman"/>
                <w:color w:val="auto"/>
                <w:sz w:val="24"/>
                <w:highlight w:val="none"/>
              </w:rPr>
              <w:t>月竣工</w:t>
            </w:r>
            <w:r>
              <w:rPr>
                <w:rFonts w:hint="default" w:ascii="Times New Roman" w:hAnsi="Times New Roman" w:eastAsia="宋体" w:cs="Times New Roman"/>
                <w:color w:val="auto"/>
                <w:sz w:val="24"/>
                <w:highlight w:val="none"/>
                <w:lang w:eastAsia="zh-CN"/>
              </w:rPr>
              <w:t>，施工期约</w:t>
            </w:r>
            <w:r>
              <w:rPr>
                <w:rFonts w:hint="eastAsia" w:cs="Times New Roman"/>
                <w:color w:val="auto"/>
                <w:sz w:val="24"/>
                <w:highlight w:val="none"/>
                <w:lang w:val="en-US" w:eastAsia="zh-CN"/>
              </w:rPr>
              <w:t>8</w:t>
            </w:r>
            <w:r>
              <w:rPr>
                <w:rFonts w:hint="default" w:ascii="Times New Roman" w:hAnsi="Times New Roman" w:eastAsia="宋体" w:cs="Times New Roman"/>
                <w:color w:val="auto"/>
                <w:sz w:val="24"/>
                <w:highlight w:val="none"/>
                <w:lang w:val="en-US" w:eastAsia="zh-CN"/>
              </w:rPr>
              <w:t>个月</w:t>
            </w:r>
            <w:r>
              <w:rPr>
                <w:rFonts w:hint="default" w:ascii="Times New Roman" w:hAnsi="Times New Roman" w:eastAsia="宋体" w:cs="Times New Roman"/>
                <w:color w:val="auto"/>
                <w:sz w:val="24"/>
                <w:highlight w:val="none"/>
              </w:rPr>
              <w:t>。</w:t>
            </w:r>
          </w:p>
          <w:p w14:paraId="59B12689">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8、环保投资</w:t>
            </w:r>
          </w:p>
          <w:p w14:paraId="05DC6AD9">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shd w:val="clear" w:color="auto" w:fill="FFFF00"/>
              </w:rPr>
            </w:pPr>
            <w:r>
              <w:rPr>
                <w:rFonts w:hint="default" w:ascii="Times New Roman" w:hAnsi="Times New Roman" w:eastAsia="宋体" w:cs="Times New Roman"/>
                <w:color w:val="auto"/>
                <w:sz w:val="24"/>
                <w:highlight w:val="none"/>
              </w:rPr>
              <w:t>项目总投资</w:t>
            </w:r>
            <w:r>
              <w:rPr>
                <w:rFonts w:hint="eastAsia" w:cs="Times New Roman"/>
                <w:color w:val="auto"/>
                <w:sz w:val="24"/>
                <w:highlight w:val="none"/>
                <w:lang w:val="en-US" w:eastAsia="zh-CN"/>
              </w:rPr>
              <w:t>26</w:t>
            </w:r>
            <w:r>
              <w:rPr>
                <w:rFonts w:hint="default" w:ascii="Times New Roman" w:hAnsi="Times New Roman" w:eastAsia="宋体" w:cs="Times New Roman"/>
                <w:color w:val="auto"/>
                <w:sz w:val="24"/>
                <w:highlight w:val="none"/>
                <w:lang w:val="en-US" w:eastAsia="zh-CN"/>
              </w:rPr>
              <w:t>00</w:t>
            </w:r>
            <w:r>
              <w:rPr>
                <w:rFonts w:hint="default" w:ascii="Times New Roman" w:hAnsi="Times New Roman" w:eastAsia="宋体" w:cs="Times New Roman"/>
                <w:color w:val="auto"/>
                <w:sz w:val="24"/>
                <w:highlight w:val="none"/>
              </w:rPr>
              <w:t>万元，</w:t>
            </w:r>
            <w:r>
              <w:rPr>
                <w:rFonts w:hint="default" w:ascii="Times New Roman" w:hAnsi="Times New Roman" w:eastAsia="宋体" w:cs="Times New Roman"/>
                <w:color w:val="auto"/>
                <w:sz w:val="24"/>
                <w:highlight w:val="none"/>
                <w:lang w:val="en-US" w:eastAsia="zh-CN"/>
              </w:rPr>
              <w:t>其中环保</w:t>
            </w:r>
            <w:r>
              <w:rPr>
                <w:rFonts w:hint="default" w:ascii="Times New Roman" w:hAnsi="Times New Roman" w:eastAsia="宋体" w:cs="Times New Roman"/>
                <w:color w:val="auto"/>
                <w:sz w:val="24"/>
                <w:highlight w:val="none"/>
              </w:rPr>
              <w:t>投资</w:t>
            </w:r>
            <w:r>
              <w:rPr>
                <w:rFonts w:hint="eastAsia" w:cs="Times New Roman"/>
                <w:color w:val="auto"/>
                <w:sz w:val="24"/>
                <w:highlight w:val="none"/>
                <w:lang w:val="en-US" w:eastAsia="zh-CN"/>
              </w:rPr>
              <w:t>36.7</w:t>
            </w:r>
            <w:r>
              <w:rPr>
                <w:rFonts w:hint="default" w:ascii="Times New Roman" w:hAnsi="Times New Roman" w:eastAsia="宋体" w:cs="Times New Roman"/>
                <w:color w:val="auto"/>
                <w:sz w:val="24"/>
                <w:highlight w:val="none"/>
              </w:rPr>
              <w:t>万元，占总投资的</w:t>
            </w:r>
            <w:r>
              <w:rPr>
                <w:rFonts w:hint="eastAsia" w:cs="Times New Roman"/>
                <w:color w:val="auto"/>
                <w:sz w:val="24"/>
                <w:highlight w:val="none"/>
                <w:lang w:val="en-US" w:eastAsia="zh-CN"/>
              </w:rPr>
              <w:t>1.41</w:t>
            </w:r>
            <w:r>
              <w:rPr>
                <w:rFonts w:hint="default" w:ascii="Times New Roman" w:hAnsi="Times New Roman" w:eastAsia="宋体" w:cs="Times New Roman"/>
                <w:color w:val="auto"/>
                <w:sz w:val="24"/>
                <w:highlight w:val="none"/>
              </w:rPr>
              <w:t>%，项目环保投资情况见表</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5</w:t>
            </w:r>
            <w:r>
              <w:rPr>
                <w:rFonts w:hint="default" w:ascii="Times New Roman" w:hAnsi="Times New Roman" w:eastAsia="宋体" w:cs="Times New Roman"/>
                <w:color w:val="auto"/>
                <w:sz w:val="24"/>
                <w:highlight w:val="none"/>
              </w:rPr>
              <w:t>。</w:t>
            </w:r>
          </w:p>
          <w:p w14:paraId="686AC331">
            <w:pPr>
              <w:pStyle w:val="3"/>
              <w:shd w:val="clear"/>
              <w:spacing w:after="0" w:line="240" w:lineRule="auto"/>
              <w:ind w:left="0" w:leftChars="0" w:firstLine="422"/>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2-</w:t>
            </w:r>
            <w:r>
              <w:rPr>
                <w:rFonts w:hint="eastAsia" w:cs="Times New Roman"/>
                <w:b/>
                <w:color w:val="auto"/>
                <w:sz w:val="21"/>
                <w:szCs w:val="21"/>
                <w:highlight w:val="none"/>
                <w:lang w:val="en-US" w:eastAsia="zh-CN"/>
              </w:rPr>
              <w:t>5</w:t>
            </w:r>
            <w:r>
              <w:rPr>
                <w:rFonts w:hint="default" w:ascii="Times New Roman" w:hAnsi="Times New Roman" w:eastAsia="宋体" w:cs="Times New Roman"/>
                <w:b/>
                <w:color w:val="auto"/>
                <w:sz w:val="21"/>
                <w:szCs w:val="21"/>
                <w:highlight w:val="none"/>
              </w:rPr>
              <w:t xml:space="preserve">  环保投资概算表   单位：万</w:t>
            </w:r>
          </w:p>
          <w:tbl>
            <w:tblPr>
              <w:tblStyle w:val="26"/>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327"/>
              <w:gridCol w:w="4646"/>
              <w:gridCol w:w="739"/>
              <w:gridCol w:w="843"/>
              <w:gridCol w:w="718"/>
            </w:tblGrid>
            <w:tr w14:paraId="5831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 w:type="dxa"/>
                  <w:noWrap w:val="0"/>
                  <w:vAlign w:val="center"/>
                </w:tcPr>
                <w:p w14:paraId="0A48F750">
                  <w:pPr>
                    <w:pStyle w:val="11"/>
                    <w:shd w:val="clear"/>
                    <w:spacing w:line="240" w:lineRule="auto"/>
                    <w:ind w:firstLine="0" w:firstLineChars="0"/>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类别</w:t>
                  </w:r>
                </w:p>
              </w:tc>
              <w:tc>
                <w:tcPr>
                  <w:tcW w:w="1327" w:type="dxa"/>
                  <w:noWrap w:val="0"/>
                  <w:vAlign w:val="center"/>
                </w:tcPr>
                <w:p w14:paraId="29324A43">
                  <w:pPr>
                    <w:pStyle w:val="11"/>
                    <w:shd w:val="clea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污染物</w:t>
                  </w:r>
                </w:p>
              </w:tc>
              <w:tc>
                <w:tcPr>
                  <w:tcW w:w="4646" w:type="dxa"/>
                  <w:noWrap w:val="0"/>
                  <w:vAlign w:val="center"/>
                </w:tcPr>
                <w:p w14:paraId="47932459">
                  <w:pPr>
                    <w:pStyle w:val="11"/>
                    <w:shd w:val="clea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环保设施</w:t>
                  </w:r>
                </w:p>
              </w:tc>
              <w:tc>
                <w:tcPr>
                  <w:tcW w:w="739" w:type="dxa"/>
                  <w:noWrap w:val="0"/>
                  <w:vAlign w:val="center"/>
                </w:tcPr>
                <w:p w14:paraId="5BEE4D73">
                  <w:pPr>
                    <w:pStyle w:val="11"/>
                    <w:shd w:val="clea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w:t>
                  </w:r>
                </w:p>
              </w:tc>
              <w:tc>
                <w:tcPr>
                  <w:tcW w:w="843" w:type="dxa"/>
                  <w:noWrap w:val="0"/>
                  <w:vAlign w:val="center"/>
                </w:tcPr>
                <w:p w14:paraId="29E1DF70">
                  <w:pPr>
                    <w:pStyle w:val="11"/>
                    <w:shd w:val="clea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投资概算</w:t>
                  </w:r>
                </w:p>
              </w:tc>
              <w:tc>
                <w:tcPr>
                  <w:tcW w:w="718" w:type="dxa"/>
                  <w:noWrap w:val="0"/>
                  <w:vAlign w:val="center"/>
                </w:tcPr>
                <w:p w14:paraId="1A324417">
                  <w:pPr>
                    <w:pStyle w:val="11"/>
                    <w:shd w:val="clear"/>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14:paraId="439B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2" w:type="dxa"/>
                  <w:vMerge w:val="restart"/>
                  <w:noWrap w:val="0"/>
                  <w:vAlign w:val="center"/>
                </w:tcPr>
                <w:p w14:paraId="09D674FD">
                  <w:pPr>
                    <w:pStyle w:val="11"/>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废气治理</w:t>
                  </w:r>
                </w:p>
              </w:tc>
              <w:tc>
                <w:tcPr>
                  <w:tcW w:w="1327" w:type="dxa"/>
                  <w:noWrap w:val="0"/>
                  <w:vAlign w:val="center"/>
                </w:tcPr>
                <w:p w14:paraId="725D9A21">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混料</w:t>
                  </w:r>
                  <w:r>
                    <w:rPr>
                      <w:rFonts w:hint="default" w:ascii="Times New Roman" w:hAnsi="Times New Roman" w:eastAsia="宋体" w:cs="Times New Roman"/>
                      <w:color w:val="auto"/>
                      <w:sz w:val="21"/>
                      <w:szCs w:val="21"/>
                      <w:highlight w:val="none"/>
                      <w:lang w:val="en-US" w:eastAsia="zh-CN"/>
                    </w:rPr>
                    <w:t>粉尘</w:t>
                  </w:r>
                </w:p>
              </w:tc>
              <w:tc>
                <w:tcPr>
                  <w:tcW w:w="4646" w:type="dxa"/>
                  <w:vMerge w:val="restart"/>
                  <w:noWrap w:val="0"/>
                  <w:vAlign w:val="center"/>
                </w:tcPr>
                <w:p w14:paraId="3C6BFB30">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在</w:t>
                  </w:r>
                  <w:r>
                    <w:rPr>
                      <w:rFonts w:hint="eastAsia" w:ascii="Times New Roman" w:hAnsi="Times New Roman" w:eastAsia="宋体" w:cs="Times New Roman"/>
                      <w:color w:val="auto"/>
                      <w:sz w:val="21"/>
                      <w:szCs w:val="21"/>
                      <w:highlight w:val="none"/>
                      <w:lang w:val="en-US" w:eastAsia="zh-CN"/>
                    </w:rPr>
                    <w:t>搅拌</w:t>
                  </w:r>
                  <w:r>
                    <w:rPr>
                      <w:rFonts w:hint="default" w:ascii="Times New Roman" w:hAnsi="Times New Roman" w:eastAsia="宋体" w:cs="Times New Roman"/>
                      <w:color w:val="auto"/>
                      <w:sz w:val="21"/>
                      <w:szCs w:val="21"/>
                      <w:highlight w:val="none"/>
                      <w:lang w:val="en-US" w:eastAsia="zh-CN"/>
                    </w:rPr>
                    <w:t>机</w:t>
                  </w:r>
                  <w:r>
                    <w:rPr>
                      <w:rFonts w:hint="eastAsia" w:ascii="Times New Roman" w:hAnsi="Times New Roman" w:eastAsia="宋体" w:cs="Times New Roman"/>
                      <w:color w:val="auto"/>
                      <w:sz w:val="21"/>
                      <w:szCs w:val="21"/>
                      <w:highlight w:val="none"/>
                      <w:lang w:val="en-US" w:eastAsia="zh-CN"/>
                    </w:rPr>
                    <w:t>、破碎机</w:t>
                  </w:r>
                  <w:r>
                    <w:rPr>
                      <w:rFonts w:hint="default" w:ascii="Times New Roman" w:hAnsi="Times New Roman" w:eastAsia="宋体" w:cs="Times New Roman"/>
                      <w:color w:val="auto"/>
                      <w:sz w:val="21"/>
                      <w:szCs w:val="21"/>
                      <w:highlight w:val="none"/>
                      <w:lang w:val="en-US" w:eastAsia="zh-CN"/>
                    </w:rPr>
                    <w:t>及</w:t>
                  </w:r>
                  <w:r>
                    <w:rPr>
                      <w:rFonts w:hint="eastAsia" w:ascii="Times New Roman" w:hAnsi="Times New Roman" w:eastAsia="宋体" w:cs="Times New Roman"/>
                      <w:color w:val="auto"/>
                      <w:sz w:val="21"/>
                      <w:szCs w:val="21"/>
                      <w:highlight w:val="none"/>
                      <w:lang w:val="en-US" w:eastAsia="zh-CN"/>
                    </w:rPr>
                    <w:t>磨粉</w:t>
                  </w:r>
                  <w:r>
                    <w:rPr>
                      <w:rFonts w:hint="default" w:ascii="Times New Roman" w:hAnsi="Times New Roman" w:eastAsia="宋体" w:cs="Times New Roman"/>
                      <w:color w:val="auto"/>
                      <w:sz w:val="21"/>
                      <w:szCs w:val="21"/>
                      <w:highlight w:val="none"/>
                      <w:lang w:val="en-US" w:eastAsia="zh-CN"/>
                    </w:rPr>
                    <w:t>机上方分别设置集气罩，共设置</w:t>
                  </w:r>
                  <w:r>
                    <w:rPr>
                      <w:rFonts w:hint="eastAsia"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lang w:val="en-US" w:eastAsia="zh-CN"/>
                    </w:rPr>
                    <w:t>个集气罩将废气统一收集进入</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布袋除尘器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1根15m高排气筒（</w:t>
                  </w: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排放，配套</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ascii="Times New Roman" w:hAnsi="Times New Roman" w:cs="Times New Roman"/>
                      <w:color w:val="auto"/>
                      <w:sz w:val="21"/>
                      <w:szCs w:val="21"/>
                      <w:highlight w:val="none"/>
                      <w:lang w:val="en-US" w:eastAsia="zh-CN"/>
                    </w:rPr>
                    <w:t>26875</w:t>
                  </w:r>
                  <w:r>
                    <w:rPr>
                      <w:rFonts w:hint="default" w:ascii="Times New Roman" w:hAnsi="Times New Roman" w:eastAsia="宋体" w:cs="Times New Roman"/>
                      <w:i w:val="0"/>
                      <w:iCs w:val="0"/>
                      <w:color w:val="auto"/>
                      <w:kern w:val="0"/>
                      <w:sz w:val="21"/>
                      <w:szCs w:val="21"/>
                      <w:u w:val="none"/>
                      <w:lang w:val="en-US" w:eastAsia="zh-CN" w:bidi="ar"/>
                    </w:rPr>
                    <w:t>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/h</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2"/>
                      <w:sz w:val="21"/>
                      <w:szCs w:val="21"/>
                      <w:highlight w:val="none"/>
                    </w:rPr>
                    <w:t>废气收集效率为</w:t>
                  </w:r>
                  <w:r>
                    <w:rPr>
                      <w:rFonts w:hint="eastAsia" w:cs="Times New Roman"/>
                      <w:color w:val="auto"/>
                      <w:kern w:val="2"/>
                      <w:sz w:val="21"/>
                      <w:szCs w:val="21"/>
                      <w:highlight w:val="none"/>
                      <w:lang w:val="en-US" w:eastAsia="zh-CN"/>
                    </w:rPr>
                    <w:t>8</w:t>
                  </w:r>
                  <w:r>
                    <w:rPr>
                      <w:rFonts w:hint="default" w:ascii="Times New Roman" w:hAnsi="Times New Roman" w:eastAsia="宋体" w:cs="Times New Roman"/>
                      <w:color w:val="auto"/>
                      <w:kern w:val="2"/>
                      <w:sz w:val="21"/>
                      <w:szCs w:val="21"/>
                      <w:highlight w:val="none"/>
                      <w:lang w:val="en-US" w:eastAsia="zh-CN"/>
                    </w:rPr>
                    <w:t>0</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val="en-US" w:eastAsia="zh-CN"/>
                    </w:rPr>
                    <w:t>，</w:t>
                  </w:r>
                  <w:r>
                    <w:rPr>
                      <w:rFonts w:hint="eastAsia" w:ascii="Times New Roman" w:hAnsi="Times New Roman" w:eastAsia="宋体" w:cs="Times New Roman"/>
                      <w:color w:val="auto"/>
                      <w:kern w:val="2"/>
                      <w:sz w:val="21"/>
                      <w:szCs w:val="21"/>
                      <w:highlight w:val="none"/>
                      <w:lang w:val="en-US" w:eastAsia="zh-CN"/>
                    </w:rPr>
                    <w:t>布袋除尘</w:t>
                  </w:r>
                  <w:r>
                    <w:rPr>
                      <w:rFonts w:hint="default" w:ascii="Times New Roman" w:hAnsi="Times New Roman" w:eastAsia="宋体" w:cs="Times New Roman"/>
                      <w:bCs/>
                      <w:color w:val="auto"/>
                      <w:sz w:val="21"/>
                      <w:szCs w:val="21"/>
                      <w:highlight w:val="none"/>
                    </w:rPr>
                    <w:t>效率</w:t>
                  </w:r>
                  <w:r>
                    <w:rPr>
                      <w:rFonts w:hint="eastAsia" w:cs="Times New Roman"/>
                      <w:bCs/>
                      <w:color w:val="auto"/>
                      <w:sz w:val="21"/>
                      <w:szCs w:val="21"/>
                      <w:highlight w:val="none"/>
                      <w:lang w:val="en-US" w:eastAsia="zh-CN"/>
                    </w:rPr>
                    <w:t>99</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0.6</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739" w:type="dxa"/>
                  <w:vMerge w:val="restart"/>
                  <w:noWrap w:val="0"/>
                  <w:vAlign w:val="center"/>
                </w:tcPr>
                <w:p w14:paraId="2D43B692">
                  <w:pPr>
                    <w:pStyle w:val="78"/>
                    <w:shd w:val="clear"/>
                    <w:adjustRightInd/>
                    <w:spacing w:before="0" w:after="0" w:line="240" w:lineRule="auto"/>
                    <w:jc w:val="center"/>
                    <w:rPr>
                      <w:rFonts w:hint="default" w:ascii="Times New Roman" w:hAnsi="Times New Roman" w:eastAsia="宋体" w:cs="Times New Roman"/>
                      <w:b w:val="0"/>
                      <w:bCs/>
                      <w:color w:val="auto"/>
                      <w:sz w:val="21"/>
                      <w:szCs w:val="21"/>
                      <w:highlight w:val="none"/>
                      <w:lang w:val="en-US" w:eastAsia="zh-CN"/>
                    </w:rPr>
                  </w:pPr>
                  <w:r>
                    <w:rPr>
                      <w:rFonts w:hint="eastAsia" w:eastAsia="宋体" w:cs="Times New Roman"/>
                      <w:b w:val="0"/>
                      <w:bCs/>
                      <w:color w:val="auto"/>
                      <w:sz w:val="21"/>
                      <w:szCs w:val="21"/>
                      <w:highlight w:val="none"/>
                      <w:lang w:val="en-US" w:eastAsia="zh-CN"/>
                    </w:rPr>
                    <w:t>1套</w:t>
                  </w:r>
                </w:p>
              </w:tc>
              <w:tc>
                <w:tcPr>
                  <w:tcW w:w="843" w:type="dxa"/>
                  <w:vMerge w:val="restart"/>
                  <w:noWrap w:val="0"/>
                  <w:vAlign w:val="center"/>
                </w:tcPr>
                <w:p w14:paraId="17FA1A0E">
                  <w:pPr>
                    <w:shd w:val="clea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8</w:t>
                  </w:r>
                </w:p>
              </w:tc>
              <w:tc>
                <w:tcPr>
                  <w:tcW w:w="718" w:type="dxa"/>
                  <w:vMerge w:val="restart"/>
                  <w:noWrap w:val="0"/>
                  <w:vAlign w:val="center"/>
                </w:tcPr>
                <w:p w14:paraId="42D95E93">
                  <w:pPr>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0901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32" w:type="dxa"/>
                  <w:vMerge w:val="continue"/>
                  <w:noWrap w:val="0"/>
                  <w:vAlign w:val="center"/>
                </w:tcPr>
                <w:p w14:paraId="58843D36">
                  <w:pPr>
                    <w:shd w:val="clear"/>
                    <w:adjustRightInd w:val="0"/>
                    <w:snapToGrid w:val="0"/>
                    <w:jc w:val="center"/>
                    <w:rPr>
                      <w:color w:val="auto"/>
                    </w:rPr>
                  </w:pPr>
                </w:p>
              </w:tc>
              <w:tc>
                <w:tcPr>
                  <w:tcW w:w="1327" w:type="dxa"/>
                  <w:noWrap w:val="0"/>
                  <w:vAlign w:val="center"/>
                </w:tcPr>
                <w:p w14:paraId="4C4CB69C">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破碎粉尘</w:t>
                  </w:r>
                </w:p>
              </w:tc>
              <w:tc>
                <w:tcPr>
                  <w:tcW w:w="4646" w:type="dxa"/>
                  <w:vMerge w:val="continue"/>
                  <w:noWrap w:val="0"/>
                  <w:vAlign w:val="center"/>
                </w:tcPr>
                <w:p w14:paraId="337A198B">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739" w:type="dxa"/>
                  <w:vMerge w:val="continue"/>
                  <w:noWrap w:val="0"/>
                  <w:vAlign w:val="center"/>
                </w:tcPr>
                <w:p w14:paraId="7E99E443">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843" w:type="dxa"/>
                  <w:vMerge w:val="continue"/>
                  <w:noWrap w:val="0"/>
                  <w:vAlign w:val="center"/>
                </w:tcPr>
                <w:p w14:paraId="1B7C9BC2">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718" w:type="dxa"/>
                  <w:vMerge w:val="continue"/>
                  <w:noWrap w:val="0"/>
                  <w:vAlign w:val="center"/>
                </w:tcPr>
                <w:p w14:paraId="7DF8B72B">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p>
              </w:tc>
            </w:tr>
            <w:tr w14:paraId="0602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32" w:type="dxa"/>
                  <w:vMerge w:val="continue"/>
                  <w:noWrap w:val="0"/>
                  <w:vAlign w:val="center"/>
                </w:tcPr>
                <w:p w14:paraId="136BCA0E">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1327" w:type="dxa"/>
                  <w:noWrap w:val="0"/>
                  <w:vAlign w:val="center"/>
                </w:tcPr>
                <w:p w14:paraId="705A85C2">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0"/>
                      <w:sz w:val="21"/>
                      <w:szCs w:val="21"/>
                      <w:highlight w:val="none"/>
                      <w:lang w:val="en-US" w:eastAsia="zh-CN"/>
                    </w:rPr>
                    <w:t>磨粉粉尘</w:t>
                  </w:r>
                </w:p>
              </w:tc>
              <w:tc>
                <w:tcPr>
                  <w:tcW w:w="4646" w:type="dxa"/>
                  <w:vMerge w:val="continue"/>
                  <w:noWrap w:val="0"/>
                  <w:vAlign w:val="center"/>
                </w:tcPr>
                <w:p w14:paraId="14E9DEA4">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739" w:type="dxa"/>
                  <w:vMerge w:val="continue"/>
                  <w:noWrap w:val="0"/>
                  <w:vAlign w:val="center"/>
                </w:tcPr>
                <w:p w14:paraId="28229C12">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843" w:type="dxa"/>
                  <w:vMerge w:val="continue"/>
                  <w:noWrap w:val="0"/>
                  <w:vAlign w:val="center"/>
                </w:tcPr>
                <w:p w14:paraId="34529367">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718" w:type="dxa"/>
                  <w:vMerge w:val="continue"/>
                  <w:noWrap w:val="0"/>
                  <w:vAlign w:val="center"/>
                </w:tcPr>
                <w:p w14:paraId="4ACD2E5F">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p>
              </w:tc>
            </w:tr>
            <w:tr w14:paraId="77A2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 w:type="dxa"/>
                  <w:vMerge w:val="continue"/>
                  <w:noWrap w:val="0"/>
                  <w:vAlign w:val="center"/>
                </w:tcPr>
                <w:p w14:paraId="48FEB068">
                  <w:pPr>
                    <w:pStyle w:val="11"/>
                    <w:shd w:val="clea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27" w:type="dxa"/>
                  <w:noWrap w:val="0"/>
                  <w:vAlign w:val="center"/>
                </w:tcPr>
                <w:p w14:paraId="2B8CA791">
                  <w:pPr>
                    <w:shd w:val="clear"/>
                    <w:adjustRightInd w:val="0"/>
                    <w:snapToGrid w:val="0"/>
                    <w:jc w:val="center"/>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挤出废气</w:t>
                  </w:r>
                </w:p>
              </w:tc>
              <w:tc>
                <w:tcPr>
                  <w:tcW w:w="4646" w:type="dxa"/>
                  <w:vMerge w:val="restart"/>
                  <w:noWrap w:val="0"/>
                  <w:vAlign w:val="center"/>
                </w:tcPr>
                <w:p w14:paraId="3A92972B">
                  <w:pPr>
                    <w:shd w:val="clear"/>
                    <w:adjustRightInd w:val="0"/>
                    <w:snapToGrid w:val="0"/>
                    <w:spacing w:line="0" w:lineRule="atLeast"/>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在</w:t>
                  </w:r>
                  <w:r>
                    <w:rPr>
                      <w:rFonts w:hint="eastAsia" w:ascii="Times New Roman" w:hAnsi="Times New Roman" w:eastAsia="宋体" w:cs="Times New Roman"/>
                      <w:color w:val="auto"/>
                      <w:sz w:val="21"/>
                      <w:szCs w:val="21"/>
                      <w:highlight w:val="none"/>
                      <w:lang w:val="en-US" w:eastAsia="zh-CN"/>
                    </w:rPr>
                    <w:t>挤出</w:t>
                  </w:r>
                  <w:r>
                    <w:rPr>
                      <w:rFonts w:hint="default" w:ascii="Times New Roman" w:hAnsi="Times New Roman" w:eastAsia="宋体" w:cs="Times New Roman"/>
                      <w:color w:val="auto"/>
                      <w:sz w:val="21"/>
                      <w:szCs w:val="21"/>
                      <w:highlight w:val="none"/>
                      <w:lang w:val="en-US" w:eastAsia="zh-CN"/>
                    </w:rPr>
                    <w:t>机及</w:t>
                  </w:r>
                  <w:r>
                    <w:rPr>
                      <w:rFonts w:hint="eastAsia" w:ascii="Times New Roman" w:hAnsi="Times New Roman" w:eastAsia="宋体" w:cs="Times New Roman"/>
                      <w:color w:val="auto"/>
                      <w:sz w:val="21"/>
                      <w:szCs w:val="21"/>
                      <w:highlight w:val="none"/>
                      <w:lang w:val="en-US" w:eastAsia="zh-CN"/>
                    </w:rPr>
                    <w:t>覆膜</w:t>
                  </w:r>
                  <w:r>
                    <w:rPr>
                      <w:rFonts w:hint="default" w:ascii="Times New Roman" w:hAnsi="Times New Roman" w:eastAsia="宋体" w:cs="Times New Roman"/>
                      <w:color w:val="auto"/>
                      <w:sz w:val="21"/>
                      <w:szCs w:val="21"/>
                      <w:highlight w:val="none"/>
                      <w:lang w:val="en-US" w:eastAsia="zh-CN"/>
                    </w:rPr>
                    <w:t>型机上方分别设置集气罩，共设置</w:t>
                  </w: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个集气罩将废气统一收集进入</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default" w:ascii="Times New Roman" w:hAnsi="Times New Roman" w:eastAsia="宋体" w:cs="Times New Roman"/>
                      <w:color w:val="auto"/>
                      <w:sz w:val="21"/>
                      <w:szCs w:val="21"/>
                      <w:highlight w:val="none"/>
                      <w:lang w:eastAsia="zh-CN"/>
                    </w:rPr>
                    <w:t>“三级活性炭吸附装置”</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1根15m高排气筒（</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排放，配套</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ascii="Times New Roman" w:hAnsi="Times New Roman" w:cs="Times New Roman"/>
                      <w:i w:val="0"/>
                      <w:iCs w:val="0"/>
                      <w:color w:val="auto"/>
                      <w:kern w:val="0"/>
                      <w:sz w:val="21"/>
                      <w:szCs w:val="21"/>
                      <w:u w:val="none"/>
                      <w:lang w:val="en-US" w:eastAsia="zh-CN" w:bidi="ar"/>
                    </w:rPr>
                    <w:t>2</w:t>
                  </w:r>
                  <w:r>
                    <w:rPr>
                      <w:rFonts w:hint="eastAsia" w:cs="Times New Roman"/>
                      <w:i w:val="0"/>
                      <w:iCs w:val="0"/>
                      <w:color w:val="auto"/>
                      <w:kern w:val="0"/>
                      <w:sz w:val="21"/>
                      <w:szCs w:val="21"/>
                      <w:u w:val="none"/>
                      <w:lang w:val="en-US" w:eastAsia="zh-CN" w:bidi="ar"/>
                    </w:rPr>
                    <w:t>5920</w:t>
                  </w:r>
                  <w:r>
                    <w:rPr>
                      <w:rFonts w:hint="default" w:ascii="Times New Roman" w:hAnsi="Times New Roman" w:eastAsia="宋体" w:cs="Times New Roman"/>
                      <w:i w:val="0"/>
                      <w:iCs w:val="0"/>
                      <w:color w:val="auto"/>
                      <w:kern w:val="0"/>
                      <w:sz w:val="21"/>
                      <w:szCs w:val="21"/>
                      <w:u w:val="none"/>
                      <w:lang w:val="en-US" w:eastAsia="zh-CN" w:bidi="ar"/>
                    </w:rPr>
                    <w:t>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/h</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2"/>
                      <w:sz w:val="21"/>
                      <w:szCs w:val="21"/>
                      <w:highlight w:val="none"/>
                    </w:rPr>
                    <w:t>废气收集效率为</w:t>
                  </w:r>
                  <w:r>
                    <w:rPr>
                      <w:rFonts w:hint="eastAsia" w:cs="Times New Roman"/>
                      <w:color w:val="auto"/>
                      <w:kern w:val="2"/>
                      <w:sz w:val="21"/>
                      <w:szCs w:val="21"/>
                      <w:highlight w:val="none"/>
                      <w:lang w:val="en-US" w:eastAsia="zh-CN"/>
                    </w:rPr>
                    <w:t>8</w:t>
                  </w:r>
                  <w:r>
                    <w:rPr>
                      <w:rFonts w:hint="default" w:ascii="Times New Roman" w:hAnsi="Times New Roman" w:eastAsia="宋体" w:cs="Times New Roman"/>
                      <w:color w:val="auto"/>
                      <w:kern w:val="2"/>
                      <w:sz w:val="21"/>
                      <w:szCs w:val="21"/>
                      <w:highlight w:val="none"/>
                      <w:lang w:val="en-US" w:eastAsia="zh-CN"/>
                    </w:rPr>
                    <w:t>0</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val="en-US" w:eastAsia="zh-CN"/>
                    </w:rPr>
                    <w:t>，三</w:t>
                  </w:r>
                  <w:r>
                    <w:rPr>
                      <w:rFonts w:hint="default" w:ascii="Times New Roman" w:hAnsi="Times New Roman" w:eastAsia="宋体" w:cs="Times New Roman"/>
                      <w:bCs/>
                      <w:color w:val="auto"/>
                      <w:sz w:val="21"/>
                      <w:szCs w:val="21"/>
                      <w:highlight w:val="none"/>
                      <w:lang w:val="en-US" w:eastAsia="zh-CN"/>
                    </w:rPr>
                    <w:t>级</w:t>
                  </w:r>
                  <w:r>
                    <w:rPr>
                      <w:rFonts w:hint="default" w:ascii="Times New Roman" w:hAnsi="Times New Roman" w:eastAsia="宋体" w:cs="Times New Roman"/>
                      <w:bCs/>
                      <w:color w:val="auto"/>
                      <w:sz w:val="21"/>
                      <w:szCs w:val="21"/>
                      <w:highlight w:val="none"/>
                    </w:rPr>
                    <w:t>活性炭去除效率</w:t>
                  </w:r>
                  <w:r>
                    <w:rPr>
                      <w:rFonts w:hint="eastAsia" w:cs="Times New Roman"/>
                      <w:bCs/>
                      <w:color w:val="auto"/>
                      <w:sz w:val="21"/>
                      <w:szCs w:val="21"/>
                      <w:highlight w:val="none"/>
                      <w:lang w:val="en-US" w:eastAsia="zh-CN"/>
                    </w:rPr>
                    <w:t>7</w:t>
                  </w:r>
                  <w:r>
                    <w:rPr>
                      <w:rFonts w:hint="default" w:ascii="Times New Roman" w:hAnsi="Times New Roman" w:eastAsia="宋体" w:cs="Times New Roman"/>
                      <w:bCs/>
                      <w:color w:val="auto"/>
                      <w:sz w:val="21"/>
                      <w:szCs w:val="21"/>
                      <w:highlight w:val="none"/>
                    </w:rPr>
                    <w:t>0%</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0.6</w:t>
                  </w:r>
                  <w:r>
                    <w:rPr>
                      <w:rFonts w:hint="default" w:ascii="Times New Roman" w:hAnsi="Times New Roman" w:eastAsia="宋体" w:cs="Times New Roman"/>
                      <w:bCs/>
                      <w:color w:val="auto"/>
                      <w:sz w:val="21"/>
                      <w:szCs w:val="21"/>
                      <w:highlight w:val="none"/>
                      <w:lang w:val="en-US" w:eastAsia="zh-CN"/>
                    </w:rPr>
                    <w:t>m</w:t>
                  </w:r>
                  <w:r>
                    <w:rPr>
                      <w:rFonts w:hint="eastAsia" w:cs="Times New Roman"/>
                      <w:bCs/>
                      <w:color w:val="auto"/>
                      <w:sz w:val="21"/>
                      <w:szCs w:val="21"/>
                      <w:highlight w:val="none"/>
                      <w:lang w:val="en-US" w:eastAsia="zh-CN"/>
                    </w:rPr>
                    <w:t>，</w:t>
                  </w:r>
                  <w:r>
                    <w:rPr>
                      <w:rFonts w:hint="eastAsia" w:eastAsia="宋体"/>
                      <w:color w:val="auto"/>
                      <w:kern w:val="0"/>
                      <w:szCs w:val="21"/>
                      <w:lang w:bidi="ar"/>
                    </w:rPr>
                    <w:t>对氯化氢无处理效率</w:t>
                  </w:r>
                  <w:r>
                    <w:rPr>
                      <w:rFonts w:hint="eastAsia"/>
                      <w:color w:val="auto"/>
                      <w:kern w:val="0"/>
                      <w:szCs w:val="21"/>
                      <w:lang w:eastAsia="zh-CN" w:bidi="ar"/>
                    </w:rPr>
                    <w:t>。</w:t>
                  </w:r>
                </w:p>
              </w:tc>
              <w:tc>
                <w:tcPr>
                  <w:tcW w:w="739" w:type="dxa"/>
                  <w:vMerge w:val="restart"/>
                  <w:noWrap w:val="0"/>
                  <w:vAlign w:val="center"/>
                </w:tcPr>
                <w:p w14:paraId="1143BA00">
                  <w:pPr>
                    <w:pStyle w:val="78"/>
                    <w:shd w:val="clear"/>
                    <w:adjustRightInd/>
                    <w:spacing w:before="0" w:after="0" w:line="240" w:lineRule="auto"/>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1套</w:t>
                  </w:r>
                </w:p>
              </w:tc>
              <w:tc>
                <w:tcPr>
                  <w:tcW w:w="843" w:type="dxa"/>
                  <w:vMerge w:val="restart"/>
                  <w:noWrap w:val="0"/>
                  <w:vAlign w:val="center"/>
                </w:tcPr>
                <w:p w14:paraId="0747FAAB">
                  <w:pPr>
                    <w:shd w:val="clea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15</w:t>
                  </w:r>
                </w:p>
              </w:tc>
              <w:tc>
                <w:tcPr>
                  <w:tcW w:w="718" w:type="dxa"/>
                  <w:noWrap w:val="0"/>
                  <w:vAlign w:val="center"/>
                </w:tcPr>
                <w:p w14:paraId="33F56637">
                  <w:pPr>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14:paraId="42A5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 w:type="dxa"/>
                  <w:vMerge w:val="continue"/>
                  <w:noWrap w:val="0"/>
                  <w:vAlign w:val="center"/>
                </w:tcPr>
                <w:p w14:paraId="2F3F92C8">
                  <w:pPr>
                    <w:pStyle w:val="11"/>
                    <w:shd w:val="clea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27" w:type="dxa"/>
                  <w:noWrap w:val="0"/>
                  <w:vAlign w:val="center"/>
                </w:tcPr>
                <w:p w14:paraId="27C8F004">
                  <w:pPr>
                    <w:shd w:val="clear"/>
                    <w:adjustRightInd w:val="0"/>
                    <w:snapToGrid w:val="0"/>
                    <w:jc w:val="center"/>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覆膜废气</w:t>
                  </w:r>
                </w:p>
              </w:tc>
              <w:tc>
                <w:tcPr>
                  <w:tcW w:w="4646" w:type="dxa"/>
                  <w:vMerge w:val="continue"/>
                  <w:noWrap w:val="0"/>
                  <w:vAlign w:val="center"/>
                </w:tcPr>
                <w:p w14:paraId="696CB3C7">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739" w:type="dxa"/>
                  <w:vMerge w:val="continue"/>
                  <w:noWrap w:val="0"/>
                  <w:vAlign w:val="center"/>
                </w:tcPr>
                <w:p w14:paraId="7EE8C2B2">
                  <w:pPr>
                    <w:pStyle w:val="78"/>
                    <w:shd w:val="clear"/>
                    <w:adjustRightInd/>
                    <w:spacing w:before="0" w:after="0" w:line="240" w:lineRule="auto"/>
                    <w:jc w:val="center"/>
                    <w:rPr>
                      <w:rFonts w:hint="default" w:ascii="Times New Roman" w:hAnsi="Times New Roman" w:eastAsia="宋体" w:cs="Times New Roman"/>
                      <w:b w:val="0"/>
                      <w:bCs/>
                      <w:color w:val="auto"/>
                      <w:sz w:val="21"/>
                      <w:szCs w:val="21"/>
                      <w:highlight w:val="none"/>
                      <w:lang w:val="en-US" w:eastAsia="zh-CN"/>
                    </w:rPr>
                  </w:pPr>
                </w:p>
              </w:tc>
              <w:tc>
                <w:tcPr>
                  <w:tcW w:w="843" w:type="dxa"/>
                  <w:vMerge w:val="continue"/>
                  <w:noWrap w:val="0"/>
                  <w:vAlign w:val="center"/>
                </w:tcPr>
                <w:p w14:paraId="379FF7BC">
                  <w:pPr>
                    <w:shd w:val="clea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p>
              </w:tc>
              <w:tc>
                <w:tcPr>
                  <w:tcW w:w="718" w:type="dxa"/>
                  <w:noWrap w:val="0"/>
                  <w:vAlign w:val="center"/>
                </w:tcPr>
                <w:p w14:paraId="1454C7D2">
                  <w:pPr>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14:paraId="4A14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 w:type="dxa"/>
                  <w:vMerge w:val="continue"/>
                  <w:noWrap w:val="0"/>
                  <w:vAlign w:val="center"/>
                </w:tcPr>
                <w:p w14:paraId="084F3D71">
                  <w:pPr>
                    <w:pStyle w:val="11"/>
                    <w:shd w:val="clea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27" w:type="dxa"/>
                  <w:noWrap w:val="0"/>
                  <w:vAlign w:val="center"/>
                </w:tcPr>
                <w:p w14:paraId="524804E9">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lang w:val="en-US" w:eastAsia="zh-CN"/>
                    </w:rPr>
                    <w:t>生产</w:t>
                  </w:r>
                  <w:r>
                    <w:rPr>
                      <w:rFonts w:hint="default" w:ascii="Times New Roman" w:hAnsi="Times New Roman" w:eastAsia="宋体" w:cs="Times New Roman"/>
                      <w:color w:val="auto"/>
                      <w:sz w:val="21"/>
                      <w:szCs w:val="21"/>
                      <w:highlight w:val="none"/>
                      <w:lang w:val="en-US" w:eastAsia="zh-CN"/>
                    </w:rPr>
                    <w:t>过程未收集无组织废气</w:t>
                  </w:r>
                </w:p>
              </w:tc>
              <w:tc>
                <w:tcPr>
                  <w:tcW w:w="4646" w:type="dxa"/>
                  <w:noWrap w:val="0"/>
                  <w:vAlign w:val="center"/>
                </w:tcPr>
                <w:p w14:paraId="2624E0C9">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加强通风</w:t>
                  </w:r>
                  <w:r>
                    <w:rPr>
                      <w:rFonts w:hint="eastAsia" w:ascii="Times New Roman" w:hAnsi="Times New Roman" w:eastAsia="宋体" w:cs="Times New Roman"/>
                      <w:color w:val="auto"/>
                      <w:sz w:val="21"/>
                      <w:szCs w:val="21"/>
                      <w:highlight w:val="none"/>
                      <w:lang w:val="en-US" w:eastAsia="zh-CN"/>
                    </w:rPr>
                    <w:t>及管理</w:t>
                  </w:r>
                  <w:r>
                    <w:rPr>
                      <w:rFonts w:hint="default" w:ascii="Times New Roman" w:hAnsi="Times New Roman" w:eastAsia="宋体" w:cs="Times New Roman"/>
                      <w:color w:val="auto"/>
                      <w:sz w:val="21"/>
                      <w:szCs w:val="21"/>
                      <w:highlight w:val="none"/>
                      <w:lang w:val="en-US" w:eastAsia="zh-CN"/>
                    </w:rPr>
                    <w:t>。</w:t>
                  </w:r>
                </w:p>
              </w:tc>
              <w:tc>
                <w:tcPr>
                  <w:tcW w:w="739" w:type="dxa"/>
                  <w:noWrap w:val="0"/>
                  <w:vAlign w:val="center"/>
                </w:tcPr>
                <w:p w14:paraId="2F2AA040">
                  <w:pPr>
                    <w:pStyle w:val="78"/>
                    <w:shd w:val="clear"/>
                    <w:adjustRightInd/>
                    <w:spacing w:before="0" w:after="0"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w:t>
                  </w:r>
                </w:p>
              </w:tc>
              <w:tc>
                <w:tcPr>
                  <w:tcW w:w="843" w:type="dxa"/>
                  <w:noWrap w:val="0"/>
                  <w:vAlign w:val="center"/>
                </w:tcPr>
                <w:p w14:paraId="18219352">
                  <w:pPr>
                    <w:shd w:val="clea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0.5</w:t>
                  </w:r>
                </w:p>
              </w:tc>
              <w:tc>
                <w:tcPr>
                  <w:tcW w:w="718" w:type="dxa"/>
                  <w:noWrap w:val="0"/>
                  <w:vAlign w:val="center"/>
                </w:tcPr>
                <w:p w14:paraId="4F0A7E43">
                  <w:pPr>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618E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32" w:type="dxa"/>
                  <w:vMerge w:val="continue"/>
                  <w:noWrap w:val="0"/>
                  <w:vAlign w:val="center"/>
                </w:tcPr>
                <w:p w14:paraId="11CCCFCA">
                  <w:pPr>
                    <w:pStyle w:val="11"/>
                    <w:shd w:val="clea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27" w:type="dxa"/>
                  <w:noWrap w:val="0"/>
                  <w:vAlign w:val="center"/>
                </w:tcPr>
                <w:p w14:paraId="0CCEC50C">
                  <w:pPr>
                    <w:keepNext w:val="0"/>
                    <w:keepLines w:val="0"/>
                    <w:pageBreakBefore w:val="0"/>
                    <w:shd w:val="clear"/>
                    <w:kinsoku/>
                    <w:wordWrap/>
                    <w:overflowPunct/>
                    <w:topLinePunct w:val="0"/>
                    <w:autoSpaceDE/>
                    <w:autoSpaceDN/>
                    <w:bidi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食堂油烟</w:t>
                  </w:r>
                </w:p>
              </w:tc>
              <w:tc>
                <w:tcPr>
                  <w:tcW w:w="4646" w:type="dxa"/>
                  <w:noWrap w:val="0"/>
                  <w:vAlign w:val="center"/>
                </w:tcPr>
                <w:p w14:paraId="3EC0DAC5">
                  <w:pPr>
                    <w:pStyle w:val="6"/>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食堂油烟配套“1台油烟净化设施+高于</w:t>
                  </w:r>
                  <w:r>
                    <w:rPr>
                      <w:rFonts w:hint="default" w:ascii="Times New Roman" w:hAnsi="Times New Roman" w:eastAsia="宋体" w:cs="Times New Roman"/>
                      <w:color w:val="auto"/>
                      <w:sz w:val="21"/>
                      <w:szCs w:val="21"/>
                      <w:highlight w:val="none"/>
                      <w:lang w:val="en-US" w:eastAsia="zh-CN"/>
                    </w:rPr>
                    <w:t>食堂</w:t>
                  </w:r>
                  <w:r>
                    <w:rPr>
                      <w:rFonts w:hint="default" w:ascii="Times New Roman" w:hAnsi="Times New Roman" w:eastAsia="宋体" w:cs="Times New Roman"/>
                      <w:color w:val="auto"/>
                      <w:sz w:val="21"/>
                      <w:szCs w:val="21"/>
                      <w:highlight w:val="none"/>
                    </w:rPr>
                    <w:t>房顶1.5m高的排气筒”，油烟净化器净化效率不低于60%。</w:t>
                  </w:r>
                </w:p>
              </w:tc>
              <w:tc>
                <w:tcPr>
                  <w:tcW w:w="739" w:type="dxa"/>
                  <w:noWrap w:val="0"/>
                  <w:vAlign w:val="center"/>
                </w:tcPr>
                <w:p w14:paraId="2493B0E3">
                  <w:pPr>
                    <w:pStyle w:val="78"/>
                    <w:shd w:val="clear"/>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843" w:type="dxa"/>
                  <w:noWrap w:val="0"/>
                  <w:vAlign w:val="center"/>
                </w:tcPr>
                <w:p w14:paraId="349D3A90">
                  <w:pPr>
                    <w:shd w:val="clea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r>
                    <w:rPr>
                      <w:rFonts w:hint="eastAsia" w:cs="Times New Roman"/>
                      <w:bCs/>
                      <w:color w:val="auto"/>
                      <w:sz w:val="21"/>
                      <w:szCs w:val="21"/>
                      <w:highlight w:val="none"/>
                      <w:lang w:val="en-US" w:eastAsia="zh-CN"/>
                    </w:rPr>
                    <w:t>5</w:t>
                  </w:r>
                </w:p>
              </w:tc>
              <w:tc>
                <w:tcPr>
                  <w:tcW w:w="718" w:type="dxa"/>
                  <w:noWrap w:val="0"/>
                  <w:vAlign w:val="center"/>
                </w:tcPr>
                <w:p w14:paraId="02908B45">
                  <w:pPr>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14:paraId="26BE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 w:type="dxa"/>
                  <w:vMerge w:val="restart"/>
                  <w:noWrap w:val="0"/>
                  <w:vAlign w:val="center"/>
                </w:tcPr>
                <w:p w14:paraId="20DECF49">
                  <w:pPr>
                    <w:pStyle w:val="11"/>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废水治理</w:t>
                  </w:r>
                </w:p>
              </w:tc>
              <w:tc>
                <w:tcPr>
                  <w:tcW w:w="1327" w:type="dxa"/>
                  <w:noWrap w:val="0"/>
                  <w:vAlign w:val="center"/>
                </w:tcPr>
                <w:p w14:paraId="7466D301">
                  <w:pPr>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雨污</w:t>
                  </w:r>
                  <w:r>
                    <w:rPr>
                      <w:rFonts w:hint="default" w:ascii="Times New Roman" w:hAnsi="Times New Roman" w:eastAsia="宋体" w:cs="Times New Roman"/>
                      <w:color w:val="auto"/>
                      <w:sz w:val="21"/>
                      <w:szCs w:val="21"/>
                      <w:highlight w:val="none"/>
                      <w:lang w:val="en-US" w:eastAsia="zh-CN"/>
                    </w:rPr>
                    <w:t>分流</w:t>
                  </w:r>
                </w:p>
              </w:tc>
              <w:tc>
                <w:tcPr>
                  <w:tcW w:w="4646" w:type="dxa"/>
                  <w:noWrap w:val="0"/>
                  <w:vAlign w:val="center"/>
                </w:tcPr>
                <w:p w14:paraId="485C81C5">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项目区“雨污分流、清污分流”系统。</w:t>
                  </w:r>
                </w:p>
              </w:tc>
              <w:tc>
                <w:tcPr>
                  <w:tcW w:w="739" w:type="dxa"/>
                  <w:noWrap w:val="0"/>
                  <w:vAlign w:val="center"/>
                </w:tcPr>
                <w:p w14:paraId="5F5B38EE">
                  <w:pPr>
                    <w:pStyle w:val="78"/>
                    <w:shd w:val="clear"/>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843" w:type="dxa"/>
                  <w:noWrap w:val="0"/>
                  <w:vAlign w:val="center"/>
                </w:tcPr>
                <w:p w14:paraId="0CFF8C87">
                  <w:pPr>
                    <w:shd w:val="clea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4.</w:t>
                  </w:r>
                  <w:r>
                    <w:rPr>
                      <w:rFonts w:hint="default" w:ascii="Times New Roman" w:hAnsi="Times New Roman" w:eastAsia="宋体" w:cs="Times New Roman"/>
                      <w:bCs/>
                      <w:color w:val="auto"/>
                      <w:sz w:val="21"/>
                      <w:szCs w:val="21"/>
                      <w:highlight w:val="none"/>
                      <w:lang w:val="en-US" w:eastAsia="zh-CN"/>
                    </w:rPr>
                    <w:t>5</w:t>
                  </w:r>
                </w:p>
              </w:tc>
              <w:tc>
                <w:tcPr>
                  <w:tcW w:w="718" w:type="dxa"/>
                  <w:vMerge w:val="restart"/>
                  <w:noWrap w:val="0"/>
                  <w:vAlign w:val="center"/>
                </w:tcPr>
                <w:p w14:paraId="47F7381E">
                  <w:pPr>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14:paraId="12CB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 w:type="dxa"/>
                  <w:vMerge w:val="continue"/>
                  <w:noWrap w:val="0"/>
                  <w:vAlign w:val="center"/>
                </w:tcPr>
                <w:p w14:paraId="4FC2007E">
                  <w:pPr>
                    <w:pStyle w:val="11"/>
                    <w:shd w:val="clea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27" w:type="dxa"/>
                  <w:noWrap w:val="0"/>
                  <w:vAlign w:val="center"/>
                </w:tcPr>
                <w:p w14:paraId="672933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Style w:val="101"/>
                      <w:rFonts w:hint="default" w:ascii="Times New Roman" w:hAnsi="Times New Roman" w:eastAsia="宋体" w:cs="Times New Roman"/>
                      <w:color w:val="auto"/>
                      <w:sz w:val="21"/>
                      <w:szCs w:val="21"/>
                      <w:highlight w:val="none"/>
                    </w:rPr>
                    <w:t>冷却水循环系统</w:t>
                  </w:r>
                </w:p>
              </w:tc>
              <w:tc>
                <w:tcPr>
                  <w:tcW w:w="4646" w:type="dxa"/>
                  <w:noWrap w:val="0"/>
                  <w:vAlign w:val="center"/>
                </w:tcPr>
                <w:p w14:paraId="4C3CA95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Style w:val="101"/>
                      <w:rFonts w:hint="default" w:ascii="Times New Roman" w:hAnsi="Times New Roman" w:eastAsia="宋体" w:cs="Times New Roman"/>
                      <w:color w:val="auto"/>
                      <w:sz w:val="21"/>
                      <w:szCs w:val="21"/>
                      <w:highlight w:val="none"/>
                      <w:lang w:val="en-US" w:eastAsia="zh-CN"/>
                    </w:rPr>
                    <w:t>配套设置</w:t>
                  </w:r>
                  <w:r>
                    <w:rPr>
                      <w:rStyle w:val="101"/>
                      <w:rFonts w:hint="default" w:ascii="Times New Roman" w:hAnsi="Times New Roman" w:eastAsia="宋体" w:cs="Times New Roman"/>
                      <w:color w:val="auto"/>
                      <w:sz w:val="21"/>
                      <w:szCs w:val="21"/>
                      <w:highlight w:val="none"/>
                    </w:rPr>
                    <w:t>1个容积</w:t>
                  </w:r>
                  <w:r>
                    <w:rPr>
                      <w:rStyle w:val="101"/>
                      <w:rFonts w:hint="default" w:ascii="Times New Roman" w:hAnsi="Times New Roman" w:eastAsia="宋体" w:cs="Times New Roman"/>
                      <w:color w:val="auto"/>
                      <w:sz w:val="21"/>
                      <w:szCs w:val="21"/>
                      <w:highlight w:val="none"/>
                      <w:lang w:eastAsia="zh-CN"/>
                    </w:rPr>
                    <w:t>约</w:t>
                  </w:r>
                  <w:r>
                    <w:rPr>
                      <w:rStyle w:val="101"/>
                      <w:rFonts w:hint="default" w:ascii="Times New Roman" w:hAnsi="Times New Roman" w:eastAsia="宋体" w:cs="Times New Roman"/>
                      <w:color w:val="auto"/>
                      <w:sz w:val="21"/>
                      <w:szCs w:val="21"/>
                      <w:highlight w:val="none"/>
                    </w:rPr>
                    <w:t>为</w:t>
                  </w:r>
                  <w:r>
                    <w:rPr>
                      <w:rStyle w:val="101"/>
                      <w:rFonts w:hint="eastAsia" w:cs="Times New Roman"/>
                      <w:color w:val="auto"/>
                      <w:sz w:val="21"/>
                      <w:szCs w:val="21"/>
                      <w:highlight w:val="none"/>
                      <w:lang w:val="en-US" w:eastAsia="zh-CN"/>
                    </w:rPr>
                    <w:t>24</w:t>
                  </w:r>
                  <w:r>
                    <w:rPr>
                      <w:rStyle w:val="101"/>
                      <w:rFonts w:hint="default" w:ascii="Times New Roman" w:hAnsi="Times New Roman" w:eastAsia="宋体" w:cs="Times New Roman"/>
                      <w:color w:val="auto"/>
                      <w:sz w:val="21"/>
                      <w:szCs w:val="21"/>
                      <w:highlight w:val="none"/>
                    </w:rPr>
                    <w:t>m</w:t>
                  </w:r>
                  <w:r>
                    <w:rPr>
                      <w:rStyle w:val="101"/>
                      <w:rFonts w:hint="default" w:ascii="Times New Roman" w:hAnsi="Times New Roman" w:eastAsia="宋体" w:cs="Times New Roman"/>
                      <w:color w:val="auto"/>
                      <w:sz w:val="21"/>
                      <w:szCs w:val="21"/>
                      <w:highlight w:val="none"/>
                      <w:vertAlign w:val="superscript"/>
                    </w:rPr>
                    <w:t>3</w:t>
                  </w:r>
                  <w:r>
                    <w:rPr>
                      <w:rStyle w:val="101"/>
                      <w:rFonts w:hint="default" w:ascii="Times New Roman" w:hAnsi="Times New Roman" w:eastAsia="宋体" w:cs="Times New Roman"/>
                      <w:color w:val="auto"/>
                      <w:sz w:val="21"/>
                      <w:szCs w:val="21"/>
                      <w:highlight w:val="none"/>
                    </w:rPr>
                    <w:t>的冷却循环水池</w:t>
                  </w:r>
                  <w:r>
                    <w:rPr>
                      <w:rStyle w:val="101"/>
                      <w:rFonts w:hint="eastAsia" w:cs="Times New Roman"/>
                      <w:color w:val="auto"/>
                      <w:sz w:val="21"/>
                      <w:szCs w:val="21"/>
                      <w:highlight w:val="none"/>
                      <w:lang w:val="en-US" w:eastAsia="zh-CN"/>
                    </w:rPr>
                    <w:t>及冷却塔</w:t>
                  </w:r>
                  <w:r>
                    <w:rPr>
                      <w:rStyle w:val="101"/>
                      <w:rFonts w:hint="default" w:ascii="Times New Roman" w:hAnsi="Times New Roman" w:eastAsia="宋体" w:cs="Times New Roman"/>
                      <w:color w:val="auto"/>
                      <w:sz w:val="21"/>
                      <w:szCs w:val="21"/>
                      <w:highlight w:val="none"/>
                    </w:rPr>
                    <w:t>，</w:t>
                  </w:r>
                  <w:r>
                    <w:rPr>
                      <w:rStyle w:val="101"/>
                      <w:rFonts w:hint="default" w:ascii="Times New Roman" w:hAnsi="Times New Roman" w:eastAsia="宋体" w:cs="Times New Roman"/>
                      <w:color w:val="auto"/>
                      <w:sz w:val="21"/>
                      <w:szCs w:val="21"/>
                      <w:highlight w:val="none"/>
                      <w:lang w:val="en-US" w:eastAsia="zh-CN"/>
                    </w:rPr>
                    <w:t>冷却废水经循环冷却池处理后循环使用，</w:t>
                  </w:r>
                  <w:r>
                    <w:rPr>
                      <w:rStyle w:val="101"/>
                      <w:rFonts w:hint="eastAsia" w:cs="Times New Roman"/>
                      <w:color w:val="auto"/>
                      <w:sz w:val="21"/>
                      <w:szCs w:val="21"/>
                      <w:highlight w:val="none"/>
                      <w:lang w:val="en-US" w:eastAsia="zh-CN"/>
                    </w:rPr>
                    <w:t>不外排</w:t>
                  </w:r>
                  <w:r>
                    <w:rPr>
                      <w:rStyle w:val="101"/>
                      <w:rFonts w:hint="default" w:ascii="Times New Roman" w:hAnsi="Times New Roman" w:eastAsia="宋体" w:cs="Times New Roman"/>
                      <w:color w:val="auto"/>
                      <w:sz w:val="21"/>
                      <w:szCs w:val="21"/>
                      <w:highlight w:val="none"/>
                      <w:lang w:val="en-US" w:eastAsia="zh-CN"/>
                    </w:rPr>
                    <w:t>。</w:t>
                  </w:r>
                </w:p>
              </w:tc>
              <w:tc>
                <w:tcPr>
                  <w:tcW w:w="739" w:type="dxa"/>
                  <w:noWrap w:val="0"/>
                  <w:vAlign w:val="center"/>
                </w:tcPr>
                <w:p w14:paraId="5509F055">
                  <w:pPr>
                    <w:pStyle w:val="78"/>
                    <w:shd w:val="clear"/>
                    <w:adjustRightInd/>
                    <w:spacing w:before="0" w:after="0" w:line="240" w:lineRule="auto"/>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1套</w:t>
                  </w:r>
                </w:p>
              </w:tc>
              <w:tc>
                <w:tcPr>
                  <w:tcW w:w="843" w:type="dxa"/>
                  <w:noWrap w:val="0"/>
                  <w:vAlign w:val="center"/>
                </w:tcPr>
                <w:p w14:paraId="2E4A6DBB">
                  <w:pPr>
                    <w:shd w:val="clea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5.5</w:t>
                  </w:r>
                </w:p>
              </w:tc>
              <w:tc>
                <w:tcPr>
                  <w:tcW w:w="718" w:type="dxa"/>
                  <w:vMerge w:val="continue"/>
                  <w:noWrap w:val="0"/>
                  <w:vAlign w:val="center"/>
                </w:tcPr>
                <w:p w14:paraId="44909A6F">
                  <w:pPr>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p>
              </w:tc>
            </w:tr>
            <w:tr w14:paraId="105F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 w:type="dxa"/>
                  <w:vMerge w:val="continue"/>
                  <w:noWrap w:val="0"/>
                  <w:vAlign w:val="center"/>
                </w:tcPr>
                <w:p w14:paraId="5729407A">
                  <w:pPr>
                    <w:pStyle w:val="11"/>
                    <w:shd w:val="clea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27" w:type="dxa"/>
                  <w:vMerge w:val="restart"/>
                  <w:noWrap w:val="0"/>
                  <w:vAlign w:val="center"/>
                </w:tcPr>
                <w:p w14:paraId="69F32AB6">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生活污水</w:t>
                  </w:r>
                </w:p>
              </w:tc>
              <w:tc>
                <w:tcPr>
                  <w:tcW w:w="4646" w:type="dxa"/>
                  <w:noWrap w:val="0"/>
                  <w:vAlign w:val="center"/>
                </w:tcPr>
                <w:p w14:paraId="05F9DD49">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1个容积为</w:t>
                  </w: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的隔油池。</w:t>
                  </w:r>
                </w:p>
              </w:tc>
              <w:tc>
                <w:tcPr>
                  <w:tcW w:w="739" w:type="dxa"/>
                  <w:noWrap w:val="0"/>
                  <w:vAlign w:val="center"/>
                </w:tcPr>
                <w:p w14:paraId="33497A5D">
                  <w:pPr>
                    <w:pStyle w:val="78"/>
                    <w:shd w:val="clear"/>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1个</w:t>
                  </w:r>
                </w:p>
              </w:tc>
              <w:tc>
                <w:tcPr>
                  <w:tcW w:w="843" w:type="dxa"/>
                  <w:noWrap w:val="0"/>
                  <w:vAlign w:val="center"/>
                </w:tcPr>
                <w:p w14:paraId="75B3B9CF">
                  <w:pPr>
                    <w:shd w:val="clea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0.1</w:t>
                  </w:r>
                </w:p>
              </w:tc>
              <w:tc>
                <w:tcPr>
                  <w:tcW w:w="718" w:type="dxa"/>
                  <w:vMerge w:val="continue"/>
                  <w:noWrap w:val="0"/>
                  <w:vAlign w:val="center"/>
                </w:tcPr>
                <w:p w14:paraId="54BBEF96">
                  <w:pPr>
                    <w:shd w:val="clear"/>
                    <w:spacing w:line="240" w:lineRule="auto"/>
                    <w:ind w:firstLine="0" w:firstLineChars="0"/>
                    <w:jc w:val="center"/>
                    <w:rPr>
                      <w:rFonts w:hint="default" w:ascii="Times New Roman" w:hAnsi="Times New Roman" w:eastAsia="宋体" w:cs="Times New Roman"/>
                      <w:color w:val="auto"/>
                      <w:sz w:val="21"/>
                      <w:szCs w:val="21"/>
                      <w:highlight w:val="none"/>
                    </w:rPr>
                  </w:pPr>
                </w:p>
              </w:tc>
            </w:tr>
            <w:tr w14:paraId="3BF6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 w:type="dxa"/>
                  <w:vMerge w:val="continue"/>
                  <w:noWrap w:val="0"/>
                  <w:vAlign w:val="center"/>
                </w:tcPr>
                <w:p w14:paraId="744AE2B5">
                  <w:pPr>
                    <w:pStyle w:val="11"/>
                    <w:shd w:val="clea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27" w:type="dxa"/>
                  <w:vMerge w:val="continue"/>
                  <w:noWrap w:val="0"/>
                  <w:vAlign w:val="center"/>
                </w:tcPr>
                <w:p w14:paraId="7DC9296A">
                  <w:pPr>
                    <w:shd w:val="clea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4646" w:type="dxa"/>
                  <w:noWrap w:val="0"/>
                  <w:vAlign w:val="center"/>
                </w:tcPr>
                <w:p w14:paraId="4B8446CF">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个容积为</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的化粪池。</w:t>
                  </w:r>
                </w:p>
              </w:tc>
              <w:tc>
                <w:tcPr>
                  <w:tcW w:w="739" w:type="dxa"/>
                  <w:noWrap w:val="0"/>
                  <w:vAlign w:val="center"/>
                </w:tcPr>
                <w:p w14:paraId="0C22C98B">
                  <w:pPr>
                    <w:pStyle w:val="78"/>
                    <w:shd w:val="clear"/>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lang w:val="en-US" w:eastAsia="zh-CN"/>
                    </w:rPr>
                    <w:t>1</w:t>
                  </w:r>
                  <w:r>
                    <w:rPr>
                      <w:rFonts w:hint="default" w:ascii="Times New Roman" w:hAnsi="Times New Roman" w:eastAsia="宋体" w:cs="Times New Roman"/>
                      <w:b w:val="0"/>
                      <w:bCs/>
                      <w:color w:val="auto"/>
                      <w:sz w:val="21"/>
                      <w:szCs w:val="21"/>
                      <w:highlight w:val="none"/>
                    </w:rPr>
                    <w:t>个</w:t>
                  </w:r>
                </w:p>
              </w:tc>
              <w:tc>
                <w:tcPr>
                  <w:tcW w:w="843" w:type="dxa"/>
                  <w:noWrap w:val="0"/>
                  <w:vAlign w:val="center"/>
                </w:tcPr>
                <w:p w14:paraId="08C7F7FE">
                  <w:pPr>
                    <w:shd w:val="clea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w:t>
                  </w:r>
                </w:p>
              </w:tc>
              <w:tc>
                <w:tcPr>
                  <w:tcW w:w="718" w:type="dxa"/>
                  <w:noWrap w:val="0"/>
                  <w:vAlign w:val="center"/>
                </w:tcPr>
                <w:p w14:paraId="47554D8B">
                  <w:pPr>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依托</w:t>
                  </w:r>
                </w:p>
              </w:tc>
            </w:tr>
            <w:tr w14:paraId="4723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 w:type="dxa"/>
                  <w:vMerge w:val="continue"/>
                  <w:noWrap w:val="0"/>
                  <w:vAlign w:val="center"/>
                </w:tcPr>
                <w:p w14:paraId="55008451">
                  <w:pPr>
                    <w:pStyle w:val="11"/>
                    <w:shd w:val="clea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27" w:type="dxa"/>
                  <w:vMerge w:val="continue"/>
                  <w:noWrap w:val="0"/>
                  <w:vAlign w:val="center"/>
                </w:tcPr>
                <w:p w14:paraId="19F7FFE5">
                  <w:pPr>
                    <w:shd w:val="clea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4646" w:type="dxa"/>
                  <w:noWrap w:val="0"/>
                  <w:vAlign w:val="center"/>
                </w:tcPr>
                <w:p w14:paraId="73D6D641">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1套处理规模为</w:t>
                  </w: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/d的</w:t>
                  </w:r>
                  <w:r>
                    <w:rPr>
                      <w:rFonts w:hint="default" w:ascii="Times New Roman" w:hAnsi="Times New Roman" w:eastAsia="宋体" w:cs="Times New Roman"/>
                      <w:color w:val="auto"/>
                      <w:sz w:val="21"/>
                      <w:szCs w:val="21"/>
                      <w:highlight w:val="none"/>
                      <w:lang w:val="en-US" w:eastAsia="zh-CN"/>
                    </w:rPr>
                    <w:t>一体化</w:t>
                  </w:r>
                  <w:r>
                    <w:rPr>
                      <w:rFonts w:hint="default" w:ascii="Times New Roman" w:hAnsi="Times New Roman" w:eastAsia="宋体" w:cs="Times New Roman"/>
                      <w:color w:val="auto"/>
                      <w:sz w:val="21"/>
                      <w:szCs w:val="21"/>
                      <w:highlight w:val="none"/>
                    </w:rPr>
                    <w:t>生活污水处理站。</w:t>
                  </w:r>
                </w:p>
              </w:tc>
              <w:tc>
                <w:tcPr>
                  <w:tcW w:w="739" w:type="dxa"/>
                  <w:noWrap w:val="0"/>
                  <w:vAlign w:val="center"/>
                </w:tcPr>
                <w:p w14:paraId="02214041">
                  <w:pPr>
                    <w:pStyle w:val="78"/>
                    <w:shd w:val="clear"/>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843" w:type="dxa"/>
                  <w:noWrap w:val="0"/>
                  <w:vAlign w:val="center"/>
                </w:tcPr>
                <w:p w14:paraId="19D64A4D">
                  <w:pPr>
                    <w:shd w:val="clea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w:t>
                  </w:r>
                </w:p>
              </w:tc>
              <w:tc>
                <w:tcPr>
                  <w:tcW w:w="718" w:type="dxa"/>
                  <w:noWrap w:val="0"/>
                  <w:vAlign w:val="center"/>
                </w:tcPr>
                <w:p w14:paraId="034950B4">
                  <w:pPr>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依托</w:t>
                  </w:r>
                </w:p>
              </w:tc>
            </w:tr>
            <w:tr w14:paraId="5DB7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 w:type="dxa"/>
                  <w:vMerge w:val="continue"/>
                  <w:noWrap w:val="0"/>
                  <w:vAlign w:val="center"/>
                </w:tcPr>
                <w:p w14:paraId="489D4014">
                  <w:pPr>
                    <w:pStyle w:val="11"/>
                    <w:shd w:val="clea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27" w:type="dxa"/>
                  <w:vMerge w:val="continue"/>
                  <w:noWrap w:val="0"/>
                  <w:vAlign w:val="center"/>
                </w:tcPr>
                <w:p w14:paraId="19F47AC9">
                  <w:pPr>
                    <w:shd w:val="clea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4646" w:type="dxa"/>
                  <w:noWrap w:val="0"/>
                  <w:vAlign w:val="center"/>
                </w:tcPr>
                <w:p w14:paraId="02052148">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1个容积为</w:t>
                  </w:r>
                  <w:r>
                    <w:rPr>
                      <w:rFonts w:hint="eastAsia" w:cs="Times New Roman"/>
                      <w:color w:val="auto"/>
                      <w:sz w:val="21"/>
                      <w:szCs w:val="21"/>
                      <w:highlight w:val="none"/>
                      <w:lang w:val="en-US" w:eastAsia="zh-CN"/>
                    </w:rPr>
                    <w:t>35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w:t>
                  </w:r>
                  <w:r>
                    <w:rPr>
                      <w:rFonts w:hint="eastAsia" w:cs="Times New Roman"/>
                      <w:color w:val="auto"/>
                      <w:sz w:val="21"/>
                      <w:szCs w:val="21"/>
                      <w:highlight w:val="none"/>
                      <w:lang w:eastAsia="zh-CN"/>
                    </w:rPr>
                    <w:t>清水池</w:t>
                  </w:r>
                  <w:r>
                    <w:rPr>
                      <w:rFonts w:hint="default" w:ascii="Times New Roman" w:hAnsi="Times New Roman" w:eastAsia="宋体" w:cs="Times New Roman"/>
                      <w:color w:val="auto"/>
                      <w:sz w:val="21"/>
                      <w:szCs w:val="21"/>
                      <w:highlight w:val="none"/>
                    </w:rPr>
                    <w:t>。</w:t>
                  </w:r>
                </w:p>
              </w:tc>
              <w:tc>
                <w:tcPr>
                  <w:tcW w:w="739" w:type="dxa"/>
                  <w:noWrap w:val="0"/>
                  <w:vAlign w:val="center"/>
                </w:tcPr>
                <w:p w14:paraId="359FF423">
                  <w:pPr>
                    <w:pStyle w:val="78"/>
                    <w:shd w:val="clear"/>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1个</w:t>
                  </w:r>
                </w:p>
              </w:tc>
              <w:tc>
                <w:tcPr>
                  <w:tcW w:w="843" w:type="dxa"/>
                  <w:noWrap w:val="0"/>
                  <w:vAlign w:val="center"/>
                </w:tcPr>
                <w:p w14:paraId="13AE8334">
                  <w:pPr>
                    <w:shd w:val="clea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w:t>
                  </w:r>
                </w:p>
              </w:tc>
              <w:tc>
                <w:tcPr>
                  <w:tcW w:w="718" w:type="dxa"/>
                  <w:noWrap w:val="0"/>
                  <w:vAlign w:val="center"/>
                </w:tcPr>
                <w:p w14:paraId="02F4F286">
                  <w:pPr>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依托</w:t>
                  </w:r>
                </w:p>
              </w:tc>
            </w:tr>
            <w:tr w14:paraId="3009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 w:type="dxa"/>
                  <w:noWrap w:val="0"/>
                  <w:vAlign w:val="center"/>
                </w:tcPr>
                <w:p w14:paraId="62BDB71E">
                  <w:pPr>
                    <w:pStyle w:val="11"/>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1327" w:type="dxa"/>
                  <w:noWrap w:val="0"/>
                  <w:vAlign w:val="center"/>
                </w:tcPr>
                <w:p w14:paraId="490BE247">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生产设备噪声</w:t>
                  </w:r>
                </w:p>
              </w:tc>
              <w:tc>
                <w:tcPr>
                  <w:tcW w:w="4646" w:type="dxa"/>
                  <w:noWrap w:val="0"/>
                  <w:vAlign w:val="center"/>
                </w:tcPr>
                <w:p w14:paraId="4558023E">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厂房隔音，高噪声设备安装消声、减振装置。</w:t>
                  </w:r>
                </w:p>
              </w:tc>
              <w:tc>
                <w:tcPr>
                  <w:tcW w:w="739" w:type="dxa"/>
                  <w:noWrap w:val="0"/>
                  <w:vAlign w:val="center"/>
                </w:tcPr>
                <w:p w14:paraId="2606A4E6">
                  <w:pPr>
                    <w:shd w:val="clea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843" w:type="dxa"/>
                  <w:noWrap w:val="0"/>
                  <w:vAlign w:val="center"/>
                </w:tcPr>
                <w:p w14:paraId="12A2989A">
                  <w:pPr>
                    <w:shd w:val="clea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0.</w:t>
                  </w:r>
                  <w:r>
                    <w:rPr>
                      <w:rFonts w:hint="default" w:ascii="Times New Roman" w:hAnsi="Times New Roman" w:eastAsia="宋体" w:cs="Times New Roman"/>
                      <w:bCs/>
                      <w:color w:val="auto"/>
                      <w:sz w:val="21"/>
                      <w:szCs w:val="21"/>
                      <w:highlight w:val="none"/>
                      <w:lang w:val="en-US" w:eastAsia="zh-CN"/>
                    </w:rPr>
                    <w:t>2</w:t>
                  </w:r>
                </w:p>
              </w:tc>
              <w:tc>
                <w:tcPr>
                  <w:tcW w:w="718" w:type="dxa"/>
                  <w:noWrap w:val="0"/>
                  <w:vAlign w:val="center"/>
                </w:tcPr>
                <w:p w14:paraId="2E5E840B">
                  <w:pPr>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14:paraId="39FF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 w:type="dxa"/>
                  <w:vMerge w:val="restart"/>
                  <w:noWrap w:val="0"/>
                  <w:vAlign w:val="center"/>
                </w:tcPr>
                <w:p w14:paraId="536609CA">
                  <w:pPr>
                    <w:pStyle w:val="11"/>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固废治理</w:t>
                  </w:r>
                </w:p>
              </w:tc>
              <w:tc>
                <w:tcPr>
                  <w:tcW w:w="1327" w:type="dxa"/>
                  <w:noWrap w:val="0"/>
                  <w:vAlign w:val="center"/>
                </w:tcPr>
                <w:p w14:paraId="4D0740A9">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4646" w:type="dxa"/>
                  <w:noWrap w:val="0"/>
                  <w:vAlign w:val="center"/>
                </w:tcPr>
                <w:p w14:paraId="0ABDCB37">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带盖式生活垃圾收集桶。</w:t>
                  </w:r>
                </w:p>
              </w:tc>
              <w:tc>
                <w:tcPr>
                  <w:tcW w:w="739" w:type="dxa"/>
                  <w:noWrap w:val="0"/>
                  <w:vAlign w:val="center"/>
                </w:tcPr>
                <w:p w14:paraId="1471DB1C">
                  <w:pPr>
                    <w:shd w:val="clea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数个</w:t>
                  </w:r>
                </w:p>
              </w:tc>
              <w:tc>
                <w:tcPr>
                  <w:tcW w:w="843" w:type="dxa"/>
                  <w:noWrap w:val="0"/>
                  <w:vAlign w:val="center"/>
                </w:tcPr>
                <w:p w14:paraId="1762906C">
                  <w:pPr>
                    <w:shd w:val="clea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0.1</w:t>
                  </w:r>
                </w:p>
              </w:tc>
              <w:tc>
                <w:tcPr>
                  <w:tcW w:w="718" w:type="dxa"/>
                  <w:vMerge w:val="restart"/>
                  <w:noWrap w:val="0"/>
                  <w:vAlign w:val="center"/>
                </w:tcPr>
                <w:p w14:paraId="3B23C9DA">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环评提出</w:t>
                  </w:r>
                </w:p>
              </w:tc>
            </w:tr>
            <w:tr w14:paraId="5D2E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 w:type="dxa"/>
                  <w:vMerge w:val="continue"/>
                  <w:noWrap w:val="0"/>
                  <w:vAlign w:val="center"/>
                </w:tcPr>
                <w:p w14:paraId="714F5B07">
                  <w:pPr>
                    <w:pStyle w:val="11"/>
                    <w:shd w:val="clea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27" w:type="dxa"/>
                  <w:noWrap w:val="0"/>
                  <w:vAlign w:val="center"/>
                </w:tcPr>
                <w:p w14:paraId="6C4499F1">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泔水桶</w:t>
                  </w:r>
                </w:p>
              </w:tc>
              <w:tc>
                <w:tcPr>
                  <w:tcW w:w="4646" w:type="dxa"/>
                  <w:noWrap w:val="0"/>
                  <w:vAlign w:val="center"/>
                </w:tcPr>
                <w:p w14:paraId="15B918F6">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2只，1用1备，用于收集食堂泔水。</w:t>
                  </w:r>
                </w:p>
              </w:tc>
              <w:tc>
                <w:tcPr>
                  <w:tcW w:w="739" w:type="dxa"/>
                  <w:noWrap w:val="0"/>
                  <w:vAlign w:val="center"/>
                </w:tcPr>
                <w:p w14:paraId="17769253">
                  <w:pPr>
                    <w:shd w:val="clea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2只</w:t>
                  </w:r>
                </w:p>
              </w:tc>
              <w:tc>
                <w:tcPr>
                  <w:tcW w:w="843" w:type="dxa"/>
                  <w:noWrap w:val="0"/>
                  <w:vAlign w:val="center"/>
                </w:tcPr>
                <w:p w14:paraId="764F9D3E">
                  <w:pPr>
                    <w:shd w:val="clea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0.1</w:t>
                  </w:r>
                </w:p>
              </w:tc>
              <w:tc>
                <w:tcPr>
                  <w:tcW w:w="718" w:type="dxa"/>
                  <w:vMerge w:val="continue"/>
                  <w:noWrap w:val="0"/>
                  <w:vAlign w:val="center"/>
                </w:tcPr>
                <w:p w14:paraId="4B219B82">
                  <w:pPr>
                    <w:shd w:val="clear"/>
                    <w:spacing w:line="240" w:lineRule="auto"/>
                    <w:ind w:firstLine="0" w:firstLineChars="0"/>
                    <w:jc w:val="center"/>
                    <w:rPr>
                      <w:rFonts w:hint="default" w:ascii="Times New Roman" w:hAnsi="Times New Roman" w:eastAsia="宋体" w:cs="Times New Roman"/>
                      <w:color w:val="auto"/>
                      <w:sz w:val="21"/>
                      <w:szCs w:val="21"/>
                      <w:highlight w:val="none"/>
                    </w:rPr>
                  </w:pPr>
                </w:p>
              </w:tc>
            </w:tr>
            <w:tr w14:paraId="6696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 w:type="dxa"/>
                  <w:vMerge w:val="continue"/>
                  <w:noWrap w:val="0"/>
                  <w:vAlign w:val="center"/>
                </w:tcPr>
                <w:p w14:paraId="3DBB001D">
                  <w:pPr>
                    <w:pStyle w:val="11"/>
                    <w:shd w:val="clea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27" w:type="dxa"/>
                  <w:noWrap w:val="0"/>
                  <w:vAlign w:val="center"/>
                </w:tcPr>
                <w:p w14:paraId="5F1FCAB9">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废油脂收集桶</w:t>
                  </w:r>
                </w:p>
              </w:tc>
              <w:tc>
                <w:tcPr>
                  <w:tcW w:w="4646" w:type="dxa"/>
                  <w:noWrap w:val="0"/>
                  <w:vAlign w:val="center"/>
                </w:tcPr>
                <w:p w14:paraId="381CD7C4">
                  <w:pPr>
                    <w:widowControl/>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2只，1用1备，用于收集食堂隔油池废油脂。</w:t>
                  </w:r>
                </w:p>
              </w:tc>
              <w:tc>
                <w:tcPr>
                  <w:tcW w:w="739" w:type="dxa"/>
                  <w:noWrap w:val="0"/>
                  <w:vAlign w:val="center"/>
                </w:tcPr>
                <w:p w14:paraId="6CEB8EA5">
                  <w:pPr>
                    <w:shd w:val="clea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2只</w:t>
                  </w:r>
                </w:p>
              </w:tc>
              <w:tc>
                <w:tcPr>
                  <w:tcW w:w="843" w:type="dxa"/>
                  <w:noWrap w:val="0"/>
                  <w:vAlign w:val="center"/>
                </w:tcPr>
                <w:p w14:paraId="72BF7D9C">
                  <w:pPr>
                    <w:shd w:val="clea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0.1</w:t>
                  </w:r>
                </w:p>
              </w:tc>
              <w:tc>
                <w:tcPr>
                  <w:tcW w:w="718" w:type="dxa"/>
                  <w:vMerge w:val="continue"/>
                  <w:noWrap w:val="0"/>
                  <w:vAlign w:val="center"/>
                </w:tcPr>
                <w:p w14:paraId="1BF3271A">
                  <w:pPr>
                    <w:shd w:val="clear"/>
                    <w:spacing w:line="240" w:lineRule="auto"/>
                    <w:ind w:firstLine="0" w:firstLineChars="0"/>
                    <w:jc w:val="center"/>
                    <w:rPr>
                      <w:rFonts w:hint="default" w:ascii="Times New Roman" w:hAnsi="Times New Roman" w:eastAsia="宋体" w:cs="Times New Roman"/>
                      <w:color w:val="auto"/>
                      <w:sz w:val="21"/>
                      <w:szCs w:val="21"/>
                      <w:highlight w:val="none"/>
                    </w:rPr>
                  </w:pPr>
                </w:p>
              </w:tc>
            </w:tr>
            <w:tr w14:paraId="36CE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 w:type="dxa"/>
                  <w:vMerge w:val="continue"/>
                  <w:noWrap w:val="0"/>
                  <w:vAlign w:val="center"/>
                </w:tcPr>
                <w:p w14:paraId="0BA74E39">
                  <w:pPr>
                    <w:pStyle w:val="11"/>
                    <w:shd w:val="clea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27" w:type="dxa"/>
                  <w:noWrap w:val="0"/>
                  <w:vAlign w:val="center"/>
                </w:tcPr>
                <w:p w14:paraId="50ACA2C4">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一般固废暂存区</w:t>
                  </w:r>
                </w:p>
              </w:tc>
              <w:tc>
                <w:tcPr>
                  <w:tcW w:w="4646" w:type="dxa"/>
                  <w:noWrap w:val="0"/>
                  <w:vAlign w:val="center"/>
                </w:tcPr>
                <w:p w14:paraId="010922F3">
                  <w:pPr>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面积为</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的一般固体废物暂存区，收集、暂存设施、清运处置</w:t>
                  </w:r>
                  <w:r>
                    <w:rPr>
                      <w:rFonts w:hint="default" w:ascii="Times New Roman" w:hAnsi="Times New Roman" w:eastAsia="宋体" w:cs="Times New Roman"/>
                      <w:color w:val="auto"/>
                      <w:sz w:val="21"/>
                      <w:szCs w:val="21"/>
                      <w:highlight w:val="none"/>
                      <w:lang w:eastAsia="zh-CN"/>
                    </w:rPr>
                    <w:t>。</w:t>
                  </w:r>
                </w:p>
              </w:tc>
              <w:tc>
                <w:tcPr>
                  <w:tcW w:w="739" w:type="dxa"/>
                  <w:noWrap w:val="0"/>
                  <w:vAlign w:val="center"/>
                </w:tcPr>
                <w:p w14:paraId="4E798BD8">
                  <w:pPr>
                    <w:shd w:val="clea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2</w:t>
                  </w:r>
                  <w:r>
                    <w:rPr>
                      <w:rFonts w:hint="default" w:ascii="Times New Roman" w:hAnsi="Times New Roman" w:eastAsia="宋体" w:cs="Times New Roman"/>
                      <w:bCs/>
                      <w:color w:val="auto"/>
                      <w:sz w:val="21"/>
                      <w:szCs w:val="21"/>
                      <w:highlight w:val="none"/>
                    </w:rPr>
                    <w:t>0m</w:t>
                  </w:r>
                  <w:r>
                    <w:rPr>
                      <w:rFonts w:hint="default" w:ascii="Times New Roman" w:hAnsi="Times New Roman" w:eastAsia="宋体" w:cs="Times New Roman"/>
                      <w:bCs/>
                      <w:color w:val="auto"/>
                      <w:sz w:val="21"/>
                      <w:szCs w:val="21"/>
                      <w:highlight w:val="none"/>
                      <w:vertAlign w:val="superscript"/>
                    </w:rPr>
                    <w:t>2</w:t>
                  </w:r>
                </w:p>
              </w:tc>
              <w:tc>
                <w:tcPr>
                  <w:tcW w:w="843" w:type="dxa"/>
                  <w:noWrap w:val="0"/>
                  <w:vAlign w:val="center"/>
                </w:tcPr>
                <w:p w14:paraId="558892C6">
                  <w:pPr>
                    <w:shd w:val="clea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718" w:type="dxa"/>
                  <w:noWrap w:val="0"/>
                  <w:vAlign w:val="center"/>
                </w:tcPr>
                <w:p w14:paraId="715304D7">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主体已建</w:t>
                  </w:r>
                </w:p>
              </w:tc>
            </w:tr>
            <w:tr w14:paraId="6D59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2" w:type="dxa"/>
                  <w:vMerge w:val="continue"/>
                  <w:noWrap w:val="0"/>
                  <w:vAlign w:val="center"/>
                </w:tcPr>
                <w:p w14:paraId="0A996D33">
                  <w:pPr>
                    <w:pStyle w:val="11"/>
                    <w:shd w:val="clea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327" w:type="dxa"/>
                  <w:noWrap w:val="0"/>
                  <w:vAlign w:val="center"/>
                </w:tcPr>
                <w:p w14:paraId="192D5568">
                  <w:pPr>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w:t>
                  </w:r>
                  <w:r>
                    <w:rPr>
                      <w:rFonts w:hint="default" w:ascii="Times New Roman" w:hAnsi="Times New Roman" w:eastAsia="宋体" w:cs="Times New Roman"/>
                      <w:color w:val="auto"/>
                      <w:sz w:val="21"/>
                      <w:szCs w:val="21"/>
                      <w:highlight w:val="none"/>
                    </w:rPr>
                    <w:t>活性炭、废机油</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机修废物</w:t>
                  </w:r>
                </w:p>
              </w:tc>
              <w:tc>
                <w:tcPr>
                  <w:tcW w:w="4646" w:type="dxa"/>
                  <w:noWrap w:val="0"/>
                  <w:vAlign w:val="center"/>
                </w:tcPr>
                <w:p w14:paraId="5334B25F">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项目区内</w:t>
                  </w:r>
                  <w:r>
                    <w:rPr>
                      <w:rFonts w:hint="default" w:ascii="Times New Roman" w:hAnsi="Times New Roman" w:eastAsia="宋体" w:cs="Times New Roman"/>
                      <w:color w:val="auto"/>
                      <w:sz w:val="21"/>
                      <w:szCs w:val="21"/>
                      <w:highlight w:val="none"/>
                      <w:lang w:val="en-US" w:eastAsia="zh-CN"/>
                    </w:rPr>
                    <w:t>拟</w:t>
                  </w:r>
                  <w:r>
                    <w:rPr>
                      <w:rFonts w:hint="default" w:ascii="Times New Roman" w:hAnsi="Times New Roman" w:eastAsia="宋体" w:cs="Times New Roman"/>
                      <w:color w:val="auto"/>
                      <w:sz w:val="21"/>
                      <w:szCs w:val="21"/>
                      <w:highlight w:val="none"/>
                    </w:rPr>
                    <w:t>设置1间</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的危废暂存间，内设2个危废收集容器，渗透系数≤1×10</w:t>
                  </w:r>
                  <w:r>
                    <w:rPr>
                      <w:rFonts w:hint="default" w:ascii="Times New Roman" w:hAnsi="Times New Roman" w:eastAsia="宋体" w:cs="Times New Roman"/>
                      <w:color w:val="auto"/>
                      <w:sz w:val="21"/>
                      <w:szCs w:val="21"/>
                      <w:highlight w:val="none"/>
                      <w:vertAlign w:val="superscript"/>
                    </w:rPr>
                    <w:t>-10</w:t>
                  </w:r>
                  <w:r>
                    <w:rPr>
                      <w:rFonts w:hint="default" w:ascii="Times New Roman" w:hAnsi="Times New Roman" w:eastAsia="宋体" w:cs="Times New Roman"/>
                      <w:color w:val="auto"/>
                      <w:sz w:val="21"/>
                      <w:szCs w:val="21"/>
                      <w:highlight w:val="none"/>
                    </w:rPr>
                    <w:t>cm/s，危险废物分区暂存，并设危废暂存间标识牌和转移台账，委托资质单位清运、处置。</w:t>
                  </w:r>
                </w:p>
              </w:tc>
              <w:tc>
                <w:tcPr>
                  <w:tcW w:w="739" w:type="dxa"/>
                  <w:noWrap w:val="0"/>
                  <w:vAlign w:val="center"/>
                </w:tcPr>
                <w:p w14:paraId="2EC9AEDA">
                  <w:pPr>
                    <w:shd w:val="clea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2</w:t>
                  </w:r>
                </w:p>
              </w:tc>
              <w:tc>
                <w:tcPr>
                  <w:tcW w:w="843" w:type="dxa"/>
                  <w:noWrap w:val="0"/>
                  <w:vAlign w:val="center"/>
                </w:tcPr>
                <w:p w14:paraId="5C36EE93">
                  <w:pPr>
                    <w:shd w:val="clea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2.1</w:t>
                  </w:r>
                </w:p>
              </w:tc>
              <w:tc>
                <w:tcPr>
                  <w:tcW w:w="718" w:type="dxa"/>
                  <w:noWrap w:val="0"/>
                  <w:vAlign w:val="center"/>
                </w:tcPr>
                <w:p w14:paraId="7D7E8EE0">
                  <w:pPr>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环评提出</w:t>
                  </w:r>
                </w:p>
              </w:tc>
            </w:tr>
            <w:tr w14:paraId="7B9E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5" w:type="dxa"/>
                  <w:gridSpan w:val="3"/>
                  <w:noWrap w:val="0"/>
                  <w:vAlign w:val="center"/>
                </w:tcPr>
                <w:p w14:paraId="1CE49BC1">
                  <w:pPr>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合计</w:t>
                  </w:r>
                </w:p>
              </w:tc>
              <w:tc>
                <w:tcPr>
                  <w:tcW w:w="739" w:type="dxa"/>
                  <w:noWrap w:val="0"/>
                  <w:vAlign w:val="center"/>
                </w:tcPr>
                <w:p w14:paraId="42AAB304">
                  <w:pPr>
                    <w:shd w:val="clea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w:t>
                  </w:r>
                </w:p>
              </w:tc>
              <w:tc>
                <w:tcPr>
                  <w:tcW w:w="843" w:type="dxa"/>
                  <w:noWrap w:val="0"/>
                  <w:vAlign w:val="center"/>
                </w:tcPr>
                <w:p w14:paraId="31E68FAA">
                  <w:pPr>
                    <w:shd w:val="clea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36.7</w:t>
                  </w:r>
                </w:p>
              </w:tc>
              <w:tc>
                <w:tcPr>
                  <w:tcW w:w="718" w:type="dxa"/>
                  <w:noWrap w:val="0"/>
                  <w:vAlign w:val="center"/>
                </w:tcPr>
                <w:p w14:paraId="7AB32BB0">
                  <w:pPr>
                    <w:shd w:val="clea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bl>
          <w:p w14:paraId="33AB55DD">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9、水平衡</w:t>
            </w:r>
          </w:p>
          <w:p w14:paraId="6AADA0FC">
            <w:pPr>
              <w:pStyle w:val="6"/>
              <w:keepNext w:val="0"/>
              <w:keepLines w:val="0"/>
              <w:pageBreakBefore w:val="0"/>
              <w:widowControl w:val="0"/>
              <w:shd w:val="clear"/>
              <w:kinsoku/>
              <w:wordWrap/>
              <w:overflowPunct/>
              <w:topLinePunct w:val="0"/>
              <w:autoSpaceDE/>
              <w:autoSpaceDN/>
              <w:bidi w:val="0"/>
              <w:adjustRightInd w:val="0"/>
              <w:snapToGrid w:val="0"/>
              <w:spacing w:before="0" w:after="0" w:line="360" w:lineRule="auto"/>
              <w:ind w:left="0" w:right="0" w:firstLine="482" w:firstLineChars="200"/>
              <w:textAlignment w:val="auto"/>
              <w:rPr>
                <w:rFonts w:hint="default" w:ascii="Times New Roman" w:hAnsi="Times New Roman" w:eastAsia="宋体" w:cs="Times New Roman"/>
                <w:b/>
                <w:bCs/>
                <w:caps w:val="0"/>
                <w:snapToGrid w:val="0"/>
                <w:color w:val="auto"/>
                <w:spacing w:val="0"/>
                <w:w w:val="100"/>
                <w:position w:val="0"/>
                <w:sz w:val="24"/>
                <w:szCs w:val="24"/>
                <w:highlight w:val="none"/>
              </w:rPr>
            </w:pPr>
            <w:r>
              <w:rPr>
                <w:rFonts w:hint="default" w:ascii="Times New Roman" w:hAnsi="Times New Roman" w:eastAsia="宋体" w:cs="Times New Roman"/>
                <w:b/>
                <w:bCs/>
                <w:caps w:val="0"/>
                <w:snapToGrid w:val="0"/>
                <w:color w:val="auto"/>
                <w:spacing w:val="0"/>
                <w:w w:val="100"/>
                <w:position w:val="0"/>
                <w:sz w:val="24"/>
                <w:szCs w:val="24"/>
                <w:highlight w:val="none"/>
              </w:rPr>
              <w:t>（</w:t>
            </w:r>
            <w:r>
              <w:rPr>
                <w:rFonts w:hint="default" w:ascii="Times New Roman" w:hAnsi="Times New Roman" w:eastAsia="宋体" w:cs="Times New Roman"/>
                <w:b/>
                <w:bCs/>
                <w:caps w:val="0"/>
                <w:snapToGrid w:val="0"/>
                <w:color w:val="auto"/>
                <w:spacing w:val="0"/>
                <w:w w:val="100"/>
                <w:position w:val="0"/>
                <w:sz w:val="24"/>
                <w:szCs w:val="24"/>
                <w:highlight w:val="none"/>
                <w:lang w:val="en-US" w:eastAsia="zh-CN"/>
              </w:rPr>
              <w:t>1</w:t>
            </w:r>
            <w:r>
              <w:rPr>
                <w:rFonts w:hint="default" w:ascii="Times New Roman" w:hAnsi="Times New Roman" w:eastAsia="宋体" w:cs="Times New Roman"/>
                <w:b/>
                <w:bCs/>
                <w:caps w:val="0"/>
                <w:snapToGrid w:val="0"/>
                <w:color w:val="auto"/>
                <w:spacing w:val="0"/>
                <w:w w:val="100"/>
                <w:position w:val="0"/>
                <w:sz w:val="24"/>
                <w:szCs w:val="24"/>
                <w:highlight w:val="none"/>
              </w:rPr>
              <w:t>）产排污参数计算</w:t>
            </w:r>
          </w:p>
          <w:p w14:paraId="0A177958">
            <w:pPr>
              <w:pStyle w:val="6"/>
              <w:keepNext w:val="0"/>
              <w:keepLines w:val="0"/>
              <w:pageBreakBefore w:val="0"/>
              <w:widowControl/>
              <w:shd w:val="clear"/>
              <w:kinsoku/>
              <w:wordWrap/>
              <w:overflowPunct/>
              <w:topLinePunct w:val="0"/>
              <w:bidi w:val="0"/>
              <w:snapToGrid w:val="0"/>
              <w:spacing w:after="0" w:line="360" w:lineRule="auto"/>
              <w:ind w:firstLine="480" w:firstLineChars="200"/>
              <w:textAlignment w:val="auto"/>
              <w:rPr>
                <w:rFonts w:hint="default" w:ascii="Times New Roman" w:hAnsi="Times New Roman" w:eastAsia="宋体" w:cs="Times New Roman"/>
                <w:snapToGrid w:val="0"/>
                <w:color w:val="auto"/>
                <w:sz w:val="24"/>
                <w:highlight w:val="none"/>
              </w:rPr>
            </w:pPr>
            <w:r>
              <w:rPr>
                <w:rFonts w:hint="default" w:ascii="Times New Roman" w:hAnsi="Times New Roman" w:eastAsia="宋体" w:cs="Times New Roman"/>
                <w:color w:val="auto"/>
                <w:sz w:val="24"/>
                <w:szCs w:val="24"/>
              </w:rPr>
              <w:t>本项目运营期用水包括</w:t>
            </w:r>
            <w:r>
              <w:rPr>
                <w:rFonts w:hint="eastAsia" w:cs="Times New Roman"/>
                <w:color w:val="auto"/>
                <w:sz w:val="24"/>
                <w:szCs w:val="24"/>
                <w:lang w:val="en-US" w:eastAsia="zh-CN"/>
              </w:rPr>
              <w:t>冷却</w:t>
            </w:r>
            <w:r>
              <w:rPr>
                <w:rFonts w:hint="default" w:ascii="Times New Roman" w:hAnsi="Times New Roman" w:eastAsia="宋体" w:cs="Times New Roman"/>
                <w:color w:val="auto"/>
                <w:sz w:val="24"/>
                <w:szCs w:val="24"/>
                <w:lang w:val="en-US" w:eastAsia="zh-CN"/>
              </w:rPr>
              <w:t>用水</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办公生活</w:t>
            </w:r>
            <w:r>
              <w:rPr>
                <w:rFonts w:hint="default" w:ascii="Times New Roman" w:hAnsi="Times New Roman" w:eastAsia="宋体" w:cs="Times New Roman"/>
                <w:color w:val="auto"/>
                <w:sz w:val="24"/>
                <w:szCs w:val="24"/>
              </w:rPr>
              <w:t>用水，废水主要为</w:t>
            </w:r>
            <w:r>
              <w:rPr>
                <w:rFonts w:hint="eastAsia" w:cs="Times New Roman"/>
                <w:color w:val="auto"/>
                <w:sz w:val="24"/>
                <w:szCs w:val="24"/>
                <w:lang w:val="en-US" w:eastAsia="zh-CN"/>
              </w:rPr>
              <w:t>冷却</w:t>
            </w:r>
            <w:r>
              <w:rPr>
                <w:rFonts w:hint="default" w:ascii="Times New Roman" w:hAnsi="Times New Roman" w:eastAsia="宋体" w:cs="Times New Roman"/>
                <w:color w:val="auto"/>
                <w:sz w:val="24"/>
                <w:szCs w:val="24"/>
                <w:lang w:val="en-US" w:eastAsia="zh-CN"/>
              </w:rPr>
              <w:t>废水及办公生活</w:t>
            </w:r>
            <w:r>
              <w:rPr>
                <w:rFonts w:hint="default" w:ascii="Times New Roman" w:hAnsi="Times New Roman" w:eastAsia="宋体" w:cs="Times New Roman"/>
                <w:color w:val="auto"/>
                <w:sz w:val="24"/>
                <w:szCs w:val="24"/>
              </w:rPr>
              <w:t>污水。</w:t>
            </w:r>
          </w:p>
          <w:p w14:paraId="282C672E">
            <w:pPr>
              <w:pStyle w:val="6"/>
              <w:keepNext w:val="0"/>
              <w:keepLines w:val="0"/>
              <w:pageBreakBefore w:val="0"/>
              <w:widowControl/>
              <w:shd w:val="clear"/>
              <w:kinsoku/>
              <w:wordWrap/>
              <w:overflowPunct/>
              <w:topLinePunct w:val="0"/>
              <w:bidi w:val="0"/>
              <w:snapToGrid w:val="0"/>
              <w:spacing w:after="0" w:line="360" w:lineRule="auto"/>
              <w:ind w:firstLine="482" w:firstLineChars="200"/>
              <w:textAlignment w:val="auto"/>
              <w:rPr>
                <w:rFonts w:hint="default" w:ascii="Times New Roman" w:hAnsi="Times New Roman" w:eastAsia="宋体" w:cs="Times New Roman"/>
                <w:b/>
                <w:bCs/>
                <w:snapToGrid w:val="0"/>
                <w:color w:val="auto"/>
                <w:sz w:val="24"/>
                <w:highlight w:val="none"/>
              </w:rPr>
            </w:pPr>
            <w:r>
              <w:rPr>
                <w:rFonts w:hint="eastAsia" w:cs="Times New Roman"/>
                <w:b/>
                <w:bCs/>
                <w:snapToGrid w:val="0"/>
                <w:color w:val="auto"/>
                <w:sz w:val="24"/>
                <w:highlight w:val="none"/>
                <w:lang w:eastAsia="zh-CN"/>
              </w:rPr>
              <w:t>①</w:t>
            </w:r>
            <w:r>
              <w:rPr>
                <w:rFonts w:hint="eastAsia" w:cs="Times New Roman"/>
                <w:b/>
                <w:bCs/>
                <w:color w:val="auto"/>
                <w:sz w:val="24"/>
                <w:szCs w:val="24"/>
                <w:highlight w:val="none"/>
                <w:lang w:val="en-US" w:eastAsia="zh-CN"/>
              </w:rPr>
              <w:t>冷却用排水</w:t>
            </w:r>
          </w:p>
          <w:p w14:paraId="77B81D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项目</w:t>
            </w:r>
            <w:r>
              <w:rPr>
                <w:rFonts w:hint="eastAsia" w:ascii="Times New Roman" w:hAnsi="Times New Roman" w:eastAsia="宋体" w:cs="Times New Roman"/>
                <w:color w:val="auto"/>
                <w:sz w:val="24"/>
                <w:szCs w:val="24"/>
                <w:highlight w:val="none"/>
                <w:lang w:eastAsia="zh-CN"/>
              </w:rPr>
              <w:t>挤出工序</w:t>
            </w:r>
            <w:r>
              <w:rPr>
                <w:rFonts w:hint="default" w:ascii="Times New Roman" w:hAnsi="Times New Roman" w:eastAsia="宋体" w:cs="Times New Roman"/>
                <w:color w:val="auto"/>
                <w:sz w:val="24"/>
                <w:szCs w:val="24"/>
                <w:highlight w:val="none"/>
                <w:lang w:eastAsia="zh-CN"/>
              </w:rPr>
              <w:t>需进行冷却，</w:t>
            </w:r>
            <w:r>
              <w:rPr>
                <w:rFonts w:hint="default" w:ascii="Times New Roman" w:hAnsi="Times New Roman" w:eastAsia="宋体" w:cs="Times New Roman"/>
                <w:color w:val="auto"/>
                <w:sz w:val="24"/>
                <w:szCs w:val="24"/>
                <w:highlight w:val="none"/>
              </w:rPr>
              <w:t>冷却过程产生冷却废水，</w:t>
            </w:r>
            <w:r>
              <w:rPr>
                <w:rFonts w:hint="default" w:ascii="Times New Roman" w:hAnsi="Times New Roman" w:eastAsia="宋体" w:cs="Times New Roman"/>
                <w:color w:val="auto"/>
                <w:kern w:val="2"/>
                <w:sz w:val="24"/>
                <w:szCs w:val="24"/>
                <w:highlight w:val="none"/>
                <w:lang w:eastAsia="zh-CN" w:bidi="ar-SA"/>
              </w:rPr>
              <w:t>冷却水与物料直接接触冷却。</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val="en-US" w:eastAsia="zh-CN"/>
              </w:rPr>
              <w:t>生产</w:t>
            </w:r>
            <w:r>
              <w:rPr>
                <w:rFonts w:hint="eastAsia" w:cs="Times New Roman"/>
                <w:color w:val="auto"/>
                <w:sz w:val="24"/>
                <w:szCs w:val="24"/>
                <w:lang w:val="en-US" w:eastAsia="zh-CN"/>
              </w:rPr>
              <w:t>厂房</w:t>
            </w:r>
            <w:r>
              <w:rPr>
                <w:rFonts w:hint="eastAsia" w:ascii="Times New Roman" w:hAnsi="Times New Roman" w:eastAsia="宋体" w:cs="Times New Roman"/>
                <w:color w:val="auto"/>
                <w:sz w:val="24"/>
                <w:szCs w:val="24"/>
                <w:lang w:val="en-US" w:eastAsia="zh-CN"/>
              </w:rPr>
              <w:t>西南侧</w:t>
            </w:r>
            <w:r>
              <w:rPr>
                <w:rFonts w:hint="default" w:ascii="Times New Roman" w:hAnsi="Times New Roman" w:eastAsia="宋体" w:cs="Times New Roman"/>
                <w:color w:val="auto"/>
                <w:sz w:val="24"/>
                <w:szCs w:val="24"/>
                <w:lang w:val="en-US" w:eastAsia="zh-CN"/>
              </w:rPr>
              <w:t>拟</w:t>
            </w:r>
            <w:r>
              <w:rPr>
                <w:rFonts w:hint="default" w:ascii="Times New Roman" w:hAnsi="Times New Roman" w:eastAsia="宋体" w:cs="Times New Roman"/>
                <w:color w:val="auto"/>
                <w:sz w:val="24"/>
                <w:szCs w:val="24"/>
              </w:rPr>
              <w:t>设置</w:t>
            </w:r>
            <w:r>
              <w:rPr>
                <w:rFonts w:hint="default" w:ascii="Times New Roman" w:hAnsi="Times New Roman" w:eastAsia="宋体" w:cs="Times New Roman"/>
                <w:color w:val="auto"/>
                <w:sz w:val="24"/>
                <w:szCs w:val="24"/>
                <w:lang w:eastAsia="zh-CN"/>
              </w:rPr>
              <w:t>了</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highlight w:val="none"/>
              </w:rPr>
              <w:t>个</w:t>
            </w:r>
            <w:r>
              <w:rPr>
                <w:rFonts w:hint="default" w:ascii="Times New Roman" w:hAnsi="Times New Roman" w:eastAsia="宋体" w:cs="Times New Roman"/>
                <w:color w:val="auto"/>
                <w:sz w:val="24"/>
                <w:szCs w:val="24"/>
                <w:highlight w:val="none"/>
                <w:lang w:eastAsia="zh-CN"/>
              </w:rPr>
              <w:t>容积为</w:t>
            </w:r>
            <w:r>
              <w:rPr>
                <w:rFonts w:hint="eastAsia"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的</w:t>
            </w:r>
            <w:r>
              <w:rPr>
                <w:rFonts w:hint="default" w:ascii="Times New Roman" w:hAnsi="Times New Roman" w:eastAsia="宋体" w:cs="Times New Roman"/>
                <w:color w:val="auto"/>
                <w:sz w:val="24"/>
                <w:szCs w:val="24"/>
                <w:lang w:eastAsia="zh-CN"/>
              </w:rPr>
              <w:t>水池，</w:t>
            </w:r>
            <w:r>
              <w:rPr>
                <w:rFonts w:hint="default" w:ascii="Times New Roman" w:hAnsi="Times New Roman" w:eastAsia="宋体" w:cs="Times New Roman"/>
                <w:color w:val="auto"/>
                <w:sz w:val="24"/>
                <w:szCs w:val="24"/>
              </w:rPr>
              <w:t>冷却废水经循环冷却池冷却后循环使用。</w:t>
            </w:r>
            <w:r>
              <w:rPr>
                <w:rFonts w:hint="default" w:ascii="Times New Roman" w:hAnsi="Times New Roman" w:eastAsia="宋体" w:cs="Times New Roman"/>
                <w:color w:val="auto"/>
                <w:sz w:val="24"/>
                <w:szCs w:val="24"/>
                <w:highlight w:val="none"/>
                <w:lang w:eastAsia="zh-CN"/>
              </w:rPr>
              <w:t>根据建设单位提供的设备技术参数资料可知，</w:t>
            </w:r>
            <w:r>
              <w:rPr>
                <w:rFonts w:hint="default" w:ascii="Times New Roman" w:hAnsi="Times New Roman" w:eastAsia="宋体" w:cs="Times New Roman"/>
                <w:color w:val="auto"/>
                <w:sz w:val="24"/>
                <w:szCs w:val="24"/>
                <w:highlight w:val="none"/>
                <w:lang w:val="en-US" w:eastAsia="zh-CN"/>
              </w:rPr>
              <w:t>冷却水耗量为</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kg/</w:t>
            </w:r>
            <w:r>
              <w:rPr>
                <w:rFonts w:hint="eastAsia" w:ascii="Times New Roman" w:hAnsi="Times New Roman" w:eastAsia="宋体" w:cs="Times New Roman"/>
                <w:color w:val="auto"/>
                <w:sz w:val="24"/>
                <w:szCs w:val="24"/>
                <w:highlight w:val="none"/>
                <w:lang w:val="en-US" w:eastAsia="zh-CN"/>
              </w:rPr>
              <w:t>m</w:t>
            </w:r>
            <w:r>
              <w:rPr>
                <w:rFonts w:hint="eastAsia"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竹木纤维集成墙板及扣板</w:t>
            </w:r>
            <w:r>
              <w:rPr>
                <w:rFonts w:hint="default" w:ascii="Times New Roman" w:hAnsi="Times New Roman" w:eastAsia="宋体" w:cs="Times New Roman"/>
                <w:color w:val="auto"/>
                <w:sz w:val="24"/>
                <w:szCs w:val="24"/>
                <w:highlight w:val="none"/>
                <w:lang w:val="en-US" w:eastAsia="zh-CN"/>
              </w:rPr>
              <w:t>生产量为</w:t>
            </w:r>
            <w:r>
              <w:rPr>
                <w:rFonts w:hint="eastAsia" w:cs="Times New Roman"/>
                <w:color w:val="auto"/>
                <w:sz w:val="24"/>
                <w:szCs w:val="24"/>
                <w:highlight w:val="none"/>
                <w:lang w:val="en-US" w:eastAsia="zh-CN"/>
              </w:rPr>
              <w:t>30万m</w:t>
            </w:r>
            <w:r>
              <w:rPr>
                <w:rFonts w:hint="eastAsia"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/a，年产300d，每天</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eastAsia="zh-CN"/>
              </w:rPr>
              <w:t>班</w:t>
            </w:r>
            <w:r>
              <w:rPr>
                <w:rFonts w:hint="default" w:ascii="Times New Roman" w:hAnsi="Times New Roman" w:eastAsia="宋体" w:cs="Times New Roman"/>
                <w:color w:val="auto"/>
                <w:sz w:val="24"/>
                <w:szCs w:val="24"/>
                <w:highlight w:val="none"/>
                <w:lang w:val="en-US" w:eastAsia="zh-CN"/>
              </w:rPr>
              <w:t>，每班</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h，则</w:t>
            </w:r>
            <w:r>
              <w:rPr>
                <w:rFonts w:hint="eastAsia" w:cs="Times New Roman"/>
                <w:color w:val="auto"/>
                <w:sz w:val="24"/>
                <w:szCs w:val="24"/>
                <w:highlight w:val="none"/>
                <w:lang w:val="en-US" w:eastAsia="zh-CN"/>
              </w:rPr>
              <w:t>竹木纤维集成墙板及扣板</w:t>
            </w:r>
            <w:r>
              <w:rPr>
                <w:rFonts w:hint="default" w:ascii="Times New Roman" w:hAnsi="Times New Roman" w:eastAsia="宋体" w:cs="Times New Roman"/>
                <w:color w:val="auto"/>
                <w:sz w:val="24"/>
                <w:szCs w:val="24"/>
                <w:highlight w:val="none"/>
                <w:lang w:val="en-US" w:eastAsia="zh-CN"/>
              </w:rPr>
              <w:t>生产过程冷却水用量为</w:t>
            </w:r>
            <w:r>
              <w:rPr>
                <w:rFonts w:hint="eastAsia" w:cs="Times New Roman"/>
                <w:color w:val="auto"/>
                <w:sz w:val="24"/>
                <w:szCs w:val="24"/>
                <w:highlight w:val="none"/>
                <w:lang w:val="en-US" w:eastAsia="zh-CN"/>
              </w:rPr>
              <w:t>600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w:t>
            </w:r>
            <w:r>
              <w:rPr>
                <w:rFonts w:hint="eastAsia"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cs="Times New Roman"/>
                <w:color w:val="auto"/>
                <w:sz w:val="24"/>
                <w:szCs w:val="24"/>
                <w:highlight w:val="none"/>
                <w:lang w:val="en-US" w:eastAsia="zh-CN"/>
              </w:rPr>
              <w:t>0.1667</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/h</w:t>
            </w:r>
            <w:r>
              <w:rPr>
                <w:rFonts w:hint="default" w:ascii="Times New Roman" w:hAnsi="Times New Roman" w:eastAsia="宋体" w:cs="Times New Roman"/>
                <w:color w:val="auto"/>
                <w:kern w:val="2"/>
                <w:sz w:val="24"/>
                <w:szCs w:val="24"/>
                <w:highlight w:val="none"/>
                <w:lang w:eastAsia="zh-CN" w:bidi="ar"/>
              </w:rPr>
              <w:t>。</w:t>
            </w:r>
            <w:r>
              <w:rPr>
                <w:rFonts w:hint="default" w:ascii="Times New Roman" w:hAnsi="Times New Roman" w:eastAsia="宋体" w:cs="Times New Roman"/>
                <w:color w:val="auto"/>
                <w:sz w:val="24"/>
                <w:szCs w:val="24"/>
                <w:highlight w:val="none"/>
              </w:rPr>
              <w:t>冷</w:t>
            </w:r>
            <w:r>
              <w:rPr>
                <w:rFonts w:hint="default" w:ascii="Times New Roman" w:hAnsi="Times New Roman" w:eastAsia="宋体" w:cs="Times New Roman"/>
                <w:color w:val="auto"/>
                <w:sz w:val="24"/>
                <w:szCs w:val="24"/>
              </w:rPr>
              <w:t>却过程中由于</w:t>
            </w:r>
            <w:r>
              <w:rPr>
                <w:rFonts w:hint="default" w:ascii="Times New Roman" w:hAnsi="Times New Roman" w:eastAsia="宋体" w:cs="Times New Roman"/>
                <w:color w:val="auto"/>
                <w:sz w:val="24"/>
                <w:szCs w:val="24"/>
                <w:lang w:eastAsia="zh-CN"/>
              </w:rPr>
              <w:t>系统</w:t>
            </w:r>
            <w:r>
              <w:rPr>
                <w:rFonts w:hint="default" w:ascii="Times New Roman" w:hAnsi="Times New Roman" w:eastAsia="宋体" w:cs="Times New Roman"/>
                <w:color w:val="auto"/>
                <w:sz w:val="24"/>
                <w:szCs w:val="24"/>
              </w:rPr>
              <w:t>损耗</w:t>
            </w:r>
            <w:r>
              <w:rPr>
                <w:rFonts w:hint="default" w:ascii="Times New Roman" w:hAnsi="Times New Roman" w:eastAsia="宋体" w:cs="Times New Roman"/>
                <w:color w:val="auto"/>
                <w:kern w:val="2"/>
                <w:sz w:val="24"/>
                <w:szCs w:val="24"/>
                <w:highlight w:val="none"/>
                <w:lang w:eastAsia="zh-CN" w:bidi="ar"/>
              </w:rPr>
              <w:t>（工件带走、蒸发损耗等）</w:t>
            </w:r>
            <w:r>
              <w:rPr>
                <w:rFonts w:hint="default" w:ascii="Times New Roman" w:hAnsi="Times New Roman" w:eastAsia="宋体" w:cs="Times New Roman"/>
                <w:color w:val="auto"/>
                <w:sz w:val="24"/>
                <w:szCs w:val="24"/>
              </w:rPr>
              <w:t>，需要补充新鲜水。</w:t>
            </w:r>
          </w:p>
          <w:p w14:paraId="7FAFE61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蒸发损耗补水量参照</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lang w:eastAsia="zh-CN"/>
              </w:rPr>
              <w:t>冷却塔补水量计算方法</w:t>
            </w:r>
            <w:r>
              <w:rPr>
                <w:rFonts w:hint="default" w:ascii="Times New Roman" w:hAnsi="Times New Roman" w:eastAsia="宋体" w:cs="Times New Roman"/>
                <w:color w:val="auto"/>
                <w:sz w:val="24"/>
                <w:szCs w:val="24"/>
                <w:highlight w:val="none"/>
                <w:lang w:eastAsia="zh-CN"/>
              </w:rPr>
              <w:t>》进行计算，</w:t>
            </w:r>
            <w:r>
              <w:rPr>
                <w:rFonts w:hint="default" w:ascii="Times New Roman" w:hAnsi="Times New Roman" w:eastAsia="宋体" w:cs="Times New Roman"/>
                <w:color w:val="auto"/>
                <w:sz w:val="24"/>
                <w:szCs w:val="24"/>
              </w:rPr>
              <w:t>补给水量</w:t>
            </w:r>
            <w:r>
              <w:rPr>
                <w:rFonts w:hint="default" w:ascii="Times New Roman" w:hAnsi="Times New Roman" w:eastAsia="宋体" w:cs="Times New Roman"/>
                <w:color w:val="auto"/>
                <w:sz w:val="24"/>
                <w:szCs w:val="24"/>
                <w:lang w:eastAsia="zh-CN"/>
              </w:rPr>
              <w:t>计算</w:t>
            </w:r>
            <w:r>
              <w:rPr>
                <w:rFonts w:hint="default" w:ascii="Times New Roman" w:hAnsi="Times New Roman" w:eastAsia="宋体" w:cs="Times New Roman"/>
                <w:color w:val="auto"/>
                <w:sz w:val="24"/>
                <w:szCs w:val="24"/>
              </w:rPr>
              <w:t>公式</w:t>
            </w:r>
            <w:r>
              <w:rPr>
                <w:rFonts w:hint="default" w:ascii="Times New Roman" w:hAnsi="Times New Roman" w:eastAsia="宋体" w:cs="Times New Roman"/>
                <w:color w:val="auto"/>
                <w:sz w:val="24"/>
                <w:szCs w:val="24"/>
                <w:lang w:eastAsia="zh-CN"/>
              </w:rPr>
              <w:t>如下</w:t>
            </w:r>
            <w:r>
              <w:rPr>
                <w:rFonts w:hint="default" w:ascii="Times New Roman" w:hAnsi="Times New Roman" w:eastAsia="宋体" w:cs="Times New Roman"/>
                <w:color w:val="auto"/>
                <w:sz w:val="24"/>
                <w:szCs w:val="24"/>
              </w:rPr>
              <w:t>：</w:t>
            </w:r>
          </w:p>
          <w:p w14:paraId="3DB1B9D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E=（T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）*L/600</w:t>
            </w:r>
            <w:r>
              <w:rPr>
                <w:rFonts w:hint="default" w:ascii="Times New Roman" w:hAnsi="Times New Roman" w:eastAsia="宋体" w:cs="Times New Roman"/>
                <w:color w:val="auto"/>
                <w:sz w:val="24"/>
                <w:szCs w:val="24"/>
                <w:lang w:val="en-US" w:eastAsia="zh-CN"/>
              </w:rPr>
              <w:t xml:space="preserve">   （1）</w:t>
            </w:r>
          </w:p>
          <w:p w14:paraId="00C61F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其中：600代表水的蒸发潜热(Kcal/h)；</w:t>
            </w:r>
          </w:p>
          <w:p w14:paraId="0CE6C67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T1代表</w:t>
            </w:r>
            <w:r>
              <w:rPr>
                <w:rFonts w:hint="eastAsia" w:cs="Times New Roman"/>
                <w:color w:val="auto"/>
                <w:sz w:val="24"/>
                <w:szCs w:val="24"/>
                <w:lang w:eastAsia="zh-CN"/>
              </w:rPr>
              <w:t>冷却塔出</w:t>
            </w:r>
            <w:r>
              <w:rPr>
                <w:rFonts w:hint="default" w:ascii="Times New Roman" w:hAnsi="Times New Roman" w:eastAsia="宋体" w:cs="Times New Roman"/>
                <w:color w:val="auto"/>
                <w:sz w:val="24"/>
                <w:szCs w:val="24"/>
              </w:rPr>
              <w:t>水温度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），本项目取</w:t>
            </w:r>
            <w:r>
              <w:rPr>
                <w:rFonts w:hint="eastAsia" w:cs="Times New Roman"/>
                <w:color w:val="auto"/>
                <w:sz w:val="24"/>
                <w:szCs w:val="24"/>
                <w:lang w:val="en-US" w:eastAsia="zh-CN"/>
              </w:rPr>
              <w:t>30</w:t>
            </w:r>
            <w:r>
              <w:rPr>
                <w:rFonts w:hint="default" w:ascii="Times New Roman" w:hAnsi="Times New Roman" w:eastAsia="宋体" w:cs="Times New Roman"/>
                <w:color w:val="auto"/>
                <w:sz w:val="24"/>
                <w:szCs w:val="24"/>
              </w:rPr>
              <w:t>℃；</w:t>
            </w:r>
          </w:p>
          <w:p w14:paraId="61654E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T2代表</w:t>
            </w:r>
            <w:r>
              <w:rPr>
                <w:rFonts w:hint="eastAsia" w:cs="Times New Roman"/>
                <w:color w:val="auto"/>
                <w:sz w:val="24"/>
                <w:szCs w:val="24"/>
                <w:lang w:eastAsia="zh-CN"/>
              </w:rPr>
              <w:t>冷却塔入</w:t>
            </w:r>
            <w:r>
              <w:rPr>
                <w:rFonts w:hint="default" w:ascii="Times New Roman" w:hAnsi="Times New Roman" w:eastAsia="宋体" w:cs="Times New Roman"/>
                <w:color w:val="auto"/>
                <w:sz w:val="24"/>
                <w:szCs w:val="24"/>
              </w:rPr>
              <w:t>水温度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），本项目取</w:t>
            </w:r>
            <w:r>
              <w:rPr>
                <w:rFonts w:hint="eastAsia" w:cs="Times New Roman"/>
                <w:color w:val="auto"/>
                <w:sz w:val="24"/>
                <w:szCs w:val="24"/>
                <w:lang w:val="en-US" w:eastAsia="zh-CN"/>
              </w:rPr>
              <w:t>70</w:t>
            </w:r>
            <w:r>
              <w:rPr>
                <w:rFonts w:hint="default" w:ascii="Times New Roman" w:hAnsi="Times New Roman" w:eastAsia="宋体" w:cs="Times New Roman"/>
                <w:color w:val="auto"/>
                <w:sz w:val="24"/>
                <w:szCs w:val="24"/>
              </w:rPr>
              <w:t>℃；</w:t>
            </w:r>
          </w:p>
          <w:p w14:paraId="24EECF4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L代表循环水量(kg/h）</w:t>
            </w:r>
            <w:r>
              <w:rPr>
                <w:rFonts w:hint="default" w:ascii="Times New Roman" w:hAnsi="Times New Roman" w:eastAsia="宋体" w:cs="Times New Roman"/>
                <w:color w:val="auto"/>
                <w:sz w:val="24"/>
                <w:szCs w:val="24"/>
                <w:lang w:eastAsia="zh-CN"/>
              </w:rPr>
              <w:t>，由上计算可知循环水量为</w:t>
            </w:r>
            <w:r>
              <w:rPr>
                <w:rFonts w:hint="eastAsia" w:cs="Times New Roman"/>
                <w:color w:val="auto"/>
                <w:sz w:val="24"/>
                <w:szCs w:val="24"/>
                <w:lang w:val="en-US" w:eastAsia="zh-CN"/>
              </w:rPr>
              <w:t>166.6667</w:t>
            </w:r>
            <w:r>
              <w:rPr>
                <w:rFonts w:hint="default" w:ascii="Times New Roman" w:hAnsi="Times New Roman" w:eastAsia="宋体" w:cs="Times New Roman"/>
                <w:color w:val="auto"/>
                <w:sz w:val="24"/>
                <w:szCs w:val="24"/>
              </w:rPr>
              <w:t>kg/h。</w:t>
            </w:r>
          </w:p>
          <w:p w14:paraId="2DC69855">
            <w:pPr>
              <w:adjustRightInd w:val="0"/>
              <w:snapToGrid w:val="0"/>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color w:val="auto"/>
                <w:sz w:val="24"/>
                <w:szCs w:val="24"/>
              </w:rPr>
              <w:t>根据计算，</w:t>
            </w:r>
            <w:r>
              <w:rPr>
                <w:rFonts w:hint="default" w:ascii="Times New Roman" w:hAnsi="Times New Roman" w:eastAsia="宋体" w:cs="Times New Roman"/>
                <w:color w:val="auto"/>
                <w:sz w:val="24"/>
                <w:szCs w:val="24"/>
                <w:lang w:eastAsia="zh-CN"/>
              </w:rPr>
              <w:t>本项目</w:t>
            </w:r>
            <w:r>
              <w:rPr>
                <w:rFonts w:hint="eastAsia" w:ascii="Times New Roman" w:hAnsi="Times New Roman" w:eastAsia="宋体" w:cs="Times New Roman"/>
                <w:color w:val="auto"/>
                <w:sz w:val="24"/>
                <w:szCs w:val="24"/>
                <w:lang w:eastAsia="zh-CN"/>
              </w:rPr>
              <w:t>挤出工序</w:t>
            </w:r>
            <w:r>
              <w:rPr>
                <w:rFonts w:hint="default" w:ascii="Times New Roman" w:hAnsi="Times New Roman" w:eastAsia="宋体" w:cs="Times New Roman"/>
                <w:color w:val="auto"/>
                <w:sz w:val="24"/>
                <w:szCs w:val="24"/>
              </w:rPr>
              <w:t>蒸发损耗补水量为</w:t>
            </w:r>
            <w:r>
              <w:rPr>
                <w:rFonts w:hint="eastAsia" w:cs="Times New Roman"/>
                <w:color w:val="auto"/>
                <w:kern w:val="2"/>
                <w:sz w:val="24"/>
                <w:szCs w:val="24"/>
                <w:highlight w:val="none"/>
                <w:lang w:val="en-US" w:eastAsia="zh-CN" w:bidi="ar"/>
              </w:rPr>
              <w:t>0.0111</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/h，</w:t>
            </w:r>
            <w:r>
              <w:rPr>
                <w:rFonts w:hint="eastAsia" w:ascii="Times New Roman" w:hAnsi="Times New Roman" w:eastAsia="宋体" w:cs="Times New Roman"/>
                <w:color w:val="auto"/>
                <w:kern w:val="2"/>
                <w:sz w:val="24"/>
                <w:szCs w:val="24"/>
                <w:highlight w:val="none"/>
                <w:lang w:val="en-US" w:eastAsia="zh-CN" w:bidi="ar"/>
              </w:rPr>
              <w:t>0.1333</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/d，</w:t>
            </w:r>
            <w:r>
              <w:rPr>
                <w:rFonts w:hint="eastAsia" w:cs="Times New Roman"/>
                <w:color w:val="auto"/>
                <w:kern w:val="2"/>
                <w:sz w:val="24"/>
                <w:szCs w:val="24"/>
                <w:highlight w:val="none"/>
                <w:lang w:val="en-US" w:eastAsia="zh-CN" w:bidi="ar"/>
              </w:rPr>
              <w:t>40</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/a</w:t>
            </w:r>
            <w:r>
              <w:rPr>
                <w:rFonts w:hint="default" w:ascii="Times New Roman" w:hAnsi="Times New Roman" w:eastAsia="宋体" w:cs="Times New Roman"/>
                <w:color w:val="auto"/>
                <w:sz w:val="24"/>
                <w:szCs w:val="24"/>
                <w:highlight w:val="none"/>
              </w:rPr>
              <w:t>。蒸发损耗补水</w:t>
            </w:r>
            <w:r>
              <w:rPr>
                <w:rFonts w:hint="eastAsia" w:cs="Times New Roman"/>
                <w:color w:val="auto"/>
                <w:sz w:val="24"/>
                <w:szCs w:val="24"/>
                <w:highlight w:val="none"/>
                <w:lang w:eastAsia="zh-CN"/>
              </w:rPr>
              <w:t>来源于</w:t>
            </w:r>
            <w:r>
              <w:rPr>
                <w:rFonts w:hint="default" w:ascii="Times New Roman" w:hAnsi="Times New Roman" w:eastAsia="宋体" w:cs="Times New Roman"/>
                <w:color w:val="auto"/>
                <w:sz w:val="24"/>
                <w:szCs w:val="24"/>
                <w:lang w:eastAsia="zh-CN"/>
              </w:rPr>
              <w:t>新鲜水</w:t>
            </w:r>
            <w:r>
              <w:rPr>
                <w:rFonts w:hint="default" w:ascii="Times New Roman" w:hAnsi="Times New Roman" w:eastAsia="宋体" w:cs="Times New Roman"/>
                <w:color w:val="auto"/>
                <w:sz w:val="24"/>
                <w:szCs w:val="24"/>
              </w:rPr>
              <w:t>。</w:t>
            </w:r>
          </w:p>
          <w:p w14:paraId="3B40CE6A">
            <w:pPr>
              <w:pStyle w:val="72"/>
              <w:adjustRightInd w:val="0"/>
              <w:snapToGrid w:val="0"/>
              <w:ind w:firstLine="600" w:firstLineChars="250"/>
              <w:rPr>
                <w:rFonts w:hint="default" w:ascii="Times New Roman" w:hAnsi="Times New Roman" w:eastAsia="宋体" w:cs="Times New Roman"/>
                <w:b w:val="0"/>
                <w:bCs w:val="0"/>
                <w:color w:val="FF0000"/>
                <w:kern w:val="2"/>
                <w:sz w:val="24"/>
                <w:szCs w:val="24"/>
                <w:highlight w:val="none"/>
                <w:lang w:val="en-US" w:eastAsia="zh-CN" w:bidi="ar-SA"/>
              </w:rPr>
            </w:pPr>
            <w:r>
              <w:rPr>
                <w:rFonts w:hint="default" w:ascii="Times New Roman" w:hAnsi="Times New Roman" w:eastAsia="宋体" w:cs="Times New Roman"/>
                <w:color w:val="auto"/>
                <w:sz w:val="24"/>
                <w:lang w:val="en-US" w:eastAsia="zh-CN"/>
              </w:rPr>
              <w:t>根据</w:t>
            </w:r>
            <w:r>
              <w:rPr>
                <w:rFonts w:hint="default" w:ascii="Times New Roman" w:hAnsi="Times New Roman" w:eastAsia="宋体" w:cs="Times New Roman"/>
                <w:bCs/>
                <w:color w:val="auto"/>
                <w:kern w:val="2"/>
                <w:sz w:val="24"/>
                <w:szCs w:val="24"/>
                <w:lang w:val="en-US" w:eastAsia="zh-CN" w:bidi="ar-SA"/>
              </w:rPr>
              <w:t>业主提供资料，建设单位拟在项目生产</w:t>
            </w:r>
            <w:r>
              <w:rPr>
                <w:rFonts w:hint="eastAsia" w:ascii="Times New Roman" w:hAnsi="Times New Roman" w:eastAsia="宋体" w:cs="Times New Roman"/>
                <w:bCs/>
                <w:color w:val="auto"/>
                <w:kern w:val="2"/>
                <w:sz w:val="24"/>
                <w:szCs w:val="24"/>
                <w:lang w:val="en-US" w:eastAsia="zh-CN" w:bidi="ar-SA"/>
              </w:rPr>
              <w:t>厂房</w:t>
            </w:r>
            <w:r>
              <w:rPr>
                <w:rFonts w:hint="default" w:ascii="Times New Roman" w:hAnsi="Times New Roman" w:eastAsia="宋体" w:cs="Times New Roman"/>
                <w:bCs/>
                <w:color w:val="auto"/>
                <w:kern w:val="2"/>
                <w:sz w:val="24"/>
                <w:szCs w:val="24"/>
                <w:lang w:val="en-US" w:eastAsia="zh-CN" w:bidi="ar-SA"/>
              </w:rPr>
              <w:t>内设置1套循环水处理系统；冷却废水经循环水冷却</w:t>
            </w:r>
            <w:r>
              <w:rPr>
                <w:rFonts w:hint="default" w:ascii="Times New Roman" w:hAnsi="Times New Roman" w:eastAsia="宋体" w:cs="Times New Roman"/>
                <w:color w:val="auto"/>
                <w:sz w:val="24"/>
              </w:rPr>
              <w:t>池冷却后循环使用</w:t>
            </w:r>
            <w:r>
              <w:rPr>
                <w:rFonts w:hint="default" w:ascii="Times New Roman" w:hAnsi="Times New Roman" w:eastAsia="宋体" w:cs="Times New Roman"/>
                <w:color w:val="auto"/>
                <w:sz w:val="24"/>
                <w:highlight w:val="none"/>
              </w:rPr>
              <w:t>，不外排。</w:t>
            </w:r>
          </w:p>
          <w:p w14:paraId="73E8B008">
            <w:pPr>
              <w:pStyle w:val="6"/>
              <w:keepNext w:val="0"/>
              <w:keepLines w:val="0"/>
              <w:pageBreakBefore w:val="0"/>
              <w:widowControl/>
              <w:shd w:val="clear"/>
              <w:kinsoku/>
              <w:wordWrap/>
              <w:overflowPunct/>
              <w:topLinePunct w:val="0"/>
              <w:autoSpaceDE/>
              <w:autoSpaceDN/>
              <w:bidi w:val="0"/>
              <w:adjustRightInd/>
              <w:snapToGrid w:val="0"/>
              <w:spacing w:before="0" w:after="0" w:line="356" w:lineRule="auto"/>
              <w:ind w:left="0" w:right="0" w:firstLine="482" w:firstLineChars="200"/>
              <w:jc w:val="both"/>
              <w:textAlignment w:val="auto"/>
              <w:rPr>
                <w:rFonts w:hint="default" w:ascii="Times New Roman" w:hAnsi="Times New Roman" w:eastAsia="宋体" w:cs="Times New Roman"/>
                <w:b/>
                <w:bCs/>
                <w:caps w:val="0"/>
                <w:snapToGrid w:val="0"/>
                <w:color w:val="auto"/>
                <w:spacing w:val="0"/>
                <w:w w:val="100"/>
                <w:kern w:val="2"/>
                <w:position w:val="0"/>
                <w:sz w:val="24"/>
                <w:szCs w:val="24"/>
                <w:highlight w:val="none"/>
                <w:lang w:val="en-US" w:eastAsia="zh-CN" w:bidi="ar-SA"/>
              </w:rPr>
            </w:pPr>
            <w:r>
              <w:rPr>
                <w:rFonts w:hint="eastAsia" w:cs="Times New Roman"/>
                <w:b/>
                <w:bCs/>
                <w:caps w:val="0"/>
                <w:snapToGrid w:val="0"/>
                <w:color w:val="auto"/>
                <w:spacing w:val="0"/>
                <w:w w:val="100"/>
                <w:kern w:val="2"/>
                <w:position w:val="0"/>
                <w:sz w:val="24"/>
                <w:szCs w:val="24"/>
                <w:highlight w:val="none"/>
                <w:lang w:val="en-US" w:eastAsia="zh-CN" w:bidi="ar-SA"/>
              </w:rPr>
              <w:t>②</w:t>
            </w:r>
            <w:r>
              <w:rPr>
                <w:rFonts w:hint="default" w:ascii="Times New Roman" w:hAnsi="Times New Roman" w:eastAsia="宋体" w:cs="Times New Roman"/>
                <w:b/>
                <w:bCs/>
                <w:caps w:val="0"/>
                <w:snapToGrid w:val="0"/>
                <w:color w:val="auto"/>
                <w:spacing w:val="0"/>
                <w:w w:val="100"/>
                <w:kern w:val="2"/>
                <w:position w:val="0"/>
                <w:sz w:val="24"/>
                <w:szCs w:val="24"/>
                <w:highlight w:val="none"/>
                <w:lang w:val="en-US" w:eastAsia="zh-CN" w:bidi="ar-SA"/>
              </w:rPr>
              <w:t>生活用水</w:t>
            </w:r>
          </w:p>
          <w:p w14:paraId="4AA224E1">
            <w:pPr>
              <w:pStyle w:val="6"/>
              <w:keepNext w:val="0"/>
              <w:keepLines w:val="0"/>
              <w:pageBreakBefore w:val="0"/>
              <w:widowControl/>
              <w:shd w:val="clear"/>
              <w:kinsoku/>
              <w:wordWrap/>
              <w:overflowPunct/>
              <w:topLinePunct w:val="0"/>
              <w:autoSpaceDE/>
              <w:autoSpaceDN/>
              <w:bidi w:val="0"/>
              <w:adjustRightInd/>
              <w:snapToGrid w:val="0"/>
              <w:spacing w:before="0" w:after="0" w:line="356" w:lineRule="auto"/>
              <w:ind w:left="0" w:right="0" w:firstLine="480" w:firstLineChars="200"/>
              <w:jc w:val="both"/>
              <w:textAlignment w:val="auto"/>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pP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运营期工作人员20人，年工作300天，均在项目区食宿，用水主要为食堂用水和其它办公生活用水。根据《云南省地方标准用水定额》（DB53/T168-2019）</w:t>
            </w:r>
            <w:r>
              <w:rPr>
                <w:rFonts w:hint="default" w:ascii="Times New Roman" w:hAnsi="Times New Roman" w:eastAsia="宋体" w:cs="Times New Roman"/>
                <w:color w:val="auto"/>
                <w:sz w:val="24"/>
                <w:highlight w:val="none"/>
              </w:rPr>
              <w:t>表1</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城镇居民生活用水定额</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，用水定额按100L/（人·d）计，则办公生活区用水量为2m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/d、</w:t>
            </w:r>
            <w:r>
              <w:rPr>
                <w:rFonts w:hint="eastAsia" w:cs="Times New Roman"/>
                <w:caps w:val="0"/>
                <w:snapToGrid w:val="0"/>
                <w:color w:val="auto"/>
                <w:spacing w:val="0"/>
                <w:w w:val="100"/>
                <w:kern w:val="2"/>
                <w:position w:val="0"/>
                <w:sz w:val="24"/>
                <w:szCs w:val="24"/>
                <w:highlight w:val="none"/>
                <w:lang w:val="en-US" w:eastAsia="zh-CN" w:bidi="ar-SA"/>
              </w:rPr>
              <w:t>6</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00m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/a，产污系数按0.8计算，废水量为</w:t>
            </w:r>
            <w:r>
              <w:rPr>
                <w:rFonts w:hint="eastAsia" w:cs="Times New Roman"/>
                <w:caps w:val="0"/>
                <w:snapToGrid w:val="0"/>
                <w:color w:val="auto"/>
                <w:spacing w:val="0"/>
                <w:w w:val="100"/>
                <w:kern w:val="2"/>
                <w:position w:val="0"/>
                <w:sz w:val="24"/>
                <w:szCs w:val="24"/>
                <w:highlight w:val="none"/>
                <w:lang w:val="en-US" w:eastAsia="zh-CN" w:bidi="ar-SA"/>
              </w:rPr>
              <w:t>1</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.6m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/d、</w:t>
            </w:r>
            <w:r>
              <w:rPr>
                <w:rFonts w:hint="eastAsia" w:cs="Times New Roman"/>
                <w:caps w:val="0"/>
                <w:snapToGrid w:val="0"/>
                <w:color w:val="auto"/>
                <w:spacing w:val="0"/>
                <w:w w:val="100"/>
                <w:kern w:val="2"/>
                <w:position w:val="0"/>
                <w:sz w:val="24"/>
                <w:szCs w:val="24"/>
                <w:highlight w:val="none"/>
                <w:lang w:val="en-US" w:eastAsia="zh-CN" w:bidi="ar-SA"/>
              </w:rPr>
              <w:t>4</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80m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/a。</w:t>
            </w:r>
          </w:p>
          <w:p w14:paraId="628BE1A8">
            <w:pPr>
              <w:pStyle w:val="6"/>
              <w:keepNext w:val="0"/>
              <w:keepLines w:val="0"/>
              <w:pageBreakBefore w:val="0"/>
              <w:widowControl/>
              <w:shd w:val="clear"/>
              <w:kinsoku/>
              <w:wordWrap/>
              <w:overflowPunct/>
              <w:topLinePunct w:val="0"/>
              <w:autoSpaceDE/>
              <w:autoSpaceDN/>
              <w:bidi w:val="0"/>
              <w:adjustRightInd/>
              <w:snapToGrid w:val="0"/>
              <w:spacing w:before="0" w:after="0" w:line="356" w:lineRule="auto"/>
              <w:ind w:left="0" w:right="0" w:firstLine="480" w:firstLineChars="200"/>
              <w:jc w:val="both"/>
              <w:textAlignment w:val="auto"/>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pP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其中食堂用水量占生活总用水量的20%，其他办公生活用水占80%，则食堂用水量为</w:t>
            </w:r>
            <w:r>
              <w:rPr>
                <w:rFonts w:hint="eastAsia" w:cs="Times New Roman"/>
                <w:caps w:val="0"/>
                <w:snapToGrid w:val="0"/>
                <w:color w:val="auto"/>
                <w:spacing w:val="0"/>
                <w:w w:val="100"/>
                <w:kern w:val="2"/>
                <w:position w:val="0"/>
                <w:sz w:val="24"/>
                <w:szCs w:val="24"/>
                <w:highlight w:val="none"/>
                <w:lang w:val="en-US" w:eastAsia="zh-CN" w:bidi="ar-SA"/>
              </w:rPr>
              <w:t>0.</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4m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/d、</w:t>
            </w:r>
            <w:r>
              <w:rPr>
                <w:rFonts w:hint="eastAsia" w:cs="Times New Roman"/>
                <w:caps w:val="0"/>
                <w:snapToGrid w:val="0"/>
                <w:color w:val="auto"/>
                <w:spacing w:val="0"/>
                <w:w w:val="100"/>
                <w:kern w:val="2"/>
                <w:position w:val="0"/>
                <w:sz w:val="24"/>
                <w:szCs w:val="24"/>
                <w:highlight w:val="none"/>
                <w:lang w:val="en-US" w:eastAsia="zh-CN" w:bidi="ar-SA"/>
              </w:rPr>
              <w:t>1</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20m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/a，废水量为</w:t>
            </w:r>
            <w:r>
              <w:rPr>
                <w:rFonts w:hint="eastAsia" w:cs="Times New Roman"/>
                <w:caps w:val="0"/>
                <w:snapToGrid w:val="0"/>
                <w:color w:val="auto"/>
                <w:spacing w:val="0"/>
                <w:w w:val="100"/>
                <w:kern w:val="2"/>
                <w:position w:val="0"/>
                <w:sz w:val="24"/>
                <w:szCs w:val="24"/>
                <w:highlight w:val="none"/>
                <w:lang w:val="en-US" w:eastAsia="zh-CN" w:bidi="ar-SA"/>
              </w:rPr>
              <w:t>0.3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2m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/d、</w:t>
            </w:r>
            <w:r>
              <w:rPr>
                <w:rFonts w:hint="eastAsia" w:cs="Times New Roman"/>
                <w:caps w:val="0"/>
                <w:snapToGrid w:val="0"/>
                <w:color w:val="auto"/>
                <w:spacing w:val="0"/>
                <w:w w:val="100"/>
                <w:kern w:val="2"/>
                <w:position w:val="0"/>
                <w:sz w:val="24"/>
                <w:szCs w:val="24"/>
                <w:highlight w:val="none"/>
                <w:lang w:val="en-US" w:eastAsia="zh-CN" w:bidi="ar-SA"/>
              </w:rPr>
              <w:t>96</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/a；其他办公生活用水量为</w:t>
            </w:r>
            <w:r>
              <w:rPr>
                <w:rFonts w:hint="eastAsia" w:cs="Times New Roman"/>
                <w:caps w:val="0"/>
                <w:snapToGrid w:val="0"/>
                <w:color w:val="auto"/>
                <w:spacing w:val="0"/>
                <w:w w:val="100"/>
                <w:kern w:val="2"/>
                <w:position w:val="0"/>
                <w:sz w:val="24"/>
                <w:szCs w:val="24"/>
                <w:highlight w:val="none"/>
                <w:lang w:val="en-US" w:eastAsia="zh-CN" w:bidi="ar-SA"/>
              </w:rPr>
              <w:t>1</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.6m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/d、</w:t>
            </w:r>
            <w:r>
              <w:rPr>
                <w:rFonts w:hint="eastAsia" w:cs="Times New Roman"/>
                <w:caps w:val="0"/>
                <w:snapToGrid w:val="0"/>
                <w:color w:val="auto"/>
                <w:spacing w:val="0"/>
                <w:w w:val="100"/>
                <w:kern w:val="2"/>
                <w:position w:val="0"/>
                <w:sz w:val="24"/>
                <w:szCs w:val="24"/>
                <w:highlight w:val="none"/>
                <w:lang w:val="en-US" w:eastAsia="zh-CN" w:bidi="ar-SA"/>
              </w:rPr>
              <w:t>48</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0m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/a，废水量为</w:t>
            </w:r>
            <w:r>
              <w:rPr>
                <w:rFonts w:hint="eastAsia" w:cs="Times New Roman"/>
                <w:caps w:val="0"/>
                <w:snapToGrid w:val="0"/>
                <w:color w:val="auto"/>
                <w:spacing w:val="0"/>
                <w:w w:val="100"/>
                <w:kern w:val="2"/>
                <w:position w:val="0"/>
                <w:sz w:val="24"/>
                <w:szCs w:val="24"/>
                <w:highlight w:val="none"/>
                <w:lang w:val="en-US" w:eastAsia="zh-CN" w:bidi="ar-SA"/>
              </w:rPr>
              <w:t>1.2</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8m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/d、</w:t>
            </w:r>
            <w:r>
              <w:rPr>
                <w:rFonts w:hint="eastAsia" w:cs="Times New Roman"/>
                <w:caps w:val="0"/>
                <w:snapToGrid w:val="0"/>
                <w:color w:val="auto"/>
                <w:spacing w:val="0"/>
                <w:w w:val="100"/>
                <w:kern w:val="2"/>
                <w:position w:val="0"/>
                <w:sz w:val="24"/>
                <w:szCs w:val="24"/>
                <w:highlight w:val="none"/>
                <w:lang w:val="en-US" w:eastAsia="zh-CN" w:bidi="ar-SA"/>
              </w:rPr>
              <w:t>38</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4m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/a。</w:t>
            </w:r>
          </w:p>
          <w:p w14:paraId="21CDBD86">
            <w:pPr>
              <w:pStyle w:val="77"/>
              <w:keepNext w:val="0"/>
              <w:keepLines w:val="0"/>
              <w:pageBreakBefore w:val="0"/>
              <w:widowControl w:val="0"/>
              <w:shd w:val="clear"/>
              <w:kinsoku/>
              <w:wordWrap/>
              <w:overflowPunct/>
              <w:topLinePunct w:val="0"/>
              <w:autoSpaceDE/>
              <w:autoSpaceDN/>
              <w:bidi w:val="0"/>
              <w:spacing w:beforeLines="0" w:afterLines="0" w:line="356" w:lineRule="auto"/>
              <w:ind w:left="0"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）项目用排水情况汇总统计</w:t>
            </w:r>
          </w:p>
          <w:p w14:paraId="7FC610A5">
            <w:pPr>
              <w:pStyle w:val="72"/>
              <w:adjustRightInd w:val="0"/>
              <w:snapToGrid w:val="0"/>
              <w:ind w:firstLine="600" w:firstLineChars="25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w:t>
            </w:r>
            <w:r>
              <w:rPr>
                <w:rFonts w:hint="default" w:ascii="Times New Roman" w:hAnsi="Times New Roman" w:eastAsia="宋体" w:cs="Times New Roman"/>
                <w:b w:val="0"/>
                <w:bCs w:val="0"/>
                <w:color w:val="auto"/>
                <w:sz w:val="24"/>
                <w:szCs w:val="24"/>
                <w:highlight w:val="none"/>
              </w:rPr>
              <w:t>项目</w:t>
            </w:r>
            <w:r>
              <w:rPr>
                <w:rFonts w:hint="default" w:ascii="Times New Roman" w:hAnsi="Times New Roman" w:eastAsia="宋体" w:cs="Times New Roman"/>
                <w:b w:val="0"/>
                <w:bCs w:val="0"/>
                <w:color w:val="auto"/>
                <w:sz w:val="24"/>
                <w:szCs w:val="24"/>
                <w:highlight w:val="none"/>
                <w:lang w:val="en-US" w:eastAsia="zh-CN"/>
              </w:rPr>
              <w:t>排水采用雨污分流的排水方式，项目区建筑物屋面及地面雨水经厂区雨水沟收</w:t>
            </w:r>
            <w:r>
              <w:rPr>
                <w:rFonts w:hint="default" w:ascii="Times New Roman" w:hAnsi="Times New Roman" w:eastAsia="宋体" w:cs="Times New Roman"/>
                <w:color w:val="auto"/>
                <w:sz w:val="24"/>
                <w:szCs w:val="24"/>
                <w:highlight w:val="none"/>
                <w:lang w:val="en-US" w:eastAsia="zh-CN"/>
              </w:rPr>
              <w:t>集后排入园区雨水市政管网；冷却废水经循环水冷却池冷却后循环使用，不外排；食堂废水经隔油池处理后，与生活污水一同进入</w:t>
            </w:r>
            <w:r>
              <w:rPr>
                <w:rFonts w:hint="eastAsia" w:ascii="Times New Roman" w:hAnsi="Times New Roman" w:eastAsia="宋体" w:cs="Times New Roman"/>
                <w:color w:val="auto"/>
                <w:sz w:val="24"/>
                <w:szCs w:val="24"/>
                <w:highlight w:val="none"/>
                <w:lang w:val="en-US" w:eastAsia="zh-CN"/>
              </w:rPr>
              <w:t>依托的</w:t>
            </w:r>
            <w:r>
              <w:rPr>
                <w:rFonts w:hint="default" w:ascii="Times New Roman" w:hAnsi="Times New Roman" w:eastAsia="宋体" w:cs="Times New Roman"/>
                <w:color w:val="auto"/>
                <w:sz w:val="24"/>
                <w:szCs w:val="24"/>
                <w:highlight w:val="none"/>
                <w:lang w:val="en-US" w:eastAsia="zh-CN"/>
              </w:rPr>
              <w:t>化粪池处理</w:t>
            </w:r>
            <w:r>
              <w:rPr>
                <w:rFonts w:hint="eastAsia" w:ascii="Times New Roman" w:hAnsi="Times New Roman" w:eastAsia="宋体" w:cs="Times New Roman"/>
                <w:color w:val="auto"/>
                <w:sz w:val="24"/>
                <w:szCs w:val="24"/>
                <w:highlight w:val="none"/>
                <w:lang w:val="en-US" w:eastAsia="zh-CN"/>
              </w:rPr>
              <w:t>后</w:t>
            </w:r>
            <w:r>
              <w:rPr>
                <w:rFonts w:hint="default" w:ascii="Times New Roman" w:hAnsi="Times New Roman" w:eastAsia="宋体" w:cs="Times New Roman"/>
                <w:color w:val="auto"/>
                <w:sz w:val="24"/>
                <w:szCs w:val="24"/>
                <w:highlight w:val="none"/>
                <w:lang w:val="en-US" w:eastAsia="zh-CN"/>
              </w:rPr>
              <w:t>再进入到厂区</w:t>
            </w:r>
            <w:r>
              <w:rPr>
                <w:rFonts w:hint="eastAsia" w:ascii="Times New Roman" w:hAnsi="Times New Roman" w:eastAsia="宋体" w:cs="Times New Roman"/>
                <w:color w:val="auto"/>
                <w:sz w:val="24"/>
                <w:szCs w:val="24"/>
                <w:highlight w:val="none"/>
                <w:lang w:val="en-US" w:eastAsia="zh-CN"/>
              </w:rPr>
              <w:t>依托的一体化污水处理站</w:t>
            </w:r>
            <w:r>
              <w:rPr>
                <w:rFonts w:hint="default" w:ascii="Times New Roman" w:hAnsi="Times New Roman" w:eastAsia="宋体" w:cs="Times New Roman"/>
                <w:color w:val="auto"/>
                <w:sz w:val="24"/>
                <w:szCs w:val="24"/>
                <w:highlight w:val="none"/>
                <w:lang w:val="en-US" w:eastAsia="zh-CN"/>
              </w:rPr>
              <w:t>处理后，达到《城市污水再生利用 城市杂用水水质》（GB/T18920-2020）中的城市绿化、道路清扫、消防、建筑施工标准后，用于项目区内绿化及道路场地洒水降尘，不外排。</w:t>
            </w:r>
          </w:p>
          <w:p w14:paraId="6C7C8EC5">
            <w:pPr>
              <w:keepNext w:val="0"/>
              <w:keepLines w:val="0"/>
              <w:pageBreakBefore w:val="0"/>
              <w:widowControl w:val="0"/>
              <w:shd w:val="clear"/>
              <w:kinsoku/>
              <w:wordWrap/>
              <w:overflowPunct/>
              <w:topLinePunct w:val="0"/>
              <w:autoSpaceDE/>
              <w:autoSpaceDN/>
              <w:bidi w:val="0"/>
              <w:adjustRightInd w:val="0"/>
              <w:snapToGrid w:val="0"/>
              <w:spacing w:line="356" w:lineRule="auto"/>
              <w:ind w:left="0" w:right="0" w:firstLine="480" w:firstLineChars="200"/>
              <w:textAlignment w:val="auto"/>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pPr>
            <w:r>
              <w:rPr>
                <w:rFonts w:hint="default" w:ascii="Times New Roman" w:hAnsi="Times New Roman" w:eastAsia="宋体" w:cs="Times New Roman"/>
                <w:caps w:val="0"/>
                <w:snapToGrid w:val="0"/>
                <w:color w:val="auto"/>
                <w:spacing w:val="0"/>
                <w:w w:val="100"/>
                <w:kern w:val="2"/>
                <w:position w:val="0"/>
                <w:sz w:val="24"/>
                <w:szCs w:val="24"/>
                <w:highlight w:val="none"/>
                <w:lang w:val="zh-CN" w:eastAsia="zh-CN" w:bidi="ar-SA"/>
              </w:rPr>
              <w:t>综上，项目用水量、污水排放量详见表</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2</w:t>
            </w:r>
            <w:r>
              <w:rPr>
                <w:rFonts w:hint="default" w:ascii="Times New Roman" w:hAnsi="Times New Roman" w:eastAsia="宋体" w:cs="Times New Roman"/>
                <w:caps w:val="0"/>
                <w:snapToGrid w:val="0"/>
                <w:color w:val="auto"/>
                <w:spacing w:val="0"/>
                <w:w w:val="100"/>
                <w:kern w:val="2"/>
                <w:position w:val="0"/>
                <w:sz w:val="24"/>
                <w:szCs w:val="24"/>
                <w:highlight w:val="none"/>
                <w:lang w:val="zh-CN" w:eastAsia="zh-CN" w:bidi="ar-SA"/>
              </w:rPr>
              <w:t>-</w:t>
            </w:r>
            <w:r>
              <w:rPr>
                <w:rFonts w:hint="eastAsia" w:cs="Times New Roman"/>
                <w:caps w:val="0"/>
                <w:snapToGrid w:val="0"/>
                <w:color w:val="auto"/>
                <w:spacing w:val="0"/>
                <w:w w:val="100"/>
                <w:kern w:val="2"/>
                <w:position w:val="0"/>
                <w:sz w:val="24"/>
                <w:szCs w:val="24"/>
                <w:highlight w:val="none"/>
                <w:lang w:val="en-US" w:eastAsia="zh-CN" w:bidi="ar-SA"/>
              </w:rPr>
              <w:t>6</w:t>
            </w:r>
            <w:r>
              <w:rPr>
                <w:rFonts w:hint="default" w:ascii="Times New Roman" w:hAnsi="Times New Roman" w:eastAsia="宋体" w:cs="Times New Roman"/>
                <w:caps w:val="0"/>
                <w:snapToGrid w:val="0"/>
                <w:color w:val="auto"/>
                <w:spacing w:val="0"/>
                <w:w w:val="100"/>
                <w:kern w:val="2"/>
                <w:position w:val="0"/>
                <w:sz w:val="24"/>
                <w:szCs w:val="24"/>
                <w:highlight w:val="none"/>
                <w:lang w:val="zh-CN" w:eastAsia="zh-CN" w:bidi="ar-SA"/>
              </w:rPr>
              <w:t>。</w:t>
            </w:r>
          </w:p>
          <w:p w14:paraId="2F1F234C">
            <w:pPr>
              <w:keepNext w:val="0"/>
              <w:keepLines w:val="0"/>
              <w:pageBreakBefore w:val="0"/>
              <w:widowControl w:val="0"/>
              <w:shd w:val="clear"/>
              <w:kinsoku/>
              <w:wordWrap/>
              <w:overflowPunct/>
              <w:topLinePunct w:val="0"/>
              <w:bidi w:val="0"/>
              <w:snapToGrid w:val="0"/>
              <w:jc w:val="both"/>
              <w:rPr>
                <w:rFonts w:hint="default" w:ascii="Times New Roman" w:hAnsi="Times New Roman" w:eastAsia="宋体" w:cs="Times New Roman"/>
                <w:b/>
                <w:caps w:val="0"/>
                <w:snapToGrid w:val="0"/>
                <w:color w:val="auto"/>
                <w:spacing w:val="0"/>
                <w:w w:val="100"/>
                <w:position w:val="0"/>
                <w:sz w:val="21"/>
                <w:szCs w:val="21"/>
                <w:highlight w:val="none"/>
              </w:rPr>
            </w:pPr>
          </w:p>
          <w:p w14:paraId="6AB1A812">
            <w:pPr>
              <w:keepNext w:val="0"/>
              <w:keepLines w:val="0"/>
              <w:pageBreakBefore w:val="0"/>
              <w:widowControl w:val="0"/>
              <w:shd w:val="clear"/>
              <w:kinsoku/>
              <w:wordWrap/>
              <w:overflowPunct/>
              <w:topLinePunct w:val="0"/>
              <w:bidi w:val="0"/>
              <w:snapToGrid w:val="0"/>
              <w:jc w:val="center"/>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表</w:t>
            </w:r>
            <w:r>
              <w:rPr>
                <w:rFonts w:hint="default" w:ascii="Times New Roman" w:hAnsi="Times New Roman" w:eastAsia="宋体" w:cs="Times New Roman"/>
                <w:b/>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caps w:val="0"/>
                <w:snapToGrid w:val="0"/>
                <w:color w:val="auto"/>
                <w:spacing w:val="0"/>
                <w:w w:val="100"/>
                <w:position w:val="0"/>
                <w:sz w:val="21"/>
                <w:szCs w:val="21"/>
                <w:highlight w:val="none"/>
              </w:rPr>
              <w:t>-</w:t>
            </w:r>
            <w:r>
              <w:rPr>
                <w:rFonts w:hint="eastAsia" w:cs="Times New Roman"/>
                <w:b/>
                <w:caps w:val="0"/>
                <w:snapToGrid w:val="0"/>
                <w:color w:val="auto"/>
                <w:spacing w:val="0"/>
                <w:w w:val="100"/>
                <w:position w:val="0"/>
                <w:sz w:val="21"/>
                <w:szCs w:val="21"/>
                <w:highlight w:val="none"/>
                <w:lang w:val="en-US" w:eastAsia="zh-CN"/>
              </w:rPr>
              <w:t>6</w:t>
            </w:r>
            <w:r>
              <w:rPr>
                <w:rFonts w:hint="default" w:ascii="Times New Roman" w:hAnsi="Times New Roman" w:eastAsia="宋体" w:cs="Times New Roman"/>
                <w:b/>
                <w:caps w:val="0"/>
                <w:snapToGrid w:val="0"/>
                <w:color w:val="auto"/>
                <w:spacing w:val="0"/>
                <w:w w:val="100"/>
                <w:position w:val="0"/>
                <w:sz w:val="21"/>
                <w:szCs w:val="21"/>
                <w:highlight w:val="none"/>
              </w:rPr>
              <w:t xml:space="preserve">  项目用排水情况一览表</w:t>
            </w:r>
          </w:p>
          <w:tbl>
            <w:tblPr>
              <w:tblStyle w:val="26"/>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773"/>
              <w:gridCol w:w="1049"/>
              <w:gridCol w:w="976"/>
              <w:gridCol w:w="991"/>
              <w:gridCol w:w="977"/>
              <w:gridCol w:w="810"/>
              <w:gridCol w:w="723"/>
              <w:gridCol w:w="709"/>
            </w:tblGrid>
            <w:tr w14:paraId="1AAE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72" w:type="dxa"/>
                  <w:gridSpan w:val="2"/>
                  <w:vMerge w:val="restart"/>
                  <w:noWrap w:val="0"/>
                  <w:vAlign w:val="center"/>
                </w:tcPr>
                <w:p w14:paraId="40527639">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项目</w:t>
                  </w:r>
                </w:p>
              </w:tc>
              <w:tc>
                <w:tcPr>
                  <w:tcW w:w="1049" w:type="dxa"/>
                  <w:vMerge w:val="restart"/>
                  <w:noWrap w:val="0"/>
                  <w:vAlign w:val="center"/>
                </w:tcPr>
                <w:p w14:paraId="10075AA0">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用水定额</w:t>
                  </w:r>
                </w:p>
              </w:tc>
              <w:tc>
                <w:tcPr>
                  <w:tcW w:w="976" w:type="dxa"/>
                  <w:vMerge w:val="restart"/>
                  <w:noWrap w:val="0"/>
                  <w:vAlign w:val="center"/>
                </w:tcPr>
                <w:p w14:paraId="0E72F61A">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数量</w:t>
                  </w:r>
                </w:p>
              </w:tc>
              <w:tc>
                <w:tcPr>
                  <w:tcW w:w="1968" w:type="dxa"/>
                  <w:gridSpan w:val="2"/>
                  <w:noWrap w:val="0"/>
                  <w:vAlign w:val="center"/>
                </w:tcPr>
                <w:p w14:paraId="14EA26C1">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用水量</w:t>
                  </w:r>
                </w:p>
              </w:tc>
              <w:tc>
                <w:tcPr>
                  <w:tcW w:w="810" w:type="dxa"/>
                  <w:vMerge w:val="restart"/>
                  <w:noWrap w:val="0"/>
                  <w:vAlign w:val="center"/>
                </w:tcPr>
                <w:p w14:paraId="3EB96E18">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产污率</w:t>
                  </w:r>
                </w:p>
              </w:tc>
              <w:tc>
                <w:tcPr>
                  <w:tcW w:w="1432" w:type="dxa"/>
                  <w:gridSpan w:val="2"/>
                  <w:noWrap w:val="0"/>
                  <w:vAlign w:val="center"/>
                </w:tcPr>
                <w:p w14:paraId="5BA05249">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污水量</w:t>
                  </w:r>
                </w:p>
              </w:tc>
            </w:tr>
            <w:tr w14:paraId="2D06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72" w:type="dxa"/>
                  <w:gridSpan w:val="2"/>
                  <w:vMerge w:val="continue"/>
                  <w:noWrap w:val="0"/>
                  <w:vAlign w:val="center"/>
                </w:tcPr>
                <w:p w14:paraId="14686821">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1049" w:type="dxa"/>
                  <w:vMerge w:val="continue"/>
                  <w:noWrap w:val="0"/>
                  <w:vAlign w:val="center"/>
                </w:tcPr>
                <w:p w14:paraId="1DA1FF02">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976" w:type="dxa"/>
                  <w:vMerge w:val="continue"/>
                  <w:noWrap w:val="0"/>
                  <w:vAlign w:val="center"/>
                </w:tcPr>
                <w:p w14:paraId="5D935BA8">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991" w:type="dxa"/>
                  <w:noWrap w:val="0"/>
                  <w:vAlign w:val="center"/>
                </w:tcPr>
                <w:p w14:paraId="5315D431">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c>
                <w:tcPr>
                  <w:tcW w:w="977" w:type="dxa"/>
                  <w:noWrap w:val="0"/>
                  <w:vAlign w:val="center"/>
                </w:tcPr>
                <w:p w14:paraId="4A6A7E35">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/a</w:t>
                  </w:r>
                </w:p>
              </w:tc>
              <w:tc>
                <w:tcPr>
                  <w:tcW w:w="810" w:type="dxa"/>
                  <w:vMerge w:val="continue"/>
                  <w:noWrap w:val="0"/>
                  <w:vAlign w:val="center"/>
                </w:tcPr>
                <w:p w14:paraId="11AE5DD1">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723" w:type="dxa"/>
                  <w:noWrap w:val="0"/>
                  <w:vAlign w:val="center"/>
                </w:tcPr>
                <w:p w14:paraId="4C83B6E7">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c>
                <w:tcPr>
                  <w:tcW w:w="709" w:type="dxa"/>
                  <w:noWrap w:val="0"/>
                  <w:vAlign w:val="center"/>
                </w:tcPr>
                <w:p w14:paraId="4B090C44">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/a</w:t>
                  </w:r>
                </w:p>
              </w:tc>
            </w:tr>
            <w:tr w14:paraId="1818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9" w:type="dxa"/>
                  <w:vMerge w:val="restart"/>
                  <w:noWrap w:val="0"/>
                  <w:vAlign w:val="center"/>
                </w:tcPr>
                <w:p w14:paraId="451B31A8">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生产过程</w:t>
                  </w:r>
                </w:p>
              </w:tc>
              <w:tc>
                <w:tcPr>
                  <w:tcW w:w="1773" w:type="dxa"/>
                  <w:noWrap w:val="0"/>
                  <w:vAlign w:val="center"/>
                </w:tcPr>
                <w:p w14:paraId="2931C9A8">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循环</w:t>
                  </w:r>
                  <w:r>
                    <w:rPr>
                      <w:rFonts w:hint="default" w:ascii="Times New Roman" w:hAnsi="Times New Roman" w:eastAsia="宋体" w:cs="Times New Roman"/>
                      <w:color w:val="auto"/>
                      <w:kern w:val="0"/>
                      <w:sz w:val="21"/>
                      <w:szCs w:val="21"/>
                      <w:highlight w:val="none"/>
                      <w:lang w:eastAsia="zh-CN"/>
                    </w:rPr>
                    <w:t>冷却水</w:t>
                  </w:r>
                  <w:r>
                    <w:rPr>
                      <w:rFonts w:hint="default" w:ascii="Times New Roman" w:hAnsi="Times New Roman" w:eastAsia="宋体" w:cs="Times New Roman"/>
                      <w:color w:val="auto"/>
                      <w:kern w:val="0"/>
                      <w:sz w:val="21"/>
                      <w:szCs w:val="21"/>
                      <w:highlight w:val="none"/>
                    </w:rPr>
                    <w:t>用量</w:t>
                  </w:r>
                </w:p>
              </w:tc>
              <w:tc>
                <w:tcPr>
                  <w:tcW w:w="1049" w:type="dxa"/>
                  <w:noWrap w:val="0"/>
                  <w:vAlign w:val="center"/>
                </w:tcPr>
                <w:p w14:paraId="273EE8AB">
                  <w:pPr>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kg/</w:t>
                  </w:r>
                  <w:r>
                    <w:rPr>
                      <w:rFonts w:hint="eastAsia" w:ascii="Times New Roman" w:hAnsi="Times New Roman" w:eastAsia="宋体" w:cs="Times New Roman"/>
                      <w:color w:val="auto"/>
                      <w:sz w:val="21"/>
                      <w:szCs w:val="21"/>
                      <w:highlight w:val="none"/>
                      <w:lang w:val="en-US" w:eastAsia="zh-CN"/>
                    </w:rPr>
                    <w:t>m</w:t>
                  </w:r>
                  <w:r>
                    <w:rPr>
                      <w:rFonts w:hint="eastAsia"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rPr>
                    <w:t>产品</w:t>
                  </w:r>
                </w:p>
              </w:tc>
              <w:tc>
                <w:tcPr>
                  <w:tcW w:w="976" w:type="dxa"/>
                  <w:noWrap w:val="0"/>
                  <w:vAlign w:val="center"/>
                </w:tcPr>
                <w:p w14:paraId="1D98F47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vertAlign w:val="superscript"/>
                      <w:lang w:val="en-US" w:eastAsia="zh-CN"/>
                    </w:rPr>
                  </w:pPr>
                  <w:r>
                    <w:rPr>
                      <w:rFonts w:hint="eastAsia" w:cs="Times New Roman"/>
                      <w:caps w:val="0"/>
                      <w:snapToGrid w:val="0"/>
                      <w:color w:val="auto"/>
                      <w:spacing w:val="0"/>
                      <w:w w:val="100"/>
                      <w:position w:val="0"/>
                      <w:sz w:val="21"/>
                      <w:szCs w:val="21"/>
                      <w:highlight w:val="none"/>
                      <w:lang w:val="en-US" w:eastAsia="zh-CN"/>
                    </w:rPr>
                    <w:t>30万m</w:t>
                  </w:r>
                  <w:r>
                    <w:rPr>
                      <w:rFonts w:hint="eastAsia" w:cs="Times New Roman"/>
                      <w:caps w:val="0"/>
                      <w:snapToGrid w:val="0"/>
                      <w:color w:val="auto"/>
                      <w:spacing w:val="0"/>
                      <w:w w:val="100"/>
                      <w:position w:val="0"/>
                      <w:sz w:val="21"/>
                      <w:szCs w:val="21"/>
                      <w:highlight w:val="none"/>
                      <w:vertAlign w:val="superscript"/>
                      <w:lang w:val="en-US" w:eastAsia="zh-CN"/>
                    </w:rPr>
                    <w:t>2</w:t>
                  </w:r>
                </w:p>
              </w:tc>
              <w:tc>
                <w:tcPr>
                  <w:tcW w:w="991" w:type="dxa"/>
                  <w:noWrap w:val="0"/>
                  <w:vAlign w:val="center"/>
                </w:tcPr>
                <w:p w14:paraId="430F1F20">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2.0</w:t>
                  </w:r>
                </w:p>
              </w:tc>
              <w:tc>
                <w:tcPr>
                  <w:tcW w:w="977" w:type="dxa"/>
                  <w:noWrap w:val="0"/>
                  <w:vAlign w:val="center"/>
                </w:tcPr>
                <w:p w14:paraId="2731BF46">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600</w:t>
                  </w:r>
                </w:p>
              </w:tc>
              <w:tc>
                <w:tcPr>
                  <w:tcW w:w="810" w:type="dxa"/>
                  <w:noWrap w:val="0"/>
                  <w:vAlign w:val="center"/>
                </w:tcPr>
                <w:p w14:paraId="40DA392C">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723" w:type="dxa"/>
                  <w:noWrap w:val="0"/>
                  <w:vAlign w:val="center"/>
                </w:tcPr>
                <w:p w14:paraId="421BB47E">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0</w:t>
                  </w:r>
                </w:p>
              </w:tc>
              <w:tc>
                <w:tcPr>
                  <w:tcW w:w="709" w:type="dxa"/>
                  <w:noWrap w:val="0"/>
                  <w:vAlign w:val="center"/>
                </w:tcPr>
                <w:p w14:paraId="043EDCEC">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0</w:t>
                  </w:r>
                </w:p>
              </w:tc>
            </w:tr>
            <w:tr w14:paraId="6BE0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9" w:type="dxa"/>
                  <w:vMerge w:val="continue"/>
                  <w:noWrap w:val="0"/>
                  <w:vAlign w:val="center"/>
                </w:tcPr>
                <w:p w14:paraId="2C08D017">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p>
              </w:tc>
              <w:tc>
                <w:tcPr>
                  <w:tcW w:w="1773" w:type="dxa"/>
                  <w:noWrap w:val="0"/>
                  <w:vAlign w:val="center"/>
                </w:tcPr>
                <w:p w14:paraId="4753948F">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冷却水</w:t>
                  </w:r>
                  <w:r>
                    <w:rPr>
                      <w:rFonts w:hint="default" w:ascii="Times New Roman" w:hAnsi="Times New Roman" w:eastAsia="宋体" w:cs="Times New Roman"/>
                      <w:color w:val="auto"/>
                      <w:kern w:val="0"/>
                      <w:sz w:val="21"/>
                      <w:szCs w:val="21"/>
                      <w:highlight w:val="none"/>
                      <w:lang w:eastAsia="zh-CN"/>
                    </w:rPr>
                    <w:t>池</w:t>
                  </w:r>
                  <w:r>
                    <w:rPr>
                      <w:rFonts w:hint="default" w:ascii="Times New Roman" w:hAnsi="Times New Roman" w:eastAsia="宋体" w:cs="Times New Roman"/>
                      <w:color w:val="auto"/>
                      <w:kern w:val="0"/>
                      <w:sz w:val="21"/>
                      <w:szCs w:val="21"/>
                      <w:highlight w:val="none"/>
                    </w:rPr>
                    <w:t>补充水</w:t>
                  </w:r>
                </w:p>
              </w:tc>
              <w:tc>
                <w:tcPr>
                  <w:tcW w:w="1049" w:type="dxa"/>
                  <w:noWrap w:val="0"/>
                  <w:vAlign w:val="center"/>
                </w:tcPr>
                <w:p w14:paraId="68DDC825">
                  <w:pPr>
                    <w:shd w:val="clear"/>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976" w:type="dxa"/>
                  <w:noWrap w:val="0"/>
                  <w:vAlign w:val="center"/>
                </w:tcPr>
                <w:p w14:paraId="527F1369">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991" w:type="dxa"/>
                  <w:noWrap w:val="0"/>
                  <w:vAlign w:val="center"/>
                </w:tcPr>
                <w:p w14:paraId="4AAE3A9C">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0.1333</w:t>
                  </w:r>
                </w:p>
              </w:tc>
              <w:tc>
                <w:tcPr>
                  <w:tcW w:w="977" w:type="dxa"/>
                  <w:noWrap w:val="0"/>
                  <w:vAlign w:val="center"/>
                </w:tcPr>
                <w:p w14:paraId="76A0DF39">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40</w:t>
                  </w:r>
                </w:p>
              </w:tc>
              <w:tc>
                <w:tcPr>
                  <w:tcW w:w="810" w:type="dxa"/>
                  <w:noWrap w:val="0"/>
                  <w:vAlign w:val="center"/>
                </w:tcPr>
                <w:p w14:paraId="0D0319A4">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723" w:type="dxa"/>
                  <w:noWrap w:val="0"/>
                  <w:vAlign w:val="center"/>
                </w:tcPr>
                <w:p w14:paraId="0D2865F1">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709" w:type="dxa"/>
                  <w:noWrap w:val="0"/>
                  <w:vAlign w:val="center"/>
                </w:tcPr>
                <w:p w14:paraId="496ED330">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r>
            <w:tr w14:paraId="6A96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97" w:type="dxa"/>
                  <w:gridSpan w:val="4"/>
                  <w:noWrap w:val="0"/>
                  <w:vAlign w:val="center"/>
                </w:tcPr>
                <w:p w14:paraId="6DECD46A">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991" w:type="dxa"/>
                  <w:noWrap w:val="0"/>
                  <w:vAlign w:val="center"/>
                </w:tcPr>
                <w:p w14:paraId="5D5959D8">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2.1333</w:t>
                  </w:r>
                </w:p>
              </w:tc>
              <w:tc>
                <w:tcPr>
                  <w:tcW w:w="977" w:type="dxa"/>
                  <w:noWrap w:val="0"/>
                  <w:vAlign w:val="center"/>
                </w:tcPr>
                <w:p w14:paraId="506C5539">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640</w:t>
                  </w:r>
                </w:p>
              </w:tc>
              <w:tc>
                <w:tcPr>
                  <w:tcW w:w="810" w:type="dxa"/>
                  <w:noWrap w:val="0"/>
                  <w:vAlign w:val="center"/>
                </w:tcPr>
                <w:p w14:paraId="44D0DA96">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723" w:type="dxa"/>
                  <w:noWrap w:val="0"/>
                  <w:vAlign w:val="center"/>
                </w:tcPr>
                <w:p w14:paraId="2A7D0949">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0</w:t>
                  </w:r>
                </w:p>
              </w:tc>
              <w:tc>
                <w:tcPr>
                  <w:tcW w:w="709" w:type="dxa"/>
                  <w:noWrap w:val="0"/>
                  <w:vAlign w:val="center"/>
                </w:tcPr>
                <w:p w14:paraId="2F3BFA09">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0</w:t>
                  </w:r>
                </w:p>
              </w:tc>
            </w:tr>
            <w:tr w14:paraId="1578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9" w:type="dxa"/>
                  <w:vMerge w:val="restart"/>
                  <w:noWrap w:val="0"/>
                  <w:vAlign w:val="center"/>
                </w:tcPr>
                <w:p w14:paraId="18B97722">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办公生活区</w:t>
                  </w:r>
                </w:p>
              </w:tc>
              <w:tc>
                <w:tcPr>
                  <w:tcW w:w="1773" w:type="dxa"/>
                  <w:noWrap w:val="0"/>
                  <w:vAlign w:val="center"/>
                </w:tcPr>
                <w:p w14:paraId="6428DA48">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食堂</w:t>
                  </w:r>
                </w:p>
              </w:tc>
              <w:tc>
                <w:tcPr>
                  <w:tcW w:w="1049" w:type="dxa"/>
                  <w:noWrap w:val="0"/>
                  <w:vAlign w:val="center"/>
                </w:tcPr>
                <w:p w14:paraId="3E09B4A0">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20L/人·d</w:t>
                  </w:r>
                </w:p>
              </w:tc>
              <w:tc>
                <w:tcPr>
                  <w:tcW w:w="976" w:type="dxa"/>
                  <w:noWrap w:val="0"/>
                  <w:vAlign w:val="center"/>
                </w:tcPr>
                <w:p w14:paraId="0DF5FDBC">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20人</w:t>
                  </w:r>
                </w:p>
              </w:tc>
              <w:tc>
                <w:tcPr>
                  <w:tcW w:w="991" w:type="dxa"/>
                  <w:noWrap w:val="0"/>
                  <w:vAlign w:val="center"/>
                </w:tcPr>
                <w:p w14:paraId="763F5D43">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0</w:t>
                  </w:r>
                  <w:r>
                    <w:rPr>
                      <w:rFonts w:hint="default" w:ascii="Times New Roman" w:hAnsi="Times New Roman" w:eastAsia="宋体" w:cs="Times New Roman"/>
                      <w:i w:val="0"/>
                      <w:iCs w:val="0"/>
                      <w:color w:val="auto"/>
                      <w:kern w:val="0"/>
                      <w:sz w:val="21"/>
                      <w:szCs w:val="21"/>
                      <w:u w:val="none"/>
                      <w:lang w:val="en-US" w:eastAsia="zh-CN" w:bidi="ar"/>
                    </w:rPr>
                    <w:t>.4</w:t>
                  </w:r>
                </w:p>
              </w:tc>
              <w:tc>
                <w:tcPr>
                  <w:tcW w:w="977" w:type="dxa"/>
                  <w:noWrap w:val="0"/>
                  <w:vAlign w:val="center"/>
                </w:tcPr>
                <w:p w14:paraId="7B2085E4">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20</w:t>
                  </w:r>
                </w:p>
              </w:tc>
              <w:tc>
                <w:tcPr>
                  <w:tcW w:w="810" w:type="dxa"/>
                  <w:noWrap w:val="0"/>
                  <w:vAlign w:val="center"/>
                </w:tcPr>
                <w:p w14:paraId="040ED27A">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0.8</w:t>
                  </w:r>
                </w:p>
              </w:tc>
              <w:tc>
                <w:tcPr>
                  <w:tcW w:w="723" w:type="dxa"/>
                  <w:noWrap w:val="0"/>
                  <w:vAlign w:val="center"/>
                </w:tcPr>
                <w:p w14:paraId="4B4FCE7E">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0.32</w:t>
                  </w:r>
                </w:p>
              </w:tc>
              <w:tc>
                <w:tcPr>
                  <w:tcW w:w="709" w:type="dxa"/>
                  <w:noWrap w:val="0"/>
                  <w:vAlign w:val="center"/>
                </w:tcPr>
                <w:p w14:paraId="1281879E">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96</w:t>
                  </w:r>
                </w:p>
              </w:tc>
            </w:tr>
            <w:tr w14:paraId="742F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99" w:type="dxa"/>
                  <w:vMerge w:val="continue"/>
                  <w:noWrap w:val="0"/>
                  <w:vAlign w:val="center"/>
                </w:tcPr>
                <w:p w14:paraId="30BD468E">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p>
              </w:tc>
              <w:tc>
                <w:tcPr>
                  <w:tcW w:w="1773" w:type="dxa"/>
                  <w:noWrap w:val="0"/>
                  <w:vAlign w:val="center"/>
                </w:tcPr>
                <w:p w14:paraId="560BFDBA">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办公生活</w:t>
                  </w:r>
                </w:p>
              </w:tc>
              <w:tc>
                <w:tcPr>
                  <w:tcW w:w="1049" w:type="dxa"/>
                  <w:noWrap w:val="0"/>
                  <w:vAlign w:val="center"/>
                </w:tcPr>
                <w:p w14:paraId="5F983664">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80L/人·d</w:t>
                  </w:r>
                </w:p>
              </w:tc>
              <w:tc>
                <w:tcPr>
                  <w:tcW w:w="976" w:type="dxa"/>
                  <w:noWrap w:val="0"/>
                  <w:vAlign w:val="center"/>
                </w:tcPr>
                <w:p w14:paraId="45051C2D">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20人</w:t>
                  </w:r>
                </w:p>
              </w:tc>
              <w:tc>
                <w:tcPr>
                  <w:tcW w:w="991" w:type="dxa"/>
                  <w:noWrap w:val="0"/>
                  <w:vAlign w:val="center"/>
                </w:tcPr>
                <w:p w14:paraId="7BE3AEE0">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.6</w:t>
                  </w:r>
                </w:p>
              </w:tc>
              <w:tc>
                <w:tcPr>
                  <w:tcW w:w="977" w:type="dxa"/>
                  <w:noWrap w:val="0"/>
                  <w:vAlign w:val="center"/>
                </w:tcPr>
                <w:p w14:paraId="7B1904BD">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4</w:t>
                  </w:r>
                  <w:r>
                    <w:rPr>
                      <w:rFonts w:hint="default" w:ascii="Times New Roman" w:hAnsi="Times New Roman" w:eastAsia="宋体" w:cs="Times New Roman"/>
                      <w:i w:val="0"/>
                      <w:iCs w:val="0"/>
                      <w:color w:val="auto"/>
                      <w:kern w:val="0"/>
                      <w:sz w:val="21"/>
                      <w:szCs w:val="21"/>
                      <w:u w:val="none"/>
                      <w:lang w:val="en-US" w:eastAsia="zh-CN" w:bidi="ar"/>
                    </w:rPr>
                    <w:t>80</w:t>
                  </w:r>
                </w:p>
              </w:tc>
              <w:tc>
                <w:tcPr>
                  <w:tcW w:w="810" w:type="dxa"/>
                  <w:noWrap w:val="0"/>
                  <w:vAlign w:val="center"/>
                </w:tcPr>
                <w:p w14:paraId="0EA22BA7">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0.8</w:t>
                  </w:r>
                </w:p>
              </w:tc>
              <w:tc>
                <w:tcPr>
                  <w:tcW w:w="723" w:type="dxa"/>
                  <w:noWrap w:val="0"/>
                  <w:vAlign w:val="center"/>
                </w:tcPr>
                <w:p w14:paraId="2865CE93">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1.2</w:t>
                  </w:r>
                  <w:r>
                    <w:rPr>
                      <w:rFonts w:hint="default" w:ascii="Times New Roman" w:hAnsi="Times New Roman" w:eastAsia="宋体" w:cs="Times New Roman"/>
                      <w:i w:val="0"/>
                      <w:iCs w:val="0"/>
                      <w:color w:val="auto"/>
                      <w:kern w:val="0"/>
                      <w:sz w:val="21"/>
                      <w:szCs w:val="21"/>
                      <w:u w:val="none"/>
                      <w:lang w:val="en-US" w:eastAsia="zh-CN" w:bidi="ar"/>
                    </w:rPr>
                    <w:t>8</w:t>
                  </w:r>
                </w:p>
              </w:tc>
              <w:tc>
                <w:tcPr>
                  <w:tcW w:w="709" w:type="dxa"/>
                  <w:noWrap w:val="0"/>
                  <w:vAlign w:val="center"/>
                </w:tcPr>
                <w:p w14:paraId="4FC49C0E">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384</w:t>
                  </w:r>
                </w:p>
              </w:tc>
            </w:tr>
            <w:tr w14:paraId="482B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21" w:type="dxa"/>
                  <w:gridSpan w:val="3"/>
                  <w:noWrap w:val="0"/>
                  <w:vAlign w:val="center"/>
                </w:tcPr>
                <w:p w14:paraId="6F3A7BF0">
                  <w:pPr>
                    <w:keepNext w:val="0"/>
                    <w:keepLines w:val="0"/>
                    <w:pageBreakBefore w:val="0"/>
                    <w:widowControl w:val="0"/>
                    <w:shd w:val="clea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976" w:type="dxa"/>
                  <w:noWrap w:val="0"/>
                  <w:vAlign w:val="center"/>
                </w:tcPr>
                <w:p w14:paraId="7241A8BC">
                  <w:pPr>
                    <w:keepNext w:val="0"/>
                    <w:keepLines w:val="0"/>
                    <w:pageBreakBefore w:val="0"/>
                    <w:widowControl w:val="0"/>
                    <w:shd w:val="clear"/>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991" w:type="dxa"/>
                  <w:noWrap w:val="0"/>
                  <w:vAlign w:val="center"/>
                </w:tcPr>
                <w:p w14:paraId="44E0B70B">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2.0</w:t>
                  </w:r>
                </w:p>
              </w:tc>
              <w:tc>
                <w:tcPr>
                  <w:tcW w:w="977" w:type="dxa"/>
                  <w:noWrap w:val="0"/>
                  <w:vAlign w:val="center"/>
                </w:tcPr>
                <w:p w14:paraId="1E38CE52">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600</w:t>
                  </w:r>
                </w:p>
              </w:tc>
              <w:tc>
                <w:tcPr>
                  <w:tcW w:w="810" w:type="dxa"/>
                  <w:noWrap w:val="0"/>
                  <w:vAlign w:val="center"/>
                </w:tcPr>
                <w:p w14:paraId="4DF48DDE">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0.8</w:t>
                  </w:r>
                </w:p>
              </w:tc>
              <w:tc>
                <w:tcPr>
                  <w:tcW w:w="723" w:type="dxa"/>
                  <w:noWrap w:val="0"/>
                  <w:vAlign w:val="center"/>
                </w:tcPr>
                <w:p w14:paraId="508F1FB1">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1.6</w:t>
                  </w:r>
                </w:p>
              </w:tc>
              <w:tc>
                <w:tcPr>
                  <w:tcW w:w="709" w:type="dxa"/>
                  <w:noWrap w:val="0"/>
                  <w:vAlign w:val="center"/>
                </w:tcPr>
                <w:p w14:paraId="4FB0E485">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480</w:t>
                  </w:r>
                </w:p>
              </w:tc>
            </w:tr>
            <w:tr w14:paraId="4E96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97" w:type="dxa"/>
                  <w:gridSpan w:val="4"/>
                  <w:noWrap w:val="0"/>
                  <w:vAlign w:val="center"/>
                </w:tcPr>
                <w:p w14:paraId="0EAF5C1C">
                  <w:pPr>
                    <w:keepNext w:val="0"/>
                    <w:keepLines w:val="0"/>
                    <w:pageBreakBefore w:val="0"/>
                    <w:widowControl/>
                    <w:suppressLineNumbers w:val="0"/>
                    <w:shd w:val="clear"/>
                    <w:kinsoku/>
                    <w:wordWrap/>
                    <w:overflowPunct/>
                    <w:topLinePunct w:val="0"/>
                    <w:autoSpaceDE/>
                    <w:autoSpaceDN/>
                    <w:bidi w:val="0"/>
                    <w:adjustRightInd/>
                    <w:spacing w:line="240" w:lineRule="auto"/>
                    <w:ind w:left="0" w:right="0" w:firstLine="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合计</w:t>
                  </w:r>
                </w:p>
              </w:tc>
              <w:tc>
                <w:tcPr>
                  <w:tcW w:w="991" w:type="dxa"/>
                  <w:noWrap w:val="0"/>
                  <w:vAlign w:val="center"/>
                </w:tcPr>
                <w:p w14:paraId="35858775">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4.1333</w:t>
                  </w:r>
                </w:p>
              </w:tc>
              <w:tc>
                <w:tcPr>
                  <w:tcW w:w="977" w:type="dxa"/>
                  <w:noWrap w:val="0"/>
                  <w:vAlign w:val="center"/>
                </w:tcPr>
                <w:p w14:paraId="7EDC1A7F">
                  <w:pPr>
                    <w:keepNext w:val="0"/>
                    <w:keepLines w:val="0"/>
                    <w:widowControl/>
                    <w:suppressLineNumbers w:val="0"/>
                    <w:jc w:val="center"/>
                    <w:textAlignment w:val="center"/>
                    <w:rPr>
                      <w:rFonts w:hint="default" w:ascii="Times New Roman" w:hAnsi="Times New Roman" w:eastAsia="宋体" w:cs="Times New Roman"/>
                      <w:caps w:val="0"/>
                      <w:snapToGrid w:val="0"/>
                      <w:color w:val="FF0000"/>
                      <w:spacing w:val="0"/>
                      <w:w w:val="100"/>
                      <w:position w:val="0"/>
                      <w:sz w:val="21"/>
                      <w:szCs w:val="21"/>
                      <w:highlight w:val="none"/>
                      <w:lang w:val="en-US" w:eastAsia="zh-CN"/>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1240</w:t>
                  </w:r>
                </w:p>
              </w:tc>
              <w:tc>
                <w:tcPr>
                  <w:tcW w:w="810" w:type="dxa"/>
                  <w:noWrap w:val="0"/>
                  <w:vAlign w:val="center"/>
                </w:tcPr>
                <w:p w14:paraId="2899FC5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723" w:type="dxa"/>
                  <w:noWrap w:val="0"/>
                  <w:vAlign w:val="center"/>
                </w:tcPr>
                <w:p w14:paraId="25FA2770">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1.6</w:t>
                  </w:r>
                </w:p>
              </w:tc>
              <w:tc>
                <w:tcPr>
                  <w:tcW w:w="709" w:type="dxa"/>
                  <w:noWrap w:val="0"/>
                  <w:vAlign w:val="center"/>
                </w:tcPr>
                <w:p w14:paraId="27EB44A1">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i w:val="0"/>
                      <w:iCs w:val="0"/>
                      <w:color w:val="auto"/>
                      <w:kern w:val="0"/>
                      <w:sz w:val="21"/>
                      <w:szCs w:val="21"/>
                      <w:u w:val="none"/>
                      <w:lang w:val="en-US" w:eastAsia="zh-CN" w:bidi="ar"/>
                    </w:rPr>
                    <w:t>480</w:t>
                  </w:r>
                </w:p>
              </w:tc>
            </w:tr>
          </w:tbl>
          <w:p w14:paraId="3F981E9A">
            <w:pPr>
              <w:pStyle w:val="6"/>
              <w:keepNext w:val="0"/>
              <w:keepLines w:val="0"/>
              <w:pageBreakBefore w:val="0"/>
              <w:widowControl w:val="0"/>
              <w:shd w:val="clear"/>
              <w:kinsoku/>
              <w:wordWrap/>
              <w:overflowPunct/>
              <w:topLinePunct w:val="0"/>
              <w:bidi w:val="0"/>
              <w:adjustRightInd w:val="0"/>
              <w:snapToGrid w:val="0"/>
              <w:spacing w:after="0" w:line="360" w:lineRule="auto"/>
              <w:ind w:firstLine="482" w:firstLineChars="200"/>
              <w:rPr>
                <w:rFonts w:hint="default" w:ascii="Times New Roman" w:hAnsi="Times New Roman" w:eastAsia="宋体" w:cs="Times New Roman"/>
                <w:b/>
                <w:bCs/>
                <w:caps w:val="0"/>
                <w:snapToGrid w:val="0"/>
                <w:color w:val="auto"/>
                <w:spacing w:val="0"/>
                <w:w w:val="100"/>
                <w:position w:val="0"/>
                <w:sz w:val="24"/>
                <w:highlight w:val="none"/>
              </w:rPr>
            </w:pPr>
            <w:r>
              <w:rPr>
                <w:rFonts w:hint="default" w:ascii="Times New Roman" w:hAnsi="Times New Roman" w:eastAsia="宋体" w:cs="Times New Roman"/>
                <w:b/>
                <w:bCs/>
                <w:caps w:val="0"/>
                <w:snapToGrid w:val="0"/>
                <w:color w:val="auto"/>
                <w:spacing w:val="0"/>
                <w:w w:val="100"/>
                <w:position w:val="0"/>
                <w:sz w:val="24"/>
                <w:highlight w:val="none"/>
              </w:rPr>
              <w:t>（</w:t>
            </w:r>
            <w:r>
              <w:rPr>
                <w:rFonts w:hint="default" w:ascii="Times New Roman" w:hAnsi="Times New Roman" w:eastAsia="宋体" w:cs="Times New Roman"/>
                <w:b/>
                <w:bCs/>
                <w:caps w:val="0"/>
                <w:snapToGrid w:val="0"/>
                <w:color w:val="auto"/>
                <w:spacing w:val="0"/>
                <w:w w:val="100"/>
                <w:position w:val="0"/>
                <w:sz w:val="24"/>
                <w:highlight w:val="none"/>
                <w:lang w:val="en-US" w:eastAsia="zh-CN"/>
              </w:rPr>
              <w:t>3</w:t>
            </w:r>
            <w:r>
              <w:rPr>
                <w:rFonts w:hint="default" w:ascii="Times New Roman" w:hAnsi="Times New Roman" w:eastAsia="宋体" w:cs="Times New Roman"/>
                <w:b/>
                <w:bCs/>
                <w:caps w:val="0"/>
                <w:snapToGrid w:val="0"/>
                <w:color w:val="auto"/>
                <w:spacing w:val="0"/>
                <w:w w:val="100"/>
                <w:position w:val="0"/>
                <w:sz w:val="24"/>
                <w:highlight w:val="none"/>
              </w:rPr>
              <w:t>）项目运营期用排水平衡</w:t>
            </w:r>
          </w:p>
          <w:p w14:paraId="41EAB2F9">
            <w:pPr>
              <w:pStyle w:val="6"/>
              <w:keepNext w:val="0"/>
              <w:keepLines w:val="0"/>
              <w:pageBreakBefore w:val="0"/>
              <w:widowControl w:val="0"/>
              <w:shd w:val="clear"/>
              <w:kinsoku/>
              <w:wordWrap/>
              <w:overflowPunct/>
              <w:topLinePunct w:val="0"/>
              <w:bidi w:val="0"/>
              <w:adjustRightInd w:val="0"/>
              <w:snapToGrid w:val="0"/>
              <w:spacing w:after="0" w:line="360" w:lineRule="auto"/>
              <w:ind w:firstLine="480" w:firstLineChars="200"/>
              <w:rPr>
                <w:rFonts w:hint="default" w:ascii="Times New Roman" w:hAnsi="Times New Roman" w:eastAsia="宋体" w:cs="Times New Roman"/>
                <w:caps w:val="0"/>
                <w:snapToGrid w:val="0"/>
                <w:color w:val="auto"/>
                <w:spacing w:val="0"/>
                <w:w w:val="100"/>
                <w:position w:val="0"/>
                <w:sz w:val="24"/>
                <w:highlight w:val="none"/>
              </w:rPr>
            </w:pPr>
            <w:r>
              <w:rPr>
                <w:rFonts w:hint="default" w:ascii="Times New Roman" w:hAnsi="Times New Roman" w:eastAsia="宋体" w:cs="Times New Roman"/>
                <w:caps w:val="0"/>
                <w:snapToGrid w:val="0"/>
                <w:color w:val="auto"/>
                <w:spacing w:val="0"/>
                <w:w w:val="100"/>
                <w:position w:val="0"/>
                <w:sz w:val="24"/>
                <w:highlight w:val="none"/>
              </w:rPr>
              <w:t>项目运营期水平衡如图</w:t>
            </w:r>
            <w:r>
              <w:rPr>
                <w:rFonts w:hint="default" w:ascii="Times New Roman" w:hAnsi="Times New Roman" w:eastAsia="宋体" w:cs="Times New Roman"/>
                <w:caps w:val="0"/>
                <w:snapToGrid w:val="0"/>
                <w:color w:val="auto"/>
                <w:spacing w:val="0"/>
                <w:w w:val="100"/>
                <w:position w:val="0"/>
                <w:sz w:val="24"/>
                <w:highlight w:val="none"/>
                <w:lang w:val="en-US" w:eastAsia="zh-CN"/>
              </w:rPr>
              <w:t>2</w:t>
            </w:r>
            <w:r>
              <w:rPr>
                <w:rFonts w:hint="default" w:ascii="Times New Roman" w:hAnsi="Times New Roman" w:eastAsia="宋体" w:cs="Times New Roman"/>
                <w:caps w:val="0"/>
                <w:snapToGrid w:val="0"/>
                <w:color w:val="auto"/>
                <w:spacing w:val="0"/>
                <w:w w:val="100"/>
                <w:position w:val="0"/>
                <w:sz w:val="24"/>
                <w:highlight w:val="none"/>
              </w:rPr>
              <w:t>-</w:t>
            </w:r>
            <w:r>
              <w:rPr>
                <w:rFonts w:hint="default" w:ascii="Times New Roman" w:hAnsi="Times New Roman" w:eastAsia="宋体" w:cs="Times New Roman"/>
                <w:caps w:val="0"/>
                <w:snapToGrid w:val="0"/>
                <w:color w:val="auto"/>
                <w:spacing w:val="0"/>
                <w:w w:val="100"/>
                <w:position w:val="0"/>
                <w:sz w:val="24"/>
                <w:highlight w:val="none"/>
                <w:lang w:val="en-US" w:eastAsia="zh-CN"/>
              </w:rPr>
              <w:t>1</w:t>
            </w:r>
            <w:r>
              <w:rPr>
                <w:rFonts w:hint="default" w:ascii="Times New Roman" w:hAnsi="Times New Roman" w:eastAsia="宋体" w:cs="Times New Roman"/>
                <w:caps w:val="0"/>
                <w:snapToGrid w:val="0"/>
                <w:color w:val="auto"/>
                <w:spacing w:val="0"/>
                <w:w w:val="100"/>
                <w:position w:val="0"/>
                <w:sz w:val="24"/>
                <w:highlight w:val="none"/>
              </w:rPr>
              <w:t>所示。</w:t>
            </w:r>
          </w:p>
          <w:p w14:paraId="5728848A">
            <w:pPr>
              <w:keepNext w:val="0"/>
              <w:keepLines w:val="0"/>
              <w:pageBreakBefore w:val="0"/>
              <w:widowControl w:val="0"/>
              <w:shd w:val="clear"/>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i w:val="0"/>
                <w:iCs/>
                <w:color w:val="auto"/>
                <w:sz w:val="24"/>
                <w:szCs w:val="24"/>
                <w:highlight w:val="none"/>
              </w:rPr>
              <w:pict>
                <v:shape id="_x0000_s1028" o:spid="_x0000_s1028" o:spt="75" type="#_x0000_t75" style="position:absolute;left:0pt;margin-left:-1.15pt;margin-top:12.45pt;height:181.5pt;width:416.25pt;mso-wrap-distance-bottom:0pt;mso-wrap-distance-left:9pt;mso-wrap-distance-right:9pt;mso-wrap-distance-top:0pt;z-index:251660288;mso-width-relative:page;mso-height-relative:page;" o:ole="t" filled="f" o:preferrelative="t" stroked="f" coordsize="21600,21600">
                  <v:path/>
                  <v:fill on="f" focussize="0,0"/>
                  <v:stroke on="f"/>
                  <v:imagedata r:id="rId11" croptop="22045f" o:title=""/>
                  <o:lock v:ext="edit" aspectratio="t"/>
                  <w10:wrap type="square"/>
                </v:shape>
                <o:OLEObject Type="Embed" ProgID="Visio.Drawing.11" ShapeID="_x0000_s1028" DrawAspect="Content" ObjectID="_1468075725" r:id="rId10">
                  <o:LockedField>false</o:LockedField>
                </o:OLEObject>
              </w:pict>
            </w:r>
            <w:r>
              <w:rPr>
                <w:rFonts w:hint="default" w:ascii="Times New Roman" w:hAnsi="Times New Roman" w:eastAsia="宋体" w:cs="Times New Roman"/>
                <w:b/>
                <w:bCs/>
                <w:caps w:val="0"/>
                <w:snapToGrid w:val="0"/>
                <w:color w:val="000000" w:themeColor="text1"/>
                <w:spacing w:val="0"/>
                <w:w w:val="100"/>
                <w:position w:val="0"/>
                <w:sz w:val="21"/>
                <w:szCs w:val="21"/>
                <w:highlight w:val="none"/>
                <w14:textFill>
                  <w14:solidFill>
                    <w14:schemeClr w14:val="tx1"/>
                  </w14:solidFill>
                </w14:textFill>
              </w:rPr>
              <w:t>图</w:t>
            </w:r>
            <w:r>
              <w:rPr>
                <w:rFonts w:hint="default" w:ascii="Times New Roman" w:hAnsi="Times New Roman" w:eastAsia="宋体" w:cs="Times New Roman"/>
                <w:b/>
                <w:bCs/>
                <w:caps w:val="0"/>
                <w:snapToGrid w:val="0"/>
                <w:color w:val="000000" w:themeColor="text1"/>
                <w:spacing w:val="0"/>
                <w:w w:val="100"/>
                <w:position w:val="0"/>
                <w:sz w:val="21"/>
                <w:szCs w:val="21"/>
                <w:highlight w:val="none"/>
                <w:lang w:val="en-US" w:eastAsia="zh-CN"/>
                <w14:textFill>
                  <w14:solidFill>
                    <w14:schemeClr w14:val="tx1"/>
                  </w14:solidFill>
                </w14:textFill>
              </w:rPr>
              <w:t>2</w:t>
            </w:r>
            <w:r>
              <w:rPr>
                <w:rFonts w:hint="default" w:ascii="Times New Roman" w:hAnsi="Times New Roman" w:eastAsia="宋体" w:cs="Times New Roman"/>
                <w:b/>
                <w:bCs/>
                <w:caps w:val="0"/>
                <w:snapToGrid w:val="0"/>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宋体" w:cs="Times New Roman"/>
                <w:b/>
                <w:bCs/>
                <w:caps w:val="0"/>
                <w:snapToGrid w:val="0"/>
                <w:color w:val="000000" w:themeColor="text1"/>
                <w:spacing w:val="0"/>
                <w:w w:val="100"/>
                <w:position w:val="0"/>
                <w:sz w:val="21"/>
                <w:szCs w:val="21"/>
                <w:highlight w:val="none"/>
                <w:lang w:val="en-US" w:eastAsia="zh-CN"/>
                <w14:textFill>
                  <w14:solidFill>
                    <w14:schemeClr w14:val="tx1"/>
                  </w14:solidFill>
                </w14:textFill>
              </w:rPr>
              <w:t>1</w:t>
            </w:r>
            <w:r>
              <w:rPr>
                <w:rFonts w:hint="default" w:ascii="Times New Roman" w:hAnsi="Times New Roman" w:eastAsia="宋体" w:cs="Times New Roman"/>
                <w:b/>
                <w:bCs/>
                <w:caps w:val="0"/>
                <w:snapToGrid w:val="0"/>
                <w:color w:val="000000" w:themeColor="text1"/>
                <w:spacing w:val="0"/>
                <w:w w:val="100"/>
                <w:position w:val="0"/>
                <w:sz w:val="21"/>
                <w:szCs w:val="21"/>
                <w:highlight w:val="none"/>
                <w14:textFill>
                  <w14:solidFill>
                    <w14:schemeClr w14:val="tx1"/>
                  </w14:solidFill>
                </w14:textFill>
              </w:rPr>
              <w:t xml:space="preserve"> </w:t>
            </w:r>
            <w:r>
              <w:rPr>
                <w:rFonts w:hint="default" w:ascii="Times New Roman" w:hAnsi="Times New Roman" w:eastAsia="宋体" w:cs="Times New Roman"/>
                <w:b/>
                <w:bCs/>
                <w:caps w:val="0"/>
                <w:snapToGrid w:val="0"/>
                <w:color w:val="000000" w:themeColor="text1"/>
                <w:spacing w:val="0"/>
                <w:w w:val="100"/>
                <w:position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aps w:val="0"/>
                <w:snapToGrid w:val="0"/>
                <w:color w:val="000000" w:themeColor="text1"/>
                <w:spacing w:val="0"/>
                <w:w w:val="100"/>
                <w:position w:val="0"/>
                <w:sz w:val="21"/>
                <w:szCs w:val="21"/>
                <w:highlight w:val="none"/>
                <w14:textFill>
                  <w14:solidFill>
                    <w14:schemeClr w14:val="tx1"/>
                  </w14:solidFill>
                </w14:textFill>
              </w:rPr>
              <w:t xml:space="preserve"> 运营期水平衡示意图   单位：m</w:t>
            </w:r>
            <w:r>
              <w:rPr>
                <w:rFonts w:hint="default" w:ascii="Times New Roman" w:hAnsi="Times New Roman" w:eastAsia="宋体" w:cs="Times New Roman"/>
                <w:b/>
                <w:bCs/>
                <w:caps w:val="0"/>
                <w:snapToGrid w:val="0"/>
                <w:color w:val="000000" w:themeColor="text1"/>
                <w:spacing w:val="0"/>
                <w:w w:val="100"/>
                <w:position w:val="0"/>
                <w:sz w:val="21"/>
                <w:szCs w:val="21"/>
                <w:highlight w:val="none"/>
                <w:vertAlign w:val="superscript"/>
                <w14:textFill>
                  <w14:solidFill>
                    <w14:schemeClr w14:val="tx1"/>
                  </w14:solidFill>
                </w14:textFill>
              </w:rPr>
              <w:t>3</w:t>
            </w:r>
            <w:r>
              <w:rPr>
                <w:rFonts w:hint="default" w:ascii="Times New Roman" w:hAnsi="Times New Roman" w:eastAsia="宋体" w:cs="Times New Roman"/>
                <w:b/>
                <w:bCs/>
                <w:caps w:val="0"/>
                <w:snapToGrid w:val="0"/>
                <w:color w:val="000000" w:themeColor="text1"/>
                <w:spacing w:val="0"/>
                <w:w w:val="100"/>
                <w:position w:val="0"/>
                <w:sz w:val="21"/>
                <w:szCs w:val="21"/>
                <w:highlight w:val="none"/>
                <w14:textFill>
                  <w14:solidFill>
                    <w14:schemeClr w14:val="tx1"/>
                  </w14:solidFill>
                </w14:textFill>
              </w:rPr>
              <w:t>/d</w:t>
            </w:r>
          </w:p>
        </w:tc>
      </w:tr>
      <w:tr w14:paraId="4B4540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dxa"/>
            <w:vAlign w:val="center"/>
          </w:tcPr>
          <w:p w14:paraId="4C0D4A80">
            <w:pPr>
              <w:pStyle w:val="25"/>
              <w:shd w:val="clear"/>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工艺流程和产排污环节</w:t>
            </w:r>
          </w:p>
        </w:tc>
        <w:tc>
          <w:tcPr>
            <w:tcW w:w="8936" w:type="dxa"/>
            <w:vAlign w:val="top"/>
          </w:tcPr>
          <w:p w14:paraId="38251C99">
            <w:pPr>
              <w:keepNext w:val="0"/>
              <w:keepLines w:val="0"/>
              <w:pageBreakBefore w:val="0"/>
              <w:widowControl w:val="0"/>
              <w:shd w:val="clear"/>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color w:val="auto"/>
                <w:sz w:val="24"/>
                <w:highlight w:val="none"/>
                <w:lang w:val="en-US" w:eastAsia="zh-CN"/>
              </w:rPr>
            </w:pPr>
            <w:bookmarkStart w:id="17" w:name="_Toc16932"/>
            <w:r>
              <w:rPr>
                <w:rFonts w:hint="default" w:ascii="Times New Roman" w:hAnsi="Times New Roman" w:eastAsia="宋体" w:cs="Times New Roman"/>
                <w:b/>
                <w:color w:val="auto"/>
                <w:sz w:val="24"/>
                <w:highlight w:val="none"/>
              </w:rPr>
              <w:t>一、施工期</w:t>
            </w:r>
            <w:r>
              <w:rPr>
                <w:rFonts w:hint="default" w:ascii="Times New Roman" w:hAnsi="Times New Roman" w:eastAsia="宋体" w:cs="Times New Roman"/>
                <w:b/>
                <w:color w:val="auto"/>
                <w:sz w:val="24"/>
                <w:highlight w:val="none"/>
                <w:lang w:val="en-US" w:eastAsia="zh-CN"/>
              </w:rPr>
              <w:t>工艺流程和产排污节点</w:t>
            </w:r>
          </w:p>
          <w:p w14:paraId="1CD9AD1C">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1、施工主要工作内容</w:t>
            </w:r>
          </w:p>
          <w:p w14:paraId="40C710F6">
            <w:pPr>
              <w:shd w:val="clear"/>
              <w:spacing w:line="360" w:lineRule="auto"/>
              <w:ind w:firstLine="480" w:firstLineChars="200"/>
              <w:rPr>
                <w:rFonts w:hint="default" w:ascii="Times New Roman" w:hAnsi="Times New Roman" w:eastAsia="宋体" w:cs="Times New Roman"/>
                <w:b w:val="0"/>
                <w:bCs w:val="0"/>
                <w:iCs/>
                <w:color w:val="auto"/>
                <w:sz w:val="24"/>
                <w:highlight w:val="none"/>
                <w:lang w:val="en-US" w:eastAsia="zh-CN"/>
              </w:rPr>
            </w:pPr>
            <w:r>
              <w:rPr>
                <w:rFonts w:hint="default" w:ascii="Times New Roman" w:hAnsi="Times New Roman" w:eastAsia="宋体" w:cs="Times New Roman"/>
                <w:b w:val="0"/>
                <w:bCs w:val="0"/>
                <w:iCs/>
                <w:color w:val="auto"/>
                <w:sz w:val="24"/>
                <w:highlight w:val="none"/>
                <w:lang w:val="en-US" w:eastAsia="zh-CN"/>
              </w:rPr>
              <w:t>本项目施工期主要在已建成标准厂房内进行简单</w:t>
            </w:r>
            <w:r>
              <w:rPr>
                <w:rFonts w:hint="eastAsia" w:cs="Times New Roman"/>
                <w:b w:val="0"/>
                <w:bCs w:val="0"/>
                <w:iCs/>
                <w:color w:val="auto"/>
                <w:sz w:val="24"/>
                <w:highlight w:val="none"/>
                <w:lang w:val="en-US" w:eastAsia="zh-CN"/>
              </w:rPr>
              <w:t>装修改造、</w:t>
            </w:r>
            <w:r>
              <w:rPr>
                <w:rFonts w:hint="default" w:ascii="Times New Roman" w:hAnsi="Times New Roman" w:eastAsia="宋体" w:cs="Times New Roman"/>
                <w:b w:val="0"/>
                <w:bCs w:val="0"/>
                <w:iCs/>
                <w:color w:val="auto"/>
                <w:sz w:val="24"/>
                <w:highlight w:val="none"/>
                <w:lang w:val="en-US" w:eastAsia="zh-CN"/>
              </w:rPr>
              <w:t>设备安装</w:t>
            </w:r>
            <w:r>
              <w:rPr>
                <w:rFonts w:hint="eastAsia" w:cs="Times New Roman"/>
                <w:b w:val="0"/>
                <w:bCs w:val="0"/>
                <w:iCs/>
                <w:color w:val="auto"/>
                <w:sz w:val="24"/>
                <w:highlight w:val="none"/>
                <w:lang w:val="en-US" w:eastAsia="zh-CN"/>
              </w:rPr>
              <w:t>及</w:t>
            </w:r>
            <w:r>
              <w:rPr>
                <w:rFonts w:hint="default" w:ascii="Times New Roman" w:hAnsi="Times New Roman" w:eastAsia="宋体" w:cs="Times New Roman"/>
                <w:bCs/>
                <w:color w:val="auto"/>
                <w:sz w:val="24"/>
                <w:highlight w:val="none"/>
                <w:lang w:val="en-US" w:eastAsia="zh-CN"/>
              </w:rPr>
              <w:t>相关环保</w:t>
            </w:r>
            <w:r>
              <w:rPr>
                <w:rFonts w:hint="eastAsia" w:cs="Times New Roman"/>
                <w:bCs/>
                <w:color w:val="auto"/>
                <w:sz w:val="24"/>
                <w:highlight w:val="none"/>
                <w:lang w:val="en-US" w:eastAsia="zh-CN"/>
              </w:rPr>
              <w:t>设施建设等</w:t>
            </w:r>
            <w:r>
              <w:rPr>
                <w:rFonts w:hint="default" w:ascii="Times New Roman" w:hAnsi="Times New Roman" w:eastAsia="宋体" w:cs="Times New Roman"/>
                <w:b w:val="0"/>
                <w:bCs w:val="0"/>
                <w:iCs/>
                <w:color w:val="auto"/>
                <w:sz w:val="24"/>
                <w:highlight w:val="none"/>
                <w:lang w:val="en-US" w:eastAsia="zh-CN"/>
              </w:rPr>
              <w:t>。</w:t>
            </w:r>
          </w:p>
          <w:p w14:paraId="56A6E32E">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、施工组织安排</w:t>
            </w:r>
          </w:p>
          <w:p w14:paraId="78521C7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b w:val="0"/>
                <w:bCs w:val="0"/>
                <w:iCs/>
                <w:color w:val="auto"/>
                <w:sz w:val="24"/>
                <w:highlight w:val="none"/>
                <w:lang w:val="en-US" w:eastAsia="zh-CN"/>
              </w:rPr>
              <w:t>项目施工周期为</w:t>
            </w:r>
            <w:r>
              <w:rPr>
                <w:rFonts w:hint="eastAsia" w:cs="Times New Roman"/>
                <w:b w:val="0"/>
                <w:bCs w:val="0"/>
                <w:iCs/>
                <w:color w:val="auto"/>
                <w:sz w:val="24"/>
                <w:highlight w:val="none"/>
                <w:lang w:val="en-US" w:eastAsia="zh-CN"/>
              </w:rPr>
              <w:t>8</w:t>
            </w:r>
            <w:r>
              <w:rPr>
                <w:rFonts w:hint="default" w:ascii="Times New Roman" w:hAnsi="Times New Roman" w:eastAsia="宋体" w:cs="Times New Roman"/>
                <w:b w:val="0"/>
                <w:bCs w:val="0"/>
                <w:iCs/>
                <w:color w:val="auto"/>
                <w:sz w:val="24"/>
                <w:highlight w:val="none"/>
                <w:lang w:val="en-US" w:eastAsia="zh-CN"/>
              </w:rPr>
              <w:t>个月，</w:t>
            </w:r>
            <w:r>
              <w:rPr>
                <w:rFonts w:hint="default" w:ascii="Times New Roman" w:hAnsi="Times New Roman" w:eastAsia="宋体" w:cs="Times New Roman"/>
                <w:color w:val="auto"/>
                <w:sz w:val="24"/>
                <w:szCs w:val="24"/>
                <w:highlight w:val="none"/>
                <w:lang w:val="zh-CN"/>
              </w:rPr>
              <w:t>施工高峰期施工人员总量约为</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zh-CN"/>
              </w:rPr>
              <w:t>0人，施工场地内不设置施工生活营地，施工人员的餐饮住宿均依托周边配套服务设施。</w:t>
            </w:r>
          </w:p>
          <w:p w14:paraId="6E66AE97">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zh-CN"/>
              </w:rPr>
              <w:t>、施工产污环节分析</w:t>
            </w:r>
          </w:p>
          <w:p w14:paraId="354EFF4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项目施工期主要污染工序及产污情况见图</w:t>
            </w:r>
            <w:r>
              <w:rPr>
                <w:rFonts w:hint="default" w:ascii="Times New Roman" w:hAnsi="Times New Roman" w:eastAsia="宋体" w:cs="Times New Roman"/>
                <w:color w:val="auto"/>
                <w:sz w:val="24"/>
                <w:szCs w:val="24"/>
                <w:highlight w:val="none"/>
                <w:lang w:val="en-US" w:eastAsia="zh-CN"/>
              </w:rPr>
              <w:t>2-</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eastAsia="zh-CN"/>
              </w:rPr>
              <w:t>。</w:t>
            </w:r>
          </w:p>
          <w:p w14:paraId="2C44DAC2">
            <w:pPr>
              <w:shd w:val="clear"/>
              <w:ind w:firstLine="0" w:firstLineChars="0"/>
              <w:jc w:val="center"/>
              <w:rPr>
                <w:rFonts w:hint="default" w:ascii="Times New Roman" w:hAnsi="Times New Roman" w:eastAsia="宋体" w:cs="Times New Roman"/>
                <w:color w:val="auto"/>
                <w:szCs w:val="24"/>
                <w:highlight w:val="none"/>
              </w:rPr>
            </w:pPr>
          </w:p>
          <w:p w14:paraId="1C7B0739">
            <w:pPr>
              <w:keepNext w:val="0"/>
              <w:keepLines w:val="0"/>
              <w:pageBreakBefore w:val="0"/>
              <w:widowControl w:val="0"/>
              <w:shd w:val="clear"/>
              <w:kinsoku/>
              <w:wordWrap/>
              <w:overflowPunct/>
              <w:topLinePunct w:val="0"/>
              <w:autoSpaceDE/>
              <w:autoSpaceDN/>
              <w:bidi w:val="0"/>
              <w:spacing w:line="360" w:lineRule="auto"/>
              <w:jc w:val="center"/>
              <w:textAlignment w:val="auto"/>
              <w:rPr>
                <w:rFonts w:hint="default" w:ascii="Times New Roman" w:hAnsi="Times New Roman" w:eastAsia="宋体" w:cs="Times New Roman"/>
                <w:b/>
                <w:bCs/>
                <w:color w:val="auto"/>
                <w:szCs w:val="24"/>
                <w:highlight w:val="none"/>
              </w:rPr>
            </w:pPr>
            <w:r>
              <w:object>
                <v:shape id="_x0000_i1025" o:spt="75" type="#_x0000_t75" style="height:114pt;width:411.7pt;" o:ole="t" filled="f" o:preferrelative="t" stroked="f" coordsize="21600,21600">
                  <v:path/>
                  <v:fill on="f" focussize="0,0"/>
                  <v:stroke on="f"/>
                  <v:imagedata r:id="rId13" o:title=""/>
                  <o:lock v:ext="edit" aspectratio="t"/>
                  <w10:wrap type="none"/>
                  <w10:anchorlock/>
                </v:shape>
                <o:OLEObject Type="Embed" ProgID="Visio.Drawing.11" ShapeID="_x0000_i1025" DrawAspect="Content" ObjectID="_1468075726" r:id="rId12">
                  <o:LockedField>false</o:LockedField>
                </o:OLEObject>
              </w:object>
            </w:r>
          </w:p>
          <w:p w14:paraId="659ABD2B">
            <w:pPr>
              <w:keepNext w:val="0"/>
              <w:keepLines w:val="0"/>
              <w:pageBreakBefore w:val="0"/>
              <w:widowControl w:val="0"/>
              <w:shd w:val="clear"/>
              <w:kinsoku/>
              <w:wordWrap/>
              <w:overflowPunct/>
              <w:topLinePunct w:val="0"/>
              <w:autoSpaceDE/>
              <w:autoSpaceDN/>
              <w:bidi w:val="0"/>
              <w:spacing w:line="360" w:lineRule="auto"/>
              <w:jc w:val="center"/>
              <w:textAlignment w:val="auto"/>
              <w:rPr>
                <w:rFonts w:hint="default" w:ascii="Times New Roman" w:hAnsi="Times New Roman" w:eastAsia="宋体" w:cs="Times New Roman"/>
                <w:b/>
                <w:bCs/>
                <w:color w:val="auto"/>
                <w:szCs w:val="24"/>
                <w:highlight w:val="none"/>
              </w:rPr>
            </w:pPr>
            <w:r>
              <w:rPr>
                <w:rFonts w:hint="default" w:ascii="Times New Roman" w:hAnsi="Times New Roman" w:eastAsia="宋体" w:cs="Times New Roman"/>
                <w:b/>
                <w:bCs/>
                <w:color w:val="auto"/>
                <w:szCs w:val="24"/>
                <w:highlight w:val="none"/>
              </w:rPr>
              <w:t>图</w:t>
            </w:r>
            <w:r>
              <w:rPr>
                <w:rFonts w:hint="default" w:ascii="Times New Roman" w:hAnsi="Times New Roman" w:eastAsia="宋体" w:cs="Times New Roman"/>
                <w:b/>
                <w:bCs/>
                <w:color w:val="auto"/>
                <w:szCs w:val="24"/>
                <w:highlight w:val="none"/>
                <w:lang w:val="en-US" w:eastAsia="zh-CN"/>
              </w:rPr>
              <w:t>2-</w:t>
            </w:r>
            <w:r>
              <w:rPr>
                <w:rFonts w:hint="eastAsia" w:cs="Times New Roman"/>
                <w:b/>
                <w:bCs/>
                <w:color w:val="auto"/>
                <w:szCs w:val="24"/>
                <w:highlight w:val="none"/>
                <w:lang w:val="en-US" w:eastAsia="zh-CN"/>
              </w:rPr>
              <w:t>2</w:t>
            </w:r>
            <w:r>
              <w:rPr>
                <w:rFonts w:hint="default" w:ascii="Times New Roman" w:hAnsi="Times New Roman" w:eastAsia="宋体" w:cs="Times New Roman"/>
                <w:b/>
                <w:bCs/>
                <w:color w:val="auto"/>
                <w:szCs w:val="24"/>
                <w:highlight w:val="none"/>
              </w:rPr>
              <w:t xml:space="preserve">  项目施工期工艺流程及产污节点图</w:t>
            </w:r>
          </w:p>
          <w:p w14:paraId="721AD581">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sz w:val="24"/>
              </w:rPr>
              <w:t>项目施工期主要在</w:t>
            </w:r>
            <w:r>
              <w:rPr>
                <w:rFonts w:hint="default" w:ascii="Times New Roman" w:hAnsi="Times New Roman" w:eastAsia="宋体" w:cs="Times New Roman"/>
                <w:b w:val="0"/>
                <w:bCs w:val="0"/>
                <w:iCs/>
                <w:color w:val="auto"/>
                <w:sz w:val="24"/>
                <w:highlight w:val="none"/>
                <w:lang w:val="en-US" w:eastAsia="zh-CN"/>
              </w:rPr>
              <w:t>已建成标准厂房</w:t>
            </w:r>
            <w:r>
              <w:rPr>
                <w:sz w:val="24"/>
              </w:rPr>
              <w:t>内进行</w:t>
            </w:r>
            <w:r>
              <w:rPr>
                <w:rFonts w:hint="eastAsia"/>
                <w:sz w:val="24"/>
              </w:rPr>
              <w:t>装修改造、</w:t>
            </w:r>
            <w:r>
              <w:rPr>
                <w:sz w:val="24"/>
              </w:rPr>
              <w:t>设备的安装及环保工程建设，主要产生的污染物为施工废水、扬尘、固废、噪声等，其排放量随工序和施工强度不同而变化，伴随着施工的结束而结束。</w:t>
            </w:r>
          </w:p>
          <w:p w14:paraId="64ED6982">
            <w:pPr>
              <w:keepNext w:val="0"/>
              <w:keepLines w:val="0"/>
              <w:pageBreakBefore w:val="0"/>
              <w:widowControl w:val="0"/>
              <w:shd w:val="clear"/>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二</w:t>
            </w:r>
            <w:r>
              <w:rPr>
                <w:rFonts w:hint="default" w:ascii="Times New Roman" w:hAnsi="Times New Roman" w:eastAsia="宋体" w:cs="Times New Roman"/>
                <w:b/>
                <w:color w:val="auto"/>
                <w:sz w:val="24"/>
                <w:highlight w:val="none"/>
              </w:rPr>
              <w:t>、</w:t>
            </w:r>
            <w:r>
              <w:rPr>
                <w:rFonts w:hint="default" w:ascii="Times New Roman" w:hAnsi="Times New Roman" w:eastAsia="宋体" w:cs="Times New Roman"/>
                <w:b/>
                <w:color w:val="auto"/>
                <w:sz w:val="24"/>
                <w:highlight w:val="none"/>
                <w:lang w:val="en-US" w:eastAsia="zh-CN"/>
              </w:rPr>
              <w:t>运营</w:t>
            </w:r>
            <w:r>
              <w:rPr>
                <w:rFonts w:hint="default" w:ascii="Times New Roman" w:hAnsi="Times New Roman" w:eastAsia="宋体" w:cs="Times New Roman"/>
                <w:b/>
                <w:color w:val="auto"/>
                <w:sz w:val="24"/>
                <w:highlight w:val="none"/>
              </w:rPr>
              <w:t>期</w:t>
            </w:r>
            <w:r>
              <w:rPr>
                <w:rFonts w:hint="default" w:ascii="Times New Roman" w:hAnsi="Times New Roman" w:eastAsia="宋体" w:cs="Times New Roman"/>
                <w:b/>
                <w:color w:val="auto"/>
                <w:sz w:val="24"/>
                <w:highlight w:val="none"/>
                <w:lang w:val="en-US" w:eastAsia="zh-CN"/>
              </w:rPr>
              <w:t>工艺流程和产排污节点</w:t>
            </w:r>
          </w:p>
          <w:p w14:paraId="28BC80DB">
            <w:pPr>
              <w:shd w:val="clear"/>
              <w:spacing w:line="360" w:lineRule="auto"/>
              <w:ind w:firstLine="482" w:firstLineChars="200"/>
              <w:rPr>
                <w:rFonts w:hint="default" w:ascii="Times New Roman" w:hAnsi="Times New Roman" w:eastAsia="宋体" w:cs="Times New Roman"/>
                <w:b/>
                <w:bCs/>
                <w:iCs/>
                <w:color w:val="auto"/>
                <w:sz w:val="24"/>
                <w:highlight w:val="none"/>
                <w:lang w:val="en-US" w:eastAsia="zh-CN"/>
              </w:rPr>
            </w:pPr>
            <w:r>
              <w:rPr>
                <w:rFonts w:hint="default" w:ascii="Times New Roman" w:hAnsi="Times New Roman" w:eastAsia="宋体" w:cs="Times New Roman"/>
                <w:b/>
                <w:bCs/>
                <w:iCs/>
                <w:color w:val="auto"/>
                <w:sz w:val="24"/>
                <w:highlight w:val="none"/>
                <w:lang w:val="en-US" w:eastAsia="zh-CN"/>
              </w:rPr>
              <w:t>（一）运营期</w:t>
            </w:r>
            <w:r>
              <w:rPr>
                <w:rFonts w:hint="default" w:ascii="Times New Roman" w:hAnsi="Times New Roman" w:eastAsia="宋体" w:cs="Times New Roman"/>
                <w:b/>
                <w:bCs/>
                <w:color w:val="auto"/>
                <w:sz w:val="24"/>
                <w:highlight w:val="none"/>
                <w:lang w:val="en-US" w:eastAsia="zh-CN"/>
              </w:rPr>
              <w:t>工艺流程</w:t>
            </w:r>
          </w:p>
          <w:p w14:paraId="3014569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bCs/>
                <w:color w:val="auto"/>
                <w:kern w:val="2"/>
                <w:sz w:val="24"/>
                <w:szCs w:val="24"/>
                <w:highlight w:val="none"/>
                <w:lang w:val="en-US" w:eastAsia="zh-CN" w:bidi="ar"/>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kern w:val="2"/>
                <w:sz w:val="24"/>
                <w:szCs w:val="24"/>
                <w:highlight w:val="none"/>
                <w:lang w:val="en-US" w:eastAsia="zh-CN" w:bidi="ar"/>
              </w:rPr>
              <w:t>生产工艺流程</w:t>
            </w:r>
          </w:p>
          <w:p w14:paraId="32A65738">
            <w:pPr>
              <w:spacing w:line="360" w:lineRule="auto"/>
              <w:ind w:firstLine="480" w:firstLineChars="200"/>
              <w:rPr>
                <w:rFonts w:hint="eastAsia" w:cs="Times New Roman"/>
                <w:color w:val="auto"/>
                <w:sz w:val="24"/>
                <w:szCs w:val="24"/>
                <w:lang w:eastAsia="zh-CN"/>
              </w:rPr>
            </w:pPr>
            <w:r>
              <w:rPr>
                <w:rFonts w:hint="default" w:ascii="Times New Roman" w:hAnsi="Times New Roman" w:eastAsia="宋体" w:cs="Times New Roman"/>
                <w:color w:val="auto"/>
                <w:sz w:val="24"/>
                <w:szCs w:val="24"/>
                <w:lang w:eastAsia="zh-CN"/>
              </w:rPr>
              <w:t>本项目</w:t>
            </w:r>
            <w:r>
              <w:rPr>
                <w:rFonts w:hint="eastAsia" w:cs="Times New Roman"/>
                <w:color w:val="auto"/>
                <w:sz w:val="24"/>
                <w:szCs w:val="24"/>
                <w:lang w:eastAsia="zh-CN"/>
              </w:rPr>
              <w:t>产品为</w:t>
            </w:r>
            <w:r>
              <w:rPr>
                <w:rFonts w:hint="eastAsia" w:cs="Times New Roman"/>
                <w:color w:val="auto"/>
                <w:sz w:val="24"/>
                <w:szCs w:val="24"/>
                <w:highlight w:val="none"/>
                <w:lang w:val="en-US" w:eastAsia="zh-CN"/>
              </w:rPr>
              <w:t>竹木纤维集成墙板及扣板，两种产品生产工艺无差别，仅原辅料种类及配比不一样，</w:t>
            </w:r>
            <w:r>
              <w:rPr>
                <w:rFonts w:hint="default" w:ascii="Times New Roman" w:hAnsi="Times New Roman" w:eastAsia="宋体" w:cs="Times New Roman"/>
                <w:color w:val="auto"/>
                <w:sz w:val="24"/>
                <w:szCs w:val="24"/>
              </w:rPr>
              <w:t>生产工艺流程详见图</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所示</w:t>
            </w:r>
            <w:r>
              <w:rPr>
                <w:rFonts w:hint="default" w:ascii="Times New Roman" w:hAnsi="Times New Roman" w:eastAsia="宋体" w:cs="Times New Roman"/>
                <w:color w:val="auto"/>
                <w:sz w:val="24"/>
                <w:szCs w:val="24"/>
              </w:rPr>
              <w:t>。</w:t>
            </w:r>
          </w:p>
          <w:p w14:paraId="3587AD09">
            <w:pPr>
              <w:spacing w:line="360" w:lineRule="auto"/>
              <w:ind w:firstLine="480" w:firstLineChars="200"/>
              <w:rPr>
                <w:rFonts w:hint="eastAsia" w:cs="Times New Roman"/>
                <w:color w:val="auto"/>
                <w:sz w:val="24"/>
                <w:szCs w:val="24"/>
                <w:lang w:eastAsia="zh-CN"/>
              </w:rPr>
            </w:pPr>
          </w:p>
          <w:p w14:paraId="127159AC">
            <w:pPr>
              <w:spacing w:line="360" w:lineRule="auto"/>
              <w:ind w:firstLine="480" w:firstLineChars="200"/>
              <w:rPr>
                <w:rFonts w:hint="eastAsia" w:cs="Times New Roman"/>
                <w:color w:val="auto"/>
                <w:sz w:val="24"/>
                <w:szCs w:val="24"/>
                <w:lang w:eastAsia="zh-CN"/>
              </w:rPr>
            </w:pPr>
          </w:p>
          <w:p w14:paraId="5BD0FEB4">
            <w:pPr>
              <w:spacing w:line="360" w:lineRule="auto"/>
              <w:ind w:firstLine="480" w:firstLineChars="200"/>
              <w:rPr>
                <w:rFonts w:hint="eastAsia" w:cs="Times New Roman"/>
                <w:color w:val="auto"/>
                <w:sz w:val="24"/>
                <w:szCs w:val="24"/>
                <w:lang w:eastAsia="zh-CN"/>
              </w:rPr>
            </w:pPr>
          </w:p>
          <w:p w14:paraId="790A82DA">
            <w:pPr>
              <w:spacing w:line="360" w:lineRule="auto"/>
              <w:ind w:firstLine="480" w:firstLineChars="200"/>
              <w:rPr>
                <w:rFonts w:hint="eastAsia" w:cs="Times New Roman"/>
                <w:color w:val="auto"/>
                <w:sz w:val="24"/>
                <w:szCs w:val="24"/>
                <w:lang w:eastAsia="zh-CN"/>
              </w:rPr>
            </w:pPr>
          </w:p>
          <w:p w14:paraId="2963151D">
            <w:pPr>
              <w:spacing w:line="360" w:lineRule="auto"/>
              <w:ind w:firstLine="480" w:firstLineChars="200"/>
              <w:rPr>
                <w:rFonts w:hint="eastAsia" w:cs="Times New Roman"/>
                <w:color w:val="auto"/>
                <w:sz w:val="24"/>
                <w:szCs w:val="24"/>
                <w:lang w:eastAsia="zh-CN"/>
              </w:rPr>
            </w:pPr>
          </w:p>
          <w:p w14:paraId="7D8905D2">
            <w:pPr>
              <w:spacing w:line="360" w:lineRule="auto"/>
              <w:ind w:firstLine="480" w:firstLineChars="200"/>
              <w:rPr>
                <w:rFonts w:hint="eastAsia" w:cs="Times New Roman"/>
                <w:color w:val="auto"/>
                <w:sz w:val="24"/>
                <w:szCs w:val="24"/>
                <w:lang w:eastAsia="zh-CN"/>
              </w:rPr>
            </w:pPr>
          </w:p>
          <w:p w14:paraId="7E55CB77">
            <w:pPr>
              <w:spacing w:line="360" w:lineRule="auto"/>
              <w:ind w:firstLine="480" w:firstLineChars="200"/>
              <w:rPr>
                <w:rFonts w:hint="eastAsia" w:cs="Times New Roman"/>
                <w:color w:val="auto"/>
                <w:sz w:val="24"/>
                <w:szCs w:val="24"/>
                <w:lang w:eastAsia="zh-CN"/>
              </w:rPr>
            </w:pPr>
          </w:p>
          <w:p w14:paraId="7F5C986A">
            <w:pPr>
              <w:spacing w:line="360" w:lineRule="auto"/>
              <w:ind w:firstLine="480" w:firstLineChars="200"/>
              <w:rPr>
                <w:rFonts w:hint="eastAsia" w:cs="Times New Roman"/>
                <w:color w:val="auto"/>
                <w:sz w:val="24"/>
                <w:szCs w:val="24"/>
                <w:lang w:eastAsia="zh-CN"/>
              </w:rPr>
            </w:pPr>
          </w:p>
          <w:p w14:paraId="5B65BE94">
            <w:pPr>
              <w:spacing w:line="360" w:lineRule="auto"/>
              <w:ind w:firstLine="480" w:firstLineChars="200"/>
              <w:rPr>
                <w:rFonts w:hint="eastAsia" w:cs="Times New Roman"/>
                <w:color w:val="auto"/>
                <w:sz w:val="24"/>
                <w:szCs w:val="24"/>
                <w:lang w:eastAsia="zh-CN"/>
              </w:rPr>
            </w:pPr>
          </w:p>
          <w:p w14:paraId="73D511BE">
            <w:pPr>
              <w:spacing w:line="360" w:lineRule="auto"/>
              <w:ind w:firstLine="480" w:firstLineChars="200"/>
              <w:rPr>
                <w:rFonts w:hint="eastAsia" w:cs="Times New Roman"/>
                <w:color w:val="auto"/>
                <w:sz w:val="24"/>
                <w:szCs w:val="24"/>
                <w:lang w:eastAsia="zh-CN"/>
              </w:rPr>
            </w:pPr>
          </w:p>
          <w:p w14:paraId="203538E2">
            <w:pPr>
              <w:spacing w:line="360" w:lineRule="auto"/>
              <w:ind w:firstLine="480" w:firstLineChars="200"/>
              <w:rPr>
                <w:rFonts w:hint="eastAsia" w:cs="Times New Roman"/>
                <w:color w:val="auto"/>
                <w:sz w:val="24"/>
                <w:szCs w:val="24"/>
                <w:lang w:eastAsia="zh-CN"/>
              </w:rPr>
            </w:pPr>
          </w:p>
          <w:p w14:paraId="22766120">
            <w:pPr>
              <w:spacing w:line="360" w:lineRule="auto"/>
              <w:ind w:firstLine="480" w:firstLineChars="200"/>
              <w:rPr>
                <w:rFonts w:hint="eastAsia" w:cs="Times New Roman"/>
                <w:color w:val="auto"/>
                <w:sz w:val="24"/>
                <w:szCs w:val="24"/>
                <w:lang w:eastAsia="zh-CN"/>
              </w:rPr>
            </w:pPr>
          </w:p>
          <w:p w14:paraId="330D25A9">
            <w:pPr>
              <w:spacing w:line="360" w:lineRule="auto"/>
              <w:ind w:firstLine="480" w:firstLineChars="200"/>
              <w:rPr>
                <w:rFonts w:hint="eastAsia" w:cs="Times New Roman"/>
                <w:color w:val="auto"/>
                <w:sz w:val="24"/>
                <w:szCs w:val="24"/>
                <w:lang w:eastAsia="zh-CN"/>
              </w:rPr>
            </w:pPr>
          </w:p>
          <w:p w14:paraId="2449FFF1">
            <w:pPr>
              <w:spacing w:line="360" w:lineRule="auto"/>
              <w:ind w:firstLine="480" w:firstLineChars="200"/>
              <w:rPr>
                <w:rFonts w:hint="eastAsia" w:cs="Times New Roman"/>
                <w:color w:val="auto"/>
                <w:sz w:val="24"/>
                <w:szCs w:val="24"/>
                <w:lang w:eastAsia="zh-CN"/>
              </w:rPr>
            </w:pPr>
          </w:p>
          <w:p w14:paraId="7A50B8CA">
            <w:pPr>
              <w:spacing w:line="360" w:lineRule="auto"/>
              <w:ind w:firstLine="480" w:firstLineChars="200"/>
              <w:rPr>
                <w:rFonts w:hint="eastAsia" w:cs="Times New Roman"/>
                <w:color w:val="auto"/>
                <w:sz w:val="24"/>
                <w:szCs w:val="24"/>
                <w:lang w:eastAsia="zh-CN"/>
              </w:rPr>
            </w:pPr>
          </w:p>
          <w:p w14:paraId="45D90100">
            <w:pPr>
              <w:spacing w:line="360" w:lineRule="auto"/>
              <w:ind w:firstLine="480" w:firstLineChars="200"/>
              <w:rPr>
                <w:rFonts w:hint="eastAsia" w:ascii="Times New Roman" w:hAnsi="Times New Roman" w:eastAsia="宋体" w:cs="Times New Roman"/>
                <w:color w:val="auto"/>
                <w:sz w:val="24"/>
                <w:szCs w:val="24"/>
                <w:lang w:val="en-US" w:eastAsia="zh-CN"/>
              </w:rPr>
            </w:pPr>
          </w:p>
          <w:p w14:paraId="290500A0">
            <w:pPr>
              <w:spacing w:line="360" w:lineRule="auto"/>
              <w:ind w:firstLine="0" w:firstLineChars="0"/>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object>
                <v:shape id="_x0000_i1026" o:spt="75" type="#_x0000_t75" style="height:480.5pt;width:439.7pt;" o:ole="t" filled="f" o:preferrelative="t" stroked="f" coordsize="21600,21600">
                  <v:path/>
                  <v:fill on="f" focussize="0,0"/>
                  <v:stroke on="f"/>
                  <v:imagedata r:id="rId15" o:title=""/>
                  <o:lock v:ext="edit" aspectratio="f"/>
                  <w10:wrap type="none"/>
                  <w10:anchorlock/>
                </v:shape>
                <o:OLEObject Type="Embed" ProgID="Visio.Drawing.15" ShapeID="_x0000_i1026" DrawAspect="Content" ObjectID="_1468075727" r:id="rId14">
                  <o:LockedField>false</o:LockedField>
                </o:OLEObject>
              </w:object>
            </w:r>
          </w:p>
          <w:p w14:paraId="23166C8E">
            <w:pPr>
              <w:spacing w:line="360" w:lineRule="auto"/>
              <w:ind w:firstLine="0" w:firstLineChars="0"/>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14:textFill>
                  <w14:solidFill>
                    <w14:schemeClr w14:val="tx1"/>
                  </w14:solidFill>
                </w14:textFill>
              </w:rPr>
              <w:t>图</w:t>
            </w:r>
            <w:r>
              <w:rPr>
                <w:rFonts w:hint="default" w:ascii="Times New Roman" w:hAnsi="Times New Roman" w:eastAsia="宋体" w:cs="Times New Roman"/>
                <w:b/>
                <w:color w:val="000000" w:themeColor="text1"/>
                <w:lang w:val="en-US" w:eastAsia="zh-CN"/>
                <w14:textFill>
                  <w14:solidFill>
                    <w14:schemeClr w14:val="tx1"/>
                  </w14:solidFill>
                </w14:textFill>
              </w:rPr>
              <w:t>2-</w:t>
            </w:r>
            <w:r>
              <w:rPr>
                <w:rFonts w:hint="eastAsia" w:cs="Times New Roman"/>
                <w:b/>
                <w:color w:val="000000" w:themeColor="text1"/>
                <w:lang w:val="en-US" w:eastAsia="zh-CN"/>
                <w14:textFill>
                  <w14:solidFill>
                    <w14:schemeClr w14:val="tx1"/>
                  </w14:solidFill>
                </w14:textFill>
              </w:rPr>
              <w:t>3</w:t>
            </w:r>
            <w:r>
              <w:rPr>
                <w:rFonts w:hint="default" w:ascii="Times New Roman" w:hAnsi="Times New Roman" w:eastAsia="宋体" w:cs="Times New Roman"/>
                <w:b/>
                <w:color w:val="000000" w:themeColor="text1"/>
                <w14:textFill>
                  <w14:solidFill>
                    <w14:schemeClr w14:val="tx1"/>
                  </w14:solidFill>
                </w14:textFill>
              </w:rPr>
              <w:t xml:space="preserve">  </w:t>
            </w:r>
            <w:r>
              <w:rPr>
                <w:rFonts w:hint="eastAsia" w:cs="Times New Roman"/>
                <w:b/>
                <w:color w:val="000000" w:themeColor="text1"/>
                <w:lang w:val="en-US" w:eastAsia="zh-CN"/>
                <w14:textFill>
                  <w14:solidFill>
                    <w14:schemeClr w14:val="tx1"/>
                  </w14:solidFill>
                </w14:textFill>
              </w:rPr>
              <w:t>项目</w:t>
            </w:r>
            <w:r>
              <w:rPr>
                <w:rFonts w:hint="default" w:ascii="Times New Roman" w:hAnsi="Times New Roman" w:eastAsia="宋体" w:cs="Times New Roman"/>
                <w:b/>
                <w:color w:val="000000" w:themeColor="text1"/>
                <w14:textFill>
                  <w14:solidFill>
                    <w14:schemeClr w14:val="tx1"/>
                  </w14:solidFill>
                </w14:textFill>
              </w:rPr>
              <w:t>生产工艺流程图</w:t>
            </w:r>
          </w:p>
          <w:p w14:paraId="7842585A">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lang w:val="en-US" w:eastAsia="zh-CN"/>
              </w:rPr>
            </w:pPr>
            <w:r>
              <w:rPr>
                <w:rFonts w:hint="eastAsia" w:cs="Times New Roman"/>
                <w:b/>
                <w:color w:val="auto"/>
                <w:sz w:val="24"/>
                <w:szCs w:val="24"/>
                <w:lang w:val="en-US" w:eastAsia="zh-CN"/>
              </w:rPr>
              <w:t>生产</w:t>
            </w:r>
            <w:r>
              <w:rPr>
                <w:rFonts w:hint="default" w:ascii="Times New Roman" w:hAnsi="Times New Roman" w:eastAsia="宋体" w:cs="Times New Roman"/>
                <w:b/>
                <w:color w:val="auto"/>
                <w:sz w:val="24"/>
                <w:szCs w:val="24"/>
                <w:lang w:val="en-US" w:eastAsia="zh-CN"/>
              </w:rPr>
              <w:t>工艺流程简述：</w:t>
            </w:r>
          </w:p>
          <w:p w14:paraId="790331B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pPr>
            <w:r>
              <w:rPr>
                <w:rFonts w:hint="eastAsia" w:ascii="Times New Roman" w:hAnsi="Times New Roman" w:eastAsia="宋体" w:cs="Times New Roman"/>
                <w:b/>
                <w:bCs/>
                <w:color w:val="000000"/>
                <w:kern w:val="0"/>
                <w:sz w:val="24"/>
                <w:szCs w:val="24"/>
                <w:lang w:val="en-US" w:eastAsia="zh-CN" w:bidi="ar"/>
              </w:rPr>
              <w:t>①开包、</w:t>
            </w:r>
            <w:r>
              <w:rPr>
                <w:rFonts w:hint="eastAsia" w:ascii="宋体" w:hAnsi="宋体" w:eastAsia="宋体" w:cs="宋体"/>
                <w:b/>
                <w:bCs/>
                <w:color w:val="000000"/>
                <w:kern w:val="0"/>
                <w:sz w:val="24"/>
                <w:szCs w:val="24"/>
                <w:lang w:val="en-US" w:eastAsia="zh-CN" w:bidi="ar"/>
              </w:rPr>
              <w:t>混料</w:t>
            </w:r>
            <w:r>
              <w:rPr>
                <w:rFonts w:hint="eastAsia" w:ascii="宋体" w:hAnsi="宋体" w:eastAsia="宋体" w:cs="宋体"/>
                <w:color w:val="000000"/>
                <w:kern w:val="0"/>
                <w:sz w:val="24"/>
                <w:szCs w:val="24"/>
                <w:lang w:val="en-US" w:eastAsia="zh-CN" w:bidi="ar"/>
              </w:rPr>
              <w:t>：将PVC树脂、钙粉、木粉、钛白粉、</w:t>
            </w:r>
            <w:r>
              <w:rPr>
                <w:rFonts w:hint="default" w:ascii="Times New Roman" w:hAnsi="Times New Roman" w:eastAsia="宋体" w:cs="Times New Roman"/>
                <w:color w:val="000000"/>
                <w:kern w:val="0"/>
                <w:sz w:val="24"/>
                <w:szCs w:val="24"/>
                <w:lang w:val="en-US" w:eastAsia="zh-CN" w:bidi="ar"/>
              </w:rPr>
              <w:t>PE</w:t>
            </w:r>
            <w:r>
              <w:rPr>
                <w:rFonts w:hint="eastAsia" w:ascii="宋体" w:hAnsi="宋体" w:eastAsia="宋体" w:cs="宋体"/>
                <w:color w:val="000000"/>
                <w:kern w:val="0"/>
                <w:sz w:val="24"/>
                <w:szCs w:val="24"/>
                <w:lang w:val="en-US" w:eastAsia="zh-CN" w:bidi="ar"/>
              </w:rPr>
              <w:t>蜡、硬脂酸、钙锌稳定剂按比例投入混料机搅拌均匀；该过程中会产生混料粉尘</w:t>
            </w:r>
            <w:r>
              <w:rPr>
                <w:rFonts w:hint="default" w:ascii="Times New Roman" w:hAnsi="Times New Roman" w:eastAsia="宋体" w:cs="Times New Roman"/>
                <w:color w:val="000000"/>
                <w:kern w:val="0"/>
                <w:sz w:val="24"/>
                <w:szCs w:val="24"/>
                <w:lang w:val="en-US" w:eastAsia="zh-CN" w:bidi="ar"/>
              </w:rPr>
              <w:t>G</w:t>
            </w:r>
            <w:r>
              <w:rPr>
                <w:rFonts w:hint="eastAsia" w:ascii="Times New Roman" w:hAnsi="Times New Roman" w:eastAsia="宋体" w:cs="Times New Roman"/>
                <w:color w:val="000000"/>
                <w:kern w:val="0"/>
                <w:sz w:val="24"/>
                <w:szCs w:val="24"/>
                <w:vertAlign w:val="subscript"/>
                <w:lang w:val="en-US" w:eastAsia="zh-CN" w:bidi="ar"/>
              </w:rPr>
              <w:t>1</w:t>
            </w:r>
            <w:r>
              <w:rPr>
                <w:rFonts w:hint="eastAsia" w:ascii="宋体" w:hAnsi="宋体" w:eastAsia="宋体" w:cs="宋体"/>
                <w:color w:val="000000"/>
                <w:kern w:val="0"/>
                <w:sz w:val="24"/>
                <w:szCs w:val="24"/>
                <w:lang w:val="en-US" w:eastAsia="zh-CN" w:bidi="ar"/>
              </w:rPr>
              <w:t>、噪声</w:t>
            </w:r>
            <w:r>
              <w:rPr>
                <w:rFonts w:hint="default" w:ascii="Times New Roman" w:hAnsi="Times New Roman" w:eastAsia="宋体" w:cs="Times New Roman"/>
                <w:color w:val="000000"/>
                <w:kern w:val="0"/>
                <w:sz w:val="24"/>
                <w:szCs w:val="24"/>
                <w:lang w:val="en-US" w:eastAsia="zh-CN" w:bidi="ar"/>
              </w:rPr>
              <w:t>N</w:t>
            </w:r>
            <w:r>
              <w:rPr>
                <w:rFonts w:hint="eastAsia" w:ascii="Times New Roman" w:hAnsi="Times New Roman" w:eastAsia="宋体" w:cs="Times New Roman"/>
                <w:color w:val="000000"/>
                <w:kern w:val="0"/>
                <w:sz w:val="24"/>
                <w:szCs w:val="24"/>
                <w:vertAlign w:val="subscript"/>
                <w:lang w:val="en-US" w:eastAsia="zh-CN" w:bidi="ar"/>
              </w:rPr>
              <w:t>1</w:t>
            </w:r>
            <w:r>
              <w:rPr>
                <w:rFonts w:hint="eastAsia" w:ascii="宋体" w:hAnsi="宋体" w:eastAsia="宋体" w:cs="宋体"/>
                <w:color w:val="000000"/>
                <w:kern w:val="0"/>
                <w:sz w:val="24"/>
                <w:szCs w:val="24"/>
                <w:lang w:val="en-US" w:eastAsia="zh-CN" w:bidi="ar"/>
              </w:rPr>
              <w:t>、废包装材料</w:t>
            </w:r>
            <w:r>
              <w:rPr>
                <w:rFonts w:hint="default" w:ascii="Times New Roman" w:hAnsi="Times New Roman" w:eastAsia="宋体" w:cs="Times New Roman"/>
                <w:color w:val="000000"/>
                <w:kern w:val="0"/>
                <w:sz w:val="24"/>
                <w:szCs w:val="24"/>
                <w:lang w:val="en-US" w:eastAsia="zh-CN" w:bidi="ar"/>
              </w:rPr>
              <w:t>S</w:t>
            </w:r>
            <w:r>
              <w:rPr>
                <w:rFonts w:hint="default" w:ascii="Times New Roman" w:hAnsi="Times New Roman" w:eastAsia="宋体" w:cs="Times New Roman"/>
                <w:color w:val="000000"/>
                <w:kern w:val="0"/>
                <w:sz w:val="24"/>
                <w:szCs w:val="24"/>
                <w:vertAlign w:val="subscript"/>
                <w:lang w:val="en-US" w:eastAsia="zh-CN" w:bidi="ar"/>
              </w:rPr>
              <w:t>3</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除尘器收集的粉尘</w:t>
            </w:r>
            <w:r>
              <w:rPr>
                <w:rFonts w:hint="default" w:ascii="Times New Roman" w:hAnsi="Times New Roman" w:eastAsia="宋体" w:cs="Times New Roman"/>
                <w:color w:val="000000"/>
                <w:kern w:val="0"/>
                <w:sz w:val="24"/>
                <w:szCs w:val="24"/>
                <w:lang w:val="en-US" w:eastAsia="zh-CN" w:bidi="ar"/>
              </w:rPr>
              <w:t>S</w:t>
            </w:r>
            <w:r>
              <w:rPr>
                <w:rFonts w:hint="eastAsia" w:ascii="Times New Roman" w:hAnsi="Times New Roman" w:eastAsia="宋体" w:cs="Times New Roman"/>
                <w:color w:val="000000"/>
                <w:kern w:val="0"/>
                <w:sz w:val="24"/>
                <w:szCs w:val="24"/>
                <w:vertAlign w:val="subscript"/>
                <w:lang w:val="en-US" w:eastAsia="zh-CN" w:bidi="ar"/>
              </w:rPr>
              <w:t>4</w:t>
            </w:r>
            <w:r>
              <w:rPr>
                <w:rFonts w:hint="eastAsia" w:ascii="宋体" w:hAnsi="宋体" w:eastAsia="宋体" w:cs="宋体"/>
                <w:color w:val="000000"/>
                <w:kern w:val="0"/>
                <w:sz w:val="24"/>
                <w:szCs w:val="24"/>
                <w:lang w:val="en-US" w:eastAsia="zh-CN" w:bidi="ar"/>
              </w:rPr>
              <w:t>。</w:t>
            </w:r>
          </w:p>
          <w:p w14:paraId="245B7D35">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pPr>
            <w:r>
              <w:rPr>
                <w:rFonts w:hint="eastAsia" w:ascii="Times New Roman" w:hAnsi="Times New Roman" w:eastAsia="宋体" w:cs="Times New Roman"/>
                <w:b/>
                <w:bCs/>
                <w:color w:val="000000"/>
                <w:kern w:val="0"/>
                <w:sz w:val="24"/>
                <w:szCs w:val="24"/>
                <w:lang w:val="en-US" w:eastAsia="zh-CN" w:bidi="ar"/>
              </w:rPr>
              <w:t>②</w:t>
            </w:r>
            <w:r>
              <w:rPr>
                <w:rFonts w:hint="eastAsia" w:ascii="宋体" w:hAnsi="宋体" w:eastAsia="宋体" w:cs="宋体"/>
                <w:b/>
                <w:bCs/>
                <w:color w:val="000000"/>
                <w:kern w:val="0"/>
                <w:sz w:val="24"/>
                <w:szCs w:val="24"/>
                <w:lang w:val="en-US" w:eastAsia="zh-CN" w:bidi="ar"/>
              </w:rPr>
              <w:t>挤出、冷却成型、真空吸水干燥：</w:t>
            </w:r>
            <w:r>
              <w:rPr>
                <w:rFonts w:hint="eastAsia" w:ascii="宋体" w:hAnsi="宋体" w:eastAsia="宋体" w:cs="宋体"/>
                <w:color w:val="000000"/>
                <w:kern w:val="0"/>
                <w:sz w:val="24"/>
                <w:szCs w:val="24"/>
                <w:lang w:val="en-US" w:eastAsia="zh-CN" w:bidi="ar"/>
              </w:rPr>
              <w:t>物料从料斗进入到挤出机，在螺杆的转动带动下将其向前进行输送，物料在向前运动的过程中，料筒电加热至</w:t>
            </w:r>
            <w:r>
              <w:rPr>
                <w:rFonts w:hint="default" w:ascii="Times New Roman" w:hAnsi="Times New Roman" w:eastAsia="宋体" w:cs="Times New Roman"/>
                <w:color w:val="000000"/>
                <w:kern w:val="0"/>
                <w:sz w:val="24"/>
                <w:szCs w:val="24"/>
                <w:lang w:val="en-US" w:eastAsia="zh-CN" w:bidi="ar"/>
              </w:rPr>
              <w:t>130℃-180℃</w:t>
            </w:r>
            <w:r>
              <w:rPr>
                <w:rFonts w:hint="eastAsia" w:ascii="宋体" w:hAnsi="宋体" w:eastAsia="宋体" w:cs="宋体"/>
                <w:color w:val="000000"/>
                <w:kern w:val="0"/>
                <w:sz w:val="24"/>
                <w:szCs w:val="24"/>
                <w:lang w:val="en-US" w:eastAsia="zh-CN" w:bidi="ar"/>
              </w:rPr>
              <w:t>左右，螺杆带来的剪切以及压缩作用使得物料熔融，因而实现了在玻璃态、高弹态和粘流态的三态间的变化。在该过程中，冷却的方式采用循环冷却水直接冷却，产品为真空泵吸水干燥。此过程主要产生冷却废</w:t>
            </w:r>
            <w:r>
              <w:rPr>
                <w:rFonts w:hint="default" w:ascii="Times New Roman" w:hAnsi="Times New Roman" w:eastAsia="宋体" w:cs="Times New Roman"/>
                <w:color w:val="000000"/>
                <w:kern w:val="0"/>
                <w:sz w:val="24"/>
                <w:szCs w:val="24"/>
                <w:lang w:val="en-US" w:eastAsia="zh-CN" w:bidi="ar"/>
              </w:rPr>
              <w:t>水W</w:t>
            </w:r>
            <w:r>
              <w:rPr>
                <w:rFonts w:hint="default" w:ascii="Times New Roman" w:hAnsi="Times New Roman" w:eastAsia="宋体" w:cs="Times New Roman"/>
                <w:color w:val="000000"/>
                <w:kern w:val="0"/>
                <w:sz w:val="24"/>
                <w:szCs w:val="24"/>
                <w:vertAlign w:val="subscript"/>
                <w:lang w:val="en-US" w:eastAsia="zh-CN" w:bidi="ar"/>
              </w:rPr>
              <w:t>1</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挤出废气</w:t>
            </w:r>
            <w:r>
              <w:rPr>
                <w:rFonts w:hint="default" w:ascii="Times New Roman" w:hAnsi="Times New Roman" w:eastAsia="宋体" w:cs="Times New Roman"/>
                <w:color w:val="000000"/>
                <w:kern w:val="0"/>
                <w:sz w:val="24"/>
                <w:szCs w:val="24"/>
                <w:lang w:val="en-US" w:eastAsia="zh-CN" w:bidi="ar"/>
              </w:rPr>
              <w:t>G</w:t>
            </w:r>
            <w:r>
              <w:rPr>
                <w:rFonts w:hint="default" w:ascii="Times New Roman" w:hAnsi="Times New Roman" w:eastAsia="宋体" w:cs="Times New Roman"/>
                <w:color w:val="000000"/>
                <w:kern w:val="0"/>
                <w:sz w:val="24"/>
                <w:szCs w:val="24"/>
                <w:vertAlign w:val="subscript"/>
                <w:lang w:val="en-US" w:eastAsia="zh-CN" w:bidi="ar"/>
              </w:rPr>
              <w:t>4</w:t>
            </w:r>
            <w:r>
              <w:rPr>
                <w:rFonts w:hint="eastAsia" w:ascii="宋体" w:hAnsi="宋体" w:eastAsia="宋体" w:cs="宋体"/>
                <w:color w:val="000000"/>
                <w:kern w:val="0"/>
                <w:sz w:val="24"/>
                <w:szCs w:val="24"/>
                <w:lang w:val="en-US" w:eastAsia="zh-CN" w:bidi="ar"/>
              </w:rPr>
              <w:t>、噪声</w:t>
            </w:r>
            <w:r>
              <w:rPr>
                <w:rFonts w:hint="default" w:ascii="Times New Roman" w:hAnsi="Times New Roman" w:eastAsia="宋体" w:cs="Times New Roman"/>
                <w:color w:val="000000"/>
                <w:kern w:val="0"/>
                <w:sz w:val="24"/>
                <w:szCs w:val="24"/>
                <w:lang w:val="en-US" w:eastAsia="zh-CN" w:bidi="ar"/>
              </w:rPr>
              <w:t>N</w:t>
            </w:r>
            <w:r>
              <w:rPr>
                <w:rFonts w:hint="eastAsia" w:ascii="Times New Roman" w:hAnsi="Times New Roman" w:eastAsia="宋体" w:cs="Times New Roman"/>
                <w:color w:val="000000"/>
                <w:kern w:val="0"/>
                <w:sz w:val="24"/>
                <w:szCs w:val="24"/>
                <w:vertAlign w:val="subscript"/>
                <w:lang w:val="en-US" w:eastAsia="zh-CN" w:bidi="ar"/>
              </w:rPr>
              <w:t>1</w:t>
            </w:r>
            <w:r>
              <w:rPr>
                <w:rFonts w:hint="eastAsia" w:ascii="宋体" w:hAnsi="宋体" w:eastAsia="宋体" w:cs="宋体"/>
                <w:color w:val="000000"/>
                <w:kern w:val="0"/>
                <w:sz w:val="24"/>
                <w:szCs w:val="24"/>
                <w:lang w:val="en-US" w:eastAsia="zh-CN" w:bidi="ar"/>
              </w:rPr>
              <w:t>、废活性炭</w:t>
            </w:r>
            <w:r>
              <w:rPr>
                <w:rFonts w:hint="default" w:ascii="Times New Roman" w:hAnsi="Times New Roman" w:eastAsia="宋体" w:cs="Times New Roman"/>
                <w:color w:val="000000"/>
                <w:kern w:val="0"/>
                <w:sz w:val="24"/>
                <w:szCs w:val="24"/>
                <w:lang w:val="en-US" w:eastAsia="zh-CN" w:bidi="ar"/>
              </w:rPr>
              <w:t>S</w:t>
            </w:r>
            <w:r>
              <w:rPr>
                <w:rFonts w:hint="eastAsia" w:ascii="Times New Roman" w:hAnsi="Times New Roman" w:eastAsia="宋体" w:cs="Times New Roman"/>
                <w:color w:val="000000"/>
                <w:kern w:val="0"/>
                <w:sz w:val="24"/>
                <w:szCs w:val="24"/>
                <w:vertAlign w:val="subscript"/>
                <w:lang w:val="en-US" w:eastAsia="zh-CN" w:bidi="ar"/>
              </w:rPr>
              <w:t>5</w:t>
            </w:r>
            <w:r>
              <w:rPr>
                <w:rFonts w:hint="eastAsia" w:ascii="Times New Roman" w:hAnsi="Times New Roman" w:eastAsia="宋体" w:cs="Times New Roman"/>
                <w:color w:val="000000"/>
                <w:kern w:val="0"/>
                <w:sz w:val="24"/>
                <w:szCs w:val="24"/>
                <w:vertAlign w:val="baseline"/>
                <w:lang w:val="en-US" w:eastAsia="zh-CN" w:bidi="ar"/>
              </w:rPr>
              <w:t>。</w:t>
            </w:r>
            <w:r>
              <w:rPr>
                <w:rFonts w:hint="eastAsia" w:ascii="宋体" w:hAnsi="宋体" w:eastAsia="宋体" w:cs="宋体"/>
                <w:color w:val="000000"/>
                <w:kern w:val="0"/>
                <w:sz w:val="24"/>
                <w:szCs w:val="24"/>
                <w:lang w:val="en-US" w:eastAsia="zh-CN" w:bidi="ar"/>
              </w:rPr>
              <w:t xml:space="preserve"> </w:t>
            </w:r>
          </w:p>
          <w:p w14:paraId="086E7DA7">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③破碎、</w:t>
            </w:r>
            <w:r>
              <w:rPr>
                <w:rFonts w:hint="eastAsia" w:ascii="宋体" w:hAnsi="宋体" w:eastAsia="宋体" w:cs="宋体"/>
                <w:b/>
                <w:bCs/>
                <w:color w:val="000000"/>
                <w:kern w:val="0"/>
                <w:sz w:val="24"/>
                <w:szCs w:val="24"/>
                <w:lang w:val="en-US" w:eastAsia="zh-CN" w:bidi="ar"/>
              </w:rPr>
              <w:t>磨粉：</w:t>
            </w:r>
            <w:r>
              <w:rPr>
                <w:rFonts w:hint="eastAsia" w:ascii="宋体" w:hAnsi="宋体" w:eastAsia="宋体" w:cs="宋体"/>
                <w:color w:val="000000"/>
                <w:kern w:val="0"/>
                <w:sz w:val="24"/>
                <w:szCs w:val="24"/>
                <w:lang w:val="en-US" w:eastAsia="zh-CN" w:bidi="ar"/>
              </w:rPr>
              <w:t>因产品质量要求，原辅料直接混合生产出来的产品韧性满足不了质量要求，因此本项目共建设</w:t>
            </w:r>
            <w:r>
              <w:rPr>
                <w:rFonts w:hint="default" w:ascii="Times New Roman" w:hAnsi="Times New Roman" w:eastAsia="宋体" w:cs="Times New Roman"/>
                <w:color w:val="000000"/>
                <w:kern w:val="0"/>
                <w:sz w:val="24"/>
                <w:szCs w:val="24"/>
                <w:lang w:val="en-US" w:eastAsia="zh-CN" w:bidi="ar"/>
              </w:rPr>
              <w:t>10条生产线，其中2条生产线生产半产品，即原辅料混料后挤出冷却后进入破碎、磨粉工序，磨粉后的物料作为原料与其他原辅料混合，磨粉后的物料与其他原辅料混料比例为1:2。</w:t>
            </w:r>
            <w:r>
              <w:rPr>
                <w:rFonts w:hint="eastAsia" w:ascii="宋体" w:hAnsi="宋体" w:eastAsia="宋体" w:cs="宋体"/>
                <w:color w:val="000000"/>
                <w:kern w:val="0"/>
                <w:sz w:val="24"/>
                <w:szCs w:val="24"/>
                <w:lang w:val="en-US" w:eastAsia="zh-CN" w:bidi="ar"/>
              </w:rPr>
              <w:t>此过程中会产生破碎</w:t>
            </w:r>
            <w:r>
              <w:rPr>
                <w:rFonts w:hint="eastAsia" w:ascii="Times New Roman" w:hAnsi="Times New Roman" w:eastAsia="宋体" w:cs="Times New Roman"/>
                <w:color w:val="000000"/>
                <w:kern w:val="0"/>
                <w:sz w:val="24"/>
                <w:szCs w:val="24"/>
                <w:lang w:val="en-US" w:eastAsia="zh-CN" w:bidi="ar"/>
              </w:rPr>
              <w:t>粉尘G1</w:t>
            </w:r>
            <w:r>
              <w:rPr>
                <w:rFonts w:hint="eastAsia" w:ascii="宋体" w:hAnsi="宋体" w:eastAsia="宋体" w:cs="宋体"/>
                <w:color w:val="000000"/>
                <w:kern w:val="0"/>
                <w:sz w:val="24"/>
                <w:szCs w:val="24"/>
                <w:lang w:val="en-US" w:eastAsia="zh-CN" w:bidi="ar"/>
              </w:rPr>
              <w:t>、磨粉粉尘</w:t>
            </w:r>
            <w:r>
              <w:rPr>
                <w:rFonts w:hint="default" w:ascii="Times New Roman" w:hAnsi="Times New Roman" w:eastAsia="宋体" w:cs="Times New Roman"/>
                <w:color w:val="000000"/>
                <w:kern w:val="0"/>
                <w:sz w:val="24"/>
                <w:szCs w:val="24"/>
                <w:lang w:val="en-US" w:eastAsia="zh-CN" w:bidi="ar"/>
              </w:rPr>
              <w:t>G</w:t>
            </w:r>
            <w:r>
              <w:rPr>
                <w:rFonts w:hint="eastAsia" w:ascii="Times New Roman" w:hAnsi="Times New Roman" w:eastAsia="宋体" w:cs="Times New Roman"/>
                <w:color w:val="000000"/>
                <w:kern w:val="0"/>
                <w:sz w:val="24"/>
                <w:szCs w:val="24"/>
                <w:vertAlign w:val="subscript"/>
                <w:lang w:val="en-US" w:eastAsia="zh-CN" w:bidi="ar"/>
              </w:rPr>
              <w:t>3</w:t>
            </w:r>
            <w:r>
              <w:rPr>
                <w:rFonts w:hint="eastAsia" w:ascii="宋体" w:hAnsi="宋体" w:eastAsia="宋体" w:cs="宋体"/>
                <w:color w:val="000000"/>
                <w:kern w:val="0"/>
                <w:sz w:val="24"/>
                <w:szCs w:val="24"/>
                <w:lang w:val="en-US" w:eastAsia="zh-CN" w:bidi="ar"/>
              </w:rPr>
              <w:t>、噪声</w:t>
            </w:r>
            <w:r>
              <w:rPr>
                <w:rFonts w:hint="default" w:ascii="Times New Roman" w:hAnsi="Times New Roman" w:eastAsia="宋体" w:cs="Times New Roman"/>
                <w:color w:val="000000"/>
                <w:kern w:val="0"/>
                <w:sz w:val="24"/>
                <w:szCs w:val="24"/>
                <w:lang w:val="en-US" w:eastAsia="zh-CN" w:bidi="ar"/>
              </w:rPr>
              <w:t>N</w:t>
            </w:r>
            <w:r>
              <w:rPr>
                <w:rFonts w:hint="eastAsia" w:ascii="Times New Roman" w:hAnsi="Times New Roman" w:eastAsia="宋体" w:cs="Times New Roman"/>
                <w:color w:val="000000"/>
                <w:kern w:val="0"/>
                <w:sz w:val="24"/>
                <w:szCs w:val="24"/>
                <w:vertAlign w:val="subscript"/>
                <w:lang w:val="en-US" w:eastAsia="zh-CN" w:bidi="ar"/>
              </w:rPr>
              <w:t>1</w:t>
            </w:r>
            <w:r>
              <w:rPr>
                <w:rFonts w:hint="eastAsia" w:ascii="宋体" w:hAnsi="宋体" w:eastAsia="宋体" w:cs="宋体"/>
                <w:color w:val="000000"/>
                <w:kern w:val="0"/>
                <w:sz w:val="24"/>
                <w:szCs w:val="24"/>
                <w:lang w:val="en-US" w:eastAsia="zh-CN" w:bidi="ar"/>
              </w:rPr>
              <w:t>、除尘器收集的粉尘</w:t>
            </w:r>
            <w:r>
              <w:rPr>
                <w:rFonts w:hint="default" w:ascii="Times New Roman" w:hAnsi="Times New Roman" w:eastAsia="宋体" w:cs="Times New Roman"/>
                <w:color w:val="000000"/>
                <w:kern w:val="0"/>
                <w:sz w:val="24"/>
                <w:szCs w:val="24"/>
                <w:lang w:val="en-US" w:eastAsia="zh-CN" w:bidi="ar"/>
              </w:rPr>
              <w:t>S</w:t>
            </w:r>
            <w:r>
              <w:rPr>
                <w:rFonts w:hint="eastAsia" w:ascii="Times New Roman" w:hAnsi="Times New Roman" w:eastAsia="宋体" w:cs="Times New Roman"/>
                <w:color w:val="000000"/>
                <w:kern w:val="0"/>
                <w:sz w:val="24"/>
                <w:szCs w:val="24"/>
                <w:vertAlign w:val="subscript"/>
                <w:lang w:val="en-US" w:eastAsia="zh-CN" w:bidi="ar"/>
              </w:rPr>
              <w:t>4</w:t>
            </w:r>
            <w:r>
              <w:rPr>
                <w:rFonts w:hint="eastAsia" w:ascii="宋体" w:hAnsi="宋体" w:eastAsia="宋体" w:cs="宋体"/>
                <w:color w:val="000000"/>
                <w:kern w:val="0"/>
                <w:sz w:val="24"/>
                <w:szCs w:val="24"/>
                <w:lang w:val="en-US" w:eastAsia="zh-CN" w:bidi="ar"/>
              </w:rPr>
              <w:t>。</w:t>
            </w:r>
          </w:p>
          <w:p w14:paraId="118A893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vertAlign w:val="baseline"/>
              </w:rPr>
            </w:pPr>
            <w:r>
              <w:rPr>
                <w:rFonts w:hint="eastAsia" w:ascii="Times New Roman" w:hAnsi="Times New Roman" w:eastAsia="宋体" w:cs="Times New Roman"/>
                <w:b/>
                <w:bCs/>
                <w:color w:val="000000"/>
                <w:kern w:val="0"/>
                <w:sz w:val="24"/>
                <w:szCs w:val="24"/>
                <w:lang w:val="en-US" w:eastAsia="zh-CN" w:bidi="ar"/>
              </w:rPr>
              <w:t>④</w:t>
            </w:r>
            <w:r>
              <w:rPr>
                <w:rFonts w:hint="eastAsia" w:ascii="宋体" w:hAnsi="宋体" w:eastAsia="宋体" w:cs="宋体"/>
                <w:b/>
                <w:bCs/>
                <w:color w:val="000000"/>
                <w:kern w:val="0"/>
                <w:sz w:val="24"/>
                <w:szCs w:val="24"/>
                <w:lang w:val="en-US" w:eastAsia="zh-CN" w:bidi="ar"/>
              </w:rPr>
              <w:t>覆膜：</w:t>
            </w:r>
            <w:r>
              <w:rPr>
                <w:rFonts w:hint="eastAsia" w:ascii="宋体" w:hAnsi="宋体" w:eastAsia="宋体" w:cs="宋体"/>
                <w:color w:val="000000"/>
                <w:kern w:val="0"/>
                <w:sz w:val="24"/>
                <w:szCs w:val="24"/>
                <w:lang w:val="en-US" w:eastAsia="zh-CN" w:bidi="ar"/>
              </w:rPr>
              <w:t>常温下，将</w:t>
            </w:r>
            <w:r>
              <w:rPr>
                <w:rFonts w:hint="default" w:ascii="Times New Roman" w:hAnsi="Times New Roman" w:eastAsia="宋体" w:cs="Times New Roman"/>
                <w:color w:val="000000"/>
                <w:kern w:val="0"/>
                <w:sz w:val="24"/>
                <w:szCs w:val="24"/>
                <w:lang w:val="en-US" w:eastAsia="zh-CN" w:bidi="ar"/>
              </w:rPr>
              <w:t>PVC</w:t>
            </w:r>
            <w:r>
              <w:rPr>
                <w:rFonts w:hint="eastAsia" w:ascii="宋体" w:hAnsi="宋体" w:eastAsia="宋体" w:cs="宋体"/>
                <w:color w:val="000000"/>
                <w:kern w:val="0"/>
                <w:sz w:val="24"/>
                <w:szCs w:val="24"/>
                <w:lang w:val="en-US" w:eastAsia="zh-CN" w:bidi="ar"/>
              </w:rPr>
              <w:t>膜置于覆膜机转轴上，生产时将</w:t>
            </w:r>
            <w:r>
              <w:rPr>
                <w:rFonts w:hint="default" w:ascii="Times New Roman" w:hAnsi="Times New Roman" w:eastAsia="宋体" w:cs="Times New Roman"/>
                <w:color w:val="000000"/>
                <w:kern w:val="0"/>
                <w:sz w:val="24"/>
                <w:szCs w:val="24"/>
                <w:lang w:val="en-US" w:eastAsia="zh-CN" w:bidi="ar"/>
              </w:rPr>
              <w:t>PVC</w:t>
            </w:r>
            <w:r>
              <w:rPr>
                <w:rFonts w:hint="eastAsia" w:ascii="宋体" w:hAnsi="宋体" w:eastAsia="宋体" w:cs="宋体"/>
                <w:color w:val="000000"/>
                <w:kern w:val="0"/>
                <w:sz w:val="24"/>
                <w:szCs w:val="24"/>
                <w:lang w:val="en-US" w:eastAsia="zh-CN" w:bidi="ar"/>
              </w:rPr>
              <w:t>膜展开，将包覆胶装入覆膜机上方容器内，</w:t>
            </w:r>
            <w:r>
              <w:rPr>
                <w:rFonts w:hint="default" w:ascii="Times New Roman" w:hAnsi="Times New Roman" w:eastAsia="宋体" w:cs="Times New Roman"/>
                <w:color w:val="000000"/>
                <w:kern w:val="0"/>
                <w:sz w:val="24"/>
                <w:szCs w:val="24"/>
                <w:lang w:val="en-US" w:eastAsia="zh-CN" w:bidi="ar"/>
              </w:rPr>
              <w:t>PVC</w:t>
            </w:r>
            <w:r>
              <w:rPr>
                <w:rFonts w:hint="eastAsia" w:ascii="宋体" w:hAnsi="宋体" w:eastAsia="宋体" w:cs="宋体"/>
                <w:color w:val="000000"/>
                <w:kern w:val="0"/>
                <w:sz w:val="24"/>
                <w:szCs w:val="24"/>
                <w:lang w:val="en-US" w:eastAsia="zh-CN" w:bidi="ar"/>
              </w:rPr>
              <w:t>膜延展过程中胶水自动流出，均匀涂抹在</w:t>
            </w:r>
            <w:r>
              <w:rPr>
                <w:rFonts w:hint="default" w:ascii="Times New Roman" w:hAnsi="Times New Roman" w:eastAsia="宋体" w:cs="Times New Roman"/>
                <w:color w:val="000000"/>
                <w:kern w:val="0"/>
                <w:sz w:val="24"/>
                <w:szCs w:val="24"/>
                <w:lang w:val="en-US" w:eastAsia="zh-CN" w:bidi="ar"/>
              </w:rPr>
              <w:t>PVC</w:t>
            </w:r>
            <w:r>
              <w:rPr>
                <w:rFonts w:hint="eastAsia" w:ascii="宋体" w:hAnsi="宋体" w:eastAsia="宋体" w:cs="宋体"/>
                <w:color w:val="000000"/>
                <w:kern w:val="0"/>
                <w:sz w:val="24"/>
                <w:szCs w:val="24"/>
                <w:lang w:val="en-US" w:eastAsia="zh-CN" w:bidi="ar"/>
              </w:rPr>
              <w:t>膜上。涂胶后的</w:t>
            </w:r>
            <w:r>
              <w:rPr>
                <w:rFonts w:hint="default" w:ascii="Times New Roman" w:hAnsi="Times New Roman" w:eastAsia="宋体" w:cs="Times New Roman"/>
                <w:color w:val="000000"/>
                <w:kern w:val="0"/>
                <w:sz w:val="24"/>
                <w:szCs w:val="24"/>
                <w:lang w:val="en-US" w:eastAsia="zh-CN" w:bidi="ar"/>
              </w:rPr>
              <w:t>PVC</w:t>
            </w:r>
            <w:r>
              <w:rPr>
                <w:rFonts w:hint="eastAsia" w:ascii="宋体" w:hAnsi="宋体" w:eastAsia="宋体" w:cs="宋体"/>
                <w:color w:val="000000"/>
                <w:kern w:val="0"/>
                <w:sz w:val="24"/>
                <w:szCs w:val="24"/>
                <w:lang w:val="en-US" w:eastAsia="zh-CN" w:bidi="ar"/>
              </w:rPr>
              <w:t>膜经滚轴转动，包覆在</w:t>
            </w:r>
            <w:r>
              <w:rPr>
                <w:rFonts w:hint="eastAsia" w:cs="Times New Roman"/>
                <w:color w:val="auto"/>
                <w:sz w:val="24"/>
                <w:szCs w:val="24"/>
                <w:highlight w:val="none"/>
                <w:lang w:val="en-US" w:eastAsia="zh-CN"/>
              </w:rPr>
              <w:t>竹木纤维集成墙板及扣板</w:t>
            </w:r>
            <w:r>
              <w:rPr>
                <w:rFonts w:hint="eastAsia" w:ascii="宋体" w:hAnsi="宋体" w:eastAsia="宋体" w:cs="宋体"/>
                <w:color w:val="000000"/>
                <w:kern w:val="0"/>
                <w:sz w:val="24"/>
                <w:szCs w:val="24"/>
                <w:lang w:val="en-US" w:eastAsia="zh-CN" w:bidi="ar"/>
              </w:rPr>
              <w:t>上，经滚轴转动后成型，使产品的表面更加平滑光亮美观。此过程产生覆膜废气</w:t>
            </w:r>
            <w:r>
              <w:rPr>
                <w:rFonts w:hint="default" w:ascii="Times New Roman" w:hAnsi="Times New Roman" w:eastAsia="宋体" w:cs="Times New Roman"/>
                <w:color w:val="000000"/>
                <w:kern w:val="0"/>
                <w:sz w:val="24"/>
                <w:szCs w:val="24"/>
                <w:lang w:val="en-US" w:eastAsia="zh-CN" w:bidi="ar"/>
              </w:rPr>
              <w:t>G</w:t>
            </w:r>
            <w:r>
              <w:rPr>
                <w:rFonts w:hint="default" w:ascii="Times New Roman" w:hAnsi="Times New Roman" w:eastAsia="宋体" w:cs="Times New Roman"/>
                <w:color w:val="000000"/>
                <w:kern w:val="0"/>
                <w:sz w:val="24"/>
                <w:szCs w:val="24"/>
                <w:vertAlign w:val="subscript"/>
                <w:lang w:val="en-US" w:eastAsia="zh-CN" w:bidi="ar"/>
              </w:rPr>
              <w:t>5</w:t>
            </w:r>
            <w:r>
              <w:rPr>
                <w:rFonts w:hint="eastAsia" w:ascii="宋体" w:hAnsi="宋体" w:eastAsia="宋体" w:cs="宋体"/>
                <w:color w:val="000000"/>
                <w:kern w:val="0"/>
                <w:sz w:val="24"/>
                <w:szCs w:val="24"/>
                <w:lang w:val="en-US" w:eastAsia="zh-CN" w:bidi="ar"/>
              </w:rPr>
              <w:t>、噪声</w:t>
            </w:r>
            <w:r>
              <w:rPr>
                <w:rFonts w:hint="default" w:ascii="Times New Roman" w:hAnsi="Times New Roman" w:eastAsia="宋体" w:cs="Times New Roman"/>
                <w:color w:val="000000"/>
                <w:kern w:val="0"/>
                <w:sz w:val="24"/>
                <w:szCs w:val="24"/>
                <w:lang w:val="en-US" w:eastAsia="zh-CN" w:bidi="ar"/>
              </w:rPr>
              <w:t>N</w:t>
            </w:r>
            <w:r>
              <w:rPr>
                <w:rFonts w:hint="eastAsia" w:ascii="Times New Roman" w:hAnsi="Times New Roman" w:eastAsia="宋体" w:cs="Times New Roman"/>
                <w:color w:val="000000"/>
                <w:kern w:val="0"/>
                <w:sz w:val="24"/>
                <w:szCs w:val="24"/>
                <w:vertAlign w:val="subscript"/>
                <w:lang w:val="en-US" w:eastAsia="zh-CN" w:bidi="ar"/>
              </w:rPr>
              <w:t>1</w:t>
            </w:r>
            <w:r>
              <w:rPr>
                <w:rFonts w:hint="eastAsia" w:ascii="宋体" w:hAnsi="宋体" w:eastAsia="宋体" w:cs="宋体"/>
                <w:color w:val="000000"/>
                <w:kern w:val="0"/>
                <w:sz w:val="24"/>
                <w:szCs w:val="24"/>
                <w:lang w:val="en-US" w:eastAsia="zh-CN" w:bidi="ar"/>
              </w:rPr>
              <w:t>、废活性炭</w:t>
            </w:r>
            <w:r>
              <w:rPr>
                <w:rFonts w:hint="default" w:ascii="Times New Roman" w:hAnsi="Times New Roman" w:eastAsia="宋体" w:cs="Times New Roman"/>
                <w:color w:val="000000"/>
                <w:kern w:val="0"/>
                <w:sz w:val="24"/>
                <w:szCs w:val="24"/>
                <w:lang w:val="en-US" w:eastAsia="zh-CN" w:bidi="ar"/>
              </w:rPr>
              <w:t>S</w:t>
            </w:r>
            <w:r>
              <w:rPr>
                <w:rFonts w:hint="eastAsia" w:ascii="Times New Roman" w:hAnsi="Times New Roman" w:eastAsia="宋体" w:cs="Times New Roman"/>
                <w:color w:val="000000"/>
                <w:kern w:val="0"/>
                <w:sz w:val="24"/>
                <w:szCs w:val="24"/>
                <w:vertAlign w:val="subscript"/>
                <w:lang w:val="en-US" w:eastAsia="zh-CN" w:bidi="ar"/>
              </w:rPr>
              <w:t>5</w:t>
            </w:r>
            <w:r>
              <w:rPr>
                <w:rFonts w:hint="eastAsia" w:ascii="Times New Roman" w:hAnsi="Times New Roman" w:eastAsia="宋体" w:cs="Times New Roman"/>
                <w:color w:val="000000"/>
                <w:kern w:val="0"/>
                <w:sz w:val="24"/>
                <w:szCs w:val="24"/>
                <w:vertAlign w:val="baseline"/>
                <w:lang w:val="en-US" w:eastAsia="zh-CN" w:bidi="ar"/>
              </w:rPr>
              <w:t>。</w:t>
            </w:r>
          </w:p>
          <w:p w14:paraId="1EB92FB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pPr>
            <w:r>
              <w:rPr>
                <w:rFonts w:hint="eastAsia" w:ascii="Times New Roman" w:hAnsi="Times New Roman" w:eastAsia="宋体" w:cs="Times New Roman"/>
                <w:b/>
                <w:bCs/>
                <w:color w:val="000000"/>
                <w:kern w:val="0"/>
                <w:sz w:val="24"/>
                <w:szCs w:val="24"/>
                <w:lang w:val="en-US" w:eastAsia="zh-CN" w:bidi="ar"/>
              </w:rPr>
              <w:t>⑤</w:t>
            </w:r>
            <w:r>
              <w:rPr>
                <w:rFonts w:hint="eastAsia" w:ascii="宋体" w:hAnsi="宋体" w:eastAsia="宋体" w:cs="宋体"/>
                <w:b/>
                <w:bCs/>
                <w:color w:val="000000"/>
                <w:kern w:val="0"/>
                <w:sz w:val="24"/>
                <w:szCs w:val="24"/>
                <w:lang w:val="en-US" w:eastAsia="zh-CN" w:bidi="ar"/>
              </w:rPr>
              <w:t>切割：</w:t>
            </w:r>
            <w:r>
              <w:rPr>
                <w:rFonts w:hint="eastAsia" w:ascii="宋体" w:hAnsi="宋体" w:eastAsia="宋体" w:cs="宋体"/>
                <w:color w:val="000000"/>
                <w:kern w:val="0"/>
                <w:sz w:val="24"/>
                <w:szCs w:val="24"/>
                <w:lang w:val="en-US" w:eastAsia="zh-CN" w:bidi="ar"/>
              </w:rPr>
              <w:t>本项目覆膜后的产品根据长度要求进行切割，此过程产生噪声</w:t>
            </w:r>
            <w:r>
              <w:rPr>
                <w:rFonts w:hint="default" w:ascii="Times New Roman" w:hAnsi="Times New Roman" w:eastAsia="宋体" w:cs="Times New Roman"/>
                <w:color w:val="000000"/>
                <w:kern w:val="0"/>
                <w:sz w:val="24"/>
                <w:szCs w:val="24"/>
                <w:lang w:val="en-US" w:eastAsia="zh-CN" w:bidi="ar"/>
              </w:rPr>
              <w:t>N</w:t>
            </w:r>
            <w:r>
              <w:rPr>
                <w:rFonts w:hint="eastAsia" w:ascii="Times New Roman" w:hAnsi="Times New Roman" w:eastAsia="宋体" w:cs="Times New Roman"/>
                <w:color w:val="000000"/>
                <w:kern w:val="0"/>
                <w:sz w:val="24"/>
                <w:szCs w:val="24"/>
                <w:vertAlign w:val="subscript"/>
                <w:lang w:val="en-US" w:eastAsia="zh-CN" w:bidi="ar"/>
              </w:rPr>
              <w:t>1</w:t>
            </w:r>
            <w:r>
              <w:rPr>
                <w:rFonts w:hint="eastAsia" w:ascii="宋体" w:hAnsi="宋体" w:eastAsia="宋体" w:cs="宋体"/>
                <w:color w:val="000000"/>
                <w:kern w:val="0"/>
                <w:sz w:val="24"/>
                <w:szCs w:val="24"/>
                <w:lang w:val="en-US" w:eastAsia="zh-CN" w:bidi="ar"/>
              </w:rPr>
              <w:t>、切割边角料</w:t>
            </w:r>
            <w:r>
              <w:rPr>
                <w:rFonts w:hint="default" w:ascii="Times New Roman" w:hAnsi="Times New Roman" w:eastAsia="宋体" w:cs="Times New Roman"/>
                <w:color w:val="000000"/>
                <w:kern w:val="0"/>
                <w:sz w:val="24"/>
                <w:szCs w:val="24"/>
                <w:lang w:val="en-US" w:eastAsia="zh-CN" w:bidi="ar"/>
              </w:rPr>
              <w:t>S</w:t>
            </w:r>
            <w:r>
              <w:rPr>
                <w:rFonts w:hint="eastAsia" w:ascii="Times New Roman" w:hAnsi="Times New Roman" w:eastAsia="宋体" w:cs="Times New Roman"/>
                <w:color w:val="000000"/>
                <w:kern w:val="0"/>
                <w:sz w:val="24"/>
                <w:szCs w:val="24"/>
                <w:vertAlign w:val="subscript"/>
                <w:lang w:val="en-US" w:eastAsia="zh-CN" w:bidi="ar"/>
              </w:rPr>
              <w:t>1</w:t>
            </w:r>
            <w:r>
              <w:rPr>
                <w:rFonts w:hint="eastAsia" w:ascii="宋体" w:hAnsi="宋体" w:eastAsia="宋体" w:cs="宋体"/>
                <w:color w:val="000000"/>
                <w:kern w:val="0"/>
                <w:sz w:val="24"/>
                <w:szCs w:val="24"/>
                <w:lang w:val="en-US" w:eastAsia="zh-CN" w:bidi="ar"/>
              </w:rPr>
              <w:t xml:space="preserve">； </w:t>
            </w:r>
          </w:p>
          <w:p w14:paraId="13F4734F">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pPr>
            <w:r>
              <w:rPr>
                <w:rFonts w:hint="eastAsia" w:ascii="宋体" w:hAnsi="宋体" w:eastAsia="宋体" w:cs="宋体"/>
                <w:b/>
                <w:bCs/>
                <w:color w:val="000000"/>
                <w:kern w:val="0"/>
                <w:sz w:val="24"/>
                <w:szCs w:val="24"/>
                <w:lang w:val="en-US" w:eastAsia="zh-CN" w:bidi="ar"/>
              </w:rPr>
              <w:t>⑥检验：</w:t>
            </w:r>
            <w:r>
              <w:rPr>
                <w:rFonts w:hint="eastAsia" w:ascii="宋体" w:hAnsi="宋体" w:eastAsia="宋体" w:cs="宋体"/>
                <w:color w:val="000000"/>
                <w:kern w:val="0"/>
                <w:sz w:val="24"/>
                <w:szCs w:val="24"/>
                <w:lang w:val="en-US" w:eastAsia="zh-CN" w:bidi="ar"/>
              </w:rPr>
              <w:t>对产品进行检验，此过程产生不合格品</w:t>
            </w:r>
            <w:r>
              <w:rPr>
                <w:rFonts w:hint="default" w:ascii="Times New Roman" w:hAnsi="Times New Roman" w:eastAsia="宋体" w:cs="Times New Roman"/>
                <w:color w:val="000000"/>
                <w:kern w:val="0"/>
                <w:sz w:val="24"/>
                <w:szCs w:val="24"/>
                <w:lang w:val="en-US" w:eastAsia="zh-CN" w:bidi="ar"/>
              </w:rPr>
              <w:t>S</w:t>
            </w:r>
            <w:r>
              <w:rPr>
                <w:rFonts w:hint="eastAsia" w:ascii="Times New Roman" w:hAnsi="Times New Roman" w:eastAsia="宋体" w:cs="Times New Roman"/>
                <w:color w:val="000000"/>
                <w:kern w:val="0"/>
                <w:sz w:val="24"/>
                <w:szCs w:val="24"/>
                <w:vertAlign w:val="subscript"/>
                <w:lang w:val="en-US" w:eastAsia="zh-CN" w:bidi="ar"/>
              </w:rPr>
              <w:t>2</w:t>
            </w:r>
            <w:r>
              <w:rPr>
                <w:rFonts w:hint="eastAsia" w:ascii="宋体" w:hAnsi="宋体" w:eastAsia="宋体" w:cs="宋体"/>
                <w:color w:val="000000"/>
                <w:kern w:val="0"/>
                <w:sz w:val="24"/>
                <w:szCs w:val="24"/>
                <w:lang w:val="en-US" w:eastAsia="zh-CN" w:bidi="ar"/>
              </w:rPr>
              <w:t>。</w:t>
            </w:r>
          </w:p>
          <w:p w14:paraId="53858F73">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pPr>
            <w:r>
              <w:rPr>
                <w:rFonts w:hint="eastAsia" w:ascii="宋体" w:hAnsi="宋体" w:eastAsia="宋体" w:cs="宋体"/>
                <w:b/>
                <w:bCs/>
                <w:color w:val="000000"/>
                <w:kern w:val="0"/>
                <w:sz w:val="24"/>
                <w:szCs w:val="24"/>
                <w:lang w:val="en-US" w:eastAsia="zh-CN" w:bidi="ar"/>
              </w:rPr>
              <w:t>⑦包装</w:t>
            </w:r>
            <w:r>
              <w:rPr>
                <w:rFonts w:hint="eastAsia" w:ascii="宋体" w:hAnsi="宋体" w:eastAsia="宋体" w:cs="宋体"/>
                <w:color w:val="000000"/>
                <w:kern w:val="0"/>
                <w:sz w:val="24"/>
                <w:szCs w:val="24"/>
                <w:lang w:val="en-US" w:eastAsia="zh-CN" w:bidi="ar"/>
              </w:rPr>
              <w:t>：对检验合格的产品进行包装入库，此过程产生废包装材料</w:t>
            </w:r>
            <w:r>
              <w:rPr>
                <w:rFonts w:hint="default" w:ascii="Times New Roman" w:hAnsi="Times New Roman" w:eastAsia="宋体" w:cs="Times New Roman"/>
                <w:color w:val="000000"/>
                <w:kern w:val="0"/>
                <w:sz w:val="24"/>
                <w:szCs w:val="24"/>
                <w:lang w:val="en-US" w:eastAsia="zh-CN" w:bidi="ar"/>
              </w:rPr>
              <w:t>S</w:t>
            </w:r>
            <w:r>
              <w:rPr>
                <w:rFonts w:hint="eastAsia" w:ascii="Times New Roman" w:hAnsi="Times New Roman" w:eastAsia="宋体" w:cs="Times New Roman"/>
                <w:color w:val="000000"/>
                <w:kern w:val="0"/>
                <w:sz w:val="24"/>
                <w:szCs w:val="24"/>
                <w:vertAlign w:val="subscript"/>
                <w:lang w:val="en-US" w:eastAsia="zh-CN" w:bidi="ar"/>
              </w:rPr>
              <w:t>3</w:t>
            </w:r>
            <w:r>
              <w:rPr>
                <w:rFonts w:hint="eastAsia" w:ascii="宋体" w:hAnsi="宋体" w:eastAsia="宋体" w:cs="宋体"/>
                <w:color w:val="000000"/>
                <w:kern w:val="0"/>
                <w:sz w:val="24"/>
                <w:szCs w:val="24"/>
                <w:lang w:val="en-US" w:eastAsia="zh-CN" w:bidi="ar"/>
              </w:rPr>
              <w:t>。</w:t>
            </w:r>
          </w:p>
          <w:bookmarkEnd w:id="17"/>
          <w:p w14:paraId="48F2C125">
            <w:pPr>
              <w:pStyle w:val="5"/>
              <w:keepNext w:val="0"/>
              <w:keepLines w:val="0"/>
              <w:pageBreakBefore w:val="0"/>
              <w:widowControl w:val="0"/>
              <w:numPr>
                <w:ilvl w:val="0"/>
                <w:numId w:val="0"/>
              </w:numPr>
              <w:shd w:val="clear"/>
              <w:kinsoku/>
              <w:wordWrap/>
              <w:overflowPunct/>
              <w:topLinePunct w:val="0"/>
              <w:autoSpaceDE/>
              <w:autoSpaceDN/>
              <w:bidi w:val="0"/>
              <w:adjustRightInd/>
              <w:snapToGrid w:val="0"/>
              <w:spacing w:after="0" w:line="356"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2、项目其他产污环节分析</w:t>
            </w:r>
          </w:p>
          <w:p w14:paraId="33A3FF50">
            <w:pPr>
              <w:keepNext w:val="0"/>
              <w:keepLines w:val="0"/>
              <w:pageBreakBefore w:val="0"/>
              <w:widowControl w:val="0"/>
              <w:shd w:val="clear"/>
              <w:kinsoku/>
              <w:wordWrap/>
              <w:overflowPunct/>
              <w:topLinePunct w:val="0"/>
              <w:autoSpaceDE/>
              <w:autoSpaceDN/>
              <w:bidi w:val="0"/>
              <w:spacing w:line="356" w:lineRule="auto"/>
              <w:ind w:firstLine="480" w:firstLineChars="200"/>
              <w:textAlignment w:val="auto"/>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color w:val="auto"/>
                <w:sz w:val="24"/>
                <w:szCs w:val="24"/>
                <w:highlight w:val="none"/>
                <w:lang w:val="en-US" w:eastAsia="zh-CN"/>
              </w:rPr>
              <w:t>本项目设置办公生活区，为职工提供食宿，项目办公生活产污环节详见图2-</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所示。</w:t>
            </w:r>
          </w:p>
          <w:p w14:paraId="7F18AF97">
            <w:pPr>
              <w:pStyle w:val="5"/>
              <w:shd w:val="clear"/>
              <w:ind w:firstLine="24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object>
                <v:shape id="_x0000_i1027" o:spt="75" type="#_x0000_t75" style="height:123.05pt;width:299.25pt;" o:ole="t" filled="f" o:preferrelative="t" stroked="f" coordsize="21600,21600">
                  <v:path/>
                  <v:fill on="f" focussize="0,0"/>
                  <v:stroke on="f"/>
                  <v:imagedata r:id="rId17" o:title=""/>
                  <o:lock v:ext="edit" aspectratio="t"/>
                  <w10:wrap type="none"/>
                  <w10:anchorlock/>
                </v:shape>
                <o:OLEObject Type="Embed" ProgID="Visio.Drawing.11" ShapeID="_x0000_i1027" DrawAspect="Content" ObjectID="_1468075728" r:id="rId16">
                  <o:LockedField>false</o:LockedField>
                </o:OLEObject>
              </w:object>
            </w:r>
          </w:p>
          <w:p w14:paraId="0B521754">
            <w:pPr>
              <w:pStyle w:val="5"/>
              <w:shd w:val="clear"/>
              <w:spacing w:after="0"/>
              <w:ind w:firstLine="24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图</w:t>
            </w:r>
            <w:r>
              <w:rPr>
                <w:rFonts w:hint="default" w:ascii="Times New Roman" w:hAnsi="Times New Roman" w:eastAsia="宋体" w:cs="Times New Roman"/>
                <w:b/>
                <w:color w:val="auto"/>
                <w:sz w:val="21"/>
                <w:szCs w:val="21"/>
                <w:highlight w:val="none"/>
                <w:lang w:val="en-US" w:eastAsia="zh-CN"/>
              </w:rPr>
              <w:t>2-</w:t>
            </w:r>
            <w:r>
              <w:rPr>
                <w:rFonts w:hint="eastAsia" w:cs="Times New Roman"/>
                <w:b/>
                <w:color w:val="auto"/>
                <w:sz w:val="21"/>
                <w:szCs w:val="21"/>
                <w:highlight w:val="none"/>
                <w:lang w:val="en-US" w:eastAsia="zh-CN"/>
              </w:rPr>
              <w:t>4</w:t>
            </w:r>
            <w:r>
              <w:rPr>
                <w:rFonts w:hint="default" w:ascii="Times New Roman" w:hAnsi="Times New Roman" w:eastAsia="宋体"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rPr>
              <w:t xml:space="preserve">  办公生活产物节点图</w:t>
            </w:r>
          </w:p>
          <w:p w14:paraId="1AF8F8FE">
            <w:pPr>
              <w:pStyle w:val="2"/>
              <w:shd w:val="clear"/>
              <w:spacing w:after="0" w:line="360" w:lineRule="auto"/>
              <w:ind w:left="0" w:leftChars="0"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（二）项目主要污染工序</w:t>
            </w:r>
          </w:p>
          <w:p w14:paraId="78F676C3">
            <w:pPr>
              <w:pStyle w:val="5"/>
              <w:shd w:val="clear"/>
              <w:spacing w:after="0" w:line="360" w:lineRule="auto"/>
              <w:ind w:firstLine="480"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highlight w:val="none"/>
              </w:rPr>
              <w:t>本项目运营期主要污染工序详见表</w:t>
            </w:r>
            <w:r>
              <w:rPr>
                <w:rFonts w:hint="default" w:ascii="Times New Roman" w:hAnsi="Times New Roman" w:eastAsia="宋体" w:cs="Times New Roman"/>
                <w:color w:val="auto"/>
                <w:highlight w:val="none"/>
                <w:lang w:val="en-US" w:eastAsia="zh-CN"/>
              </w:rPr>
              <w:t>2-</w:t>
            </w:r>
            <w:r>
              <w:rPr>
                <w:rFonts w:hint="eastAsia" w:cs="Times New Roman"/>
                <w:color w:val="auto"/>
                <w:highlight w:val="none"/>
                <w:lang w:val="en-US" w:eastAsia="zh-CN"/>
              </w:rPr>
              <w:t>7</w:t>
            </w:r>
            <w:r>
              <w:rPr>
                <w:rFonts w:hint="default" w:ascii="Times New Roman" w:hAnsi="Times New Roman" w:eastAsia="宋体" w:cs="Times New Roman"/>
                <w:color w:val="auto"/>
                <w:highlight w:val="none"/>
              </w:rPr>
              <w:t>。</w:t>
            </w:r>
          </w:p>
          <w:p w14:paraId="4F66B768">
            <w:pPr>
              <w:pStyle w:val="5"/>
              <w:shd w:val="clear"/>
              <w:spacing w:after="0"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w:t>
            </w:r>
            <w:r>
              <w:rPr>
                <w:rFonts w:hint="eastAsia" w:cs="Times New Roman"/>
                <w:b/>
                <w:bCs/>
                <w:color w:val="auto"/>
                <w:sz w:val="21"/>
                <w:szCs w:val="21"/>
                <w:highlight w:val="none"/>
                <w:lang w:val="en-US" w:eastAsia="zh-CN"/>
              </w:rPr>
              <w:t>7</w:t>
            </w:r>
            <w:r>
              <w:rPr>
                <w:rFonts w:hint="default" w:ascii="Times New Roman" w:hAnsi="Times New Roman" w:eastAsia="宋体" w:cs="Times New Roman"/>
                <w:b/>
                <w:bCs/>
                <w:color w:val="auto"/>
                <w:sz w:val="21"/>
                <w:szCs w:val="21"/>
                <w:highlight w:val="none"/>
              </w:rPr>
              <w:t xml:space="preserve">  运营期主要污染工序一览表</w:t>
            </w:r>
          </w:p>
          <w:tbl>
            <w:tblPr>
              <w:tblStyle w:val="26"/>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2005"/>
              <w:gridCol w:w="1687"/>
              <w:gridCol w:w="3675"/>
              <w:gridCol w:w="925"/>
            </w:tblGrid>
            <w:tr w14:paraId="6DE0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6" w:type="dxa"/>
                  <w:tcBorders>
                    <w:tl2br w:val="nil"/>
                    <w:tr2bl w:val="nil"/>
                  </w:tcBorders>
                  <w:noWrap w:val="0"/>
                  <w:vAlign w:val="center"/>
                </w:tcPr>
                <w:p w14:paraId="53CC9EB0">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eastAsia="zh-CN"/>
                    </w:rPr>
                    <w:t>污染类别</w:t>
                  </w:r>
                </w:p>
              </w:tc>
              <w:tc>
                <w:tcPr>
                  <w:tcW w:w="2005" w:type="dxa"/>
                  <w:tcBorders>
                    <w:tl2br w:val="nil"/>
                    <w:tr2bl w:val="nil"/>
                  </w:tcBorders>
                  <w:noWrap w:val="0"/>
                  <w:vAlign w:val="center"/>
                </w:tcPr>
                <w:p w14:paraId="00B6EA2E">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产污环节</w:t>
                  </w:r>
                </w:p>
              </w:tc>
              <w:tc>
                <w:tcPr>
                  <w:tcW w:w="1687" w:type="dxa"/>
                  <w:tcBorders>
                    <w:tl2br w:val="nil"/>
                    <w:tr2bl w:val="nil"/>
                  </w:tcBorders>
                  <w:noWrap w:val="0"/>
                  <w:vAlign w:val="center"/>
                </w:tcPr>
                <w:p w14:paraId="48B63B78">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主要</w:t>
                  </w:r>
                  <w:r>
                    <w:rPr>
                      <w:rFonts w:hint="default" w:ascii="Times New Roman" w:hAnsi="Times New Roman" w:eastAsia="宋体" w:cs="Times New Roman"/>
                      <w:b/>
                      <w:color w:val="auto"/>
                      <w:sz w:val="21"/>
                      <w:szCs w:val="21"/>
                      <w:highlight w:val="none"/>
                    </w:rPr>
                    <w:t>污染物</w:t>
                  </w:r>
                </w:p>
              </w:tc>
              <w:tc>
                <w:tcPr>
                  <w:tcW w:w="3675" w:type="dxa"/>
                  <w:tcBorders>
                    <w:tl2br w:val="nil"/>
                    <w:tr2bl w:val="nil"/>
                  </w:tcBorders>
                  <w:noWrap w:val="0"/>
                  <w:vAlign w:val="center"/>
                </w:tcPr>
                <w:p w14:paraId="52E4EFC3">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治理措施</w:t>
                  </w:r>
                </w:p>
              </w:tc>
              <w:tc>
                <w:tcPr>
                  <w:tcW w:w="925" w:type="dxa"/>
                  <w:tcBorders>
                    <w:tl2br w:val="nil"/>
                    <w:tr2bl w:val="nil"/>
                  </w:tcBorders>
                  <w:noWrap w:val="0"/>
                  <w:vAlign w:val="center"/>
                </w:tcPr>
                <w:p w14:paraId="459C727C">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排放方式</w:t>
                  </w:r>
                </w:p>
              </w:tc>
            </w:tr>
            <w:tr w14:paraId="36DA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416" w:type="dxa"/>
                  <w:vMerge w:val="restart"/>
                  <w:tcBorders>
                    <w:tl2br w:val="nil"/>
                    <w:tr2bl w:val="nil"/>
                  </w:tcBorders>
                  <w:noWrap w:val="0"/>
                  <w:vAlign w:val="center"/>
                </w:tcPr>
                <w:p w14:paraId="0B309957">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废气</w:t>
                  </w:r>
                </w:p>
              </w:tc>
              <w:tc>
                <w:tcPr>
                  <w:tcW w:w="2005" w:type="dxa"/>
                  <w:tcBorders>
                    <w:tl2br w:val="nil"/>
                    <w:tr2bl w:val="nil"/>
                  </w:tcBorders>
                  <w:noWrap w:val="0"/>
                  <w:vAlign w:val="center"/>
                </w:tcPr>
                <w:p w14:paraId="5E101150">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混料</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en-US"/>
                    </w:rPr>
                    <w:t>G</w:t>
                  </w:r>
                  <w:r>
                    <w:rPr>
                      <w:rFonts w:hint="default" w:ascii="Times New Roman" w:hAnsi="Times New Roman" w:eastAsia="宋体" w:cs="Times New Roman"/>
                      <w:color w:val="auto"/>
                      <w:sz w:val="21"/>
                      <w:szCs w:val="21"/>
                      <w:highlight w:val="none"/>
                      <w:vertAlign w:val="subscript"/>
                      <w:lang w:val="en-US" w:eastAsia="zh-CN"/>
                    </w:rPr>
                    <w:t>1</w:t>
                  </w:r>
                  <w:r>
                    <w:rPr>
                      <w:rFonts w:hint="default" w:ascii="Times New Roman" w:hAnsi="Times New Roman" w:eastAsia="宋体" w:cs="Times New Roman"/>
                      <w:color w:val="auto"/>
                      <w:sz w:val="21"/>
                      <w:szCs w:val="21"/>
                      <w:highlight w:val="none"/>
                      <w:lang w:val="en-US" w:eastAsia="zh-CN"/>
                    </w:rPr>
                    <w:t>）</w:t>
                  </w:r>
                </w:p>
              </w:tc>
              <w:tc>
                <w:tcPr>
                  <w:tcW w:w="1687" w:type="dxa"/>
                  <w:tcBorders>
                    <w:tl2br w:val="nil"/>
                    <w:tr2bl w:val="nil"/>
                  </w:tcBorders>
                  <w:noWrap w:val="0"/>
                  <w:vAlign w:val="center"/>
                </w:tcPr>
                <w:p w14:paraId="205A29EB">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混料</w:t>
                  </w:r>
                  <w:r>
                    <w:rPr>
                      <w:rFonts w:hint="default" w:ascii="Times New Roman" w:hAnsi="Times New Roman" w:eastAsia="宋体" w:cs="Times New Roman"/>
                      <w:color w:val="auto"/>
                      <w:sz w:val="21"/>
                      <w:szCs w:val="21"/>
                      <w:highlight w:val="none"/>
                      <w:lang w:val="en-US" w:eastAsia="zh-CN"/>
                    </w:rPr>
                    <w:t>粉尘</w:t>
                  </w:r>
                </w:p>
              </w:tc>
              <w:tc>
                <w:tcPr>
                  <w:tcW w:w="3675" w:type="dxa"/>
                  <w:vMerge w:val="restart"/>
                  <w:tcBorders>
                    <w:tl2br w:val="nil"/>
                    <w:tr2bl w:val="nil"/>
                  </w:tcBorders>
                  <w:noWrap w:val="0"/>
                  <w:vAlign w:val="center"/>
                </w:tcPr>
                <w:p w14:paraId="63079F1E">
                  <w:pPr>
                    <w:jc w:val="center"/>
                    <w:rPr>
                      <w:rFonts w:hint="default" w:ascii="Times New Roman" w:hAnsi="Times New Roman" w:eastAsia="宋体" w:cs="Times New Roman"/>
                      <w:color w:val="auto"/>
                      <w:sz w:val="21"/>
                      <w:szCs w:val="21"/>
                      <w:highlight w:val="none"/>
                      <w:lang w:val="en-US" w:eastAsia="zh-CN"/>
                    </w:rPr>
                  </w:pPr>
                  <w:r>
                    <w:rPr>
                      <w:rFonts w:hint="eastAsia" w:eastAsia="Times New Roman"/>
                      <w:color w:val="auto"/>
                      <w:szCs w:val="21"/>
                      <w:lang w:val="zh-CN"/>
                    </w:rPr>
                    <w:t>“</w:t>
                  </w:r>
                  <w:r>
                    <w:rPr>
                      <w:rFonts w:hint="eastAsia" w:eastAsia="宋体"/>
                      <w:color w:val="auto"/>
                      <w:szCs w:val="21"/>
                      <w:lang w:val="en-US" w:eastAsia="zh-CN"/>
                    </w:rPr>
                    <w:t>14个集气罩+</w:t>
                  </w:r>
                  <w:r>
                    <w:rPr>
                      <w:rFonts w:hint="eastAsia" w:eastAsia="Times New Roman"/>
                      <w:color w:val="auto"/>
                      <w:szCs w:val="21"/>
                      <w:lang w:val="zh-CN"/>
                    </w:rPr>
                    <w:t>布袋除尘器”处理后</w:t>
                  </w:r>
                  <w:r>
                    <w:rPr>
                      <w:rFonts w:hint="eastAsia"/>
                      <w:color w:val="auto"/>
                      <w:kern w:val="0"/>
                      <w:szCs w:val="21"/>
                    </w:rPr>
                    <w:t>+</w:t>
                  </w:r>
                  <w:r>
                    <w:rPr>
                      <w:rFonts w:hint="eastAsia"/>
                      <w:color w:val="auto"/>
                      <w:kern w:val="0"/>
                      <w:szCs w:val="21"/>
                      <w:lang w:val="en-US" w:eastAsia="zh-CN"/>
                    </w:rPr>
                    <w:t>1根</w:t>
                  </w:r>
                  <w:r>
                    <w:rPr>
                      <w:rFonts w:hint="eastAsia"/>
                      <w:color w:val="auto"/>
                      <w:kern w:val="0"/>
                      <w:szCs w:val="21"/>
                    </w:rPr>
                    <w:t>15m高排气筒</w:t>
                  </w:r>
                  <w:r>
                    <w:rPr>
                      <w:rFonts w:hint="eastAsia"/>
                      <w:color w:val="auto"/>
                      <w:kern w:val="0"/>
                      <w:szCs w:val="21"/>
                      <w:lang w:eastAsia="zh-CN"/>
                    </w:rPr>
                    <w:t>（</w:t>
                  </w:r>
                  <w:r>
                    <w:rPr>
                      <w:rFonts w:hint="eastAsia"/>
                      <w:color w:val="auto"/>
                      <w:kern w:val="0"/>
                      <w:szCs w:val="21"/>
                      <w:lang w:val="en-US" w:eastAsia="zh-CN"/>
                    </w:rPr>
                    <w:t>DA001</w:t>
                  </w:r>
                  <w:r>
                    <w:rPr>
                      <w:rFonts w:hint="eastAsia"/>
                      <w:color w:val="auto"/>
                      <w:kern w:val="0"/>
                      <w:szCs w:val="21"/>
                      <w:lang w:eastAsia="zh-CN"/>
                    </w:rPr>
                    <w:t>）排放，</w:t>
                  </w:r>
                  <w:r>
                    <w:rPr>
                      <w:rFonts w:hint="default" w:ascii="Times New Roman" w:hAnsi="Times New Roman" w:eastAsia="宋体" w:cs="Times New Roman"/>
                      <w:color w:val="auto"/>
                      <w:sz w:val="21"/>
                      <w:szCs w:val="21"/>
                      <w:highlight w:val="none"/>
                      <w:lang w:eastAsia="zh-CN"/>
                    </w:rPr>
                    <w:t>风量</w:t>
                  </w:r>
                  <w:r>
                    <w:rPr>
                      <w:rFonts w:hint="eastAsia" w:cs="Times New Roman"/>
                      <w:color w:val="auto"/>
                      <w:sz w:val="21"/>
                      <w:szCs w:val="21"/>
                      <w:highlight w:val="none"/>
                      <w:lang w:val="en-US" w:eastAsia="zh-CN"/>
                    </w:rPr>
                    <w:t>26875</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eastAsia="zh-CN"/>
                    </w:rPr>
                    <w:t>，</w:t>
                  </w:r>
                  <w:r>
                    <w:rPr>
                      <w:rFonts w:eastAsia="宋体"/>
                      <w:color w:val="auto"/>
                      <w:kern w:val="0"/>
                      <w:szCs w:val="21"/>
                      <w:lang w:bidi="ar"/>
                    </w:rPr>
                    <w:t>收集效率</w:t>
                  </w:r>
                  <w:r>
                    <w:rPr>
                      <w:rFonts w:hint="eastAsia" w:eastAsia="宋体"/>
                      <w:color w:val="auto"/>
                      <w:kern w:val="0"/>
                      <w:szCs w:val="21"/>
                      <w:lang w:val="en-US" w:eastAsia="zh-CN" w:bidi="ar"/>
                    </w:rPr>
                    <w:t>8</w:t>
                  </w:r>
                  <w:r>
                    <w:rPr>
                      <w:rFonts w:eastAsia="宋体"/>
                      <w:color w:val="auto"/>
                      <w:kern w:val="0"/>
                      <w:szCs w:val="21"/>
                      <w:lang w:bidi="ar"/>
                    </w:rPr>
                    <w:t>0%，</w:t>
                  </w:r>
                  <w:r>
                    <w:rPr>
                      <w:rFonts w:hint="eastAsia" w:ascii="Times New Roman" w:hAnsi="Times New Roman" w:eastAsia="宋体" w:cs="Times New Roman"/>
                      <w:bCs/>
                      <w:color w:val="auto"/>
                      <w:sz w:val="21"/>
                      <w:szCs w:val="21"/>
                      <w:highlight w:val="none"/>
                      <w:lang w:val="en-US" w:eastAsia="zh-CN"/>
                    </w:rPr>
                    <w:t>对颗粒物烃的处理效率为99%，</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lang w:val="en-US" w:eastAsia="zh-CN"/>
                    </w:rPr>
                    <w:t>。</w:t>
                  </w:r>
                </w:p>
              </w:tc>
              <w:tc>
                <w:tcPr>
                  <w:tcW w:w="925" w:type="dxa"/>
                  <w:vMerge w:val="restart"/>
                  <w:tcBorders>
                    <w:tl2br w:val="nil"/>
                    <w:tr2bl w:val="nil"/>
                  </w:tcBorders>
                  <w:noWrap w:val="0"/>
                  <w:vAlign w:val="center"/>
                </w:tcPr>
                <w:p w14:paraId="40F77006">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15m高排气筒（DA001）</w:t>
                  </w:r>
                </w:p>
              </w:tc>
            </w:tr>
            <w:tr w14:paraId="1CB1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6" w:type="dxa"/>
                  <w:vMerge w:val="continue"/>
                  <w:tcBorders>
                    <w:tl2br w:val="nil"/>
                    <w:tr2bl w:val="nil"/>
                  </w:tcBorders>
                  <w:noWrap w:val="0"/>
                  <w:vAlign w:val="center"/>
                </w:tcPr>
                <w:p w14:paraId="4823E9FE">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2005" w:type="dxa"/>
                  <w:tcBorders>
                    <w:tl2br w:val="nil"/>
                    <w:tr2bl w:val="nil"/>
                  </w:tcBorders>
                  <w:noWrap w:val="0"/>
                  <w:vAlign w:val="center"/>
                </w:tcPr>
                <w:p w14:paraId="24A2B2B7">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破碎</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en-US"/>
                    </w:rPr>
                    <w:t>G</w:t>
                  </w:r>
                  <w:r>
                    <w:rPr>
                      <w:rFonts w:hint="default" w:ascii="Times New Roman" w:hAnsi="Times New Roman" w:eastAsia="宋体"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lang w:val="en-US" w:eastAsia="zh-CN"/>
                    </w:rPr>
                    <w:t>）</w:t>
                  </w:r>
                </w:p>
              </w:tc>
              <w:tc>
                <w:tcPr>
                  <w:tcW w:w="1687" w:type="dxa"/>
                  <w:tcBorders>
                    <w:tl2br w:val="nil"/>
                    <w:tr2bl w:val="nil"/>
                  </w:tcBorders>
                  <w:noWrap w:val="0"/>
                  <w:vAlign w:val="center"/>
                </w:tcPr>
                <w:p w14:paraId="1C058E34">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破碎粉尘</w:t>
                  </w:r>
                </w:p>
              </w:tc>
              <w:tc>
                <w:tcPr>
                  <w:tcW w:w="3675" w:type="dxa"/>
                  <w:vMerge w:val="continue"/>
                  <w:tcBorders>
                    <w:tl2br w:val="nil"/>
                    <w:tr2bl w:val="nil"/>
                  </w:tcBorders>
                  <w:noWrap w:val="0"/>
                  <w:vAlign w:val="center"/>
                </w:tcPr>
                <w:p w14:paraId="4EA0EE0A">
                  <w:pPr>
                    <w:jc w:val="center"/>
                    <w:rPr>
                      <w:rFonts w:hint="default" w:ascii="Times New Roman" w:hAnsi="Times New Roman" w:eastAsia="宋体" w:cs="Times New Roman"/>
                      <w:color w:val="auto"/>
                      <w:sz w:val="21"/>
                      <w:szCs w:val="21"/>
                      <w:highlight w:val="none"/>
                      <w:lang w:val="en-US" w:eastAsia="zh-CN"/>
                    </w:rPr>
                  </w:pPr>
                </w:p>
              </w:tc>
              <w:tc>
                <w:tcPr>
                  <w:tcW w:w="925" w:type="dxa"/>
                  <w:vMerge w:val="continue"/>
                  <w:tcBorders>
                    <w:tl2br w:val="nil"/>
                    <w:tr2bl w:val="nil"/>
                  </w:tcBorders>
                  <w:noWrap w:val="0"/>
                  <w:vAlign w:val="center"/>
                </w:tcPr>
                <w:p w14:paraId="0658A4EE">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r>
            <w:tr w14:paraId="7364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6" w:type="dxa"/>
                  <w:vMerge w:val="continue"/>
                  <w:tcBorders>
                    <w:tl2br w:val="nil"/>
                    <w:tr2bl w:val="nil"/>
                  </w:tcBorders>
                  <w:noWrap w:val="0"/>
                  <w:vAlign w:val="center"/>
                </w:tcPr>
                <w:p w14:paraId="4334AD6D">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2005" w:type="dxa"/>
                  <w:tcBorders>
                    <w:tl2br w:val="nil"/>
                    <w:tr2bl w:val="nil"/>
                  </w:tcBorders>
                  <w:noWrap w:val="0"/>
                  <w:vAlign w:val="center"/>
                </w:tcPr>
                <w:p w14:paraId="30D0A4E3">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磨粉</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en-US"/>
                    </w:rPr>
                    <w:t>G</w:t>
                  </w:r>
                  <w:r>
                    <w:rPr>
                      <w:rFonts w:hint="eastAsia" w:cs="Times New Roman"/>
                      <w:color w:val="auto"/>
                      <w:sz w:val="21"/>
                      <w:szCs w:val="21"/>
                      <w:highlight w:val="none"/>
                      <w:vertAlign w:val="subscript"/>
                      <w:lang w:val="en-US" w:eastAsia="zh-CN"/>
                    </w:rPr>
                    <w:t>3</w:t>
                  </w:r>
                  <w:r>
                    <w:rPr>
                      <w:rFonts w:hint="default" w:ascii="Times New Roman" w:hAnsi="Times New Roman" w:eastAsia="宋体" w:cs="Times New Roman"/>
                      <w:color w:val="auto"/>
                      <w:sz w:val="21"/>
                      <w:szCs w:val="21"/>
                      <w:highlight w:val="none"/>
                      <w:lang w:val="en-US" w:eastAsia="zh-CN"/>
                    </w:rPr>
                    <w:t>）</w:t>
                  </w:r>
                </w:p>
              </w:tc>
              <w:tc>
                <w:tcPr>
                  <w:tcW w:w="1687" w:type="dxa"/>
                  <w:tcBorders>
                    <w:tl2br w:val="nil"/>
                    <w:tr2bl w:val="nil"/>
                  </w:tcBorders>
                  <w:noWrap w:val="0"/>
                  <w:vAlign w:val="center"/>
                </w:tcPr>
                <w:p w14:paraId="68A990D4">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000000" w:themeColor="text1"/>
                      <w:sz w:val="21"/>
                      <w:szCs w:val="21"/>
                      <w:highlight w:val="none"/>
                      <w:lang w:val="en-US" w:eastAsia="zh-CN"/>
                      <w14:textFill>
                        <w14:solidFill>
                          <w14:schemeClr w14:val="tx1"/>
                        </w14:solidFill>
                      </w14:textFill>
                    </w:rPr>
                    <w:t>磨粉</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粉尘</w:t>
                  </w:r>
                </w:p>
              </w:tc>
              <w:tc>
                <w:tcPr>
                  <w:tcW w:w="3675" w:type="dxa"/>
                  <w:vMerge w:val="continue"/>
                  <w:tcBorders>
                    <w:tl2br w:val="nil"/>
                    <w:tr2bl w:val="nil"/>
                  </w:tcBorders>
                  <w:noWrap w:val="0"/>
                  <w:vAlign w:val="center"/>
                </w:tcPr>
                <w:p w14:paraId="286014C8">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p>
              </w:tc>
              <w:tc>
                <w:tcPr>
                  <w:tcW w:w="925" w:type="dxa"/>
                  <w:vMerge w:val="continue"/>
                  <w:tcBorders>
                    <w:tl2br w:val="nil"/>
                    <w:tr2bl w:val="nil"/>
                  </w:tcBorders>
                  <w:noWrap w:val="0"/>
                  <w:vAlign w:val="center"/>
                </w:tcPr>
                <w:p w14:paraId="1B30920A">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p>
              </w:tc>
            </w:tr>
            <w:tr w14:paraId="72BD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6" w:type="dxa"/>
                  <w:vMerge w:val="continue"/>
                  <w:tcBorders>
                    <w:tl2br w:val="nil"/>
                    <w:tr2bl w:val="nil"/>
                  </w:tcBorders>
                  <w:noWrap w:val="0"/>
                  <w:vAlign w:val="center"/>
                </w:tcPr>
                <w:p w14:paraId="4925F9F1">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rPr>
                  </w:pPr>
                </w:p>
              </w:tc>
              <w:tc>
                <w:tcPr>
                  <w:tcW w:w="2005" w:type="dxa"/>
                  <w:tcBorders>
                    <w:tl2br w:val="nil"/>
                    <w:tr2bl w:val="nil"/>
                  </w:tcBorders>
                  <w:noWrap w:val="0"/>
                  <w:vAlign w:val="center"/>
                </w:tcPr>
                <w:p w14:paraId="2A0AF51A">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000000" w:themeColor="text1"/>
                      <w:sz w:val="21"/>
                      <w:szCs w:val="21"/>
                      <w:highlight w:val="none"/>
                      <w:lang w:val="en-US" w:eastAsia="zh-CN"/>
                      <w14:textFill>
                        <w14:solidFill>
                          <w14:schemeClr w14:val="tx1"/>
                        </w14:solidFill>
                      </w14:textFill>
                    </w:rPr>
                    <w:t>挤出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en-US"/>
                      <w14:textFill>
                        <w14:solidFill>
                          <w14:schemeClr w14:val="tx1"/>
                        </w14:solidFill>
                      </w14:textFill>
                    </w:rPr>
                    <w:t>G</w:t>
                  </w:r>
                  <w:r>
                    <w:rPr>
                      <w:rFonts w:hint="eastAsia" w:cs="Times New Roman"/>
                      <w:color w:val="000000" w:themeColor="text1"/>
                      <w:sz w:val="21"/>
                      <w:szCs w:val="21"/>
                      <w:highlight w:val="none"/>
                      <w:vertAlign w:val="subscript"/>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p>
              </w:tc>
              <w:tc>
                <w:tcPr>
                  <w:tcW w:w="1687" w:type="dxa"/>
                  <w:tcBorders>
                    <w:tl2br w:val="nil"/>
                    <w:tr2bl w:val="nil"/>
                  </w:tcBorders>
                  <w:noWrap w:val="0"/>
                  <w:vAlign w:val="center"/>
                </w:tcPr>
                <w:p w14:paraId="1CD0056F">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000000" w:themeColor="text1"/>
                      <w:sz w:val="21"/>
                      <w:szCs w:val="21"/>
                      <w:highlight w:val="none"/>
                      <w:lang w:val="en-US" w:eastAsia="zh-CN"/>
                      <w14:textFill>
                        <w14:solidFill>
                          <w14:schemeClr w14:val="tx1"/>
                        </w14:solidFill>
                      </w14:textFill>
                    </w:rPr>
                    <w:t>氯乙烯、氯化氢</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、非甲烷总烃</w:t>
                  </w:r>
                  <w:r>
                    <w:rPr>
                      <w:rFonts w:hint="eastAsia" w:cs="Times New Roman"/>
                      <w:color w:val="000000" w:themeColor="text1"/>
                      <w:sz w:val="21"/>
                      <w:szCs w:val="21"/>
                      <w:highlight w:val="none"/>
                      <w:lang w:val="en-US" w:eastAsia="zh-CN"/>
                      <w14:textFill>
                        <w14:solidFill>
                          <w14:schemeClr w14:val="tx1"/>
                        </w14:solidFill>
                      </w14:textFill>
                    </w:rPr>
                    <w:t>、臭气浓度</w:t>
                  </w:r>
                </w:p>
              </w:tc>
              <w:tc>
                <w:tcPr>
                  <w:tcW w:w="3675" w:type="dxa"/>
                  <w:vMerge w:val="restart"/>
                  <w:tcBorders>
                    <w:tl2br w:val="nil"/>
                    <w:tr2bl w:val="nil"/>
                  </w:tcBorders>
                  <w:noWrap w:val="0"/>
                  <w:vAlign w:val="center"/>
                </w:tcPr>
                <w:p w14:paraId="1B81D3EB">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eastAsia" w:eastAsia="Times New Roman"/>
                      <w:color w:val="auto"/>
                      <w:szCs w:val="21"/>
                      <w:lang w:val="zh-CN"/>
                    </w:rPr>
                    <w:t>“</w:t>
                  </w:r>
                  <w:r>
                    <w:rPr>
                      <w:rFonts w:hint="eastAsia" w:eastAsia="宋体"/>
                      <w:color w:val="auto"/>
                      <w:szCs w:val="21"/>
                      <w:lang w:val="en-US" w:eastAsia="zh-CN"/>
                    </w:rPr>
                    <w:t>20个集气罩+</w:t>
                  </w:r>
                  <w:r>
                    <w:rPr>
                      <w:rFonts w:hint="eastAsia" w:eastAsia="Times New Roman"/>
                      <w:color w:val="auto"/>
                      <w:szCs w:val="21"/>
                      <w:lang w:val="zh-CN"/>
                    </w:rPr>
                    <w:t>三级</w:t>
                  </w:r>
                  <w:r>
                    <w:rPr>
                      <w:rFonts w:hint="eastAsia"/>
                      <w:color w:val="auto"/>
                      <w:szCs w:val="21"/>
                      <w:lang w:val="en-US" w:eastAsia="zh-CN"/>
                    </w:rPr>
                    <w:t>活性炭吸附装置</w:t>
                  </w:r>
                  <w:r>
                    <w:rPr>
                      <w:rFonts w:hint="eastAsia" w:eastAsia="Times New Roman"/>
                      <w:color w:val="auto"/>
                      <w:szCs w:val="21"/>
                      <w:lang w:val="zh-CN"/>
                    </w:rPr>
                    <w:t>”处理后</w:t>
                  </w:r>
                  <w:r>
                    <w:rPr>
                      <w:rFonts w:hint="eastAsia"/>
                      <w:color w:val="auto"/>
                      <w:kern w:val="0"/>
                      <w:szCs w:val="21"/>
                    </w:rPr>
                    <w:t>+</w:t>
                  </w:r>
                  <w:r>
                    <w:rPr>
                      <w:rFonts w:hint="eastAsia"/>
                      <w:color w:val="auto"/>
                      <w:kern w:val="0"/>
                      <w:szCs w:val="21"/>
                      <w:lang w:val="en-US" w:eastAsia="zh-CN"/>
                    </w:rPr>
                    <w:t>1根</w:t>
                  </w:r>
                  <w:r>
                    <w:rPr>
                      <w:rFonts w:hint="eastAsia"/>
                      <w:color w:val="auto"/>
                      <w:kern w:val="0"/>
                      <w:szCs w:val="21"/>
                    </w:rPr>
                    <w:t>15m高排气筒</w:t>
                  </w:r>
                  <w:r>
                    <w:rPr>
                      <w:rFonts w:hint="eastAsia"/>
                      <w:color w:val="auto"/>
                      <w:kern w:val="0"/>
                      <w:szCs w:val="21"/>
                      <w:lang w:eastAsia="zh-CN"/>
                    </w:rPr>
                    <w:t>（</w:t>
                  </w:r>
                  <w:r>
                    <w:rPr>
                      <w:rFonts w:hint="eastAsia"/>
                      <w:color w:val="auto"/>
                      <w:kern w:val="0"/>
                      <w:szCs w:val="21"/>
                      <w:lang w:val="en-US" w:eastAsia="zh-CN"/>
                    </w:rPr>
                    <w:t>DA002</w:t>
                  </w:r>
                  <w:r>
                    <w:rPr>
                      <w:rFonts w:hint="eastAsia"/>
                      <w:color w:val="auto"/>
                      <w:kern w:val="0"/>
                      <w:szCs w:val="21"/>
                      <w:lang w:eastAsia="zh-CN"/>
                    </w:rPr>
                    <w:t>）排放，</w:t>
                  </w:r>
                  <w:r>
                    <w:rPr>
                      <w:rFonts w:hint="default" w:ascii="Times New Roman" w:hAnsi="Times New Roman" w:eastAsia="宋体" w:cs="Times New Roman"/>
                      <w:color w:val="auto"/>
                      <w:sz w:val="21"/>
                      <w:szCs w:val="21"/>
                      <w:highlight w:val="none"/>
                      <w:lang w:eastAsia="zh-CN"/>
                    </w:rPr>
                    <w:t>风量</w:t>
                  </w:r>
                  <w:r>
                    <w:rPr>
                      <w:rFonts w:hint="eastAsia" w:cs="Times New Roman"/>
                      <w:color w:val="auto"/>
                      <w:sz w:val="21"/>
                      <w:szCs w:val="21"/>
                      <w:highlight w:val="none"/>
                      <w:lang w:val="en-US" w:eastAsia="zh-CN"/>
                    </w:rPr>
                    <w:t>25920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eastAsia="zh-CN"/>
                    </w:rPr>
                    <w:t>，</w:t>
                  </w:r>
                  <w:r>
                    <w:rPr>
                      <w:rFonts w:eastAsia="宋体"/>
                      <w:color w:val="auto"/>
                      <w:kern w:val="0"/>
                      <w:szCs w:val="21"/>
                      <w:lang w:bidi="ar"/>
                    </w:rPr>
                    <w:t>收集效率</w:t>
                  </w:r>
                  <w:r>
                    <w:rPr>
                      <w:rFonts w:hint="eastAsia" w:eastAsia="宋体"/>
                      <w:color w:val="auto"/>
                      <w:kern w:val="0"/>
                      <w:szCs w:val="21"/>
                      <w:lang w:val="en-US" w:eastAsia="zh-CN" w:bidi="ar"/>
                    </w:rPr>
                    <w:t>8</w:t>
                  </w:r>
                  <w:r>
                    <w:rPr>
                      <w:rFonts w:eastAsia="宋体"/>
                      <w:color w:val="auto"/>
                      <w:kern w:val="0"/>
                      <w:szCs w:val="21"/>
                      <w:lang w:bidi="ar"/>
                    </w:rPr>
                    <w:t>0%，净化效率</w:t>
                  </w:r>
                  <w:r>
                    <w:rPr>
                      <w:rFonts w:hint="eastAsia" w:eastAsia="宋体"/>
                      <w:color w:val="auto"/>
                      <w:kern w:val="0"/>
                      <w:szCs w:val="21"/>
                      <w:lang w:val="en-US" w:eastAsia="zh-CN" w:bidi="ar"/>
                    </w:rPr>
                    <w:t>80</w:t>
                  </w:r>
                  <w:r>
                    <w:rPr>
                      <w:rFonts w:eastAsia="宋体"/>
                      <w:color w:val="auto"/>
                      <w:kern w:val="0"/>
                      <w:szCs w:val="21"/>
                      <w:lang w:bidi="ar"/>
                    </w:rPr>
                    <w:t>%</w:t>
                  </w:r>
                  <w:r>
                    <w:rPr>
                      <w:rFonts w:hint="eastAsia" w:eastAsia="宋体"/>
                      <w:color w:val="auto"/>
                      <w:kern w:val="0"/>
                      <w:szCs w:val="21"/>
                      <w:lang w:bidi="ar"/>
                    </w:rPr>
                    <w:t>，对氯化氢无处理效率</w:t>
                  </w:r>
                  <w:r>
                    <w:rPr>
                      <w:rFonts w:hint="eastAsia"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lang w:val="en-US" w:eastAsia="zh-CN"/>
                    </w:rPr>
                    <w:t>。</w:t>
                  </w:r>
                </w:p>
              </w:tc>
              <w:tc>
                <w:tcPr>
                  <w:tcW w:w="925" w:type="dxa"/>
                  <w:vMerge w:val="restart"/>
                  <w:tcBorders>
                    <w:tl2br w:val="nil"/>
                    <w:tr2bl w:val="nil"/>
                  </w:tcBorders>
                  <w:noWrap w:val="0"/>
                  <w:vAlign w:val="center"/>
                </w:tcPr>
                <w:p w14:paraId="7E586775">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15m高排气筒（DA002）</w:t>
                  </w:r>
                </w:p>
              </w:tc>
            </w:tr>
            <w:tr w14:paraId="10EB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16" w:type="dxa"/>
                  <w:vMerge w:val="continue"/>
                  <w:tcBorders>
                    <w:tl2br w:val="nil"/>
                    <w:tr2bl w:val="nil"/>
                  </w:tcBorders>
                  <w:noWrap w:val="0"/>
                  <w:vAlign w:val="center"/>
                </w:tcPr>
                <w:p w14:paraId="6BCBB983">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2005" w:type="dxa"/>
                  <w:tcBorders>
                    <w:tl2br w:val="nil"/>
                    <w:tr2bl w:val="nil"/>
                  </w:tcBorders>
                  <w:noWrap w:val="0"/>
                  <w:vAlign w:val="center"/>
                </w:tcPr>
                <w:p w14:paraId="6414003F">
                  <w:pPr>
                    <w:pStyle w:val="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覆膜</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en-US"/>
                    </w:rPr>
                    <w:t>G</w:t>
                  </w:r>
                  <w:r>
                    <w:rPr>
                      <w:rFonts w:hint="eastAsia" w:cs="Times New Roman"/>
                      <w:color w:val="auto"/>
                      <w:sz w:val="21"/>
                      <w:szCs w:val="21"/>
                      <w:highlight w:val="none"/>
                      <w:vertAlign w:val="subscript"/>
                      <w:lang w:val="en-US" w:eastAsia="zh-CN"/>
                    </w:rPr>
                    <w:t>5</w:t>
                  </w:r>
                  <w:r>
                    <w:rPr>
                      <w:rFonts w:hint="default" w:ascii="Times New Roman" w:hAnsi="Times New Roman" w:eastAsia="宋体" w:cs="Times New Roman"/>
                      <w:color w:val="auto"/>
                      <w:sz w:val="21"/>
                      <w:szCs w:val="21"/>
                      <w:highlight w:val="none"/>
                      <w:lang w:val="en-US" w:eastAsia="zh-CN"/>
                    </w:rPr>
                    <w:t>）</w:t>
                  </w:r>
                </w:p>
              </w:tc>
              <w:tc>
                <w:tcPr>
                  <w:tcW w:w="1687" w:type="dxa"/>
                  <w:tcBorders>
                    <w:tl2br w:val="nil"/>
                    <w:tr2bl w:val="nil"/>
                  </w:tcBorders>
                  <w:noWrap w:val="0"/>
                  <w:vAlign w:val="center"/>
                </w:tcPr>
                <w:p w14:paraId="3C9DBEAD">
                  <w:pPr>
                    <w:pStyle w:val="5"/>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lang w:eastAsia="zh-CN"/>
                    </w:rPr>
                    <w:t>非甲烷总烃</w:t>
                  </w:r>
                </w:p>
              </w:tc>
              <w:tc>
                <w:tcPr>
                  <w:tcW w:w="3675" w:type="dxa"/>
                  <w:vMerge w:val="continue"/>
                  <w:tcBorders>
                    <w:tl2br w:val="nil"/>
                    <w:tr2bl w:val="nil"/>
                  </w:tcBorders>
                  <w:noWrap w:val="0"/>
                  <w:vAlign w:val="center"/>
                </w:tcPr>
                <w:p w14:paraId="1806A352">
                  <w:pPr>
                    <w:jc w:val="center"/>
                    <w:rPr>
                      <w:rFonts w:hint="default" w:ascii="Times New Roman" w:hAnsi="Times New Roman" w:eastAsia="宋体" w:cs="Times New Roman"/>
                      <w:color w:val="auto"/>
                      <w:sz w:val="21"/>
                      <w:szCs w:val="21"/>
                      <w:highlight w:val="none"/>
                      <w:lang w:val="en-US" w:eastAsia="zh-CN"/>
                    </w:rPr>
                  </w:pPr>
                </w:p>
              </w:tc>
              <w:tc>
                <w:tcPr>
                  <w:tcW w:w="925" w:type="dxa"/>
                  <w:vMerge w:val="continue"/>
                  <w:tcBorders>
                    <w:tl2br w:val="nil"/>
                    <w:tr2bl w:val="nil"/>
                  </w:tcBorders>
                  <w:noWrap w:val="0"/>
                  <w:vAlign w:val="center"/>
                </w:tcPr>
                <w:p w14:paraId="198E0D1D">
                  <w:pPr>
                    <w:jc w:val="center"/>
                    <w:rPr>
                      <w:rFonts w:hint="default" w:ascii="Times New Roman" w:hAnsi="Times New Roman" w:eastAsia="宋体" w:cs="Times New Roman"/>
                      <w:color w:val="auto"/>
                      <w:sz w:val="21"/>
                      <w:szCs w:val="21"/>
                      <w:highlight w:val="none"/>
                      <w:lang w:val="en-US" w:eastAsia="zh-CN"/>
                    </w:rPr>
                  </w:pPr>
                </w:p>
              </w:tc>
            </w:tr>
            <w:tr w14:paraId="2673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6" w:type="dxa"/>
                  <w:vMerge w:val="continue"/>
                  <w:tcBorders>
                    <w:tl2br w:val="nil"/>
                    <w:tr2bl w:val="nil"/>
                  </w:tcBorders>
                  <w:noWrap w:val="0"/>
                  <w:vAlign w:val="center"/>
                </w:tcPr>
                <w:p w14:paraId="45055772">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2005" w:type="dxa"/>
                  <w:tcBorders>
                    <w:tl2br w:val="nil"/>
                    <w:tr2bl w:val="nil"/>
                  </w:tcBorders>
                  <w:noWrap w:val="0"/>
                  <w:vAlign w:val="center"/>
                </w:tcPr>
                <w:p w14:paraId="75BD406E">
                  <w:pPr>
                    <w:pStyle w:val="5"/>
                    <w:spacing w:after="0"/>
                    <w:ind w:firstLine="0" w:firstLineChars="0"/>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生产过程</w:t>
                  </w:r>
                </w:p>
              </w:tc>
              <w:tc>
                <w:tcPr>
                  <w:tcW w:w="1687" w:type="dxa"/>
                  <w:tcBorders>
                    <w:tl2br w:val="nil"/>
                    <w:tr2bl w:val="nil"/>
                  </w:tcBorders>
                  <w:noWrap w:val="0"/>
                  <w:vAlign w:val="center"/>
                </w:tcPr>
                <w:p w14:paraId="2DFF3B68">
                  <w:pPr>
                    <w:pStyle w:val="5"/>
                    <w:spacing w:after="0"/>
                    <w:ind w:firstLine="0" w:firstLineChars="0"/>
                    <w:jc w:val="center"/>
                    <w:rPr>
                      <w:rFonts w:hint="eastAsia" w:cs="Times New Roman"/>
                      <w:color w:val="auto"/>
                      <w:sz w:val="21"/>
                      <w:szCs w:val="21"/>
                      <w:lang w:eastAsia="zh-CN"/>
                    </w:rPr>
                  </w:pPr>
                  <w:r>
                    <w:rPr>
                      <w:rFonts w:hint="eastAsia" w:cs="Times New Roman"/>
                      <w:color w:val="auto"/>
                      <w:sz w:val="21"/>
                      <w:szCs w:val="21"/>
                      <w:lang w:eastAsia="zh-CN"/>
                    </w:rPr>
                    <w:t>臭气浓度</w:t>
                  </w:r>
                </w:p>
              </w:tc>
              <w:tc>
                <w:tcPr>
                  <w:tcW w:w="3675" w:type="dxa"/>
                  <w:tcBorders>
                    <w:tl2br w:val="nil"/>
                    <w:tr2bl w:val="nil"/>
                  </w:tcBorders>
                  <w:noWrap w:val="0"/>
                  <w:vAlign w:val="center"/>
                </w:tcPr>
                <w:p w14:paraId="6F215F6B">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加强通风、自然扩散</w:t>
                  </w:r>
                </w:p>
              </w:tc>
              <w:tc>
                <w:tcPr>
                  <w:tcW w:w="925" w:type="dxa"/>
                  <w:tcBorders>
                    <w:tl2br w:val="nil"/>
                    <w:tr2bl w:val="nil"/>
                  </w:tcBorders>
                  <w:noWrap w:val="0"/>
                  <w:vAlign w:val="center"/>
                </w:tcPr>
                <w:p w14:paraId="23F64EEC">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无组织</w:t>
                  </w:r>
                </w:p>
              </w:tc>
            </w:tr>
            <w:tr w14:paraId="2349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6" w:type="dxa"/>
                  <w:vMerge w:val="continue"/>
                  <w:tcBorders>
                    <w:tl2br w:val="nil"/>
                    <w:tr2bl w:val="nil"/>
                  </w:tcBorders>
                  <w:noWrap w:val="0"/>
                  <w:vAlign w:val="center"/>
                </w:tcPr>
                <w:p w14:paraId="7F606BA9">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2005" w:type="dxa"/>
                  <w:tcBorders>
                    <w:tl2br w:val="nil"/>
                    <w:tr2bl w:val="nil"/>
                  </w:tcBorders>
                  <w:noWrap w:val="0"/>
                  <w:vAlign w:val="center"/>
                </w:tcPr>
                <w:p w14:paraId="6FD46202">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职工食堂</w:t>
                  </w:r>
                </w:p>
              </w:tc>
              <w:tc>
                <w:tcPr>
                  <w:tcW w:w="1687" w:type="dxa"/>
                  <w:tcBorders>
                    <w:tl2br w:val="nil"/>
                    <w:tr2bl w:val="nil"/>
                  </w:tcBorders>
                  <w:noWrap w:val="0"/>
                  <w:vAlign w:val="center"/>
                </w:tcPr>
                <w:p w14:paraId="21D0AE71">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油烟</w:t>
                  </w:r>
                </w:p>
              </w:tc>
              <w:tc>
                <w:tcPr>
                  <w:tcW w:w="3675" w:type="dxa"/>
                  <w:tcBorders>
                    <w:tl2br w:val="nil"/>
                    <w:tr2bl w:val="nil"/>
                  </w:tcBorders>
                  <w:noWrap w:val="0"/>
                  <w:vAlign w:val="center"/>
                </w:tcPr>
                <w:p w14:paraId="09FB137B">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油烟净化设施</w:t>
                  </w:r>
                  <w:r>
                    <w:rPr>
                      <w:rFonts w:hint="default" w:ascii="Times New Roman" w:hAnsi="Times New Roman" w:eastAsia="宋体" w:cs="Times New Roman"/>
                      <w:color w:val="auto"/>
                      <w:sz w:val="21"/>
                      <w:szCs w:val="21"/>
                      <w:highlight w:val="none"/>
                      <w:lang w:val="en-US" w:eastAsia="zh-CN"/>
                    </w:rPr>
                    <w:t>+高于房顶1.5m高排气筒。</w:t>
                  </w:r>
                </w:p>
              </w:tc>
              <w:tc>
                <w:tcPr>
                  <w:tcW w:w="925" w:type="dxa"/>
                  <w:tcBorders>
                    <w:tl2br w:val="nil"/>
                    <w:tr2bl w:val="nil"/>
                  </w:tcBorders>
                  <w:noWrap w:val="0"/>
                  <w:vAlign w:val="center"/>
                </w:tcPr>
                <w:p w14:paraId="6FECB21E">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有组织</w:t>
                  </w:r>
                </w:p>
              </w:tc>
            </w:tr>
            <w:tr w14:paraId="76E3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6" w:type="dxa"/>
                  <w:vMerge w:val="restart"/>
                  <w:tcBorders>
                    <w:tl2br w:val="nil"/>
                    <w:tr2bl w:val="nil"/>
                  </w:tcBorders>
                  <w:noWrap w:val="0"/>
                  <w:vAlign w:val="center"/>
                </w:tcPr>
                <w:p w14:paraId="153EAC50">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2005" w:type="dxa"/>
                  <w:tcBorders>
                    <w:tl2br w:val="nil"/>
                    <w:tr2bl w:val="nil"/>
                  </w:tcBorders>
                  <w:noWrap w:val="0"/>
                  <w:vAlign w:val="center"/>
                </w:tcPr>
                <w:p w14:paraId="618FAFF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b w:val="0"/>
                      <w:bCs w:val="0"/>
                      <w:color w:val="auto"/>
                      <w:sz w:val="21"/>
                      <w:szCs w:val="21"/>
                      <w:highlight w:val="none"/>
                      <w:lang w:val="en-US" w:eastAsia="zh-CN"/>
                    </w:rPr>
                    <w:t>冷却废水（W</w:t>
                  </w:r>
                  <w:r>
                    <w:rPr>
                      <w:rFonts w:hint="eastAsia" w:cs="Times New Roman"/>
                      <w:b w:val="0"/>
                      <w:bCs w:val="0"/>
                      <w:color w:val="auto"/>
                      <w:sz w:val="21"/>
                      <w:szCs w:val="21"/>
                      <w:highlight w:val="none"/>
                      <w:vertAlign w:val="subscript"/>
                      <w:lang w:val="en-US" w:eastAsia="zh-CN"/>
                    </w:rPr>
                    <w:t>1</w:t>
                  </w:r>
                  <w:r>
                    <w:rPr>
                      <w:rFonts w:hint="eastAsia" w:cs="Times New Roman"/>
                      <w:b w:val="0"/>
                      <w:bCs w:val="0"/>
                      <w:color w:val="auto"/>
                      <w:sz w:val="21"/>
                      <w:szCs w:val="21"/>
                      <w:highlight w:val="none"/>
                      <w:lang w:val="en-US" w:eastAsia="zh-CN"/>
                    </w:rPr>
                    <w:t>）</w:t>
                  </w:r>
                </w:p>
              </w:tc>
              <w:tc>
                <w:tcPr>
                  <w:tcW w:w="1687" w:type="dxa"/>
                  <w:tcBorders>
                    <w:tl2br w:val="nil"/>
                    <w:tr2bl w:val="nil"/>
                  </w:tcBorders>
                  <w:noWrap w:val="0"/>
                  <w:vAlign w:val="center"/>
                </w:tcPr>
                <w:p w14:paraId="5CB3BCC4">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highlight w:val="none"/>
                      <w:lang w:val="en-US" w:eastAsia="zh-CN"/>
                    </w:rPr>
                  </w:pPr>
                  <w:r>
                    <w:rPr>
                      <w:rFonts w:hint="eastAsia" w:cs="Times New Roman"/>
                      <w:b w:val="0"/>
                      <w:bCs w:val="0"/>
                      <w:color w:val="auto"/>
                      <w:sz w:val="21"/>
                      <w:szCs w:val="21"/>
                      <w:highlight w:val="none"/>
                      <w:lang w:val="en-US" w:eastAsia="zh-CN"/>
                    </w:rPr>
                    <w:t>SS</w:t>
                  </w:r>
                </w:p>
              </w:tc>
              <w:tc>
                <w:tcPr>
                  <w:tcW w:w="3675" w:type="dxa"/>
                  <w:tcBorders>
                    <w:tl2br w:val="nil"/>
                    <w:tr2bl w:val="nil"/>
                  </w:tcBorders>
                  <w:noWrap w:val="0"/>
                  <w:vAlign w:val="center"/>
                </w:tcPr>
                <w:p w14:paraId="49F50A3C">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经循环水冷却池冷却后循环使用，不外排</w:t>
                  </w:r>
                  <w:r>
                    <w:rPr>
                      <w:rFonts w:hint="eastAsia" w:ascii="Times New Roman" w:hAnsi="Times New Roman" w:eastAsia="宋体" w:cs="Times New Roman"/>
                      <w:color w:val="auto"/>
                      <w:sz w:val="21"/>
                      <w:szCs w:val="21"/>
                      <w:highlight w:val="none"/>
                      <w:lang w:val="en-US" w:eastAsia="zh-CN"/>
                    </w:rPr>
                    <w:t>。</w:t>
                  </w:r>
                </w:p>
              </w:tc>
              <w:tc>
                <w:tcPr>
                  <w:tcW w:w="925" w:type="dxa"/>
                  <w:tcBorders>
                    <w:tl2br w:val="nil"/>
                    <w:tr2bl w:val="nil"/>
                  </w:tcBorders>
                  <w:noWrap w:val="0"/>
                  <w:vAlign w:val="center"/>
                </w:tcPr>
                <w:p w14:paraId="0E3B58EB">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循环使用，不外排</w:t>
                  </w:r>
                </w:p>
              </w:tc>
            </w:tr>
            <w:tr w14:paraId="4896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6" w:type="dxa"/>
                  <w:vMerge w:val="continue"/>
                  <w:tcBorders>
                    <w:tl2br w:val="nil"/>
                    <w:tr2bl w:val="nil"/>
                  </w:tcBorders>
                  <w:noWrap w:val="0"/>
                  <w:vAlign w:val="center"/>
                </w:tcPr>
                <w:p w14:paraId="7DB54831">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2005" w:type="dxa"/>
                  <w:tcBorders>
                    <w:tl2br w:val="nil"/>
                    <w:tr2bl w:val="nil"/>
                  </w:tcBorders>
                  <w:noWrap w:val="0"/>
                  <w:vAlign w:val="center"/>
                </w:tcPr>
                <w:p w14:paraId="544286E5">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sz w:val="21"/>
                      <w:szCs w:val="21"/>
                      <w:highlight w:val="none"/>
                    </w:rPr>
                    <w:t>职工生活</w:t>
                  </w:r>
                </w:p>
              </w:tc>
              <w:tc>
                <w:tcPr>
                  <w:tcW w:w="1687" w:type="dxa"/>
                  <w:tcBorders>
                    <w:tl2br w:val="nil"/>
                    <w:tr2bl w:val="nil"/>
                  </w:tcBorders>
                  <w:noWrap w:val="0"/>
                  <w:vAlign w:val="center"/>
                </w:tcPr>
                <w:p w14:paraId="293CDD9B">
                  <w:pPr>
                    <w:jc w:val="center"/>
                    <w:rPr>
                      <w:rFonts w:hint="default" w:ascii="Times New Roman" w:hAnsi="Times New Roman" w:eastAsia="宋体" w:cs="Times New Roman"/>
                      <w:b/>
                      <w:bCs/>
                      <w:color w:val="auto"/>
                      <w:sz w:val="21"/>
                      <w:szCs w:val="21"/>
                      <w:highlight w:val="none"/>
                      <w:lang w:val="en-US" w:eastAsia="zh-CN"/>
                    </w:rPr>
                  </w:pPr>
                  <w:r>
                    <w:rPr>
                      <w:szCs w:val="21"/>
                    </w:rPr>
                    <w:t>COD、BOD</w:t>
                  </w:r>
                  <w:r>
                    <w:rPr>
                      <w:szCs w:val="21"/>
                      <w:vertAlign w:val="subscript"/>
                    </w:rPr>
                    <w:t>5</w:t>
                  </w:r>
                  <w:r>
                    <w:rPr>
                      <w:szCs w:val="21"/>
                    </w:rPr>
                    <w:t>、SS、NH</w:t>
                  </w:r>
                  <w:r>
                    <w:rPr>
                      <w:szCs w:val="21"/>
                      <w:vertAlign w:val="subscript"/>
                    </w:rPr>
                    <w:t>3</w:t>
                  </w:r>
                  <w:r>
                    <w:rPr>
                      <w:szCs w:val="21"/>
                    </w:rPr>
                    <w:t>-N</w:t>
                  </w:r>
                  <w:r>
                    <w:rPr>
                      <w:rFonts w:hint="eastAsia"/>
                      <w:szCs w:val="21"/>
                    </w:rPr>
                    <w:t>、TP</w:t>
                  </w:r>
                </w:p>
              </w:tc>
              <w:tc>
                <w:tcPr>
                  <w:tcW w:w="3675" w:type="dxa"/>
                  <w:tcBorders>
                    <w:tl2br w:val="nil"/>
                    <w:tr2bl w:val="nil"/>
                  </w:tcBorders>
                  <w:noWrap w:val="0"/>
                  <w:vAlign w:val="center"/>
                </w:tcPr>
                <w:p w14:paraId="45A64720">
                  <w:pPr>
                    <w:jc w:val="center"/>
                    <w:rPr>
                      <w:rFonts w:hint="eastAsia" w:ascii="Times New Roman" w:hAnsi="Times New Roman" w:eastAsia="宋体" w:cs="Times New Roman"/>
                      <w:b/>
                      <w:bCs/>
                      <w:color w:val="auto"/>
                      <w:sz w:val="21"/>
                      <w:szCs w:val="21"/>
                      <w:highlight w:val="none"/>
                      <w:lang w:val="en-US" w:eastAsia="zh-CN"/>
                    </w:rPr>
                  </w:pPr>
                  <w:r>
                    <w:rPr>
                      <w:szCs w:val="21"/>
                    </w:rPr>
                    <w:t>项目产生的食堂废水经隔油池隔油后，与生活污水</w:t>
                  </w:r>
                  <w:r>
                    <w:rPr>
                      <w:rFonts w:hint="eastAsia"/>
                      <w:szCs w:val="21"/>
                      <w:lang w:val="en-US" w:eastAsia="zh-CN"/>
                    </w:rPr>
                    <w:t>一</w:t>
                  </w:r>
                  <w:r>
                    <w:rPr>
                      <w:szCs w:val="21"/>
                    </w:rPr>
                    <w:t>并经化粪池处理后，进入地埋式一体化</w:t>
                  </w:r>
                  <w:r>
                    <w:rPr>
                      <w:rFonts w:hint="eastAsia"/>
                      <w:szCs w:val="21"/>
                    </w:rPr>
                    <w:t>污水处理站</w:t>
                  </w:r>
                  <w:r>
                    <w:rPr>
                      <w:rFonts w:hint="eastAsia"/>
                      <w:szCs w:val="21"/>
                      <w:lang w:eastAsia="zh-CN"/>
                    </w:rPr>
                    <w:t>处理达标</w:t>
                  </w:r>
                  <w:r>
                    <w:rPr>
                      <w:rFonts w:hint="default" w:ascii="Times New Roman" w:hAnsi="Times New Roman" w:eastAsia="宋体" w:cs="Times New Roman"/>
                      <w:color w:val="auto"/>
                      <w:sz w:val="21"/>
                      <w:szCs w:val="21"/>
                      <w:highlight w:val="none"/>
                      <w:lang w:val="en-US" w:eastAsia="zh-CN"/>
                    </w:rPr>
                    <w:t>用于绿化或道路场地洒水</w:t>
                  </w:r>
                  <w:r>
                    <w:rPr>
                      <w:rFonts w:hint="eastAsia" w:ascii="Times New Roman" w:hAnsi="Times New Roman" w:eastAsia="宋体" w:cs="Times New Roman"/>
                      <w:color w:val="auto"/>
                      <w:sz w:val="21"/>
                      <w:szCs w:val="21"/>
                      <w:highlight w:val="none"/>
                      <w:lang w:val="en-US" w:eastAsia="zh-CN"/>
                    </w:rPr>
                    <w:t>。</w:t>
                  </w:r>
                </w:p>
              </w:tc>
              <w:tc>
                <w:tcPr>
                  <w:tcW w:w="925" w:type="dxa"/>
                  <w:tcBorders>
                    <w:tl2br w:val="nil"/>
                    <w:tr2bl w:val="nil"/>
                  </w:tcBorders>
                  <w:noWrap w:val="0"/>
                  <w:vAlign w:val="center"/>
                </w:tcPr>
                <w:p w14:paraId="10DC5B96">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回用，不外排</w:t>
                  </w:r>
                </w:p>
              </w:tc>
            </w:tr>
            <w:tr w14:paraId="3730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6" w:type="dxa"/>
                  <w:vMerge w:val="restart"/>
                  <w:tcBorders>
                    <w:tl2br w:val="nil"/>
                    <w:tr2bl w:val="nil"/>
                  </w:tcBorders>
                  <w:noWrap w:val="0"/>
                  <w:vAlign w:val="center"/>
                </w:tcPr>
                <w:p w14:paraId="3BF2FDD8">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固废</w:t>
                  </w:r>
                </w:p>
              </w:tc>
              <w:tc>
                <w:tcPr>
                  <w:tcW w:w="2005" w:type="dxa"/>
                  <w:tcBorders>
                    <w:tl2br w:val="nil"/>
                    <w:tr2bl w:val="nil"/>
                  </w:tcBorders>
                  <w:noWrap w:val="0"/>
                  <w:vAlign w:val="center"/>
                </w:tcPr>
                <w:p w14:paraId="1780F67C">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切割</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en-US"/>
                    </w:rPr>
                    <w:t>S</w:t>
                  </w:r>
                  <w:r>
                    <w:rPr>
                      <w:rFonts w:hint="default" w:ascii="Times New Roman" w:hAnsi="Times New Roman" w:eastAsia="宋体" w:cs="Times New Roman"/>
                      <w:color w:val="auto"/>
                      <w:sz w:val="21"/>
                      <w:szCs w:val="21"/>
                      <w:highlight w:val="none"/>
                      <w:lang w:eastAsia="zh-CN"/>
                    </w:rPr>
                    <w:t>）</w:t>
                  </w:r>
                </w:p>
              </w:tc>
              <w:tc>
                <w:tcPr>
                  <w:tcW w:w="1687" w:type="dxa"/>
                  <w:tcBorders>
                    <w:tl2br w:val="nil"/>
                    <w:tr2bl w:val="nil"/>
                  </w:tcBorders>
                  <w:noWrap w:val="0"/>
                  <w:vAlign w:val="center"/>
                </w:tcPr>
                <w:p w14:paraId="2C2BE4D5">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边角料</w:t>
                  </w:r>
                </w:p>
              </w:tc>
              <w:tc>
                <w:tcPr>
                  <w:tcW w:w="3675" w:type="dxa"/>
                  <w:vMerge w:val="restart"/>
                  <w:tcBorders>
                    <w:tl2br w:val="nil"/>
                    <w:tr2bl w:val="nil"/>
                  </w:tcBorders>
                  <w:noWrap w:val="0"/>
                  <w:vAlign w:val="center"/>
                </w:tcPr>
                <w:p w14:paraId="19E3E107">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分类收集暂存于一般固废暂存区后，定期外卖废品收购站。</w:t>
                  </w:r>
                </w:p>
              </w:tc>
              <w:tc>
                <w:tcPr>
                  <w:tcW w:w="925" w:type="dxa"/>
                  <w:vMerge w:val="restart"/>
                  <w:tcBorders>
                    <w:tl2br w:val="nil"/>
                    <w:tr2bl w:val="nil"/>
                  </w:tcBorders>
                  <w:noWrap w:val="0"/>
                  <w:vAlign w:val="center"/>
                </w:tcPr>
                <w:p w14:paraId="7022CEA7">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rPr>
                    <w:t>合理处置，处置率100%</w:t>
                  </w:r>
                </w:p>
              </w:tc>
            </w:tr>
            <w:tr w14:paraId="2629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6" w:type="dxa"/>
                  <w:vMerge w:val="continue"/>
                  <w:tcBorders>
                    <w:tl2br w:val="nil"/>
                    <w:tr2bl w:val="nil"/>
                  </w:tcBorders>
                  <w:noWrap w:val="0"/>
                  <w:vAlign w:val="center"/>
                </w:tcPr>
                <w:p w14:paraId="620EC39B">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2005" w:type="dxa"/>
                  <w:tcBorders>
                    <w:tl2br w:val="nil"/>
                    <w:tr2bl w:val="nil"/>
                  </w:tcBorders>
                  <w:noWrap w:val="0"/>
                  <w:vAlign w:val="center"/>
                </w:tcPr>
                <w:p w14:paraId="5C19FAA4">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检验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en-US"/>
                    </w:rPr>
                    <w:t>S</w:t>
                  </w:r>
                  <w:r>
                    <w:rPr>
                      <w:rFonts w:hint="default" w:ascii="Times New Roman" w:hAnsi="Times New Roman" w:eastAsia="宋体"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lang w:eastAsia="zh-CN"/>
                    </w:rPr>
                    <w:t>）</w:t>
                  </w:r>
                </w:p>
              </w:tc>
              <w:tc>
                <w:tcPr>
                  <w:tcW w:w="1687" w:type="dxa"/>
                  <w:tcBorders>
                    <w:tl2br w:val="nil"/>
                    <w:tr2bl w:val="nil"/>
                  </w:tcBorders>
                  <w:noWrap w:val="0"/>
                  <w:vAlign w:val="center"/>
                </w:tcPr>
                <w:p w14:paraId="64A9E255">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不合格产品</w:t>
                  </w:r>
                </w:p>
              </w:tc>
              <w:tc>
                <w:tcPr>
                  <w:tcW w:w="3675" w:type="dxa"/>
                  <w:vMerge w:val="continue"/>
                  <w:tcBorders>
                    <w:tl2br w:val="nil"/>
                    <w:tr2bl w:val="nil"/>
                  </w:tcBorders>
                  <w:noWrap w:val="0"/>
                  <w:vAlign w:val="center"/>
                </w:tcPr>
                <w:p w14:paraId="47B688C1">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925" w:type="dxa"/>
                  <w:vMerge w:val="continue"/>
                  <w:tcBorders>
                    <w:tl2br w:val="nil"/>
                    <w:tr2bl w:val="nil"/>
                  </w:tcBorders>
                  <w:noWrap w:val="0"/>
                  <w:vAlign w:val="center"/>
                </w:tcPr>
                <w:p w14:paraId="7287FFB9">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14:paraId="05FD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6" w:type="dxa"/>
                  <w:vMerge w:val="continue"/>
                  <w:tcBorders>
                    <w:tl2br w:val="nil"/>
                    <w:tr2bl w:val="nil"/>
                  </w:tcBorders>
                  <w:noWrap w:val="0"/>
                  <w:vAlign w:val="center"/>
                </w:tcPr>
                <w:p w14:paraId="21FF8A4E">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2005" w:type="dxa"/>
                  <w:tcBorders>
                    <w:tl2br w:val="nil"/>
                    <w:tr2bl w:val="nil"/>
                  </w:tcBorders>
                  <w:noWrap w:val="0"/>
                  <w:vAlign w:val="center"/>
                </w:tcPr>
                <w:p w14:paraId="2D8459C4">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原辅料开包</w:t>
                  </w:r>
                  <w:r>
                    <w:rPr>
                      <w:rFonts w:hint="eastAsia" w:cs="Times New Roman"/>
                      <w:color w:val="auto"/>
                      <w:sz w:val="21"/>
                      <w:szCs w:val="21"/>
                      <w:highlight w:val="none"/>
                      <w:lang w:val="en-US" w:eastAsia="zh-CN"/>
                    </w:rPr>
                    <w:t>、产品包装</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en-US"/>
                    </w:rPr>
                    <w:t>S</w:t>
                  </w:r>
                  <w:r>
                    <w:rPr>
                      <w:rFonts w:hint="default" w:ascii="Times New Roman" w:hAnsi="Times New Roman" w:eastAsia="宋体" w:cs="Times New Roman"/>
                      <w:color w:val="auto"/>
                      <w:sz w:val="21"/>
                      <w:szCs w:val="21"/>
                      <w:highlight w:val="none"/>
                      <w:vertAlign w:val="subscript"/>
                      <w:lang w:val="en-US" w:eastAsia="zh-CN"/>
                    </w:rPr>
                    <w:t>3</w:t>
                  </w:r>
                  <w:r>
                    <w:rPr>
                      <w:rFonts w:hint="default" w:ascii="Times New Roman" w:hAnsi="Times New Roman" w:eastAsia="宋体" w:cs="Times New Roman"/>
                      <w:color w:val="auto"/>
                      <w:sz w:val="21"/>
                      <w:szCs w:val="21"/>
                      <w:highlight w:val="none"/>
                      <w:lang w:eastAsia="zh-CN"/>
                    </w:rPr>
                    <w:t>）</w:t>
                  </w:r>
                </w:p>
              </w:tc>
              <w:tc>
                <w:tcPr>
                  <w:tcW w:w="1687" w:type="dxa"/>
                  <w:tcBorders>
                    <w:tl2br w:val="nil"/>
                    <w:tr2bl w:val="nil"/>
                  </w:tcBorders>
                  <w:noWrap w:val="0"/>
                  <w:vAlign w:val="center"/>
                </w:tcPr>
                <w:p w14:paraId="74F15715">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废包装材料</w:t>
                  </w:r>
                </w:p>
              </w:tc>
              <w:tc>
                <w:tcPr>
                  <w:tcW w:w="3675" w:type="dxa"/>
                  <w:vMerge w:val="continue"/>
                  <w:tcBorders>
                    <w:tl2br w:val="nil"/>
                    <w:tr2bl w:val="nil"/>
                  </w:tcBorders>
                  <w:noWrap w:val="0"/>
                  <w:vAlign w:val="center"/>
                </w:tcPr>
                <w:p w14:paraId="7E07FB5E">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925" w:type="dxa"/>
                  <w:vMerge w:val="continue"/>
                  <w:tcBorders>
                    <w:tl2br w:val="nil"/>
                    <w:tr2bl w:val="nil"/>
                  </w:tcBorders>
                  <w:noWrap w:val="0"/>
                  <w:vAlign w:val="center"/>
                </w:tcPr>
                <w:p w14:paraId="6F06A346">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14:paraId="6A09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6" w:type="dxa"/>
                  <w:vMerge w:val="continue"/>
                  <w:tcBorders>
                    <w:tl2br w:val="nil"/>
                    <w:tr2bl w:val="nil"/>
                  </w:tcBorders>
                  <w:noWrap w:val="0"/>
                  <w:vAlign w:val="center"/>
                </w:tcPr>
                <w:p w14:paraId="4917505F">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2005" w:type="dxa"/>
                  <w:tcBorders>
                    <w:tl2br w:val="nil"/>
                    <w:tr2bl w:val="nil"/>
                  </w:tcBorders>
                  <w:noWrap w:val="0"/>
                  <w:vAlign w:val="center"/>
                </w:tcPr>
                <w:p w14:paraId="32CB5C95">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lang w:eastAsia="zh-CN"/>
                    </w:rPr>
                    <w:t>废气处理</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en-US"/>
                    </w:rPr>
                    <w:t>S</w:t>
                  </w:r>
                  <w:r>
                    <w:rPr>
                      <w:rFonts w:hint="default" w:ascii="Times New Roman" w:hAnsi="Times New Roman" w:eastAsia="宋体" w:cs="Times New Roman"/>
                      <w:color w:val="auto"/>
                      <w:sz w:val="21"/>
                      <w:szCs w:val="21"/>
                      <w:highlight w:val="none"/>
                      <w:vertAlign w:val="subscript"/>
                      <w:lang w:val="en-US" w:eastAsia="zh-CN"/>
                    </w:rPr>
                    <w:t>4</w:t>
                  </w:r>
                  <w:r>
                    <w:rPr>
                      <w:rFonts w:hint="default" w:ascii="Times New Roman" w:hAnsi="Times New Roman" w:eastAsia="宋体" w:cs="Times New Roman"/>
                      <w:color w:val="auto"/>
                      <w:sz w:val="21"/>
                      <w:szCs w:val="21"/>
                      <w:highlight w:val="none"/>
                      <w:lang w:eastAsia="zh-CN"/>
                    </w:rPr>
                    <w:t>）</w:t>
                  </w:r>
                </w:p>
              </w:tc>
              <w:tc>
                <w:tcPr>
                  <w:tcW w:w="1687" w:type="dxa"/>
                  <w:tcBorders>
                    <w:tl2br w:val="nil"/>
                    <w:tr2bl w:val="nil"/>
                  </w:tcBorders>
                  <w:noWrap w:val="0"/>
                  <w:vAlign w:val="center"/>
                </w:tcPr>
                <w:p w14:paraId="25FB523D">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除尘器收集的</w:t>
                  </w:r>
                  <w:r>
                    <w:rPr>
                      <w:rFonts w:hint="default" w:ascii="Times New Roman" w:hAnsi="Times New Roman" w:eastAsia="宋体" w:cs="Times New Roman"/>
                      <w:color w:val="auto"/>
                      <w:sz w:val="21"/>
                      <w:szCs w:val="21"/>
                      <w:highlight w:val="none"/>
                      <w:lang w:val="en-US" w:eastAsia="zh-CN"/>
                    </w:rPr>
                    <w:t>粉尘</w:t>
                  </w:r>
                </w:p>
              </w:tc>
              <w:tc>
                <w:tcPr>
                  <w:tcW w:w="3675" w:type="dxa"/>
                  <w:tcBorders>
                    <w:tl2br w:val="nil"/>
                    <w:tr2bl w:val="nil"/>
                  </w:tcBorders>
                  <w:noWrap w:val="0"/>
                  <w:vAlign w:val="center"/>
                </w:tcPr>
                <w:p w14:paraId="58ABE37A">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统一收集后</w:t>
                  </w:r>
                  <w:r>
                    <w:rPr>
                      <w:rFonts w:hint="default" w:ascii="Times New Roman" w:hAnsi="Times New Roman" w:eastAsia="宋体" w:cs="Times New Roman"/>
                      <w:color w:val="auto"/>
                      <w:sz w:val="21"/>
                      <w:szCs w:val="21"/>
                      <w:highlight w:val="none"/>
                    </w:rPr>
                    <w:t>返回</w:t>
                  </w:r>
                  <w:r>
                    <w:rPr>
                      <w:rFonts w:hint="default" w:ascii="Times New Roman" w:hAnsi="Times New Roman" w:eastAsia="宋体" w:cs="Times New Roman"/>
                      <w:color w:val="auto"/>
                      <w:sz w:val="21"/>
                      <w:szCs w:val="21"/>
                      <w:highlight w:val="none"/>
                      <w:lang w:eastAsia="zh-CN"/>
                    </w:rPr>
                    <w:t>生产线</w:t>
                  </w:r>
                  <w:r>
                    <w:rPr>
                      <w:rFonts w:hint="default" w:ascii="Times New Roman" w:hAnsi="Times New Roman" w:eastAsia="宋体" w:cs="Times New Roman"/>
                      <w:color w:val="auto"/>
                      <w:sz w:val="21"/>
                      <w:szCs w:val="21"/>
                      <w:highlight w:val="none"/>
                    </w:rPr>
                    <w:t>再利用</w:t>
                  </w:r>
                  <w:r>
                    <w:rPr>
                      <w:rFonts w:hint="default" w:ascii="Times New Roman" w:hAnsi="Times New Roman" w:eastAsia="宋体" w:cs="Times New Roman"/>
                      <w:color w:val="auto"/>
                      <w:sz w:val="21"/>
                      <w:szCs w:val="21"/>
                      <w:highlight w:val="none"/>
                      <w:lang w:eastAsia="zh-CN"/>
                    </w:rPr>
                    <w:t>。</w:t>
                  </w:r>
                </w:p>
              </w:tc>
              <w:tc>
                <w:tcPr>
                  <w:tcW w:w="925" w:type="dxa"/>
                  <w:vMerge w:val="continue"/>
                  <w:tcBorders>
                    <w:tl2br w:val="nil"/>
                    <w:tr2bl w:val="nil"/>
                  </w:tcBorders>
                  <w:noWrap w:val="0"/>
                  <w:vAlign w:val="center"/>
                </w:tcPr>
                <w:p w14:paraId="25E22544">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14:paraId="6ED9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6" w:type="dxa"/>
                  <w:vMerge w:val="continue"/>
                  <w:tcBorders>
                    <w:tl2br w:val="nil"/>
                    <w:tr2bl w:val="nil"/>
                  </w:tcBorders>
                  <w:noWrap w:val="0"/>
                  <w:vAlign w:val="center"/>
                </w:tcPr>
                <w:p w14:paraId="361C0AA1">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rPr>
                  </w:pPr>
                </w:p>
              </w:tc>
              <w:tc>
                <w:tcPr>
                  <w:tcW w:w="2005" w:type="dxa"/>
                  <w:tcBorders>
                    <w:tl2br w:val="nil"/>
                    <w:tr2bl w:val="nil"/>
                  </w:tcBorders>
                  <w:noWrap w:val="0"/>
                  <w:vAlign w:val="center"/>
                </w:tcPr>
                <w:p w14:paraId="729FCE5E">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废气处理（</w:t>
                  </w:r>
                  <w:r>
                    <w:rPr>
                      <w:rFonts w:hint="default" w:ascii="Times New Roman" w:hAnsi="Times New Roman" w:eastAsia="宋体" w:cs="Times New Roman"/>
                      <w:color w:val="auto"/>
                      <w:sz w:val="21"/>
                      <w:szCs w:val="21"/>
                      <w:lang w:val="en-US" w:eastAsia="en-US"/>
                    </w:rPr>
                    <w:t>S</w:t>
                  </w:r>
                  <w:r>
                    <w:rPr>
                      <w:rFonts w:hint="eastAsia"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lang w:val="en-US" w:eastAsia="zh-CN"/>
                    </w:rPr>
                    <w:t>）</w:t>
                  </w:r>
                </w:p>
              </w:tc>
              <w:tc>
                <w:tcPr>
                  <w:tcW w:w="1687" w:type="dxa"/>
                  <w:tcBorders>
                    <w:tl2br w:val="nil"/>
                    <w:tr2bl w:val="nil"/>
                  </w:tcBorders>
                  <w:noWrap w:val="0"/>
                  <w:vAlign w:val="center"/>
                </w:tcPr>
                <w:p w14:paraId="7D5BAF59">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废活性炭</w:t>
                  </w:r>
                </w:p>
              </w:tc>
              <w:tc>
                <w:tcPr>
                  <w:tcW w:w="3675" w:type="dxa"/>
                  <w:tcBorders>
                    <w:tl2br w:val="nil"/>
                    <w:tr2bl w:val="nil"/>
                  </w:tcBorders>
                  <w:noWrap w:val="0"/>
                  <w:vAlign w:val="center"/>
                </w:tcPr>
                <w:p w14:paraId="480DA87D">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eastAsia="zh-CN"/>
                    </w:rPr>
                    <w:t>统一收集后暂存于危废暂存间，委托有资质的单位定期清运处置。</w:t>
                  </w:r>
                </w:p>
              </w:tc>
              <w:tc>
                <w:tcPr>
                  <w:tcW w:w="925" w:type="dxa"/>
                  <w:vMerge w:val="continue"/>
                  <w:tcBorders>
                    <w:tl2br w:val="nil"/>
                    <w:tr2bl w:val="nil"/>
                  </w:tcBorders>
                  <w:noWrap w:val="0"/>
                  <w:vAlign w:val="center"/>
                </w:tcPr>
                <w:p w14:paraId="22CB54BC">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p>
              </w:tc>
            </w:tr>
            <w:tr w14:paraId="2EC6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6" w:type="dxa"/>
                  <w:vMerge w:val="continue"/>
                  <w:tcBorders>
                    <w:tl2br w:val="nil"/>
                    <w:tr2bl w:val="nil"/>
                  </w:tcBorders>
                  <w:noWrap w:val="0"/>
                  <w:vAlign w:val="center"/>
                </w:tcPr>
                <w:p w14:paraId="41D16F44">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2005" w:type="dxa"/>
                  <w:tcBorders>
                    <w:tl2br w:val="nil"/>
                    <w:tr2bl w:val="nil"/>
                  </w:tcBorders>
                  <w:noWrap w:val="0"/>
                  <w:vAlign w:val="center"/>
                </w:tcPr>
                <w:p w14:paraId="59EFBE67">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机械维修</w:t>
                  </w:r>
                </w:p>
              </w:tc>
              <w:tc>
                <w:tcPr>
                  <w:tcW w:w="1687" w:type="dxa"/>
                  <w:tcBorders>
                    <w:tl2br w:val="nil"/>
                    <w:tr2bl w:val="nil"/>
                  </w:tcBorders>
                  <w:noWrap w:val="0"/>
                  <w:vAlign w:val="center"/>
                </w:tcPr>
                <w:p w14:paraId="6D876BC4">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废机油、</w:t>
                  </w:r>
                  <w:r>
                    <w:rPr>
                      <w:rFonts w:hint="default" w:ascii="Times New Roman" w:hAnsi="Times New Roman" w:eastAsia="宋体" w:cs="Times New Roman"/>
                      <w:color w:val="auto"/>
                      <w:sz w:val="21"/>
                      <w:szCs w:val="21"/>
                      <w:highlight w:val="none"/>
                      <w:lang w:val="en-US" w:eastAsia="zh-CN"/>
                    </w:rPr>
                    <w:t>废弃的含油抹布、劳保用品</w:t>
                  </w:r>
                </w:p>
              </w:tc>
              <w:tc>
                <w:tcPr>
                  <w:tcW w:w="3675" w:type="dxa"/>
                  <w:tcBorders>
                    <w:tl2br w:val="nil"/>
                    <w:tr2bl w:val="nil"/>
                  </w:tcBorders>
                  <w:noWrap w:val="0"/>
                  <w:vAlign w:val="center"/>
                </w:tcPr>
                <w:p w14:paraId="45E31A33">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统一收集后暂存于危废暂存间，委托有资质的单位定期清运处置。</w:t>
                  </w:r>
                </w:p>
              </w:tc>
              <w:tc>
                <w:tcPr>
                  <w:tcW w:w="925" w:type="dxa"/>
                  <w:vMerge w:val="continue"/>
                  <w:tcBorders>
                    <w:tl2br w:val="nil"/>
                    <w:tr2bl w:val="nil"/>
                  </w:tcBorders>
                  <w:noWrap w:val="0"/>
                  <w:vAlign w:val="center"/>
                </w:tcPr>
                <w:p w14:paraId="427EE0F0">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p>
              </w:tc>
            </w:tr>
            <w:tr w14:paraId="3E05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416" w:type="dxa"/>
                  <w:vMerge w:val="continue"/>
                  <w:tcBorders>
                    <w:tl2br w:val="nil"/>
                    <w:tr2bl w:val="nil"/>
                  </w:tcBorders>
                  <w:noWrap w:val="0"/>
                  <w:vAlign w:val="center"/>
                </w:tcPr>
                <w:p w14:paraId="4AF1CF32">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2005" w:type="dxa"/>
                  <w:tcBorders>
                    <w:tl2br w:val="nil"/>
                    <w:tr2bl w:val="nil"/>
                  </w:tcBorders>
                  <w:noWrap w:val="0"/>
                  <w:vAlign w:val="center"/>
                </w:tcPr>
                <w:p w14:paraId="407905B6">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职工生活</w:t>
                  </w:r>
                </w:p>
              </w:tc>
              <w:tc>
                <w:tcPr>
                  <w:tcW w:w="1687" w:type="dxa"/>
                  <w:tcBorders>
                    <w:tl2br w:val="nil"/>
                    <w:tr2bl w:val="nil"/>
                  </w:tcBorders>
                  <w:noWrap w:val="0"/>
                  <w:vAlign w:val="center"/>
                </w:tcPr>
                <w:p w14:paraId="51D93228">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3675" w:type="dxa"/>
                  <w:tcBorders>
                    <w:tl2br w:val="nil"/>
                    <w:tr2bl w:val="nil"/>
                  </w:tcBorders>
                  <w:noWrap w:val="0"/>
                  <w:vAlign w:val="center"/>
                </w:tcPr>
                <w:p w14:paraId="2F58939A">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收集后</w:t>
                  </w:r>
                  <w:r>
                    <w:rPr>
                      <w:rFonts w:hint="default" w:ascii="Times New Roman" w:hAnsi="Times New Roman" w:eastAsia="宋体" w:cs="Times New Roman"/>
                      <w:color w:val="auto"/>
                      <w:sz w:val="21"/>
                      <w:szCs w:val="21"/>
                      <w:highlight w:val="none"/>
                      <w:lang w:eastAsia="zh-CN"/>
                    </w:rPr>
                    <w:t>委托园区</w:t>
                  </w:r>
                  <w:r>
                    <w:rPr>
                      <w:rFonts w:hint="default" w:ascii="Times New Roman" w:hAnsi="Times New Roman" w:eastAsia="宋体" w:cs="Times New Roman"/>
                      <w:color w:val="auto"/>
                      <w:sz w:val="21"/>
                      <w:szCs w:val="21"/>
                      <w:highlight w:val="none"/>
                    </w:rPr>
                    <w:t>环卫部门</w:t>
                  </w:r>
                  <w:r>
                    <w:rPr>
                      <w:rFonts w:hint="default" w:ascii="Times New Roman" w:hAnsi="Times New Roman" w:eastAsia="宋体" w:cs="Times New Roman"/>
                      <w:color w:val="auto"/>
                      <w:sz w:val="21"/>
                      <w:szCs w:val="21"/>
                      <w:highlight w:val="none"/>
                      <w:lang w:eastAsia="zh-CN"/>
                    </w:rPr>
                    <w:t>清运、</w:t>
                  </w:r>
                  <w:r>
                    <w:rPr>
                      <w:rFonts w:hint="default" w:ascii="Times New Roman" w:hAnsi="Times New Roman" w:eastAsia="宋体" w:cs="Times New Roman"/>
                      <w:color w:val="auto"/>
                      <w:sz w:val="21"/>
                      <w:szCs w:val="21"/>
                      <w:highlight w:val="none"/>
                    </w:rPr>
                    <w:t>处置</w:t>
                  </w:r>
                  <w:r>
                    <w:rPr>
                      <w:rFonts w:hint="default" w:ascii="Times New Roman" w:hAnsi="Times New Roman" w:eastAsia="宋体" w:cs="Times New Roman"/>
                      <w:color w:val="auto"/>
                      <w:sz w:val="21"/>
                      <w:szCs w:val="21"/>
                      <w:highlight w:val="none"/>
                      <w:lang w:eastAsia="zh-CN"/>
                    </w:rPr>
                    <w:t>。</w:t>
                  </w:r>
                </w:p>
              </w:tc>
              <w:tc>
                <w:tcPr>
                  <w:tcW w:w="925" w:type="dxa"/>
                  <w:vMerge w:val="continue"/>
                  <w:tcBorders>
                    <w:tl2br w:val="nil"/>
                    <w:tr2bl w:val="nil"/>
                  </w:tcBorders>
                  <w:noWrap w:val="0"/>
                  <w:vAlign w:val="center"/>
                </w:tcPr>
                <w:p w14:paraId="29146E4D">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14:paraId="5FD3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6" w:type="dxa"/>
                  <w:vMerge w:val="continue"/>
                  <w:tcBorders>
                    <w:tl2br w:val="nil"/>
                    <w:tr2bl w:val="nil"/>
                  </w:tcBorders>
                  <w:noWrap w:val="0"/>
                  <w:vAlign w:val="center"/>
                </w:tcPr>
                <w:p w14:paraId="2D9FFB50">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2005" w:type="dxa"/>
                  <w:tcBorders>
                    <w:tl2br w:val="nil"/>
                    <w:tr2bl w:val="nil"/>
                  </w:tcBorders>
                  <w:noWrap w:val="0"/>
                  <w:vAlign w:val="center"/>
                </w:tcPr>
                <w:p w14:paraId="552E3EA4">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食堂</w:t>
                  </w:r>
                </w:p>
              </w:tc>
              <w:tc>
                <w:tcPr>
                  <w:tcW w:w="1687" w:type="dxa"/>
                  <w:tcBorders>
                    <w:tl2br w:val="nil"/>
                    <w:tr2bl w:val="nil"/>
                  </w:tcBorders>
                  <w:noWrap w:val="0"/>
                  <w:vAlign w:val="center"/>
                </w:tcPr>
                <w:p w14:paraId="060CBFC8">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highlight w:val="none"/>
                      <w:lang w:eastAsia="zh-CN" w:bidi="ar"/>
                    </w:rPr>
                    <w:t>餐厨垃圾、隔油池废油脂</w:t>
                  </w:r>
                </w:p>
              </w:tc>
              <w:tc>
                <w:tcPr>
                  <w:tcW w:w="3675" w:type="dxa"/>
                  <w:tcBorders>
                    <w:tl2br w:val="nil"/>
                    <w:tr2bl w:val="nil"/>
                  </w:tcBorders>
                  <w:noWrap w:val="0"/>
                  <w:vAlign w:val="center"/>
                </w:tcPr>
                <w:p w14:paraId="0362D578">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统一收集后委托有资质的单位定期清运、处置。</w:t>
                  </w:r>
                </w:p>
              </w:tc>
              <w:tc>
                <w:tcPr>
                  <w:tcW w:w="925" w:type="dxa"/>
                  <w:vMerge w:val="continue"/>
                  <w:tcBorders>
                    <w:tl2br w:val="nil"/>
                    <w:tr2bl w:val="nil"/>
                  </w:tcBorders>
                  <w:noWrap w:val="0"/>
                  <w:vAlign w:val="center"/>
                </w:tcPr>
                <w:p w14:paraId="38E266AA">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14:paraId="732A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6" w:type="dxa"/>
                  <w:vMerge w:val="restart"/>
                  <w:tcBorders>
                    <w:tl2br w:val="nil"/>
                    <w:tr2bl w:val="nil"/>
                  </w:tcBorders>
                  <w:noWrap w:val="0"/>
                  <w:vAlign w:val="center"/>
                </w:tcPr>
                <w:p w14:paraId="0868A369">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2005" w:type="dxa"/>
                  <w:tcBorders>
                    <w:tl2br w:val="nil"/>
                    <w:tr2bl w:val="nil"/>
                  </w:tcBorders>
                  <w:noWrap w:val="0"/>
                  <w:vAlign w:val="center"/>
                </w:tcPr>
                <w:p w14:paraId="3B248CBC">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生产工序</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N</w:t>
                  </w:r>
                  <w:r>
                    <w:rPr>
                      <w:rFonts w:hint="default" w:ascii="Times New Roman" w:hAnsi="Times New Roman" w:eastAsia="宋体" w:cs="Times New Roman"/>
                      <w:color w:val="auto"/>
                      <w:sz w:val="21"/>
                      <w:szCs w:val="21"/>
                      <w:highlight w:val="none"/>
                      <w:vertAlign w:val="subscript"/>
                      <w:lang w:val="en-US" w:eastAsia="zh-CN"/>
                    </w:rPr>
                    <w:t>1</w:t>
                  </w:r>
                  <w:r>
                    <w:rPr>
                      <w:rFonts w:hint="default" w:ascii="Times New Roman" w:hAnsi="Times New Roman" w:eastAsia="宋体" w:cs="Times New Roman"/>
                      <w:color w:val="auto"/>
                      <w:sz w:val="21"/>
                      <w:szCs w:val="21"/>
                      <w:highlight w:val="none"/>
                      <w:lang w:val="en-US" w:eastAsia="zh-CN"/>
                    </w:rPr>
                    <w:t>-N</w:t>
                  </w:r>
                  <w:r>
                    <w:rPr>
                      <w:rFonts w:hint="default" w:ascii="Times New Roman" w:hAnsi="Times New Roman" w:eastAsia="宋体" w:cs="Times New Roman"/>
                      <w:color w:val="auto"/>
                      <w:sz w:val="21"/>
                      <w:szCs w:val="21"/>
                      <w:highlight w:val="none"/>
                      <w:vertAlign w:val="subscript"/>
                      <w:lang w:val="en-US" w:eastAsia="zh-CN"/>
                    </w:rPr>
                    <w:t>8</w:t>
                  </w:r>
                  <w:r>
                    <w:rPr>
                      <w:rFonts w:hint="default" w:ascii="Times New Roman" w:hAnsi="Times New Roman" w:eastAsia="宋体" w:cs="Times New Roman"/>
                      <w:color w:val="auto"/>
                      <w:sz w:val="21"/>
                      <w:szCs w:val="21"/>
                      <w:highlight w:val="none"/>
                      <w:lang w:eastAsia="zh-CN"/>
                    </w:rPr>
                    <w:t>）</w:t>
                  </w:r>
                </w:p>
              </w:tc>
              <w:tc>
                <w:tcPr>
                  <w:tcW w:w="1687" w:type="dxa"/>
                  <w:tcBorders>
                    <w:tl2br w:val="nil"/>
                    <w:tr2bl w:val="nil"/>
                  </w:tcBorders>
                  <w:noWrap w:val="0"/>
                  <w:vAlign w:val="center"/>
                </w:tcPr>
                <w:p w14:paraId="79D61E70">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设备噪声</w:t>
                  </w:r>
                </w:p>
              </w:tc>
              <w:tc>
                <w:tcPr>
                  <w:tcW w:w="3675" w:type="dxa"/>
                  <w:tcBorders>
                    <w:tl2br w:val="nil"/>
                    <w:tr2bl w:val="nil"/>
                  </w:tcBorders>
                  <w:noWrap w:val="0"/>
                  <w:vAlign w:val="center"/>
                </w:tcPr>
                <w:p w14:paraId="78F969EC">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室内布置、基础减震、距离衰减</w:t>
                  </w:r>
                  <w:r>
                    <w:rPr>
                      <w:rFonts w:hint="default" w:ascii="Times New Roman" w:hAnsi="Times New Roman" w:eastAsia="宋体" w:cs="Times New Roman"/>
                      <w:color w:val="auto"/>
                      <w:sz w:val="21"/>
                      <w:szCs w:val="21"/>
                      <w:highlight w:val="none"/>
                      <w:lang w:eastAsia="zh-CN"/>
                    </w:rPr>
                    <w:t>。</w:t>
                  </w:r>
                </w:p>
              </w:tc>
              <w:tc>
                <w:tcPr>
                  <w:tcW w:w="925" w:type="dxa"/>
                  <w:tcBorders>
                    <w:tl2br w:val="nil"/>
                    <w:tr2bl w:val="nil"/>
                  </w:tcBorders>
                  <w:noWrap w:val="0"/>
                  <w:vAlign w:val="center"/>
                </w:tcPr>
                <w:p w14:paraId="7F61417E">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连续</w:t>
                  </w:r>
                </w:p>
              </w:tc>
            </w:tr>
            <w:tr w14:paraId="005F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6" w:type="dxa"/>
                  <w:vMerge w:val="continue"/>
                  <w:tcBorders>
                    <w:tl2br w:val="nil"/>
                    <w:tr2bl w:val="nil"/>
                  </w:tcBorders>
                  <w:noWrap w:val="0"/>
                  <w:vAlign w:val="center"/>
                </w:tcPr>
                <w:p w14:paraId="0ABFC9B5">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2005" w:type="dxa"/>
                  <w:tcBorders>
                    <w:tl2br w:val="nil"/>
                    <w:tr2bl w:val="nil"/>
                  </w:tcBorders>
                  <w:noWrap w:val="0"/>
                  <w:vAlign w:val="center"/>
                </w:tcPr>
                <w:p w14:paraId="013E5F7C">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人员活动</w:t>
                  </w:r>
                </w:p>
              </w:tc>
              <w:tc>
                <w:tcPr>
                  <w:tcW w:w="1687" w:type="dxa"/>
                  <w:tcBorders>
                    <w:tl2br w:val="nil"/>
                    <w:tr2bl w:val="nil"/>
                  </w:tcBorders>
                  <w:noWrap w:val="0"/>
                  <w:vAlign w:val="center"/>
                </w:tcPr>
                <w:p w14:paraId="046E292F">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社会生活噪声</w:t>
                  </w:r>
                </w:p>
              </w:tc>
              <w:tc>
                <w:tcPr>
                  <w:tcW w:w="3675" w:type="dxa"/>
                  <w:tcBorders>
                    <w:tl2br w:val="nil"/>
                    <w:tr2bl w:val="nil"/>
                  </w:tcBorders>
                  <w:noWrap w:val="0"/>
                  <w:vAlign w:val="center"/>
                </w:tcPr>
                <w:p w14:paraId="330C070E">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距离衰减</w:t>
                  </w:r>
                </w:p>
              </w:tc>
              <w:tc>
                <w:tcPr>
                  <w:tcW w:w="925" w:type="dxa"/>
                  <w:tcBorders>
                    <w:tl2br w:val="nil"/>
                    <w:tr2bl w:val="nil"/>
                  </w:tcBorders>
                  <w:noWrap w:val="0"/>
                  <w:vAlign w:val="center"/>
                </w:tcPr>
                <w:p w14:paraId="2D15CDAA">
                  <w:pPr>
                    <w:keepNext w:val="0"/>
                    <w:keepLines w:val="0"/>
                    <w:widowControl w:val="0"/>
                    <w:suppressLineNumbers w:val="0"/>
                    <w:shd w:val="clear"/>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间断</w:t>
                  </w:r>
                </w:p>
              </w:tc>
            </w:tr>
          </w:tbl>
          <w:p w14:paraId="551383E1">
            <w:pPr>
              <w:pStyle w:val="74"/>
              <w:keepNext w:val="0"/>
              <w:keepLines w:val="0"/>
              <w:pageBreakBefore w:val="0"/>
              <w:widowControl w:val="0"/>
              <w:numPr>
                <w:ilvl w:val="0"/>
                <w:numId w:val="0"/>
              </w:numPr>
              <w:shd w:val="clear"/>
              <w:kinsoku/>
              <w:wordWrap/>
              <w:overflowPunct/>
              <w:topLinePunct w:val="0"/>
              <w:autoSpaceDE/>
              <w:autoSpaceDN/>
              <w:bidi w:val="0"/>
              <w:adjustRightInd/>
              <w:snapToGrid/>
              <w:spacing w:line="336" w:lineRule="auto"/>
              <w:ind w:right="0" w:firstLine="482" w:firstLineChars="200"/>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eastAsia="zh-CN"/>
              </w:rPr>
              <w:t>（</w:t>
            </w:r>
            <w:r>
              <w:rPr>
                <w:rFonts w:hint="default" w:ascii="Times New Roman" w:hAnsi="Times New Roman" w:eastAsia="宋体" w:cs="Times New Roman"/>
                <w:b/>
                <w:bCs/>
                <w:color w:val="auto"/>
                <w:highlight w:val="none"/>
                <w:lang w:val="en-US" w:eastAsia="zh-CN"/>
              </w:rPr>
              <w:t>三</w:t>
            </w:r>
            <w:r>
              <w:rPr>
                <w:rFonts w:hint="default" w:ascii="Times New Roman" w:hAnsi="Times New Roman" w:eastAsia="宋体" w:cs="Times New Roman"/>
                <w:b/>
                <w:bCs/>
                <w:color w:val="auto"/>
                <w:highlight w:val="none"/>
                <w:lang w:eastAsia="zh-CN"/>
              </w:rPr>
              <w:t>）</w:t>
            </w:r>
            <w:r>
              <w:rPr>
                <w:rFonts w:hint="default" w:ascii="Times New Roman" w:hAnsi="Times New Roman" w:eastAsia="宋体" w:cs="Times New Roman"/>
                <w:b/>
                <w:bCs/>
                <w:color w:val="auto"/>
                <w:highlight w:val="none"/>
                <w:lang w:val="en-US" w:eastAsia="zh-CN"/>
              </w:rPr>
              <w:t>物料平衡</w:t>
            </w:r>
          </w:p>
          <w:p w14:paraId="262AF742">
            <w:pPr>
              <w:widowControl w:val="0"/>
              <w:spacing w:line="336" w:lineRule="auto"/>
              <w:ind w:firstLine="480" w:firstLineChars="200"/>
              <w:rPr>
                <w:rFonts w:hint="default" w:ascii="Times New Roman" w:hAnsi="Times New Roman" w:eastAsia="宋体" w:cs="Times New Roman"/>
                <w:b w:val="0"/>
                <w:bCs w:val="0"/>
                <w:color w:val="FF0000"/>
                <w:kern w:val="0"/>
                <w:sz w:val="24"/>
                <w:highlight w:val="none"/>
              </w:rPr>
            </w:pPr>
            <w:r>
              <w:rPr>
                <w:rFonts w:hint="default" w:ascii="Times New Roman" w:hAnsi="Times New Roman" w:eastAsia="宋体" w:cs="Times New Roman"/>
                <w:color w:val="auto"/>
                <w:sz w:val="24"/>
              </w:rPr>
              <w:t>项目</w:t>
            </w:r>
            <w:r>
              <w:rPr>
                <w:rFonts w:hint="default" w:ascii="Times New Roman" w:hAnsi="Times New Roman" w:eastAsia="宋体" w:cs="Times New Roman"/>
                <w:color w:val="auto"/>
                <w:sz w:val="24"/>
                <w:lang w:val="en-US" w:eastAsia="zh-CN"/>
              </w:rPr>
              <w:t>生产</w:t>
            </w:r>
            <w:r>
              <w:rPr>
                <w:rFonts w:hint="default" w:ascii="Times New Roman" w:hAnsi="Times New Roman" w:eastAsia="宋体" w:cs="Times New Roman"/>
                <w:color w:val="auto"/>
                <w:sz w:val="24"/>
              </w:rPr>
              <w:t>过程中物料平衡见</w:t>
            </w:r>
            <w:r>
              <w:rPr>
                <w:rFonts w:hint="default" w:ascii="Times New Roman" w:hAnsi="Times New Roman" w:eastAsia="宋体" w:cs="Times New Roman"/>
                <w:b w:val="0"/>
                <w:bCs w:val="0"/>
                <w:color w:val="auto"/>
                <w:kern w:val="0"/>
                <w:sz w:val="24"/>
                <w:highlight w:val="none"/>
                <w:lang w:val="en-US" w:eastAsia="zh-CN"/>
              </w:rPr>
              <w:t>表2-</w:t>
            </w:r>
            <w:r>
              <w:rPr>
                <w:rFonts w:hint="eastAsia" w:cs="Times New Roman"/>
                <w:b w:val="0"/>
                <w:bCs w:val="0"/>
                <w:color w:val="auto"/>
                <w:kern w:val="0"/>
                <w:sz w:val="24"/>
                <w:highlight w:val="none"/>
                <w:lang w:val="en-US" w:eastAsia="zh-CN"/>
              </w:rPr>
              <w:t>8</w:t>
            </w:r>
            <w:r>
              <w:rPr>
                <w:rFonts w:hint="default" w:ascii="Times New Roman" w:hAnsi="Times New Roman" w:eastAsia="宋体" w:cs="Times New Roman"/>
                <w:b w:val="0"/>
                <w:bCs w:val="0"/>
                <w:color w:val="auto"/>
                <w:kern w:val="0"/>
                <w:sz w:val="24"/>
                <w:highlight w:val="none"/>
                <w:lang w:val="en-US" w:eastAsia="zh-CN"/>
              </w:rPr>
              <w:t>所示</w:t>
            </w:r>
            <w:r>
              <w:rPr>
                <w:rFonts w:hint="default" w:ascii="Times New Roman" w:hAnsi="Times New Roman" w:eastAsia="宋体" w:cs="Times New Roman"/>
                <w:b w:val="0"/>
                <w:bCs w:val="0"/>
                <w:color w:val="auto"/>
                <w:kern w:val="0"/>
                <w:sz w:val="24"/>
                <w:highlight w:val="none"/>
              </w:rPr>
              <w:t>。</w:t>
            </w:r>
          </w:p>
          <w:p w14:paraId="2339FF8C">
            <w:pPr>
              <w:widowControl w:val="0"/>
              <w:jc w:val="center"/>
              <w:rPr>
                <w:rFonts w:hint="default" w:ascii="Times New Roman" w:hAnsi="Times New Roman" w:eastAsia="宋体" w:cs="Times New Roman"/>
                <w:b/>
                <w:color w:val="auto"/>
                <w:kern w:val="2"/>
                <w:sz w:val="21"/>
                <w:szCs w:val="21"/>
                <w:highlight w:val="none"/>
                <w:lang w:val="en-US" w:eastAsia="zh-CN" w:bidi="ar"/>
              </w:rPr>
            </w:pPr>
            <w:r>
              <w:rPr>
                <w:rFonts w:hint="default" w:ascii="Times New Roman" w:hAnsi="Times New Roman" w:eastAsia="宋体" w:cs="Times New Roman"/>
                <w:b/>
                <w:color w:val="auto"/>
                <w:kern w:val="2"/>
                <w:sz w:val="21"/>
                <w:szCs w:val="21"/>
                <w:highlight w:val="none"/>
                <w:lang w:eastAsia="zh-CN" w:bidi="ar"/>
              </w:rPr>
              <w:t>表</w:t>
            </w:r>
            <w:r>
              <w:rPr>
                <w:rFonts w:hint="default" w:ascii="Times New Roman" w:hAnsi="Times New Roman" w:eastAsia="宋体" w:cs="Times New Roman"/>
                <w:b/>
                <w:color w:val="auto"/>
                <w:kern w:val="2"/>
                <w:sz w:val="21"/>
                <w:szCs w:val="21"/>
                <w:highlight w:val="none"/>
                <w:lang w:val="en-US" w:eastAsia="zh-CN" w:bidi="ar"/>
              </w:rPr>
              <w:t>2-</w:t>
            </w:r>
            <w:r>
              <w:rPr>
                <w:rFonts w:hint="eastAsia" w:cs="Times New Roman"/>
                <w:b/>
                <w:color w:val="auto"/>
                <w:kern w:val="2"/>
                <w:sz w:val="21"/>
                <w:szCs w:val="21"/>
                <w:highlight w:val="none"/>
                <w:lang w:val="en-US" w:eastAsia="zh-CN" w:bidi="ar"/>
              </w:rPr>
              <w:t>8</w:t>
            </w:r>
            <w:r>
              <w:rPr>
                <w:rFonts w:hint="default" w:ascii="Times New Roman" w:hAnsi="Times New Roman" w:eastAsia="宋体" w:cs="Times New Roman"/>
                <w:b/>
                <w:color w:val="auto"/>
                <w:kern w:val="2"/>
                <w:sz w:val="21"/>
                <w:szCs w:val="21"/>
                <w:highlight w:val="none"/>
                <w:lang w:val="en-US" w:eastAsia="zh-CN" w:bidi="ar"/>
              </w:rPr>
              <w:t xml:space="preserve"> </w:t>
            </w:r>
            <w:r>
              <w:rPr>
                <w:rFonts w:hint="default" w:ascii="Times New Roman" w:hAnsi="Times New Roman" w:eastAsia="宋体" w:cs="Times New Roman"/>
                <w:b/>
                <w:color w:val="auto"/>
                <w:kern w:val="2"/>
                <w:sz w:val="21"/>
                <w:szCs w:val="21"/>
                <w:highlight w:val="none"/>
                <w:lang w:eastAsia="zh-CN" w:bidi="ar"/>
              </w:rPr>
              <w:t xml:space="preserve"> </w:t>
            </w:r>
            <w:r>
              <w:rPr>
                <w:rFonts w:hint="default" w:ascii="Times New Roman" w:hAnsi="Times New Roman" w:eastAsia="宋体" w:cs="Times New Roman"/>
                <w:b/>
                <w:color w:val="auto"/>
                <w:kern w:val="2"/>
                <w:sz w:val="21"/>
                <w:szCs w:val="21"/>
                <w:highlight w:val="none"/>
                <w:lang w:val="en-US" w:eastAsia="zh-CN" w:bidi="ar"/>
              </w:rPr>
              <w:t>项目</w:t>
            </w:r>
            <w:r>
              <w:rPr>
                <w:rFonts w:hint="default" w:ascii="Times New Roman" w:hAnsi="Times New Roman" w:eastAsia="宋体" w:cs="Times New Roman"/>
                <w:b/>
                <w:color w:val="auto"/>
                <w:kern w:val="2"/>
                <w:sz w:val="21"/>
                <w:szCs w:val="21"/>
                <w:highlight w:val="none"/>
                <w:lang w:eastAsia="zh-CN" w:bidi="ar"/>
              </w:rPr>
              <w:t>物料平衡一览表</w:t>
            </w:r>
          </w:p>
          <w:tbl>
            <w:tblPr>
              <w:tblStyle w:val="26"/>
              <w:tblW w:w="8522"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914"/>
              <w:gridCol w:w="1068"/>
              <w:gridCol w:w="1985"/>
              <w:gridCol w:w="1605"/>
            </w:tblGrid>
            <w:tr w14:paraId="1349073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864" w:type="dxa"/>
                  <w:gridSpan w:val="2"/>
                  <w:tcBorders>
                    <w:tl2br w:val="nil"/>
                    <w:tr2bl w:val="nil"/>
                  </w:tcBorders>
                  <w:noWrap w:val="0"/>
                  <w:vAlign w:val="center"/>
                </w:tcPr>
                <w:p w14:paraId="547A96CD">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投入</w:t>
                  </w:r>
                </w:p>
              </w:tc>
              <w:tc>
                <w:tcPr>
                  <w:tcW w:w="4658" w:type="dxa"/>
                  <w:gridSpan w:val="3"/>
                  <w:tcBorders>
                    <w:tl2br w:val="nil"/>
                    <w:tr2bl w:val="nil"/>
                  </w:tcBorders>
                  <w:noWrap w:val="0"/>
                  <w:vAlign w:val="center"/>
                </w:tcPr>
                <w:p w14:paraId="6EE8E110">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产出</w:t>
                  </w:r>
                </w:p>
              </w:tc>
            </w:tr>
            <w:tr w14:paraId="624B3FC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tcBorders>
                    <w:tl2br w:val="nil"/>
                    <w:tr2bl w:val="nil"/>
                  </w:tcBorders>
                  <w:noWrap w:val="0"/>
                  <w:vAlign w:val="center"/>
                </w:tcPr>
                <w:p w14:paraId="51016FE8">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名称</w:t>
                  </w:r>
                </w:p>
              </w:tc>
              <w:tc>
                <w:tcPr>
                  <w:tcW w:w="1914" w:type="dxa"/>
                  <w:tcBorders>
                    <w:tl2br w:val="nil"/>
                    <w:tr2bl w:val="nil"/>
                  </w:tcBorders>
                  <w:noWrap w:val="0"/>
                  <w:vAlign w:val="center"/>
                </w:tcPr>
                <w:p w14:paraId="49C10896">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年用量（t）</w:t>
                  </w:r>
                </w:p>
              </w:tc>
              <w:tc>
                <w:tcPr>
                  <w:tcW w:w="3053" w:type="dxa"/>
                  <w:gridSpan w:val="2"/>
                  <w:tcBorders>
                    <w:tl2br w:val="nil"/>
                    <w:tr2bl w:val="nil"/>
                  </w:tcBorders>
                  <w:noWrap w:val="0"/>
                  <w:vAlign w:val="center"/>
                </w:tcPr>
                <w:p w14:paraId="397E5B07">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名称</w:t>
                  </w:r>
                </w:p>
              </w:tc>
              <w:tc>
                <w:tcPr>
                  <w:tcW w:w="1605" w:type="dxa"/>
                  <w:tcBorders>
                    <w:tl2br w:val="nil"/>
                    <w:tr2bl w:val="nil"/>
                  </w:tcBorders>
                  <w:noWrap w:val="0"/>
                  <w:vAlign w:val="center"/>
                </w:tcPr>
                <w:p w14:paraId="19913EC6">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年产生量（t）</w:t>
                  </w:r>
                </w:p>
              </w:tc>
            </w:tr>
            <w:tr w14:paraId="79C6774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0" w:type="dxa"/>
                  <w:tcBorders>
                    <w:tl2br w:val="nil"/>
                    <w:tr2bl w:val="nil"/>
                  </w:tcBorders>
                  <w:noWrap w:val="0"/>
                  <w:vAlign w:val="center"/>
                </w:tcPr>
                <w:p w14:paraId="480D127A">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eastAsia" w:cs="Times New Roman"/>
                      <w:color w:val="auto"/>
                      <w:sz w:val="21"/>
                      <w:szCs w:val="21"/>
                      <w:highlight w:val="none"/>
                      <w:lang w:val="en-US" w:eastAsia="zh-CN"/>
                    </w:rPr>
                    <w:t>PVC树脂</w:t>
                  </w:r>
                </w:p>
              </w:tc>
              <w:tc>
                <w:tcPr>
                  <w:tcW w:w="1914" w:type="dxa"/>
                  <w:tcBorders>
                    <w:tl2br w:val="nil"/>
                    <w:tr2bl w:val="nil"/>
                  </w:tcBorders>
                  <w:noWrap w:val="0"/>
                  <w:vAlign w:val="center"/>
                </w:tcPr>
                <w:p w14:paraId="2B4E2949">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lang w:val="en-US" w:eastAsia="zh-CN"/>
                    </w:rPr>
                  </w:pPr>
                  <w:r>
                    <w:rPr>
                      <w:rFonts w:hint="eastAsia" w:cs="Times New Roman"/>
                      <w:color w:val="auto"/>
                      <w:sz w:val="21"/>
                      <w:szCs w:val="21"/>
                      <w:highlight w:val="none"/>
                      <w:lang w:val="en-US" w:eastAsia="zh-CN"/>
                    </w:rPr>
                    <w:t>330</w:t>
                  </w:r>
                </w:p>
              </w:tc>
              <w:tc>
                <w:tcPr>
                  <w:tcW w:w="1068" w:type="dxa"/>
                  <w:vMerge w:val="restart"/>
                  <w:tcBorders>
                    <w:tl2br w:val="nil"/>
                    <w:tr2bl w:val="nil"/>
                  </w:tcBorders>
                  <w:noWrap w:val="0"/>
                  <w:vAlign w:val="center"/>
                </w:tcPr>
                <w:p w14:paraId="6BE58683">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废气</w:t>
                  </w:r>
                </w:p>
              </w:tc>
              <w:tc>
                <w:tcPr>
                  <w:tcW w:w="1985" w:type="dxa"/>
                  <w:tcBorders>
                    <w:tl2br w:val="nil"/>
                    <w:tr2bl w:val="nil"/>
                  </w:tcBorders>
                  <w:noWrap w:val="0"/>
                  <w:vAlign w:val="center"/>
                </w:tcPr>
                <w:p w14:paraId="112B0A8B">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eastAsia="zh-CN"/>
                    </w:rPr>
                    <w:t>颗粒物</w:t>
                  </w:r>
                </w:p>
              </w:tc>
              <w:tc>
                <w:tcPr>
                  <w:tcW w:w="1605" w:type="dxa"/>
                  <w:tcBorders>
                    <w:tl2br w:val="nil"/>
                    <w:tr2bl w:val="nil"/>
                  </w:tcBorders>
                  <w:noWrap w:val="0"/>
                  <w:vAlign w:val="center"/>
                </w:tcPr>
                <w:p w14:paraId="2B2CAB02">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 w:val="21"/>
                      <w:szCs w:val="21"/>
                      <w:highlight w:val="none"/>
                      <w:lang w:val="en-US" w:eastAsia="zh-CN"/>
                    </w:rPr>
                    <w:t>8.505</w:t>
                  </w:r>
                </w:p>
              </w:tc>
            </w:tr>
            <w:tr w14:paraId="4FEF1EA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50" w:type="dxa"/>
                  <w:tcBorders>
                    <w:tl2br w:val="nil"/>
                    <w:tr2bl w:val="nil"/>
                  </w:tcBorders>
                  <w:noWrap w:val="0"/>
                  <w:vAlign w:val="center"/>
                </w:tcPr>
                <w:p w14:paraId="07E1630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eastAsia" w:cs="Times New Roman"/>
                      <w:color w:val="auto"/>
                      <w:sz w:val="21"/>
                      <w:szCs w:val="21"/>
                      <w:highlight w:val="none"/>
                      <w:lang w:eastAsia="zh-CN"/>
                    </w:rPr>
                    <w:t>钙粉</w:t>
                  </w:r>
                </w:p>
              </w:tc>
              <w:tc>
                <w:tcPr>
                  <w:tcW w:w="1914" w:type="dxa"/>
                  <w:tcBorders>
                    <w:tl2br w:val="nil"/>
                    <w:tr2bl w:val="nil"/>
                  </w:tcBorders>
                  <w:noWrap w:val="0"/>
                  <w:vAlign w:val="center"/>
                </w:tcPr>
                <w:p w14:paraId="037EA64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eastAsia" w:cs="Times New Roman"/>
                      <w:color w:val="auto"/>
                      <w:sz w:val="21"/>
                      <w:szCs w:val="21"/>
                      <w:highlight w:val="none"/>
                      <w:lang w:val="en-US" w:eastAsia="zh-CN"/>
                    </w:rPr>
                    <w:t>818.0087</w:t>
                  </w:r>
                </w:p>
              </w:tc>
              <w:tc>
                <w:tcPr>
                  <w:tcW w:w="1068" w:type="dxa"/>
                  <w:vMerge w:val="continue"/>
                  <w:tcBorders>
                    <w:tl2br w:val="nil"/>
                    <w:tr2bl w:val="nil"/>
                  </w:tcBorders>
                  <w:noWrap w:val="0"/>
                  <w:vAlign w:val="center"/>
                </w:tcPr>
                <w:p w14:paraId="7041F0F6">
                  <w:pPr>
                    <w:jc w:val="center"/>
                    <w:rPr>
                      <w:rFonts w:hint="default" w:ascii="Times New Roman" w:hAnsi="Times New Roman" w:eastAsia="宋体" w:cs="Times New Roman"/>
                      <w:color w:val="auto"/>
                      <w:szCs w:val="21"/>
                      <w:highlight w:val="none"/>
                    </w:rPr>
                  </w:pPr>
                </w:p>
              </w:tc>
              <w:tc>
                <w:tcPr>
                  <w:tcW w:w="1985" w:type="dxa"/>
                  <w:tcBorders>
                    <w:tl2br w:val="nil"/>
                    <w:tr2bl w:val="nil"/>
                  </w:tcBorders>
                  <w:noWrap w:val="0"/>
                  <w:vAlign w:val="center"/>
                </w:tcPr>
                <w:p w14:paraId="4F9E5E6C">
                  <w:pPr>
                    <w:jc w:val="center"/>
                    <w:rPr>
                      <w:rFonts w:hint="default" w:ascii="Times New Roman" w:hAnsi="Times New Roman" w:eastAsia="宋体" w:cs="Times New Roman"/>
                      <w:color w:val="auto"/>
                      <w:szCs w:val="21"/>
                      <w:highlight w:val="none"/>
                    </w:rPr>
                  </w:pPr>
                  <w:r>
                    <w:rPr>
                      <w:rFonts w:hint="eastAsia" w:cs="Times New Roman"/>
                      <w:color w:val="auto"/>
                      <w:sz w:val="21"/>
                      <w:szCs w:val="21"/>
                      <w:highlight w:val="none"/>
                      <w:lang w:val="en-US" w:eastAsia="zh-CN"/>
                    </w:rPr>
                    <w:t>非甲烷总烃</w:t>
                  </w:r>
                </w:p>
              </w:tc>
              <w:tc>
                <w:tcPr>
                  <w:tcW w:w="1605" w:type="dxa"/>
                  <w:tcBorders>
                    <w:tl2br w:val="nil"/>
                    <w:tr2bl w:val="nil"/>
                  </w:tcBorders>
                  <w:noWrap w:val="0"/>
                  <w:vAlign w:val="center"/>
                </w:tcPr>
                <w:p w14:paraId="7D80F2DF">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 w:val="21"/>
                      <w:szCs w:val="21"/>
                      <w:highlight w:val="none"/>
                      <w:lang w:val="en-US" w:eastAsia="zh-CN"/>
                    </w:rPr>
                    <w:t>3.1692</w:t>
                  </w:r>
                </w:p>
              </w:tc>
            </w:tr>
            <w:tr w14:paraId="70D4BF4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50" w:type="dxa"/>
                  <w:tcBorders>
                    <w:tl2br w:val="nil"/>
                    <w:tr2bl w:val="nil"/>
                  </w:tcBorders>
                  <w:noWrap w:val="0"/>
                  <w:vAlign w:val="center"/>
                </w:tcPr>
                <w:p w14:paraId="588AA1F3">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eastAsia" w:cs="Times New Roman"/>
                      <w:color w:val="auto"/>
                      <w:sz w:val="21"/>
                      <w:szCs w:val="21"/>
                      <w:highlight w:val="none"/>
                      <w:lang w:eastAsia="zh-CN"/>
                    </w:rPr>
                    <w:t>木粉</w:t>
                  </w:r>
                </w:p>
              </w:tc>
              <w:tc>
                <w:tcPr>
                  <w:tcW w:w="1914" w:type="dxa"/>
                  <w:tcBorders>
                    <w:tl2br w:val="nil"/>
                    <w:tr2bl w:val="nil"/>
                  </w:tcBorders>
                  <w:noWrap w:val="0"/>
                  <w:vAlign w:val="center"/>
                </w:tcPr>
                <w:p w14:paraId="035E78F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lang w:val="en-US" w:eastAsia="zh-CN"/>
                    </w:rPr>
                  </w:pPr>
                  <w:r>
                    <w:rPr>
                      <w:rFonts w:hint="eastAsia" w:cs="Times New Roman"/>
                      <w:color w:val="auto"/>
                      <w:sz w:val="21"/>
                      <w:szCs w:val="21"/>
                      <w:highlight w:val="none"/>
                      <w:lang w:val="en-US" w:eastAsia="zh-CN"/>
                    </w:rPr>
                    <w:t>202.5</w:t>
                  </w:r>
                </w:p>
              </w:tc>
              <w:tc>
                <w:tcPr>
                  <w:tcW w:w="1068" w:type="dxa"/>
                  <w:vMerge w:val="continue"/>
                  <w:tcBorders>
                    <w:tl2br w:val="nil"/>
                    <w:tr2bl w:val="nil"/>
                  </w:tcBorders>
                  <w:noWrap w:val="0"/>
                  <w:vAlign w:val="center"/>
                </w:tcPr>
                <w:p w14:paraId="523AF749">
                  <w:pPr>
                    <w:jc w:val="center"/>
                    <w:rPr>
                      <w:rFonts w:hint="default" w:ascii="Times New Roman" w:hAnsi="Times New Roman" w:eastAsia="宋体" w:cs="Times New Roman"/>
                      <w:color w:val="auto"/>
                      <w:szCs w:val="21"/>
                      <w:highlight w:val="none"/>
                    </w:rPr>
                  </w:pPr>
                </w:p>
              </w:tc>
              <w:tc>
                <w:tcPr>
                  <w:tcW w:w="1985" w:type="dxa"/>
                  <w:tcBorders>
                    <w:tl2br w:val="nil"/>
                    <w:tr2bl w:val="nil"/>
                  </w:tcBorders>
                  <w:noWrap w:val="0"/>
                  <w:vAlign w:val="center"/>
                </w:tcPr>
                <w:p w14:paraId="405CF5E1">
                  <w:pPr>
                    <w:jc w:val="center"/>
                    <w:rPr>
                      <w:rFonts w:hint="default" w:ascii="Times New Roman" w:hAnsi="Times New Roman" w:eastAsia="宋体" w:cs="Times New Roman"/>
                      <w:color w:val="auto"/>
                      <w:sz w:val="21"/>
                      <w:szCs w:val="21"/>
                      <w:highlight w:val="none"/>
                    </w:rPr>
                  </w:pPr>
                  <w:r>
                    <w:rPr>
                      <w:rFonts w:hint="eastAsia" w:cs="Times New Roman"/>
                      <w:b w:val="0"/>
                      <w:bCs w:val="0"/>
                      <w:color w:val="auto"/>
                      <w:sz w:val="21"/>
                      <w:szCs w:val="21"/>
                      <w:highlight w:val="none"/>
                      <w:lang w:val="en-US" w:eastAsia="zh-CN"/>
                    </w:rPr>
                    <w:t>氯乙烯</w:t>
                  </w:r>
                </w:p>
              </w:tc>
              <w:tc>
                <w:tcPr>
                  <w:tcW w:w="1605" w:type="dxa"/>
                  <w:tcBorders>
                    <w:tl2br w:val="nil"/>
                    <w:tr2bl w:val="nil"/>
                  </w:tcBorders>
                  <w:noWrap w:val="0"/>
                  <w:vAlign w:val="center"/>
                </w:tcPr>
                <w:p w14:paraId="43689DC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0.0382</w:t>
                  </w:r>
                </w:p>
              </w:tc>
            </w:tr>
            <w:tr w14:paraId="429518B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50" w:type="dxa"/>
                  <w:tcBorders>
                    <w:tl2br w:val="nil"/>
                    <w:tr2bl w:val="nil"/>
                  </w:tcBorders>
                  <w:noWrap w:val="0"/>
                  <w:vAlign w:val="center"/>
                </w:tcPr>
                <w:p w14:paraId="081EF974">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eastAsia" w:cs="Times New Roman"/>
                      <w:color w:val="auto"/>
                      <w:sz w:val="21"/>
                      <w:szCs w:val="21"/>
                      <w:highlight w:val="none"/>
                      <w:lang w:eastAsia="zh-CN"/>
                    </w:rPr>
                    <w:t>钛白粉</w:t>
                  </w:r>
                </w:p>
              </w:tc>
              <w:tc>
                <w:tcPr>
                  <w:tcW w:w="1914" w:type="dxa"/>
                  <w:tcBorders>
                    <w:tl2br w:val="nil"/>
                    <w:tr2bl w:val="nil"/>
                  </w:tcBorders>
                  <w:noWrap w:val="0"/>
                  <w:vAlign w:val="center"/>
                </w:tcPr>
                <w:p w14:paraId="2BEE9329">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lang w:val="en-US" w:eastAsia="zh-CN"/>
                    </w:rPr>
                  </w:pPr>
                  <w:r>
                    <w:rPr>
                      <w:rFonts w:hint="eastAsia" w:cs="Times New Roman"/>
                      <w:color w:val="auto"/>
                      <w:sz w:val="21"/>
                      <w:szCs w:val="21"/>
                      <w:highlight w:val="none"/>
                      <w:lang w:val="en-US" w:eastAsia="zh-CN"/>
                    </w:rPr>
                    <w:t>0.135</w:t>
                  </w:r>
                </w:p>
              </w:tc>
              <w:tc>
                <w:tcPr>
                  <w:tcW w:w="1068" w:type="dxa"/>
                  <w:vMerge w:val="continue"/>
                  <w:tcBorders>
                    <w:tl2br w:val="nil"/>
                    <w:tr2bl w:val="nil"/>
                  </w:tcBorders>
                  <w:noWrap w:val="0"/>
                  <w:vAlign w:val="center"/>
                </w:tcPr>
                <w:p w14:paraId="4CFCD46C">
                  <w:pPr>
                    <w:jc w:val="center"/>
                    <w:rPr>
                      <w:rFonts w:hint="default" w:ascii="Times New Roman" w:hAnsi="Times New Roman" w:eastAsia="宋体" w:cs="Times New Roman"/>
                      <w:bCs/>
                      <w:color w:val="auto"/>
                      <w:szCs w:val="21"/>
                      <w:highlight w:val="none"/>
                      <w:lang w:val="en-US" w:eastAsia="zh-CN"/>
                    </w:rPr>
                  </w:pPr>
                </w:p>
              </w:tc>
              <w:tc>
                <w:tcPr>
                  <w:tcW w:w="1985" w:type="dxa"/>
                  <w:tcBorders>
                    <w:tl2br w:val="nil"/>
                    <w:tr2bl w:val="nil"/>
                  </w:tcBorders>
                  <w:noWrap w:val="0"/>
                  <w:vAlign w:val="center"/>
                </w:tcPr>
                <w:p w14:paraId="61E268F1">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氯化氢</w:t>
                  </w:r>
                </w:p>
              </w:tc>
              <w:tc>
                <w:tcPr>
                  <w:tcW w:w="1605" w:type="dxa"/>
                  <w:tcBorders>
                    <w:tl2br w:val="nil"/>
                    <w:tr2bl w:val="nil"/>
                  </w:tcBorders>
                  <w:noWrap w:val="0"/>
                  <w:vAlign w:val="center"/>
                </w:tcPr>
                <w:p w14:paraId="0C567C58">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0.0313</w:t>
                  </w:r>
                </w:p>
              </w:tc>
            </w:tr>
            <w:tr w14:paraId="5A70243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50" w:type="dxa"/>
                  <w:tcBorders>
                    <w:tl2br w:val="nil"/>
                    <w:tr2bl w:val="nil"/>
                  </w:tcBorders>
                  <w:noWrap w:val="0"/>
                  <w:vAlign w:val="center"/>
                </w:tcPr>
                <w:p w14:paraId="6F08F89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eastAsia" w:cs="Times New Roman"/>
                      <w:color w:val="auto"/>
                      <w:sz w:val="21"/>
                      <w:szCs w:val="21"/>
                      <w:highlight w:val="none"/>
                      <w:lang w:val="en-US" w:eastAsia="zh-CN"/>
                    </w:rPr>
                    <w:t>PE腊</w:t>
                  </w:r>
                </w:p>
              </w:tc>
              <w:tc>
                <w:tcPr>
                  <w:tcW w:w="1914" w:type="dxa"/>
                  <w:tcBorders>
                    <w:tl2br w:val="nil"/>
                    <w:tr2bl w:val="nil"/>
                  </w:tcBorders>
                  <w:noWrap w:val="0"/>
                  <w:vAlign w:val="center"/>
                </w:tcPr>
                <w:p w14:paraId="2A65D846">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lang w:val="en-US" w:eastAsia="zh-CN"/>
                    </w:rPr>
                  </w:pPr>
                  <w:r>
                    <w:rPr>
                      <w:rFonts w:hint="eastAsia" w:cs="Times New Roman"/>
                      <w:color w:val="auto"/>
                      <w:sz w:val="21"/>
                      <w:szCs w:val="21"/>
                      <w:highlight w:val="none"/>
                      <w:lang w:val="en-US" w:eastAsia="zh-CN"/>
                    </w:rPr>
                    <w:t>2.7</w:t>
                  </w:r>
                </w:p>
              </w:tc>
              <w:tc>
                <w:tcPr>
                  <w:tcW w:w="1068" w:type="dxa"/>
                  <w:tcBorders>
                    <w:tl2br w:val="nil"/>
                    <w:tr2bl w:val="nil"/>
                  </w:tcBorders>
                  <w:noWrap w:val="0"/>
                  <w:vAlign w:val="center"/>
                </w:tcPr>
                <w:p w14:paraId="4EEFBC2F">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固废</w:t>
                  </w:r>
                </w:p>
              </w:tc>
              <w:tc>
                <w:tcPr>
                  <w:tcW w:w="1985" w:type="dxa"/>
                  <w:tcBorders>
                    <w:tl2br w:val="nil"/>
                    <w:tr2bl w:val="nil"/>
                  </w:tcBorders>
                  <w:noWrap w:val="0"/>
                  <w:vAlign w:val="center"/>
                </w:tcPr>
                <w:p w14:paraId="7C8E3862">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边角料、不合格品</w:t>
                  </w:r>
                </w:p>
              </w:tc>
              <w:tc>
                <w:tcPr>
                  <w:tcW w:w="1605" w:type="dxa"/>
                  <w:tcBorders>
                    <w:tl2br w:val="nil"/>
                    <w:tr2bl w:val="nil"/>
                  </w:tcBorders>
                  <w:noWrap w:val="0"/>
                  <w:vAlign w:val="center"/>
                </w:tcPr>
                <w:p w14:paraId="3309923F">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2.7</w:t>
                  </w:r>
                </w:p>
              </w:tc>
            </w:tr>
            <w:tr w14:paraId="3107014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50" w:type="dxa"/>
                  <w:tcBorders>
                    <w:tl2br w:val="nil"/>
                    <w:tr2bl w:val="nil"/>
                  </w:tcBorders>
                  <w:noWrap w:val="0"/>
                  <w:vAlign w:val="center"/>
                </w:tcPr>
                <w:p w14:paraId="733CEE0D">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eastAsia" w:cs="Times New Roman"/>
                      <w:color w:val="auto"/>
                      <w:sz w:val="21"/>
                      <w:szCs w:val="21"/>
                      <w:highlight w:val="none"/>
                      <w:lang w:eastAsia="zh-CN"/>
                    </w:rPr>
                    <w:t>硬酸酯</w:t>
                  </w:r>
                </w:p>
              </w:tc>
              <w:tc>
                <w:tcPr>
                  <w:tcW w:w="1914" w:type="dxa"/>
                  <w:tcBorders>
                    <w:tl2br w:val="nil"/>
                    <w:tr2bl w:val="nil"/>
                  </w:tcBorders>
                  <w:noWrap w:val="0"/>
                  <w:vAlign w:val="center"/>
                </w:tcPr>
                <w:p w14:paraId="781F7E85">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lang w:val="en-US" w:eastAsia="zh-CN"/>
                    </w:rPr>
                  </w:pPr>
                  <w:r>
                    <w:rPr>
                      <w:rFonts w:hint="eastAsia" w:cs="Times New Roman"/>
                      <w:color w:val="auto"/>
                      <w:sz w:val="21"/>
                      <w:szCs w:val="21"/>
                      <w:highlight w:val="none"/>
                      <w:lang w:val="en-US" w:eastAsia="zh-CN"/>
                    </w:rPr>
                    <w:t>2.7</w:t>
                  </w:r>
                </w:p>
              </w:tc>
              <w:tc>
                <w:tcPr>
                  <w:tcW w:w="1068" w:type="dxa"/>
                  <w:tcBorders>
                    <w:tl2br w:val="nil"/>
                    <w:tr2bl w:val="nil"/>
                  </w:tcBorders>
                  <w:noWrap w:val="0"/>
                  <w:vAlign w:val="center"/>
                </w:tcPr>
                <w:p w14:paraId="4438EF10">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产品</w:t>
                  </w:r>
                </w:p>
              </w:tc>
              <w:tc>
                <w:tcPr>
                  <w:tcW w:w="1985" w:type="dxa"/>
                  <w:tcBorders>
                    <w:tl2br w:val="nil"/>
                    <w:tr2bl w:val="nil"/>
                  </w:tcBorders>
                  <w:noWrap w:val="0"/>
                  <w:vAlign w:val="center"/>
                </w:tcPr>
                <w:p w14:paraId="67143F29">
                  <w:pPr>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竹木纤维集成墙板及扣板</w:t>
                  </w:r>
                </w:p>
              </w:tc>
              <w:tc>
                <w:tcPr>
                  <w:tcW w:w="1605" w:type="dxa"/>
                  <w:tcBorders>
                    <w:tl2br w:val="nil"/>
                    <w:tr2bl w:val="nil"/>
                  </w:tcBorders>
                  <w:noWrap w:val="0"/>
                  <w:vAlign w:val="center"/>
                </w:tcPr>
                <w:p w14:paraId="09FAFDA1">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1350</w:t>
                  </w:r>
                </w:p>
              </w:tc>
            </w:tr>
            <w:tr w14:paraId="239F360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50" w:type="dxa"/>
                  <w:tcBorders>
                    <w:tl2br w:val="nil"/>
                    <w:tr2bl w:val="nil"/>
                  </w:tcBorders>
                  <w:noWrap w:val="0"/>
                  <w:vAlign w:val="center"/>
                </w:tcPr>
                <w:p w14:paraId="2B0AA33E">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eastAsia" w:cs="Times New Roman"/>
                      <w:color w:val="auto"/>
                      <w:sz w:val="21"/>
                      <w:szCs w:val="21"/>
                      <w:highlight w:val="none"/>
                      <w:lang w:eastAsia="zh-CN"/>
                    </w:rPr>
                    <w:t>稳定剂</w:t>
                  </w:r>
                </w:p>
              </w:tc>
              <w:tc>
                <w:tcPr>
                  <w:tcW w:w="1914" w:type="dxa"/>
                  <w:tcBorders>
                    <w:tl2br w:val="nil"/>
                    <w:tr2bl w:val="nil"/>
                  </w:tcBorders>
                  <w:noWrap w:val="0"/>
                  <w:vAlign w:val="center"/>
                </w:tcPr>
                <w:p w14:paraId="21E44D4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lang w:val="en-US" w:eastAsia="zh-CN"/>
                    </w:rPr>
                  </w:pPr>
                  <w:r>
                    <w:rPr>
                      <w:rFonts w:hint="eastAsia" w:cs="Times New Roman"/>
                      <w:color w:val="auto"/>
                      <w:sz w:val="21"/>
                      <w:szCs w:val="21"/>
                      <w:highlight w:val="none"/>
                      <w:lang w:val="en-US" w:eastAsia="zh-CN"/>
                    </w:rPr>
                    <w:t>5.4</w:t>
                  </w:r>
                </w:p>
              </w:tc>
              <w:tc>
                <w:tcPr>
                  <w:tcW w:w="4658" w:type="dxa"/>
                  <w:gridSpan w:val="3"/>
                  <w:vMerge w:val="restart"/>
                  <w:tcBorders>
                    <w:tl2br w:val="nil"/>
                    <w:tr2bl w:val="nil"/>
                  </w:tcBorders>
                  <w:noWrap w:val="0"/>
                  <w:vAlign w:val="center"/>
                </w:tcPr>
                <w:p w14:paraId="097DE5C4">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w:t>
                  </w:r>
                </w:p>
              </w:tc>
            </w:tr>
            <w:tr w14:paraId="0F4A166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50" w:type="dxa"/>
                  <w:tcBorders>
                    <w:tl2br w:val="nil"/>
                    <w:tr2bl w:val="nil"/>
                  </w:tcBorders>
                  <w:noWrap w:val="0"/>
                  <w:vAlign w:val="center"/>
                </w:tcPr>
                <w:p w14:paraId="7C193C1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rPr>
                  </w:pPr>
                  <w:r>
                    <w:rPr>
                      <w:rFonts w:hint="eastAsia" w:cs="Times New Roman"/>
                      <w:color w:val="auto"/>
                      <w:sz w:val="21"/>
                      <w:szCs w:val="21"/>
                      <w:highlight w:val="none"/>
                      <w:lang w:val="en-US" w:eastAsia="zh-CN"/>
                    </w:rPr>
                    <w:t>包覆胶</w:t>
                  </w:r>
                </w:p>
              </w:tc>
              <w:tc>
                <w:tcPr>
                  <w:tcW w:w="1914" w:type="dxa"/>
                  <w:tcBorders>
                    <w:tl2br w:val="nil"/>
                    <w:tr2bl w:val="nil"/>
                  </w:tcBorders>
                  <w:noWrap w:val="0"/>
                  <w:vAlign w:val="center"/>
                </w:tcPr>
                <w:p w14:paraId="7CEB95D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highlight w:val="none"/>
                      <w:lang w:val="en-US" w:eastAsia="zh-CN"/>
                    </w:rPr>
                  </w:pPr>
                  <w:r>
                    <w:rPr>
                      <w:rFonts w:hint="eastAsia" w:cs="Times New Roman"/>
                      <w:color w:val="auto"/>
                      <w:sz w:val="21"/>
                      <w:szCs w:val="21"/>
                      <w:highlight w:val="none"/>
                      <w:lang w:val="en-US" w:eastAsia="zh-CN"/>
                    </w:rPr>
                    <w:t>3</w:t>
                  </w:r>
                </w:p>
              </w:tc>
              <w:tc>
                <w:tcPr>
                  <w:tcW w:w="4658" w:type="dxa"/>
                  <w:gridSpan w:val="3"/>
                  <w:vMerge w:val="continue"/>
                  <w:tcBorders>
                    <w:tl2br w:val="nil"/>
                    <w:tr2bl w:val="nil"/>
                  </w:tcBorders>
                  <w:noWrap w:val="0"/>
                  <w:vAlign w:val="center"/>
                </w:tcPr>
                <w:p w14:paraId="18775170">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p>
              </w:tc>
            </w:tr>
            <w:tr w14:paraId="0922DD4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tcBorders>
                    <w:tl2br w:val="nil"/>
                    <w:tr2bl w:val="nil"/>
                  </w:tcBorders>
                  <w:noWrap w:val="0"/>
                  <w:vAlign w:val="center"/>
                </w:tcPr>
                <w:p w14:paraId="56403D6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合计</w:t>
                  </w:r>
                </w:p>
              </w:tc>
              <w:tc>
                <w:tcPr>
                  <w:tcW w:w="1914" w:type="dxa"/>
                  <w:tcBorders>
                    <w:tl2br w:val="nil"/>
                    <w:tr2bl w:val="nil"/>
                  </w:tcBorders>
                  <w:noWrap w:val="0"/>
                  <w:vAlign w:val="center"/>
                </w:tcPr>
                <w:p w14:paraId="3375CB1E">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1364.4437</w:t>
                  </w:r>
                </w:p>
              </w:tc>
              <w:tc>
                <w:tcPr>
                  <w:tcW w:w="3053" w:type="dxa"/>
                  <w:gridSpan w:val="2"/>
                  <w:tcBorders>
                    <w:tl2br w:val="nil"/>
                    <w:tr2bl w:val="nil"/>
                  </w:tcBorders>
                  <w:noWrap w:val="0"/>
                  <w:vAlign w:val="center"/>
                </w:tcPr>
                <w:p w14:paraId="2CD6ACFE">
                  <w:pPr>
                    <w:jc w:val="center"/>
                    <w:rPr>
                      <w:rFonts w:hint="default" w:ascii="Times New Roman" w:hAnsi="Times New Roman" w:eastAsia="宋体" w:cs="Times New Roman"/>
                      <w:color w:val="FF0000"/>
                      <w:szCs w:val="21"/>
                      <w:highlight w:val="none"/>
                    </w:rPr>
                  </w:pPr>
                  <w:r>
                    <w:rPr>
                      <w:rFonts w:hint="default" w:ascii="Times New Roman" w:hAnsi="Times New Roman" w:eastAsia="宋体" w:cs="Times New Roman"/>
                      <w:color w:val="auto"/>
                      <w:szCs w:val="21"/>
                      <w:highlight w:val="none"/>
                    </w:rPr>
                    <w:t>合计</w:t>
                  </w:r>
                </w:p>
              </w:tc>
              <w:tc>
                <w:tcPr>
                  <w:tcW w:w="1605" w:type="dxa"/>
                  <w:tcBorders>
                    <w:tl2br w:val="nil"/>
                    <w:tr2bl w:val="nil"/>
                  </w:tcBorders>
                  <w:noWrap w:val="0"/>
                  <w:vAlign w:val="center"/>
                </w:tcPr>
                <w:p w14:paraId="2665CBAE">
                  <w:pPr>
                    <w:jc w:val="center"/>
                    <w:rPr>
                      <w:rFonts w:hint="default" w:ascii="Times New Roman" w:hAnsi="Times New Roman" w:eastAsia="宋体" w:cs="Times New Roman"/>
                      <w:i w:val="0"/>
                      <w:iCs w:val="0"/>
                      <w:color w:val="FF0000"/>
                      <w:kern w:val="0"/>
                      <w:sz w:val="21"/>
                      <w:szCs w:val="21"/>
                      <w:highlight w:val="none"/>
                      <w:u w:val="none"/>
                      <w:lang w:val="en-US" w:eastAsia="zh-CN" w:bidi="ar"/>
                    </w:rPr>
                  </w:pPr>
                  <w:r>
                    <w:rPr>
                      <w:rFonts w:hint="eastAsia" w:cs="Times New Roman"/>
                      <w:color w:val="auto"/>
                      <w:szCs w:val="21"/>
                      <w:highlight w:val="none"/>
                      <w:lang w:val="en-US" w:eastAsia="zh-CN"/>
                    </w:rPr>
                    <w:t>1364.4437</w:t>
                  </w:r>
                </w:p>
              </w:tc>
            </w:tr>
          </w:tbl>
          <w:p w14:paraId="0B0C25E4">
            <w:pPr>
              <w:widowControl w:val="0"/>
              <w:shd w:val="clear"/>
              <w:spacing w:line="360" w:lineRule="auto"/>
              <w:ind w:firstLine="422" w:firstLineChars="200"/>
              <w:jc w:val="center"/>
              <w:rPr>
                <w:rFonts w:hint="default" w:ascii="Times New Roman" w:hAnsi="Times New Roman" w:eastAsia="宋体" w:cs="Times New Roman"/>
                <w:b/>
                <w:bCs/>
                <w:color w:val="auto"/>
                <w:sz w:val="21"/>
                <w:szCs w:val="21"/>
                <w:highlight w:val="none"/>
                <w:lang w:val="en-US" w:eastAsia="zh-CN"/>
              </w:rPr>
            </w:pPr>
          </w:p>
        </w:tc>
      </w:tr>
      <w:tr w14:paraId="4375A1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dxa"/>
            <w:vAlign w:val="center"/>
          </w:tcPr>
          <w:p w14:paraId="37D5F106">
            <w:pPr>
              <w:pStyle w:val="25"/>
              <w:shd w:val="clear"/>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kern w:val="2"/>
                <w:sz w:val="24"/>
                <w:szCs w:val="24"/>
                <w:highlight w:val="none"/>
              </w:rPr>
              <w:t>与项目有关的原有环境污染问题</w:t>
            </w:r>
          </w:p>
        </w:tc>
        <w:tc>
          <w:tcPr>
            <w:tcW w:w="8936" w:type="dxa"/>
            <w:vAlign w:val="top"/>
          </w:tcPr>
          <w:p w14:paraId="0E0CA7AF">
            <w:pPr>
              <w:spacing w:line="360" w:lineRule="auto"/>
              <w:ind w:firstLine="480" w:firstLineChars="200"/>
              <w:rPr>
                <w:rFonts w:hint="eastAsia"/>
                <w:bCs/>
                <w:color w:val="auto"/>
                <w:sz w:val="24"/>
              </w:rPr>
            </w:pPr>
            <w:r>
              <w:rPr>
                <w:rFonts w:hint="eastAsia"/>
                <w:bCs/>
                <w:sz w:val="24"/>
              </w:rPr>
              <w:t>本项目为租用</w:t>
            </w:r>
            <w:r>
              <w:rPr>
                <w:rFonts w:hint="eastAsia"/>
                <w:sz w:val="24"/>
                <w:lang w:eastAsia="zh-CN"/>
              </w:rPr>
              <w:t>云南得</w:t>
            </w:r>
            <w:r>
              <w:rPr>
                <w:rFonts w:hint="eastAsia"/>
                <w:sz w:val="24"/>
              </w:rPr>
              <w:t>奥海绵</w:t>
            </w:r>
            <w:r>
              <w:rPr>
                <w:rFonts w:hint="eastAsia"/>
                <w:sz w:val="24"/>
                <w:lang w:eastAsia="zh-CN"/>
              </w:rPr>
              <w:t>制造有限公司的已建标准厂房</w:t>
            </w:r>
            <w:r>
              <w:rPr>
                <w:rFonts w:hint="eastAsia"/>
                <w:bCs/>
                <w:sz w:val="24"/>
              </w:rPr>
              <w:t>及办公楼改造后进行项目生产，为新建项目，云南得奥海绵制造有限公司于2019年11月编制了《云南得奥海绵制造有限公司海绵生产建设项目环境影响报告书》并于2019年11月7日取得了昆明市生态部环境局寻甸分局关于对《云南得奥海绵制造有限公司海绵生产建设项目环境影响报告书》的批复（昆生环寻复【2019】97号）</w:t>
            </w:r>
            <w:r>
              <w:rPr>
                <w:rFonts w:hint="eastAsia"/>
                <w:bCs/>
                <w:color w:val="auto"/>
                <w:sz w:val="24"/>
              </w:rPr>
              <w:t>，项目主要为海绵、布料床垫的生产，设置海绵生产线1条，布料床垫生产线1条，海绵设计产量为1500t/a、布料床垫设计产量为300万米/a；现实际设置海绵生产线1条，布料床垫生产线1条，海绵实际产量为360t/a、布料床垫实际产量为540万米/a。2020年11月12日，取得了固定污染源排污登记回执，登记编号为：91530129MA6NU9MH66001W，2021年4月云南得奥海绵制造有限公司委托云南旭阳环保科技有限公司完成了“云南得奥海绵制造有限公司海绵生产建设项目”竣工环境保护验收工作。</w:t>
            </w:r>
          </w:p>
          <w:p w14:paraId="6299D1E7">
            <w:pPr>
              <w:spacing w:line="360" w:lineRule="auto"/>
              <w:ind w:firstLine="480" w:firstLineChars="200"/>
              <w:rPr>
                <w:rFonts w:hint="default" w:eastAsia="宋体"/>
                <w:bCs/>
                <w:color w:val="auto"/>
                <w:sz w:val="24"/>
                <w:lang w:val="en-US" w:eastAsia="zh-CN"/>
              </w:rPr>
            </w:pPr>
            <w:r>
              <w:rPr>
                <w:rFonts w:hint="eastAsia"/>
                <w:bCs/>
                <w:color w:val="auto"/>
                <w:sz w:val="24"/>
              </w:rPr>
              <w:t>根据现场踏勘，项目租用厂房为云南得奥海绵制造有限公司空置厂房。项目入驻前，无任何生产设备，现场不存在原有污染情况及主要环境问题。本项目入驻后，依托云南得奥海绵制造有限公司已建成的20m</w:t>
            </w:r>
            <w:r>
              <w:rPr>
                <w:rFonts w:hint="eastAsia"/>
                <w:bCs/>
                <w:color w:val="auto"/>
                <w:sz w:val="24"/>
                <w:vertAlign w:val="superscript"/>
              </w:rPr>
              <w:t>3</w:t>
            </w:r>
            <w:r>
              <w:rPr>
                <w:rFonts w:hint="eastAsia"/>
                <w:bCs/>
                <w:color w:val="auto"/>
                <w:sz w:val="24"/>
              </w:rPr>
              <w:t>化粪池、处理规模为20m</w:t>
            </w:r>
            <w:r>
              <w:rPr>
                <w:rFonts w:hint="eastAsia"/>
                <w:bCs/>
                <w:color w:val="auto"/>
                <w:sz w:val="24"/>
                <w:vertAlign w:val="superscript"/>
              </w:rPr>
              <w:t>3</w:t>
            </w:r>
            <w:r>
              <w:rPr>
                <w:rFonts w:hint="eastAsia"/>
                <w:bCs/>
                <w:color w:val="auto"/>
                <w:sz w:val="24"/>
              </w:rPr>
              <w:t>/d一体化生活污水处理设备及35m</w:t>
            </w:r>
            <w:r>
              <w:rPr>
                <w:rFonts w:hint="eastAsia"/>
                <w:bCs/>
                <w:color w:val="auto"/>
                <w:sz w:val="24"/>
                <w:vertAlign w:val="superscript"/>
              </w:rPr>
              <w:t>3</w:t>
            </w:r>
            <w:r>
              <w:rPr>
                <w:rFonts w:hint="eastAsia"/>
                <w:bCs/>
                <w:color w:val="auto"/>
                <w:sz w:val="24"/>
              </w:rPr>
              <w:t>的事故应急池等</w:t>
            </w:r>
            <w:r>
              <w:rPr>
                <w:rFonts w:hint="eastAsia"/>
                <w:bCs/>
                <w:color w:val="auto"/>
                <w:sz w:val="24"/>
                <w:lang w:val="en-US" w:eastAsia="zh-CN"/>
              </w:rPr>
              <w:t>。</w:t>
            </w:r>
          </w:p>
          <w:p w14:paraId="4BA018B7">
            <w:pPr>
              <w:keepNext w:val="0"/>
              <w:keepLines w:val="0"/>
              <w:pageBreakBefore w:val="0"/>
              <w:widowControl w:val="0"/>
              <w:shd w:val="clear"/>
              <w:kinsoku/>
              <w:wordWrap/>
              <w:overflowPunct/>
              <w:topLinePunct w:val="0"/>
              <w:autoSpaceDE/>
              <w:autoSpaceDN/>
              <w:bidi w:val="0"/>
              <w:adjustRightInd w:val="0"/>
              <w:snapToGrid w:val="0"/>
              <w:spacing w:line="344" w:lineRule="auto"/>
              <w:ind w:firstLine="420" w:firstLineChars="200"/>
              <w:textAlignment w:val="auto"/>
              <w:rPr>
                <w:rFonts w:hint="default" w:ascii="Times New Roman" w:hAnsi="Times New Roman" w:eastAsia="宋体" w:cs="Times New Roman"/>
                <w:bCs/>
                <w:color w:val="auto"/>
                <w:szCs w:val="21"/>
                <w:highlight w:val="none"/>
                <w:lang w:val="en-US" w:eastAsia="zh-CN"/>
              </w:rPr>
            </w:pPr>
          </w:p>
          <w:p w14:paraId="13DF660E">
            <w:pPr>
              <w:pStyle w:val="2"/>
              <w:rPr>
                <w:rFonts w:hint="default" w:ascii="Times New Roman" w:hAnsi="Times New Roman" w:eastAsia="宋体" w:cs="Times New Roman"/>
                <w:bCs/>
                <w:color w:val="auto"/>
                <w:szCs w:val="21"/>
                <w:highlight w:val="none"/>
                <w:lang w:val="en-US" w:eastAsia="zh-CN"/>
              </w:rPr>
            </w:pPr>
          </w:p>
          <w:p w14:paraId="00B6ECBD">
            <w:pPr>
              <w:pStyle w:val="5"/>
              <w:rPr>
                <w:rFonts w:hint="default" w:ascii="Times New Roman" w:hAnsi="Times New Roman" w:eastAsia="宋体" w:cs="Times New Roman"/>
                <w:bCs/>
                <w:color w:val="auto"/>
                <w:szCs w:val="21"/>
                <w:highlight w:val="none"/>
                <w:lang w:val="en-US" w:eastAsia="zh-CN"/>
              </w:rPr>
            </w:pPr>
          </w:p>
          <w:p w14:paraId="04026D79">
            <w:pPr>
              <w:rPr>
                <w:rFonts w:hint="default" w:ascii="Times New Roman" w:hAnsi="Times New Roman" w:eastAsia="宋体" w:cs="Times New Roman"/>
                <w:bCs/>
                <w:color w:val="auto"/>
                <w:szCs w:val="21"/>
                <w:highlight w:val="none"/>
                <w:lang w:val="en-US" w:eastAsia="zh-CN"/>
              </w:rPr>
            </w:pPr>
          </w:p>
          <w:p w14:paraId="388ED74E">
            <w:pPr>
              <w:pStyle w:val="5"/>
              <w:ind w:left="0" w:leftChars="0" w:firstLine="0" w:firstLineChars="0"/>
              <w:rPr>
                <w:rFonts w:hint="default" w:ascii="Times New Roman" w:hAnsi="Times New Roman" w:eastAsia="宋体" w:cs="Times New Roman"/>
                <w:bCs/>
                <w:color w:val="auto"/>
                <w:szCs w:val="21"/>
                <w:highlight w:val="none"/>
                <w:lang w:val="en-US" w:eastAsia="zh-CN"/>
              </w:rPr>
            </w:pPr>
          </w:p>
          <w:p w14:paraId="24225227">
            <w:pPr>
              <w:rPr>
                <w:rFonts w:hint="default"/>
                <w:lang w:val="en-US" w:eastAsia="zh-CN"/>
              </w:rPr>
            </w:pPr>
          </w:p>
        </w:tc>
      </w:tr>
    </w:tbl>
    <w:p w14:paraId="67C04586">
      <w:pPr>
        <w:pStyle w:val="25"/>
        <w:shd w:val="clear"/>
        <w:jc w:val="center"/>
        <w:rPr>
          <w:rFonts w:hint="default" w:ascii="Times New Roman" w:hAnsi="Times New Roman" w:eastAsia="宋体" w:cs="Times New Roman"/>
          <w:snapToGrid w:val="0"/>
          <w:color w:val="auto"/>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26D357E2">
      <w:pPr>
        <w:pStyle w:val="25"/>
        <w:shd w:val="clear"/>
        <w:adjustRightInd w:val="0"/>
        <w:snapToGrid w:val="0"/>
        <w:spacing w:before="0" w:beforeAutospacing="0" w:after="0" w:afterAutospacing="0" w:line="14" w:lineRule="auto"/>
        <w:jc w:val="center"/>
        <w:outlineLvl w:val="9"/>
        <w:rPr>
          <w:rFonts w:hint="default" w:ascii="Times New Roman" w:hAnsi="Times New Roman" w:eastAsia="宋体" w:cs="Times New Roman"/>
          <w:snapToGrid w:val="0"/>
          <w:color w:val="auto"/>
          <w:sz w:val="30"/>
          <w:szCs w:val="30"/>
          <w:highlight w:val="none"/>
        </w:rPr>
      </w:pPr>
    </w:p>
    <w:p w14:paraId="3B31CA31">
      <w:pPr>
        <w:pStyle w:val="25"/>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pPr>
      <w:bookmarkStart w:id="18" w:name="_Toc30051"/>
      <w:bookmarkStart w:id="19" w:name="_Toc7404"/>
      <w:r>
        <w:rPr>
          <w:rFonts w:hint="default" w:ascii="Times New Roman" w:hAnsi="Times New Roman" w:eastAsia="宋体" w:cs="Times New Roman"/>
          <w:b/>
          <w:bCs/>
          <w:snapToGrid w:val="0"/>
          <w:color w:val="auto"/>
          <w:sz w:val="30"/>
          <w:szCs w:val="30"/>
          <w:highlight w:val="none"/>
        </w:rPr>
        <w:t>三、区域环境质量现状、环境保护目标及评价标准</w:t>
      </w:r>
      <w:bookmarkEnd w:id="18"/>
      <w:bookmarkEnd w:id="19"/>
    </w:p>
    <w:tbl>
      <w:tblPr>
        <w:tblStyle w:val="26"/>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75"/>
        <w:gridCol w:w="8686"/>
      </w:tblGrid>
      <w:tr w14:paraId="61B11B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vAlign w:val="center"/>
          </w:tcPr>
          <w:p w14:paraId="1BFA09AE">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区域</w:t>
            </w:r>
          </w:p>
          <w:p w14:paraId="50D888E8">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14:paraId="22396AB5">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质量</w:t>
            </w:r>
          </w:p>
          <w:p w14:paraId="07D96E6F">
            <w:pPr>
              <w:shd w:val="clear"/>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 w:val="24"/>
                <w:szCs w:val="24"/>
                <w:highlight w:val="none"/>
              </w:rPr>
              <w:t>现状</w:t>
            </w:r>
          </w:p>
        </w:tc>
        <w:tc>
          <w:tcPr>
            <w:tcW w:w="8686" w:type="dxa"/>
            <w:vAlign w:val="center"/>
          </w:tcPr>
          <w:p w14:paraId="0941F355">
            <w:pPr>
              <w:pStyle w:val="17"/>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56"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环境空气质量现状</w:t>
            </w:r>
          </w:p>
          <w:p w14:paraId="65CF6CD7">
            <w:pPr>
              <w:keepNext w:val="0"/>
              <w:keepLines w:val="0"/>
              <w:pageBreakBefore w:val="0"/>
              <w:widowControl/>
              <w:shd w:val="clear"/>
              <w:kinsoku/>
              <w:wordWrap/>
              <w:overflowPunct/>
              <w:topLinePunct w:val="0"/>
              <w:autoSpaceDE/>
              <w:autoSpaceDN/>
              <w:bidi w:val="0"/>
              <w:adjustRightInd w:val="0"/>
              <w:snapToGrid w:val="0"/>
              <w:spacing w:line="356" w:lineRule="auto"/>
              <w:ind w:firstLine="480" w:firstLineChars="200"/>
              <w:textAlignment w:val="auto"/>
              <w:rPr>
                <w:rFonts w:hint="default" w:ascii="Times New Roman" w:hAnsi="Times New Roman" w:eastAsia="宋体" w:cs="Times New Roman"/>
                <w:color w:val="auto"/>
                <w:kern w:val="0"/>
                <w:sz w:val="24"/>
                <w:szCs w:val="24"/>
                <w:highlight w:val="none"/>
                <w:lang w:val="zh-CN" w:bidi="ar"/>
              </w:rPr>
            </w:pPr>
            <w:r>
              <w:rPr>
                <w:rFonts w:hint="default" w:ascii="Times New Roman" w:hAnsi="Times New Roman" w:eastAsia="宋体" w:cs="Times New Roman"/>
                <w:color w:val="auto"/>
                <w:kern w:val="0"/>
                <w:sz w:val="24"/>
                <w:highlight w:val="none"/>
                <w:lang w:bidi="ar"/>
              </w:rPr>
              <w:t>本项目位于</w:t>
            </w:r>
            <w:r>
              <w:rPr>
                <w:rFonts w:hint="default" w:ascii="Times New Roman" w:hAnsi="Times New Roman" w:eastAsia="宋体" w:cs="Times New Roman"/>
                <w:color w:val="auto"/>
                <w:sz w:val="24"/>
                <w:szCs w:val="24"/>
                <w:highlight w:val="none"/>
                <w:u w:val="none"/>
                <w:lang w:val="en-US" w:eastAsia="zh-CN"/>
              </w:rPr>
              <w:t>云南寻甸产业园区金所片区金所组团</w:t>
            </w:r>
            <w:r>
              <w:rPr>
                <w:rFonts w:hint="eastAsia" w:cs="Times New Roman"/>
                <w:color w:val="auto"/>
                <w:sz w:val="24"/>
                <w:szCs w:val="24"/>
                <w:highlight w:val="none"/>
                <w:u w:val="none"/>
                <w:lang w:val="en-US" w:eastAsia="zh-CN"/>
              </w:rPr>
              <w:t>绿色建材产业区</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kern w:val="0"/>
                <w:sz w:val="24"/>
                <w:szCs w:val="24"/>
                <w:highlight w:val="none"/>
                <w:lang w:val="zh-CN" w:bidi="ar"/>
              </w:rPr>
              <w:t>该区域环境空气质量功能区划为二类区，执行《环境空气质量标准》</w:t>
            </w:r>
            <w:r>
              <w:rPr>
                <w:rFonts w:hint="default" w:ascii="Times New Roman" w:hAnsi="Times New Roman" w:eastAsia="宋体" w:cs="Times New Roman"/>
                <w:color w:val="auto"/>
                <w:kern w:val="0"/>
                <w:sz w:val="24"/>
                <w:szCs w:val="24"/>
                <w:highlight w:val="none"/>
                <w:lang w:bidi="ar"/>
              </w:rPr>
              <w:t>（GB3095-2012）</w:t>
            </w:r>
            <w:r>
              <w:rPr>
                <w:rFonts w:hint="default" w:ascii="Times New Roman" w:hAnsi="Times New Roman" w:eastAsia="宋体" w:cs="Times New Roman"/>
                <w:color w:val="auto"/>
                <w:sz w:val="24"/>
                <w:szCs w:val="24"/>
                <w:highlight w:val="none"/>
                <w:lang w:val="zh-CN"/>
              </w:rPr>
              <w:t>二级标准</w:t>
            </w:r>
            <w:r>
              <w:rPr>
                <w:rFonts w:hint="default" w:ascii="Times New Roman" w:hAnsi="Times New Roman" w:eastAsia="宋体" w:cs="Times New Roman"/>
                <w:color w:val="auto"/>
                <w:kern w:val="0"/>
                <w:sz w:val="24"/>
                <w:szCs w:val="24"/>
                <w:highlight w:val="none"/>
                <w:lang w:val="zh-CN" w:bidi="ar"/>
              </w:rPr>
              <w:t>。</w:t>
            </w:r>
          </w:p>
          <w:p w14:paraId="1BFD8797">
            <w:pPr>
              <w:keepNext w:val="0"/>
              <w:keepLines w:val="0"/>
              <w:pageBreakBefore w:val="0"/>
              <w:shd w:val="clear"/>
              <w:kinsoku/>
              <w:wordWrap/>
              <w:overflowPunct/>
              <w:topLinePunct w:val="0"/>
              <w:autoSpaceDE/>
              <w:autoSpaceDN/>
              <w:bidi w:val="0"/>
              <w:adjustRightInd w:val="0"/>
              <w:snapToGrid w:val="0"/>
              <w:spacing w:line="356" w:lineRule="auto"/>
              <w:ind w:firstLine="482" w:firstLineChars="200"/>
              <w:textAlignment w:val="auto"/>
              <w:rPr>
                <w:rFonts w:hint="default" w:ascii="Times New Roman" w:hAnsi="Times New Roman" w:eastAsia="宋体" w:cs="Times New Roman"/>
                <w:b/>
                <w:bCs/>
                <w:color w:val="auto"/>
                <w:kern w:val="0"/>
                <w:sz w:val="24"/>
                <w:highlight w:val="none"/>
                <w:lang w:val="en-US" w:eastAsia="zh-CN" w:bidi="ar"/>
              </w:rPr>
            </w:pPr>
            <w:r>
              <w:rPr>
                <w:rFonts w:hint="default" w:ascii="Times New Roman" w:hAnsi="Times New Roman" w:eastAsia="宋体" w:cs="Times New Roman"/>
                <w:b/>
                <w:bCs/>
                <w:color w:val="auto"/>
                <w:kern w:val="0"/>
                <w:sz w:val="24"/>
                <w:highlight w:val="none"/>
                <w:lang w:val="zh-CN" w:bidi="ar"/>
              </w:rPr>
              <w:t>（</w:t>
            </w:r>
            <w:r>
              <w:rPr>
                <w:rFonts w:hint="default" w:ascii="Times New Roman" w:hAnsi="Times New Roman" w:eastAsia="宋体" w:cs="Times New Roman"/>
                <w:b/>
                <w:bCs/>
                <w:color w:val="auto"/>
                <w:kern w:val="0"/>
                <w:sz w:val="24"/>
                <w:highlight w:val="none"/>
                <w:lang w:val="en-US" w:eastAsia="zh-CN" w:bidi="ar"/>
              </w:rPr>
              <w:t>1</w:t>
            </w:r>
            <w:r>
              <w:rPr>
                <w:rFonts w:hint="default" w:ascii="Times New Roman" w:hAnsi="Times New Roman" w:eastAsia="宋体" w:cs="Times New Roman"/>
                <w:b/>
                <w:bCs/>
                <w:color w:val="auto"/>
                <w:kern w:val="0"/>
                <w:sz w:val="24"/>
                <w:highlight w:val="none"/>
                <w:lang w:val="zh-CN" w:bidi="ar"/>
              </w:rPr>
              <w:t>）</w:t>
            </w:r>
            <w:r>
              <w:rPr>
                <w:rFonts w:hint="default" w:ascii="Times New Roman" w:hAnsi="Times New Roman" w:eastAsia="宋体" w:cs="Times New Roman"/>
                <w:b/>
                <w:bCs/>
                <w:color w:val="auto"/>
                <w:kern w:val="2"/>
                <w:sz w:val="24"/>
                <w:szCs w:val="24"/>
                <w:highlight w:val="none"/>
                <w:lang w:val="en-US" w:eastAsia="zh-CN" w:bidi="ar-SA"/>
              </w:rPr>
              <w:t>区域基本污染物环境质量现状</w:t>
            </w:r>
          </w:p>
          <w:p w14:paraId="588CA45E">
            <w:pPr>
              <w:keepNext w:val="0"/>
              <w:keepLines w:val="0"/>
              <w:pageBreakBefore w:val="0"/>
              <w:widowControl/>
              <w:shd w:val="clear"/>
              <w:kinsoku/>
              <w:wordWrap/>
              <w:overflowPunct/>
              <w:topLinePunct w:val="0"/>
              <w:autoSpaceDE/>
              <w:autoSpaceDN/>
              <w:bidi w:val="0"/>
              <w:adjustRightInd w:val="0"/>
              <w:snapToGrid w:val="0"/>
              <w:spacing w:line="356" w:lineRule="auto"/>
              <w:ind w:firstLine="480" w:firstLineChars="200"/>
              <w:textAlignment w:val="auto"/>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u w:val="none"/>
                <w:lang w:val="zh-CN" w:eastAsia="zh-CN"/>
              </w:rPr>
              <w:t>根据《</w:t>
            </w:r>
            <w:r>
              <w:rPr>
                <w:rFonts w:hint="default" w:ascii="Times New Roman" w:hAnsi="Times New Roman" w:eastAsia="宋体" w:cs="Times New Roman"/>
                <w:color w:val="auto"/>
                <w:sz w:val="24"/>
                <w:szCs w:val="24"/>
                <w:highlight w:val="none"/>
                <w:u w:val="none"/>
                <w:lang w:val="en-US" w:eastAsia="zh-CN"/>
              </w:rPr>
              <w:t>2022年度昆明市生态环境状况公报</w:t>
            </w:r>
            <w:r>
              <w:rPr>
                <w:rFonts w:hint="default" w:ascii="Times New Roman" w:hAnsi="Times New Roman" w:eastAsia="宋体" w:cs="Times New Roman"/>
                <w:color w:val="auto"/>
                <w:sz w:val="24"/>
                <w:szCs w:val="24"/>
                <w:highlight w:val="none"/>
                <w:u w:val="none"/>
                <w:lang w:val="zh-CN" w:eastAsia="zh-CN"/>
              </w:rPr>
              <w:t>》</w:t>
            </w:r>
            <w:r>
              <w:rPr>
                <w:rFonts w:hint="default" w:ascii="Times New Roman" w:hAnsi="Times New Roman" w:eastAsia="宋体" w:cs="Times New Roman"/>
                <w:color w:val="auto"/>
                <w:sz w:val="24"/>
                <w:szCs w:val="24"/>
                <w:highlight w:val="none"/>
                <w:u w:val="none"/>
                <w:lang w:val="en-US" w:eastAsia="zh-CN"/>
              </w:rPr>
              <w:t>可知</w:t>
            </w:r>
            <w:r>
              <w:rPr>
                <w:rFonts w:hint="default" w:ascii="Times New Roman" w:hAnsi="Times New Roman" w:eastAsia="宋体" w:cs="Times New Roman"/>
                <w:color w:val="auto"/>
                <w:sz w:val="24"/>
                <w:szCs w:val="24"/>
                <w:highlight w:val="none"/>
                <w:u w:val="none"/>
                <w:lang w:val="zh-CN" w:eastAsia="zh-CN"/>
              </w:rPr>
              <w:t>，</w:t>
            </w:r>
            <w:r>
              <w:rPr>
                <w:rFonts w:hint="default" w:ascii="Times New Roman" w:hAnsi="Times New Roman" w:eastAsia="宋体" w:cs="Times New Roman"/>
                <w:color w:val="auto"/>
                <w:sz w:val="24"/>
                <w:szCs w:val="24"/>
                <w:highlight w:val="none"/>
                <w:u w:val="none"/>
                <w:lang w:val="en-US" w:eastAsia="zh-CN"/>
              </w:rPr>
              <w:t>昆明市</w:t>
            </w:r>
            <w:r>
              <w:rPr>
                <w:rFonts w:hint="default" w:ascii="Times New Roman" w:hAnsi="Times New Roman" w:eastAsia="宋体" w:cs="Times New Roman"/>
                <w:color w:val="auto"/>
                <w:sz w:val="24"/>
                <w:szCs w:val="24"/>
                <w:highlight w:val="none"/>
                <w:u w:val="none"/>
                <w:lang w:val="zh-CN" w:eastAsia="zh-CN"/>
              </w:rPr>
              <w:t>各县（市）区环境空气质量总体保持良好。与202</w:t>
            </w:r>
            <w:r>
              <w:rPr>
                <w:rFonts w:hint="default" w:ascii="Times New Roman" w:hAnsi="Times New Roman" w:eastAsia="宋体" w:cs="Times New Roman"/>
                <w:color w:val="auto"/>
                <w:sz w:val="24"/>
                <w:szCs w:val="24"/>
                <w:highlight w:val="none"/>
                <w:u w:val="none"/>
                <w:lang w:val="en-US" w:eastAsia="zh-CN"/>
              </w:rPr>
              <w:t>1</w:t>
            </w:r>
            <w:r>
              <w:rPr>
                <w:rFonts w:hint="default" w:ascii="Times New Roman" w:hAnsi="Times New Roman" w:eastAsia="宋体" w:cs="Times New Roman"/>
                <w:color w:val="auto"/>
                <w:sz w:val="24"/>
                <w:szCs w:val="24"/>
                <w:highlight w:val="none"/>
                <w:u w:val="none"/>
                <w:lang w:val="zh-CN" w:eastAsia="zh-CN"/>
              </w:rPr>
              <w:t>年相比，安宁市、禄劝县、石林县、嵩明县、富民县、宜良县、寻甸县环境空气综合污染指数有所下降，东川区环境空气综合污染指数有所上升。</w:t>
            </w:r>
            <w:r>
              <w:rPr>
                <w:rFonts w:hint="default" w:ascii="Times New Roman" w:hAnsi="Times New Roman" w:eastAsia="宋体" w:cs="Times New Roman"/>
                <w:color w:val="auto"/>
                <w:sz w:val="24"/>
                <w:szCs w:val="24"/>
                <w:highlight w:val="none"/>
                <w:shd w:val="clear" w:color="auto" w:fill="FFFFFF"/>
              </w:rPr>
              <w:t>项目所在区域为环境空气质量达标区。</w:t>
            </w:r>
          </w:p>
          <w:p w14:paraId="45409BC9">
            <w:pPr>
              <w:keepNext w:val="0"/>
              <w:keepLines w:val="0"/>
              <w:pageBreakBefore w:val="0"/>
              <w:shd w:val="clear"/>
              <w:kinsoku/>
              <w:wordWrap/>
              <w:overflowPunct/>
              <w:topLinePunct w:val="0"/>
              <w:autoSpaceDE/>
              <w:autoSpaceDN/>
              <w:bidi w:val="0"/>
              <w:adjustRightInd w:val="0"/>
              <w:snapToGrid w:val="0"/>
              <w:spacing w:beforeAutospacing="0" w:afterAutospacing="0" w:line="35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（2）特征因子环境质量现状</w:t>
            </w:r>
          </w:p>
          <w:p w14:paraId="18CF2998">
            <w:pPr>
              <w:keepNext w:val="0"/>
              <w:keepLines w:val="0"/>
              <w:pageBreakBefore w:val="0"/>
              <w:shd w:val="clear"/>
              <w:kinsoku/>
              <w:wordWrap/>
              <w:overflowPunct/>
              <w:topLinePunct w:val="0"/>
              <w:autoSpaceDE/>
              <w:autoSpaceDN/>
              <w:bidi w:val="0"/>
              <w:adjustRightInd w:val="0"/>
              <w:snapToGrid w:val="0"/>
              <w:spacing w:beforeAutospacing="0" w:afterAutospacing="0" w:line="356"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本项目涉及的特征因子为TSP、非甲烷总烃及</w:t>
            </w:r>
            <w:r>
              <w:rPr>
                <w:rFonts w:hint="eastAsia" w:cs="Times New Roman"/>
                <w:color w:val="auto"/>
                <w:sz w:val="24"/>
                <w:szCs w:val="24"/>
                <w:highlight w:val="none"/>
                <w:lang w:val="en-US" w:eastAsia="zh-CN"/>
              </w:rPr>
              <w:t>氯化氢、氯乙烯、臭气浓度</w:t>
            </w:r>
            <w:r>
              <w:rPr>
                <w:rFonts w:hint="default" w:ascii="Times New Roman" w:hAnsi="Times New Roman" w:eastAsia="宋体" w:cs="Times New Roman"/>
                <w:color w:val="auto"/>
                <w:sz w:val="24"/>
                <w:szCs w:val="24"/>
                <w:highlight w:val="none"/>
                <w:lang w:val="en-US" w:eastAsia="zh-CN"/>
              </w:rPr>
              <w:t>，TSP执行</w:t>
            </w:r>
            <w:r>
              <w:rPr>
                <w:rFonts w:hint="default" w:ascii="Times New Roman" w:hAnsi="Times New Roman" w:eastAsia="宋体" w:cs="Times New Roman"/>
                <w:color w:val="auto"/>
                <w:kern w:val="0"/>
                <w:sz w:val="24"/>
                <w:highlight w:val="none"/>
                <w:lang w:val="zh-CN" w:bidi="ar"/>
              </w:rPr>
              <w:t>《环境空气质量标准》（GB3095-2012）二级标准，</w:t>
            </w:r>
            <w:r>
              <w:rPr>
                <w:color w:val="auto"/>
                <w:sz w:val="24"/>
              </w:rPr>
              <w:t>非甲烷总烃</w:t>
            </w:r>
            <w:r>
              <w:rPr>
                <w:rFonts w:hint="eastAsia"/>
                <w:color w:val="auto"/>
                <w:sz w:val="24"/>
              </w:rPr>
              <w:t>、氯乙烯</w:t>
            </w:r>
            <w:r>
              <w:rPr>
                <w:rFonts w:hint="eastAsia"/>
                <w:color w:val="auto"/>
                <w:sz w:val="24"/>
                <w:lang w:eastAsia="zh-CN"/>
              </w:rPr>
              <w:t>参考</w:t>
            </w:r>
            <w:r>
              <w:rPr>
                <w:color w:val="auto"/>
                <w:sz w:val="24"/>
              </w:rPr>
              <w:t>中国环境科学出版社出版的国家环境保护局科技标准司的《大气污染物综合排放标准详解》，</w:t>
            </w:r>
            <w:r>
              <w:rPr>
                <w:rFonts w:hint="eastAsia"/>
                <w:color w:val="auto"/>
                <w:sz w:val="24"/>
              </w:rPr>
              <w:t>分别</w:t>
            </w:r>
            <w:r>
              <w:rPr>
                <w:color w:val="auto"/>
                <w:sz w:val="24"/>
              </w:rPr>
              <w:t>选用</w:t>
            </w:r>
            <w:r>
              <w:rPr>
                <w:rFonts w:hint="eastAsia"/>
                <w:color w:val="auto"/>
                <w:sz w:val="24"/>
              </w:rPr>
              <w:t>2.0</w:t>
            </w:r>
            <w:r>
              <w:rPr>
                <w:color w:val="auto"/>
                <w:sz w:val="24"/>
              </w:rPr>
              <w:t>mg/m</w:t>
            </w:r>
            <w:r>
              <w:rPr>
                <w:color w:val="auto"/>
                <w:sz w:val="24"/>
                <w:vertAlign w:val="superscript"/>
              </w:rPr>
              <w:t>3</w:t>
            </w:r>
            <w:r>
              <w:rPr>
                <w:rFonts w:hint="eastAsia"/>
                <w:color w:val="auto"/>
                <w:sz w:val="24"/>
              </w:rPr>
              <w:t>、0.15</w:t>
            </w:r>
            <w:r>
              <w:rPr>
                <w:color w:val="auto"/>
                <w:sz w:val="24"/>
              </w:rPr>
              <w:t>mg/m</w:t>
            </w:r>
            <w:r>
              <w:rPr>
                <w:color w:val="auto"/>
                <w:sz w:val="24"/>
                <w:vertAlign w:val="superscript"/>
              </w:rPr>
              <w:t>3</w:t>
            </w:r>
            <w:r>
              <w:rPr>
                <w:color w:val="auto"/>
                <w:sz w:val="24"/>
              </w:rPr>
              <w:t>作为依据</w:t>
            </w:r>
            <w:r>
              <w:rPr>
                <w:rFonts w:hint="eastAsia"/>
                <w:color w:val="auto"/>
                <w:sz w:val="24"/>
              </w:rPr>
              <w:t>，</w:t>
            </w:r>
            <w:r>
              <w:rPr>
                <w:color w:val="auto"/>
                <w:sz w:val="24"/>
                <w:lang w:bidi="ar"/>
              </w:rPr>
              <w:t>氯化氢环境空气质量标准执</w:t>
            </w:r>
            <w:r>
              <w:rPr>
                <w:color w:val="auto"/>
                <w:sz w:val="24"/>
              </w:rPr>
              <w:t>行《环境影响评价技术导则-大气环境》（HJ 2.2-2018）附录D中相关</w:t>
            </w:r>
            <w:r>
              <w:rPr>
                <w:color w:val="auto"/>
                <w:sz w:val="24"/>
                <w:lang w:bidi="ar"/>
              </w:rPr>
              <w:t>标准</w:t>
            </w:r>
            <w:r>
              <w:rPr>
                <w:rFonts w:hint="eastAsia"/>
                <w:color w:val="auto"/>
                <w:sz w:val="24"/>
                <w:lang w:eastAsia="zh-CN" w:bidi="ar"/>
              </w:rPr>
              <w:t>，臭气浓度无相关标准值</w:t>
            </w:r>
            <w:r>
              <w:rPr>
                <w:rFonts w:hint="default" w:ascii="Times New Roman" w:hAnsi="Times New Roman" w:eastAsia="宋体" w:cs="Times New Roman"/>
                <w:color w:val="auto"/>
                <w:sz w:val="24"/>
                <w:highlight w:val="none"/>
                <w:lang w:val="en-US" w:eastAsia="zh-CN" w:bidi="ar"/>
              </w:rPr>
              <w:t>。</w:t>
            </w:r>
          </w:p>
          <w:p w14:paraId="78FBC6BA">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①TSP、非甲烷总烃</w:t>
            </w:r>
          </w:p>
          <w:p w14:paraId="317EA4AC">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TSP及非甲烷总烃</w:t>
            </w:r>
            <w:r>
              <w:rPr>
                <w:rFonts w:hint="default" w:ascii="Times New Roman" w:hAnsi="Times New Roman" w:eastAsia="宋体" w:cs="Times New Roman"/>
                <w:b w:val="0"/>
                <w:bCs w:val="0"/>
                <w:color w:val="auto"/>
                <w:kern w:val="0"/>
                <w:sz w:val="24"/>
                <w:szCs w:val="24"/>
                <w:highlight w:val="none"/>
                <w:lang w:val="zh-CN" w:eastAsia="zh-CN"/>
              </w:rPr>
              <w:t>环境空气质量现状评价</w:t>
            </w:r>
            <w:r>
              <w:rPr>
                <w:rFonts w:hint="default" w:ascii="Times New Roman" w:hAnsi="Times New Roman" w:eastAsia="宋体" w:cs="Times New Roman"/>
                <w:b w:val="0"/>
                <w:bCs w:val="0"/>
                <w:color w:val="auto"/>
                <w:kern w:val="0"/>
                <w:sz w:val="24"/>
                <w:szCs w:val="24"/>
                <w:highlight w:val="none"/>
                <w:lang w:val="zh-CN"/>
              </w:rPr>
              <w:t>引用</w:t>
            </w:r>
            <w:r>
              <w:rPr>
                <w:rFonts w:hint="default" w:ascii="Times New Roman" w:hAnsi="Times New Roman" w:eastAsia="宋体" w:cs="Times New Roman"/>
                <w:b w:val="0"/>
                <w:bCs w:val="0"/>
                <w:color w:val="auto"/>
                <w:sz w:val="24"/>
                <w:szCs w:val="24"/>
              </w:rPr>
              <w:t>云南厚望环保科技有限公司</w:t>
            </w:r>
            <w:r>
              <w:rPr>
                <w:rFonts w:hint="default" w:ascii="Times New Roman" w:hAnsi="Times New Roman" w:eastAsia="宋体" w:cs="Times New Roman"/>
                <w:b w:val="0"/>
                <w:bCs w:val="0"/>
                <w:color w:val="auto"/>
                <w:sz w:val="24"/>
                <w:szCs w:val="24"/>
                <w:highlight w:val="none"/>
              </w:rPr>
              <w:t>于</w:t>
            </w:r>
            <w:r>
              <w:rPr>
                <w:rFonts w:hint="default" w:ascii="Times New Roman" w:hAnsi="Times New Roman" w:eastAsia="宋体" w:cs="Times New Roman"/>
                <w:b w:val="0"/>
                <w:bCs w:val="0"/>
                <w:color w:val="auto"/>
                <w:sz w:val="24"/>
                <w:szCs w:val="24"/>
                <w:highlight w:val="none"/>
                <w:lang w:val="en-US" w:eastAsia="zh-CN"/>
              </w:rPr>
              <w:t>2022</w:t>
            </w:r>
            <w:r>
              <w:rPr>
                <w:rFonts w:hint="default" w:ascii="Times New Roman" w:hAnsi="Times New Roman" w:eastAsia="宋体" w:cs="Times New Roman"/>
                <w:b w:val="0"/>
                <w:bCs w:val="0"/>
                <w:color w:val="auto"/>
                <w:sz w:val="24"/>
                <w:szCs w:val="24"/>
                <w:highlight w:val="none"/>
              </w:rPr>
              <w:t>年</w:t>
            </w:r>
            <w:r>
              <w:rPr>
                <w:rFonts w:hint="default" w:ascii="Times New Roman" w:hAnsi="Times New Roman" w:eastAsia="宋体" w:cs="Times New Roman"/>
                <w:b w:val="0"/>
                <w:bCs w:val="0"/>
                <w:color w:val="auto"/>
                <w:sz w:val="24"/>
                <w:szCs w:val="24"/>
                <w:highlight w:val="none"/>
                <w:lang w:val="en-US" w:eastAsia="zh-CN"/>
              </w:rPr>
              <w:t>9</w:t>
            </w:r>
            <w:r>
              <w:rPr>
                <w:rFonts w:hint="default" w:ascii="Times New Roman" w:hAnsi="Times New Roman" w:eastAsia="宋体" w:cs="Times New Roman"/>
                <w:b w:val="0"/>
                <w:bCs w:val="0"/>
                <w:color w:val="auto"/>
                <w:sz w:val="24"/>
                <w:szCs w:val="24"/>
                <w:highlight w:val="none"/>
              </w:rPr>
              <w:t>月</w:t>
            </w: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rPr>
              <w:t>日-202</w:t>
            </w: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rPr>
              <w:t>年</w:t>
            </w:r>
            <w:r>
              <w:rPr>
                <w:rFonts w:hint="default" w:ascii="Times New Roman" w:hAnsi="Times New Roman" w:eastAsia="宋体" w:cs="Times New Roman"/>
                <w:b w:val="0"/>
                <w:bCs w:val="0"/>
                <w:color w:val="auto"/>
                <w:sz w:val="24"/>
                <w:szCs w:val="24"/>
                <w:highlight w:val="none"/>
                <w:lang w:val="en-US" w:eastAsia="zh-CN"/>
              </w:rPr>
              <w:t>9</w:t>
            </w:r>
            <w:r>
              <w:rPr>
                <w:rFonts w:hint="default" w:ascii="Times New Roman" w:hAnsi="Times New Roman" w:eastAsia="宋体" w:cs="Times New Roman"/>
                <w:b w:val="0"/>
                <w:bCs w:val="0"/>
                <w:color w:val="auto"/>
                <w:sz w:val="24"/>
                <w:szCs w:val="24"/>
                <w:highlight w:val="none"/>
              </w:rPr>
              <w:t>月</w:t>
            </w:r>
            <w:r>
              <w:rPr>
                <w:rFonts w:hint="default" w:ascii="Times New Roman" w:hAnsi="Times New Roman" w:eastAsia="宋体" w:cs="Times New Roman"/>
                <w:b w:val="0"/>
                <w:bCs w:val="0"/>
                <w:color w:val="auto"/>
                <w:sz w:val="24"/>
                <w:szCs w:val="24"/>
                <w:highlight w:val="none"/>
                <w:lang w:val="en-US" w:eastAsia="zh-CN"/>
              </w:rPr>
              <w:t>7</w:t>
            </w:r>
            <w:r>
              <w:rPr>
                <w:rFonts w:hint="default" w:ascii="Times New Roman" w:hAnsi="Times New Roman" w:eastAsia="宋体" w:cs="Times New Roman"/>
                <w:b w:val="0"/>
                <w:bCs w:val="0"/>
                <w:color w:val="auto"/>
                <w:sz w:val="24"/>
                <w:szCs w:val="24"/>
                <w:highlight w:val="none"/>
              </w:rPr>
              <w:t>日对</w:t>
            </w:r>
            <w:r>
              <w:rPr>
                <w:rFonts w:hint="default" w:ascii="Times New Roman" w:hAnsi="Times New Roman" w:eastAsia="宋体" w:cs="Times New Roman"/>
                <w:b w:val="0"/>
                <w:bCs w:val="0"/>
                <w:color w:val="auto"/>
                <w:kern w:val="2"/>
                <w:sz w:val="24"/>
                <w:szCs w:val="24"/>
                <w:highlight w:val="none"/>
                <w:lang w:val="zh-CN"/>
              </w:rPr>
              <w:t>《</w:t>
            </w:r>
            <w:r>
              <w:rPr>
                <w:rFonts w:hint="default" w:ascii="Times New Roman" w:hAnsi="Times New Roman" w:eastAsia="宋体" w:cs="Times New Roman"/>
                <w:b w:val="0"/>
                <w:bCs w:val="0"/>
                <w:color w:val="auto"/>
                <w:sz w:val="24"/>
                <w:szCs w:val="24"/>
              </w:rPr>
              <w:t>云南寻甸产业园区总体规划修编（2021-2035）环境影</w:t>
            </w:r>
            <w:r>
              <w:rPr>
                <w:rFonts w:hint="default" w:ascii="Times New Roman" w:hAnsi="Times New Roman" w:eastAsia="宋体" w:cs="Times New Roman"/>
                <w:b w:val="0"/>
                <w:bCs w:val="0"/>
                <w:color w:val="auto"/>
                <w:sz w:val="24"/>
                <w:szCs w:val="24"/>
                <w:highlight w:val="none"/>
              </w:rPr>
              <w:t>响报告书</w:t>
            </w:r>
            <w:r>
              <w:rPr>
                <w:rFonts w:hint="default" w:ascii="Times New Roman" w:hAnsi="Times New Roman" w:eastAsia="宋体" w:cs="Times New Roman"/>
                <w:b w:val="0"/>
                <w:bCs w:val="0"/>
                <w:color w:val="auto"/>
                <w:kern w:val="2"/>
                <w:sz w:val="24"/>
                <w:szCs w:val="24"/>
                <w:highlight w:val="none"/>
                <w:lang w:val="zh-CN" w:eastAsia="zh-CN"/>
              </w:rPr>
              <w:t>》</w:t>
            </w:r>
            <w:r>
              <w:rPr>
                <w:rFonts w:hint="default" w:ascii="Times New Roman" w:hAnsi="Times New Roman" w:eastAsia="宋体" w:cs="Times New Roman"/>
                <w:b w:val="0"/>
                <w:bCs w:val="0"/>
                <w:color w:val="auto"/>
                <w:kern w:val="2"/>
                <w:sz w:val="24"/>
                <w:szCs w:val="24"/>
                <w:highlight w:val="none"/>
                <w:lang w:val="en-US" w:eastAsia="zh-CN"/>
              </w:rPr>
              <w:t>中</w:t>
            </w:r>
            <w:r>
              <w:rPr>
                <w:rFonts w:hint="eastAsia" w:cs="Times New Roman"/>
                <w:b w:val="0"/>
                <w:bCs w:val="0"/>
                <w:color w:val="auto"/>
                <w:kern w:val="2"/>
                <w:sz w:val="24"/>
                <w:szCs w:val="24"/>
                <w:highlight w:val="none"/>
                <w:lang w:val="en-US" w:eastAsia="zh-CN"/>
              </w:rPr>
              <w:t>谓所村</w:t>
            </w:r>
            <w:r>
              <w:rPr>
                <w:rFonts w:hint="default" w:ascii="Times New Roman" w:hAnsi="Times New Roman" w:eastAsia="宋体" w:cs="Times New Roman"/>
                <w:b w:val="0"/>
                <w:bCs w:val="0"/>
                <w:color w:val="auto"/>
                <w:kern w:val="2"/>
                <w:sz w:val="24"/>
                <w:szCs w:val="24"/>
                <w:highlight w:val="none"/>
                <w:lang w:val="en-US" w:eastAsia="zh-CN"/>
              </w:rPr>
              <w:t>的</w:t>
            </w:r>
            <w:r>
              <w:rPr>
                <w:rFonts w:hint="default" w:ascii="Times New Roman" w:hAnsi="Times New Roman" w:eastAsia="宋体" w:cs="Times New Roman"/>
                <w:b w:val="0"/>
                <w:bCs w:val="0"/>
                <w:color w:val="auto"/>
                <w:kern w:val="0"/>
                <w:sz w:val="24"/>
                <w:szCs w:val="24"/>
                <w:highlight w:val="none"/>
                <w:lang w:val="zh-CN" w:eastAsia="zh-CN"/>
              </w:rPr>
              <w:t>空气质量现状监测数据，</w:t>
            </w:r>
            <w:r>
              <w:rPr>
                <w:rFonts w:hint="default" w:ascii="Times New Roman" w:hAnsi="Times New Roman" w:eastAsia="宋体" w:cs="Times New Roman"/>
                <w:b w:val="0"/>
                <w:bCs w:val="0"/>
                <w:color w:val="auto"/>
                <w:sz w:val="24"/>
                <w:szCs w:val="24"/>
                <w:highlight w:val="none"/>
                <w:lang w:val="en-US" w:eastAsia="zh-CN"/>
              </w:rPr>
              <w:t>引用监测点</w:t>
            </w:r>
            <w:r>
              <w:rPr>
                <w:rFonts w:hint="eastAsia" w:cs="Times New Roman"/>
                <w:b w:val="0"/>
                <w:bCs w:val="0"/>
                <w:color w:val="auto"/>
                <w:kern w:val="2"/>
                <w:sz w:val="24"/>
                <w:szCs w:val="24"/>
                <w:highlight w:val="none"/>
                <w:lang w:val="en-US" w:eastAsia="zh-CN"/>
              </w:rPr>
              <w:t>谓所村</w:t>
            </w:r>
            <w:r>
              <w:rPr>
                <w:rFonts w:hint="default" w:ascii="Times New Roman" w:hAnsi="Times New Roman" w:eastAsia="宋体" w:cs="Times New Roman"/>
                <w:b w:val="0"/>
                <w:bCs w:val="0"/>
                <w:color w:val="auto"/>
                <w:kern w:val="2"/>
                <w:sz w:val="24"/>
                <w:szCs w:val="24"/>
                <w:highlight w:val="none"/>
                <w:lang w:val="en-US" w:eastAsia="zh-CN"/>
              </w:rPr>
              <w:t>位于</w:t>
            </w:r>
            <w:r>
              <w:rPr>
                <w:rFonts w:hint="default" w:ascii="Times New Roman" w:hAnsi="Times New Roman" w:eastAsia="宋体" w:cs="Times New Roman"/>
                <w:b w:val="0"/>
                <w:bCs w:val="0"/>
                <w:color w:val="auto"/>
                <w:sz w:val="24"/>
                <w:szCs w:val="24"/>
                <w:highlight w:val="none"/>
                <w:lang w:val="en-US" w:eastAsia="zh-CN"/>
              </w:rPr>
              <w:t>本项目西南侧约</w:t>
            </w:r>
            <w:r>
              <w:rPr>
                <w:rFonts w:hint="eastAsia" w:cs="Times New Roman"/>
                <w:b w:val="0"/>
                <w:bCs w:val="0"/>
                <w:color w:val="auto"/>
                <w:sz w:val="24"/>
                <w:szCs w:val="24"/>
                <w:highlight w:val="none"/>
                <w:lang w:val="en-US" w:eastAsia="zh-CN"/>
              </w:rPr>
              <w:t>1.56</w:t>
            </w:r>
            <w:r>
              <w:rPr>
                <w:rFonts w:hint="default" w:ascii="Times New Roman" w:hAnsi="Times New Roman" w:eastAsia="宋体" w:cs="Times New Roman"/>
                <w:b w:val="0"/>
                <w:bCs w:val="0"/>
                <w:color w:val="auto"/>
                <w:sz w:val="24"/>
                <w:szCs w:val="24"/>
                <w:highlight w:val="none"/>
                <w:lang w:val="en-US" w:eastAsia="zh-CN"/>
              </w:rPr>
              <w:t>km。本项目引用的现状监测点</w:t>
            </w:r>
            <w:r>
              <w:rPr>
                <w:rFonts w:hint="default" w:ascii="Times New Roman" w:hAnsi="Times New Roman" w:eastAsia="宋体" w:cs="Times New Roman"/>
                <w:b w:val="0"/>
                <w:bCs w:val="0"/>
                <w:color w:val="auto"/>
                <w:sz w:val="24"/>
                <w:szCs w:val="24"/>
                <w:highlight w:val="none"/>
                <w:lang w:val="zh-CN"/>
              </w:rPr>
              <w:t>具备类比条件，数据在技术导则要求的“近三年”时限内，属于有效数据，故本项目空气质量现状评价引用</w:t>
            </w:r>
            <w:r>
              <w:rPr>
                <w:rFonts w:hint="default" w:ascii="Times New Roman" w:hAnsi="Times New Roman" w:eastAsia="宋体" w:cs="Times New Roman"/>
                <w:b w:val="0"/>
                <w:bCs w:val="0"/>
                <w:color w:val="auto"/>
                <w:sz w:val="24"/>
                <w:szCs w:val="24"/>
                <w:highlight w:val="none"/>
                <w:lang w:val="en-US" w:eastAsia="zh-CN"/>
              </w:rPr>
              <w:t>的数据具有时效性和代表性。</w:t>
            </w:r>
          </w:p>
          <w:p w14:paraId="138DAD52">
            <w:pPr>
              <w:pStyle w:val="79"/>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val="en-US" w:eastAsia="zh-CN"/>
              </w:rPr>
              <w:t>引用项目</w:t>
            </w:r>
            <w:r>
              <w:rPr>
                <w:rFonts w:hint="default" w:ascii="Times New Roman" w:hAnsi="Times New Roman" w:eastAsia="宋体" w:cs="Times New Roman"/>
                <w:b w:val="0"/>
                <w:bCs w:val="0"/>
                <w:color w:val="auto"/>
                <w:sz w:val="24"/>
                <w:szCs w:val="24"/>
                <w:highlight w:val="none"/>
              </w:rPr>
              <w:t>监测点位布设见表</w:t>
            </w:r>
            <w:r>
              <w:rPr>
                <w:rFonts w:hint="default" w:ascii="Times New Roman" w:hAnsi="Times New Roman" w:eastAsia="宋体" w:cs="Times New Roman"/>
                <w:b w:val="0"/>
                <w:bCs w:val="0"/>
                <w:color w:val="auto"/>
                <w:sz w:val="24"/>
                <w:szCs w:val="24"/>
                <w:highlight w:val="none"/>
                <w:lang w:val="en-US" w:eastAsia="zh-CN"/>
              </w:rPr>
              <w:t>3-1</w:t>
            </w:r>
            <w:r>
              <w:rPr>
                <w:rFonts w:hint="default" w:ascii="Times New Roman" w:hAnsi="Times New Roman" w:eastAsia="宋体" w:cs="Times New Roman"/>
                <w:b w:val="0"/>
                <w:bCs w:val="0"/>
                <w:color w:val="auto"/>
                <w:sz w:val="24"/>
                <w:szCs w:val="24"/>
                <w:highlight w:val="none"/>
                <w:lang w:eastAsia="zh-CN"/>
              </w:rPr>
              <w:t>。</w:t>
            </w:r>
          </w:p>
          <w:p w14:paraId="750C9B7F">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3-1</w:t>
            </w:r>
            <w:r>
              <w:rPr>
                <w:rFonts w:hint="default" w:ascii="Times New Roman" w:hAnsi="Times New Roman" w:eastAsia="宋体" w:cs="Times New Roman"/>
                <w:b/>
                <w:color w:val="auto"/>
                <w:sz w:val="21"/>
                <w:szCs w:val="21"/>
                <w:highlight w:val="none"/>
              </w:rPr>
              <w:t xml:space="preserve">   监测点位基本信息</w:t>
            </w:r>
          </w:p>
          <w:tbl>
            <w:tblPr>
              <w:tblStyle w:val="26"/>
              <w:tblW w:w="8522"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4"/>
              <w:gridCol w:w="1134"/>
              <w:gridCol w:w="963"/>
              <w:gridCol w:w="1229"/>
              <w:gridCol w:w="1445"/>
              <w:gridCol w:w="1140"/>
              <w:gridCol w:w="1157"/>
            </w:tblGrid>
            <w:tr w14:paraId="0A0A54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1454" w:type="dxa"/>
                  <w:vMerge w:val="restart"/>
                  <w:tcBorders>
                    <w:tl2br w:val="nil"/>
                    <w:tr2bl w:val="nil"/>
                  </w:tcBorders>
                  <w:noWrap w:val="0"/>
                  <w:vAlign w:val="center"/>
                </w:tcPr>
                <w:p w14:paraId="56D1F6A5">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监测点名称</w:t>
                  </w:r>
                </w:p>
              </w:tc>
              <w:tc>
                <w:tcPr>
                  <w:tcW w:w="2097" w:type="dxa"/>
                  <w:gridSpan w:val="2"/>
                  <w:tcBorders>
                    <w:tl2br w:val="nil"/>
                    <w:tr2bl w:val="nil"/>
                  </w:tcBorders>
                  <w:noWrap w:val="0"/>
                  <w:vAlign w:val="center"/>
                </w:tcPr>
                <w:p w14:paraId="3AA395E2">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监测点位坐标/m</w:t>
                  </w:r>
                </w:p>
              </w:tc>
              <w:tc>
                <w:tcPr>
                  <w:tcW w:w="1229" w:type="dxa"/>
                  <w:vMerge w:val="restart"/>
                  <w:tcBorders>
                    <w:tl2br w:val="nil"/>
                    <w:tr2bl w:val="nil"/>
                  </w:tcBorders>
                  <w:noWrap w:val="0"/>
                  <w:vAlign w:val="center"/>
                </w:tcPr>
                <w:p w14:paraId="0CE2AA15">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监测因子</w:t>
                  </w:r>
                </w:p>
              </w:tc>
              <w:tc>
                <w:tcPr>
                  <w:tcW w:w="1445" w:type="dxa"/>
                  <w:vMerge w:val="restart"/>
                  <w:tcBorders>
                    <w:tl2br w:val="nil"/>
                    <w:tr2bl w:val="nil"/>
                  </w:tcBorders>
                  <w:noWrap w:val="0"/>
                  <w:vAlign w:val="center"/>
                </w:tcPr>
                <w:p w14:paraId="561FCE24">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监测时段</w:t>
                  </w:r>
                </w:p>
              </w:tc>
              <w:tc>
                <w:tcPr>
                  <w:tcW w:w="1140" w:type="dxa"/>
                  <w:vMerge w:val="restart"/>
                  <w:tcBorders>
                    <w:tl2br w:val="nil"/>
                    <w:tr2bl w:val="nil"/>
                  </w:tcBorders>
                  <w:noWrap w:val="0"/>
                  <w:vAlign w:val="center"/>
                </w:tcPr>
                <w:p w14:paraId="7DFAF536">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相对厂址方位</w:t>
                  </w:r>
                </w:p>
              </w:tc>
              <w:tc>
                <w:tcPr>
                  <w:tcW w:w="1157" w:type="dxa"/>
                  <w:vMerge w:val="restart"/>
                  <w:tcBorders>
                    <w:tl2br w:val="nil"/>
                    <w:tr2bl w:val="nil"/>
                  </w:tcBorders>
                  <w:noWrap w:val="0"/>
                  <w:vAlign w:val="center"/>
                </w:tcPr>
                <w:p w14:paraId="0233B20D">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相对厂界距离/m</w:t>
                  </w:r>
                </w:p>
              </w:tc>
            </w:tr>
            <w:tr w14:paraId="68060F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1454" w:type="dxa"/>
                  <w:vMerge w:val="continue"/>
                  <w:tcBorders>
                    <w:tl2br w:val="nil"/>
                    <w:tr2bl w:val="nil"/>
                  </w:tcBorders>
                  <w:shd w:val="clear" w:color="auto" w:fill="auto"/>
                  <w:noWrap w:val="0"/>
                  <w:vAlign w:val="center"/>
                </w:tcPr>
                <w:p w14:paraId="4717B218">
                  <w:pPr>
                    <w:shd w:val="clear"/>
                    <w:jc w:val="center"/>
                    <w:rPr>
                      <w:rFonts w:hint="default" w:ascii="Times New Roman" w:hAnsi="Times New Roman" w:eastAsia="宋体" w:cs="Times New Roman"/>
                      <w:b/>
                      <w:color w:val="auto"/>
                      <w:sz w:val="21"/>
                      <w:szCs w:val="21"/>
                      <w:highlight w:val="none"/>
                    </w:rPr>
                  </w:pPr>
                </w:p>
              </w:tc>
              <w:tc>
                <w:tcPr>
                  <w:tcW w:w="1134" w:type="dxa"/>
                  <w:tcBorders>
                    <w:tl2br w:val="nil"/>
                    <w:tr2bl w:val="nil"/>
                  </w:tcBorders>
                  <w:shd w:val="clear" w:color="auto" w:fill="auto"/>
                  <w:noWrap w:val="0"/>
                  <w:vAlign w:val="center"/>
                </w:tcPr>
                <w:p w14:paraId="224F6459">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E</w:t>
                  </w:r>
                </w:p>
              </w:tc>
              <w:tc>
                <w:tcPr>
                  <w:tcW w:w="963" w:type="dxa"/>
                  <w:tcBorders>
                    <w:tl2br w:val="nil"/>
                    <w:tr2bl w:val="nil"/>
                  </w:tcBorders>
                  <w:shd w:val="clear" w:color="auto" w:fill="auto"/>
                  <w:noWrap w:val="0"/>
                  <w:vAlign w:val="center"/>
                </w:tcPr>
                <w:p w14:paraId="69254D04">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N</w:t>
                  </w:r>
                </w:p>
              </w:tc>
              <w:tc>
                <w:tcPr>
                  <w:tcW w:w="1229" w:type="dxa"/>
                  <w:vMerge w:val="continue"/>
                  <w:tcBorders>
                    <w:tl2br w:val="nil"/>
                    <w:tr2bl w:val="nil"/>
                  </w:tcBorders>
                  <w:shd w:val="clear" w:color="auto" w:fill="auto"/>
                  <w:noWrap w:val="0"/>
                  <w:vAlign w:val="center"/>
                </w:tcPr>
                <w:p w14:paraId="1F4FDDF7">
                  <w:pPr>
                    <w:shd w:val="clear"/>
                    <w:jc w:val="center"/>
                    <w:rPr>
                      <w:rFonts w:hint="default" w:ascii="Times New Roman" w:hAnsi="Times New Roman" w:eastAsia="宋体" w:cs="Times New Roman"/>
                      <w:b/>
                      <w:color w:val="auto"/>
                      <w:sz w:val="21"/>
                      <w:szCs w:val="21"/>
                      <w:highlight w:val="none"/>
                    </w:rPr>
                  </w:pPr>
                </w:p>
              </w:tc>
              <w:tc>
                <w:tcPr>
                  <w:tcW w:w="1445" w:type="dxa"/>
                  <w:vMerge w:val="continue"/>
                  <w:tcBorders>
                    <w:tl2br w:val="nil"/>
                    <w:tr2bl w:val="nil"/>
                  </w:tcBorders>
                  <w:shd w:val="clear" w:color="auto" w:fill="auto"/>
                  <w:noWrap w:val="0"/>
                  <w:vAlign w:val="center"/>
                </w:tcPr>
                <w:p w14:paraId="3BB416F0">
                  <w:pPr>
                    <w:shd w:val="clear"/>
                    <w:jc w:val="center"/>
                    <w:rPr>
                      <w:rFonts w:hint="default" w:ascii="Times New Roman" w:hAnsi="Times New Roman" w:eastAsia="宋体" w:cs="Times New Roman"/>
                      <w:b/>
                      <w:color w:val="auto"/>
                      <w:sz w:val="21"/>
                      <w:szCs w:val="21"/>
                      <w:highlight w:val="none"/>
                    </w:rPr>
                  </w:pPr>
                </w:p>
              </w:tc>
              <w:tc>
                <w:tcPr>
                  <w:tcW w:w="1140" w:type="dxa"/>
                  <w:vMerge w:val="continue"/>
                  <w:tcBorders>
                    <w:tl2br w:val="nil"/>
                    <w:tr2bl w:val="nil"/>
                  </w:tcBorders>
                  <w:shd w:val="clear" w:color="000000" w:fill="FFFFFF"/>
                  <w:noWrap w:val="0"/>
                  <w:vAlign w:val="center"/>
                </w:tcPr>
                <w:p w14:paraId="234C4929">
                  <w:pPr>
                    <w:shd w:val="clear"/>
                    <w:jc w:val="center"/>
                    <w:rPr>
                      <w:rFonts w:hint="default" w:ascii="Times New Roman" w:hAnsi="Times New Roman" w:eastAsia="宋体" w:cs="Times New Roman"/>
                      <w:b/>
                      <w:color w:val="auto"/>
                      <w:sz w:val="21"/>
                      <w:szCs w:val="21"/>
                      <w:highlight w:val="none"/>
                    </w:rPr>
                  </w:pPr>
                </w:p>
              </w:tc>
              <w:tc>
                <w:tcPr>
                  <w:tcW w:w="1157" w:type="dxa"/>
                  <w:vMerge w:val="continue"/>
                  <w:tcBorders>
                    <w:tl2br w:val="nil"/>
                    <w:tr2bl w:val="nil"/>
                  </w:tcBorders>
                  <w:noWrap w:val="0"/>
                  <w:vAlign w:val="center"/>
                </w:tcPr>
                <w:p w14:paraId="7107ADA5">
                  <w:pPr>
                    <w:shd w:val="clear"/>
                    <w:jc w:val="center"/>
                    <w:rPr>
                      <w:rFonts w:hint="default" w:ascii="Times New Roman" w:hAnsi="Times New Roman" w:eastAsia="宋体" w:cs="Times New Roman"/>
                      <w:b/>
                      <w:color w:val="auto"/>
                      <w:sz w:val="21"/>
                      <w:szCs w:val="21"/>
                      <w:highlight w:val="none"/>
                    </w:rPr>
                  </w:pPr>
                </w:p>
              </w:tc>
            </w:tr>
            <w:tr w14:paraId="04DEF6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1454" w:type="dxa"/>
                  <w:tcBorders>
                    <w:tl2br w:val="nil"/>
                    <w:tr2bl w:val="nil"/>
                  </w:tcBorders>
                  <w:noWrap w:val="0"/>
                  <w:vAlign w:val="center"/>
                </w:tcPr>
                <w:p w14:paraId="28B9581C">
                  <w:pPr>
                    <w:shd w:val="clear"/>
                    <w:jc w:val="center"/>
                    <w:rPr>
                      <w:rFonts w:hint="default" w:ascii="Times New Roman" w:hAnsi="Times New Roman" w:eastAsia="宋体" w:cs="Times New Roman"/>
                      <w:color w:val="auto"/>
                      <w:sz w:val="21"/>
                      <w:szCs w:val="21"/>
                      <w:highlight w:val="none"/>
                    </w:rPr>
                  </w:pPr>
                  <w:r>
                    <w:rPr>
                      <w:rFonts w:hint="eastAsia" w:cs="Times New Roman"/>
                      <w:color w:val="auto"/>
                      <w:kern w:val="2"/>
                      <w:sz w:val="21"/>
                      <w:szCs w:val="21"/>
                      <w:highlight w:val="none"/>
                      <w:lang w:val="en-US" w:eastAsia="zh-CN"/>
                    </w:rPr>
                    <w:t>谓所村</w:t>
                  </w:r>
                </w:p>
              </w:tc>
              <w:tc>
                <w:tcPr>
                  <w:tcW w:w="1134" w:type="dxa"/>
                  <w:tcBorders>
                    <w:tl2br w:val="nil"/>
                    <w:tr2bl w:val="nil"/>
                  </w:tcBorders>
                  <w:noWrap w:val="0"/>
                  <w:vAlign w:val="center"/>
                </w:tcPr>
                <w:p w14:paraId="243D77B4">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103°1</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54.690</w:t>
                  </w:r>
                  <w:r>
                    <w:rPr>
                      <w:rFonts w:hint="default" w:ascii="Times New Roman" w:hAnsi="Times New Roman" w:eastAsia="宋体" w:cs="Times New Roman"/>
                      <w:color w:val="auto"/>
                      <w:sz w:val="21"/>
                      <w:szCs w:val="21"/>
                      <w:highlight w:val="none"/>
                    </w:rPr>
                    <w:t>″</w:t>
                  </w:r>
                </w:p>
              </w:tc>
              <w:tc>
                <w:tcPr>
                  <w:tcW w:w="963" w:type="dxa"/>
                  <w:tcBorders>
                    <w:tl2br w:val="nil"/>
                    <w:tr2bl w:val="nil"/>
                  </w:tcBorders>
                  <w:noWrap w:val="0"/>
                  <w:vAlign w:val="center"/>
                </w:tcPr>
                <w:p w14:paraId="763A9337">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25°3</w:t>
                  </w:r>
                  <w:r>
                    <w:rPr>
                      <w:rFonts w:hint="eastAsia"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30.918</w:t>
                  </w:r>
                  <w:r>
                    <w:rPr>
                      <w:rFonts w:hint="default" w:ascii="Times New Roman" w:hAnsi="Times New Roman" w:eastAsia="宋体" w:cs="Times New Roman"/>
                      <w:color w:val="auto"/>
                      <w:sz w:val="21"/>
                      <w:szCs w:val="21"/>
                      <w:highlight w:val="none"/>
                    </w:rPr>
                    <w:t>″</w:t>
                  </w:r>
                </w:p>
              </w:tc>
              <w:tc>
                <w:tcPr>
                  <w:tcW w:w="1229" w:type="dxa"/>
                  <w:tcBorders>
                    <w:tl2br w:val="nil"/>
                    <w:tr2bl w:val="nil"/>
                  </w:tcBorders>
                  <w:noWrap w:val="0"/>
                  <w:vAlign w:val="center"/>
                </w:tcPr>
                <w:p w14:paraId="1988F970">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TSP、非甲烷总烃</w:t>
                  </w:r>
                </w:p>
              </w:tc>
              <w:tc>
                <w:tcPr>
                  <w:tcW w:w="1445" w:type="dxa"/>
                  <w:tcBorders>
                    <w:tl2br w:val="nil"/>
                    <w:tr2bl w:val="nil"/>
                  </w:tcBorders>
                  <w:noWrap w:val="0"/>
                  <w:vAlign w:val="center"/>
                </w:tcPr>
                <w:p w14:paraId="597638BE">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2022.9.1-2022.9.7</w:t>
                  </w:r>
                </w:p>
              </w:tc>
              <w:tc>
                <w:tcPr>
                  <w:tcW w:w="1140" w:type="dxa"/>
                  <w:tcBorders>
                    <w:tl2br w:val="nil"/>
                    <w:tr2bl w:val="nil"/>
                  </w:tcBorders>
                  <w:noWrap w:val="0"/>
                  <w:vAlign w:val="center"/>
                </w:tcPr>
                <w:p w14:paraId="2F013995">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西南侧</w:t>
                  </w:r>
                </w:p>
              </w:tc>
              <w:tc>
                <w:tcPr>
                  <w:tcW w:w="1157" w:type="dxa"/>
                  <w:tcBorders>
                    <w:tl2br w:val="nil"/>
                    <w:tr2bl w:val="nil"/>
                  </w:tcBorders>
                  <w:noWrap w:val="0"/>
                  <w:vAlign w:val="center"/>
                </w:tcPr>
                <w:p w14:paraId="36B82E36">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560</w:t>
                  </w:r>
                </w:p>
              </w:tc>
            </w:tr>
          </w:tbl>
          <w:p w14:paraId="58591100">
            <w:pPr>
              <w:pStyle w:val="79"/>
              <w:shd w:val="clea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18"/>
                <w:highlight w:val="none"/>
              </w:rPr>
              <w:t>大气环境质量现状</w:t>
            </w:r>
            <w:r>
              <w:rPr>
                <w:rFonts w:hint="default" w:ascii="Times New Roman" w:hAnsi="Times New Roman" w:eastAsia="宋体" w:cs="Times New Roman"/>
                <w:color w:val="auto"/>
                <w:szCs w:val="18"/>
                <w:highlight w:val="none"/>
                <w:lang w:val="en-US" w:eastAsia="zh-CN"/>
              </w:rPr>
              <w:t>引用</w:t>
            </w:r>
            <w:r>
              <w:rPr>
                <w:rFonts w:hint="default" w:ascii="Times New Roman" w:hAnsi="Times New Roman" w:eastAsia="宋体" w:cs="Times New Roman"/>
                <w:color w:val="auto"/>
                <w:szCs w:val="18"/>
                <w:highlight w:val="none"/>
              </w:rPr>
              <w:t>监测结果见表</w:t>
            </w:r>
            <w:r>
              <w:rPr>
                <w:rFonts w:hint="default" w:ascii="Times New Roman" w:hAnsi="Times New Roman" w:eastAsia="宋体" w:cs="Times New Roman"/>
                <w:color w:val="auto"/>
                <w:szCs w:val="18"/>
                <w:highlight w:val="none"/>
                <w:lang w:val="en-US" w:eastAsia="zh-CN"/>
              </w:rPr>
              <w:t>3-2</w:t>
            </w:r>
            <w:r>
              <w:rPr>
                <w:rFonts w:hint="default" w:ascii="Times New Roman" w:hAnsi="Times New Roman" w:eastAsia="宋体" w:cs="Times New Roman"/>
                <w:color w:val="auto"/>
                <w:szCs w:val="18"/>
                <w:highlight w:val="none"/>
              </w:rPr>
              <w:t>。</w:t>
            </w:r>
          </w:p>
          <w:p w14:paraId="359CAC54">
            <w:pPr>
              <w:pStyle w:val="15"/>
              <w:shd w:val="clear"/>
              <w:snapToGrid w:val="0"/>
              <w:jc w:val="center"/>
              <w:rPr>
                <w:rFonts w:hint="default" w:ascii="Times New Roman" w:hAnsi="Times New Roman" w:eastAsia="宋体" w:cs="Times New Roman"/>
                <w:b/>
                <w:bCs/>
                <w:color w:val="auto"/>
                <w:sz w:val="21"/>
                <w:szCs w:val="21"/>
                <w:highlight w:val="none"/>
                <w:vertAlign w:val="superscript"/>
              </w:rPr>
            </w:pPr>
            <w:r>
              <w:rPr>
                <w:rFonts w:hint="default" w:ascii="Times New Roman" w:hAnsi="Times New Roman" w:eastAsia="宋体" w:cs="Times New Roman"/>
                <w:b/>
                <w:bCs/>
                <w:color w:val="auto"/>
                <w:sz w:val="21"/>
                <w:szCs w:val="21"/>
                <w:highlight w:val="none"/>
                <w:lang w:val="zh-CN"/>
              </w:rPr>
              <w:t>表</w:t>
            </w:r>
            <w:r>
              <w:rPr>
                <w:rFonts w:hint="default" w:ascii="Times New Roman" w:hAnsi="Times New Roman" w:eastAsia="宋体" w:cs="Times New Roman"/>
                <w:b/>
                <w:bCs/>
                <w:color w:val="auto"/>
                <w:sz w:val="21"/>
                <w:szCs w:val="21"/>
                <w:highlight w:val="none"/>
                <w:lang w:val="en-US" w:eastAsia="zh-CN"/>
              </w:rPr>
              <w:t>3-2</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引用项目</w:t>
            </w:r>
            <w:r>
              <w:rPr>
                <w:rFonts w:hint="default" w:ascii="Times New Roman" w:hAnsi="Times New Roman" w:eastAsia="宋体" w:cs="Times New Roman"/>
                <w:b/>
                <w:bCs/>
                <w:color w:val="auto"/>
                <w:szCs w:val="21"/>
                <w:highlight w:val="none"/>
              </w:rPr>
              <w:t>环境空气检测结果</w:t>
            </w:r>
            <w:r>
              <w:rPr>
                <w:rFonts w:hint="default" w:ascii="Times New Roman" w:hAnsi="Times New Roman" w:eastAsia="宋体" w:cs="Times New Roman"/>
                <w:b/>
                <w:bCs/>
                <w:color w:val="auto"/>
                <w:sz w:val="21"/>
                <w:szCs w:val="21"/>
                <w:highlight w:val="none"/>
              </w:rPr>
              <w:t xml:space="preserve">   单位：</w:t>
            </w:r>
            <w:r>
              <w:rPr>
                <w:rFonts w:hint="default" w:ascii="Times New Roman" w:hAnsi="Times New Roman" w:eastAsia="宋体" w:cs="Times New Roman"/>
                <w:b/>
                <w:bCs/>
                <w:color w:val="auto"/>
                <w:sz w:val="21"/>
                <w:szCs w:val="21"/>
                <w:highlight w:val="none"/>
                <w:lang w:val="en-US" w:eastAsia="zh-CN"/>
              </w:rPr>
              <w:t>m</w:t>
            </w:r>
            <w:r>
              <w:rPr>
                <w:rFonts w:hint="default" w:ascii="Times New Roman" w:hAnsi="Times New Roman" w:eastAsia="宋体" w:cs="Times New Roman"/>
                <w:b/>
                <w:bCs/>
                <w:color w:val="auto"/>
                <w:sz w:val="21"/>
                <w:szCs w:val="21"/>
                <w:highlight w:val="none"/>
              </w:rPr>
              <w:t>g/m</w:t>
            </w:r>
            <w:r>
              <w:rPr>
                <w:rFonts w:hint="default" w:ascii="Times New Roman" w:hAnsi="Times New Roman" w:eastAsia="宋体" w:cs="Times New Roman"/>
                <w:b/>
                <w:bCs/>
                <w:color w:val="auto"/>
                <w:sz w:val="21"/>
                <w:szCs w:val="21"/>
                <w:highlight w:val="none"/>
                <w:vertAlign w:val="superscript"/>
              </w:rPr>
              <w:t>3</w:t>
            </w:r>
          </w:p>
          <w:tbl>
            <w:tblPr>
              <w:tblStyle w:val="26"/>
              <w:tblW w:w="8426"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2405"/>
              <w:gridCol w:w="3837"/>
            </w:tblGrid>
            <w:tr w14:paraId="3A0C95D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84" w:type="dxa"/>
                  <w:vMerge w:val="restart"/>
                  <w:tcBorders>
                    <w:tl2br w:val="nil"/>
                    <w:tr2bl w:val="nil"/>
                  </w:tcBorders>
                  <w:noWrap w:val="0"/>
                  <w:vAlign w:val="center"/>
                </w:tcPr>
                <w:p w14:paraId="7D71322D">
                  <w:pPr>
                    <w:shd w:val="clear"/>
                    <w:spacing w:line="24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采样日期</w:t>
                  </w:r>
                </w:p>
              </w:tc>
              <w:tc>
                <w:tcPr>
                  <w:tcW w:w="6242" w:type="dxa"/>
                  <w:gridSpan w:val="2"/>
                  <w:tcBorders>
                    <w:tl2br w:val="nil"/>
                    <w:tr2bl w:val="nil"/>
                  </w:tcBorders>
                  <w:noWrap w:val="0"/>
                  <w:vAlign w:val="center"/>
                </w:tcPr>
                <w:p w14:paraId="0736985F">
                  <w:pPr>
                    <w:shd w:val="clear"/>
                    <w:spacing w:line="24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检测点位：金所街道办（1#）</w:t>
                  </w:r>
                </w:p>
              </w:tc>
            </w:tr>
            <w:tr w14:paraId="5862F78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84" w:type="dxa"/>
                  <w:vMerge w:val="continue"/>
                  <w:tcBorders>
                    <w:tl2br w:val="nil"/>
                    <w:tr2bl w:val="nil"/>
                  </w:tcBorders>
                  <w:noWrap w:val="0"/>
                  <w:vAlign w:val="center"/>
                </w:tcPr>
                <w:p w14:paraId="40300E8A">
                  <w:pPr>
                    <w:shd w:val="clear"/>
                    <w:spacing w:line="240" w:lineRule="exact"/>
                    <w:jc w:val="center"/>
                    <w:rPr>
                      <w:rFonts w:hint="default" w:ascii="Times New Roman" w:hAnsi="Times New Roman" w:eastAsia="宋体" w:cs="Times New Roman"/>
                      <w:b/>
                      <w:bCs/>
                      <w:color w:val="auto"/>
                      <w:szCs w:val="21"/>
                      <w:highlight w:val="none"/>
                    </w:rPr>
                  </w:pPr>
                </w:p>
              </w:tc>
              <w:tc>
                <w:tcPr>
                  <w:tcW w:w="2405" w:type="dxa"/>
                  <w:tcBorders>
                    <w:tl2br w:val="nil"/>
                    <w:tr2bl w:val="nil"/>
                  </w:tcBorders>
                  <w:noWrap w:val="0"/>
                  <w:vAlign w:val="center"/>
                </w:tcPr>
                <w:p w14:paraId="0F0DEB48">
                  <w:pPr>
                    <w:shd w:val="clear"/>
                    <w:spacing w:line="24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TSP（日均值）</w:t>
                  </w:r>
                </w:p>
              </w:tc>
              <w:tc>
                <w:tcPr>
                  <w:tcW w:w="3837" w:type="dxa"/>
                  <w:tcBorders>
                    <w:tl2br w:val="nil"/>
                    <w:tr2bl w:val="nil"/>
                  </w:tcBorders>
                  <w:noWrap w:val="0"/>
                  <w:vAlign w:val="center"/>
                </w:tcPr>
                <w:p w14:paraId="511B7F66">
                  <w:pPr>
                    <w:shd w:val="clear"/>
                    <w:spacing w:line="24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非甲烷总烃</w:t>
                  </w:r>
                </w:p>
              </w:tc>
            </w:tr>
            <w:tr w14:paraId="376B9A4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84" w:type="dxa"/>
                  <w:tcBorders>
                    <w:tl2br w:val="nil"/>
                    <w:tr2bl w:val="nil"/>
                  </w:tcBorders>
                  <w:noWrap w:val="0"/>
                  <w:vAlign w:val="center"/>
                </w:tcPr>
                <w:p w14:paraId="20D19529">
                  <w:pPr>
                    <w:shd w:val="clear"/>
                    <w:spacing w:line="240" w:lineRule="exact"/>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2022.9.1-2022.9.7</w:t>
                  </w:r>
                </w:p>
              </w:tc>
              <w:tc>
                <w:tcPr>
                  <w:tcW w:w="2405" w:type="dxa"/>
                  <w:tcBorders>
                    <w:tl2br w:val="nil"/>
                    <w:tr2bl w:val="nil"/>
                  </w:tcBorders>
                  <w:noWrap w:val="0"/>
                  <w:vAlign w:val="center"/>
                </w:tcPr>
                <w:p w14:paraId="3AB3FF59">
                  <w:pPr>
                    <w:shd w:val="clear"/>
                    <w:spacing w:line="240" w:lineRule="exact"/>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0.0</w:t>
                  </w:r>
                  <w:r>
                    <w:rPr>
                      <w:rFonts w:hint="eastAsia" w:cs="Times New Roman"/>
                      <w:b w:val="0"/>
                      <w:bCs w:val="0"/>
                      <w:color w:val="auto"/>
                      <w:szCs w:val="21"/>
                      <w:highlight w:val="none"/>
                      <w:lang w:val="en-US" w:eastAsia="zh-CN"/>
                    </w:rPr>
                    <w:t>81</w:t>
                  </w:r>
                  <w:r>
                    <w:rPr>
                      <w:rFonts w:hint="default" w:ascii="Times New Roman" w:hAnsi="Times New Roman" w:eastAsia="宋体" w:cs="Times New Roman"/>
                      <w:b w:val="0"/>
                      <w:bCs w:val="0"/>
                      <w:color w:val="auto"/>
                      <w:szCs w:val="21"/>
                      <w:highlight w:val="none"/>
                      <w:lang w:val="en-US" w:eastAsia="zh-CN"/>
                    </w:rPr>
                    <w:t>-0.</w:t>
                  </w:r>
                  <w:r>
                    <w:rPr>
                      <w:rFonts w:hint="eastAsia" w:cs="Times New Roman"/>
                      <w:b w:val="0"/>
                      <w:bCs w:val="0"/>
                      <w:color w:val="auto"/>
                      <w:szCs w:val="21"/>
                      <w:highlight w:val="none"/>
                      <w:lang w:val="en-US" w:eastAsia="zh-CN"/>
                    </w:rPr>
                    <w:t>101</w:t>
                  </w:r>
                </w:p>
              </w:tc>
              <w:tc>
                <w:tcPr>
                  <w:tcW w:w="3837" w:type="dxa"/>
                  <w:tcBorders>
                    <w:tl2br w:val="nil"/>
                    <w:tr2bl w:val="nil"/>
                  </w:tcBorders>
                  <w:noWrap w:val="0"/>
                  <w:vAlign w:val="center"/>
                </w:tcPr>
                <w:p w14:paraId="0ABE4FDC">
                  <w:pPr>
                    <w:shd w:val="clear"/>
                    <w:spacing w:line="240" w:lineRule="exact"/>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 w:val="21"/>
                      <w:szCs w:val="24"/>
                    </w:rPr>
                    <w:t>0.21~</w:t>
                  </w:r>
                  <w:r>
                    <w:rPr>
                      <w:rFonts w:hint="eastAsia" w:cs="Times New Roman"/>
                      <w:b w:val="0"/>
                      <w:bCs w:val="0"/>
                      <w:color w:val="auto"/>
                      <w:sz w:val="21"/>
                      <w:szCs w:val="24"/>
                      <w:lang w:val="en-US" w:eastAsia="zh-CN"/>
                    </w:rPr>
                    <w:t>0.74</w:t>
                  </w:r>
                </w:p>
              </w:tc>
            </w:tr>
            <w:tr w14:paraId="0ABDD4C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84" w:type="dxa"/>
                  <w:tcBorders>
                    <w:tl2br w:val="nil"/>
                    <w:tr2bl w:val="nil"/>
                  </w:tcBorders>
                  <w:noWrap w:val="0"/>
                  <w:vAlign w:val="center"/>
                </w:tcPr>
                <w:p w14:paraId="617E6683">
                  <w:pPr>
                    <w:shd w:val="clear"/>
                    <w:spacing w:line="240" w:lineRule="exact"/>
                    <w:jc w:val="center"/>
                    <w:rPr>
                      <w:rFonts w:hint="default" w:ascii="Times New Roman" w:hAnsi="Times New Roman" w:eastAsia="宋体" w:cs="Times New Roman"/>
                      <w:b w:val="0"/>
                      <w:bCs w:val="0"/>
                      <w:color w:val="auto"/>
                      <w:szCs w:val="21"/>
                      <w:highlight w:val="none"/>
                    </w:rPr>
                  </w:pPr>
                  <w:r>
                    <w:rPr>
                      <w:rFonts w:hint="default" w:ascii="Times New Roman" w:hAnsi="Times New Roman" w:eastAsia="宋体" w:cs="Times New Roman"/>
                      <w:b w:val="0"/>
                      <w:bCs w:val="0"/>
                      <w:color w:val="auto"/>
                      <w:szCs w:val="21"/>
                      <w:highlight w:val="none"/>
                    </w:rPr>
                    <w:t>标准值</w:t>
                  </w:r>
                </w:p>
              </w:tc>
              <w:tc>
                <w:tcPr>
                  <w:tcW w:w="2405" w:type="dxa"/>
                  <w:tcBorders>
                    <w:tl2br w:val="nil"/>
                    <w:tr2bl w:val="nil"/>
                  </w:tcBorders>
                  <w:noWrap w:val="0"/>
                  <w:vAlign w:val="center"/>
                </w:tcPr>
                <w:p w14:paraId="43F87FA5">
                  <w:pPr>
                    <w:shd w:val="clear"/>
                    <w:spacing w:line="240" w:lineRule="exact"/>
                    <w:jc w:val="center"/>
                    <w:rPr>
                      <w:rFonts w:hint="default" w:ascii="Times New Roman" w:hAnsi="Times New Roman" w:eastAsia="宋体" w:cs="Times New Roman"/>
                      <w:b w:val="0"/>
                      <w:bCs w:val="0"/>
                      <w:color w:val="auto"/>
                      <w:szCs w:val="21"/>
                      <w:highlight w:val="none"/>
                    </w:rPr>
                  </w:pPr>
                  <w:r>
                    <w:rPr>
                      <w:rFonts w:hint="default" w:ascii="Times New Roman" w:hAnsi="Times New Roman" w:eastAsia="宋体" w:cs="Times New Roman"/>
                      <w:b w:val="0"/>
                      <w:bCs w:val="0"/>
                      <w:color w:val="auto"/>
                      <w:szCs w:val="21"/>
                      <w:highlight w:val="none"/>
                    </w:rPr>
                    <w:t>0.3</w:t>
                  </w:r>
                </w:p>
              </w:tc>
              <w:tc>
                <w:tcPr>
                  <w:tcW w:w="3837" w:type="dxa"/>
                  <w:tcBorders>
                    <w:tl2br w:val="nil"/>
                    <w:tr2bl w:val="nil"/>
                  </w:tcBorders>
                  <w:noWrap w:val="0"/>
                  <w:vAlign w:val="center"/>
                </w:tcPr>
                <w:p w14:paraId="3EF8A38F">
                  <w:pPr>
                    <w:shd w:val="clear"/>
                    <w:spacing w:line="240" w:lineRule="exact"/>
                    <w:jc w:val="center"/>
                    <w:rPr>
                      <w:rFonts w:hint="default" w:ascii="Times New Roman" w:hAnsi="Times New Roman" w:eastAsia="宋体" w:cs="Times New Roman"/>
                      <w:b w:val="0"/>
                      <w:bCs w:val="0"/>
                      <w:color w:val="auto"/>
                      <w:szCs w:val="21"/>
                      <w:highlight w:val="none"/>
                    </w:rPr>
                  </w:pPr>
                  <w:r>
                    <w:rPr>
                      <w:rFonts w:hint="default" w:ascii="Times New Roman" w:hAnsi="Times New Roman" w:eastAsia="宋体" w:cs="Times New Roman"/>
                      <w:b w:val="0"/>
                      <w:bCs w:val="0"/>
                      <w:color w:val="auto"/>
                      <w:szCs w:val="21"/>
                      <w:highlight w:val="none"/>
                    </w:rPr>
                    <w:t>2.0</w:t>
                  </w:r>
                </w:p>
              </w:tc>
            </w:tr>
            <w:tr w14:paraId="41F0F5A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84" w:type="dxa"/>
                  <w:tcBorders>
                    <w:tl2br w:val="nil"/>
                    <w:tr2bl w:val="nil"/>
                  </w:tcBorders>
                  <w:noWrap w:val="0"/>
                  <w:vAlign w:val="center"/>
                </w:tcPr>
                <w:p w14:paraId="736B5BCB">
                  <w:pPr>
                    <w:shd w:val="clear"/>
                    <w:spacing w:line="240" w:lineRule="exact"/>
                    <w:jc w:val="center"/>
                    <w:rPr>
                      <w:rFonts w:hint="default" w:ascii="Times New Roman" w:hAnsi="Times New Roman" w:eastAsia="宋体" w:cs="Times New Roman"/>
                      <w:b w:val="0"/>
                      <w:bCs w:val="0"/>
                      <w:color w:val="auto"/>
                      <w:szCs w:val="21"/>
                      <w:highlight w:val="none"/>
                    </w:rPr>
                  </w:pPr>
                  <w:r>
                    <w:rPr>
                      <w:rFonts w:hint="default" w:ascii="Times New Roman" w:hAnsi="Times New Roman" w:eastAsia="宋体" w:cs="Times New Roman"/>
                      <w:b w:val="0"/>
                      <w:bCs w:val="0"/>
                      <w:color w:val="auto"/>
                      <w:szCs w:val="21"/>
                      <w:highlight w:val="none"/>
                    </w:rPr>
                    <w:t>达标情况</w:t>
                  </w:r>
                </w:p>
              </w:tc>
              <w:tc>
                <w:tcPr>
                  <w:tcW w:w="2405" w:type="dxa"/>
                  <w:tcBorders>
                    <w:tl2br w:val="nil"/>
                    <w:tr2bl w:val="nil"/>
                  </w:tcBorders>
                  <w:noWrap w:val="0"/>
                  <w:vAlign w:val="center"/>
                </w:tcPr>
                <w:p w14:paraId="1276B545">
                  <w:pPr>
                    <w:shd w:val="clear"/>
                    <w:spacing w:line="240" w:lineRule="exact"/>
                    <w:jc w:val="center"/>
                    <w:rPr>
                      <w:rFonts w:hint="default" w:ascii="Times New Roman" w:hAnsi="Times New Roman" w:eastAsia="宋体" w:cs="Times New Roman"/>
                      <w:b w:val="0"/>
                      <w:bCs w:val="0"/>
                      <w:color w:val="auto"/>
                      <w:szCs w:val="21"/>
                      <w:highlight w:val="none"/>
                    </w:rPr>
                  </w:pPr>
                  <w:r>
                    <w:rPr>
                      <w:rFonts w:hint="default" w:ascii="Times New Roman" w:hAnsi="Times New Roman" w:eastAsia="宋体" w:cs="Times New Roman"/>
                      <w:b w:val="0"/>
                      <w:bCs w:val="0"/>
                      <w:color w:val="auto"/>
                      <w:szCs w:val="21"/>
                      <w:highlight w:val="none"/>
                    </w:rPr>
                    <w:t>达标</w:t>
                  </w:r>
                </w:p>
              </w:tc>
              <w:tc>
                <w:tcPr>
                  <w:tcW w:w="3837" w:type="dxa"/>
                  <w:tcBorders>
                    <w:tl2br w:val="nil"/>
                    <w:tr2bl w:val="nil"/>
                  </w:tcBorders>
                  <w:noWrap w:val="0"/>
                  <w:vAlign w:val="center"/>
                </w:tcPr>
                <w:p w14:paraId="699209A0">
                  <w:pPr>
                    <w:shd w:val="clear"/>
                    <w:spacing w:line="240" w:lineRule="exact"/>
                    <w:jc w:val="center"/>
                    <w:rPr>
                      <w:rFonts w:hint="default" w:ascii="Times New Roman" w:hAnsi="Times New Roman" w:eastAsia="宋体" w:cs="Times New Roman"/>
                      <w:b w:val="0"/>
                      <w:bCs w:val="0"/>
                      <w:color w:val="auto"/>
                      <w:szCs w:val="21"/>
                      <w:highlight w:val="none"/>
                    </w:rPr>
                  </w:pPr>
                  <w:r>
                    <w:rPr>
                      <w:rFonts w:hint="default" w:ascii="Times New Roman" w:hAnsi="Times New Roman" w:eastAsia="宋体" w:cs="Times New Roman"/>
                      <w:b w:val="0"/>
                      <w:bCs w:val="0"/>
                      <w:color w:val="auto"/>
                      <w:szCs w:val="21"/>
                      <w:highlight w:val="none"/>
                    </w:rPr>
                    <w:t>达标</w:t>
                  </w:r>
                </w:p>
              </w:tc>
            </w:tr>
          </w:tbl>
          <w:p w14:paraId="13EF6C3A">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48"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highlight w:val="none"/>
                <w:lang w:val="en-US" w:eastAsia="zh-CN"/>
              </w:rPr>
              <w:t>根据引用</w:t>
            </w:r>
            <w:r>
              <w:rPr>
                <w:rFonts w:hint="default" w:ascii="Times New Roman" w:hAnsi="Times New Roman" w:eastAsia="宋体" w:cs="Times New Roman"/>
                <w:color w:val="auto"/>
                <w:kern w:val="0"/>
                <w:sz w:val="24"/>
                <w:highlight w:val="none"/>
              </w:rPr>
              <w:t>监测</w:t>
            </w:r>
            <w:r>
              <w:rPr>
                <w:rFonts w:hint="default" w:ascii="Times New Roman" w:hAnsi="Times New Roman" w:eastAsia="宋体" w:cs="Times New Roman"/>
                <w:color w:val="auto"/>
                <w:kern w:val="0"/>
                <w:sz w:val="24"/>
                <w:highlight w:val="none"/>
                <w:lang w:val="en-US" w:eastAsia="zh-CN"/>
              </w:rPr>
              <w:t>结果可知</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highlight w:val="none"/>
                <w:lang w:val="en-US" w:eastAsia="zh-CN"/>
              </w:rPr>
              <w:t>引用的</w:t>
            </w:r>
            <w:r>
              <w:rPr>
                <w:rFonts w:hint="eastAsia" w:cs="Times New Roman"/>
                <w:color w:val="auto"/>
                <w:kern w:val="2"/>
                <w:sz w:val="24"/>
                <w:szCs w:val="24"/>
                <w:highlight w:val="none"/>
                <w:lang w:val="en-US" w:eastAsia="zh-CN"/>
              </w:rPr>
              <w:t>谓所村</w:t>
            </w:r>
            <w:r>
              <w:rPr>
                <w:rFonts w:hint="default" w:ascii="Times New Roman" w:hAnsi="Times New Roman" w:eastAsia="宋体" w:cs="Times New Roman"/>
                <w:color w:val="auto"/>
                <w:kern w:val="0"/>
                <w:sz w:val="24"/>
                <w:highlight w:val="none"/>
              </w:rPr>
              <w:t>监测点TSP日均值浓度能够达到《环境空气质量标准》（GB3095-2012）二级评价标准要求；</w:t>
            </w:r>
            <w:r>
              <w:rPr>
                <w:rFonts w:hint="default" w:ascii="Times New Roman" w:hAnsi="Times New Roman" w:eastAsia="宋体" w:cs="Times New Roman"/>
                <w:color w:val="auto"/>
                <w:sz w:val="24"/>
                <w:highlight w:val="none"/>
              </w:rPr>
              <w:t>非甲烷总烃</w:t>
            </w:r>
            <w:r>
              <w:rPr>
                <w:rFonts w:hint="default" w:ascii="Times New Roman" w:hAnsi="Times New Roman" w:eastAsia="宋体" w:cs="Times New Roman"/>
                <w:color w:val="auto"/>
                <w:sz w:val="24"/>
                <w:highlight w:val="none"/>
                <w:lang w:val="en-US" w:eastAsia="zh-CN"/>
              </w:rPr>
              <w:t>监测值</w:t>
            </w:r>
            <w:r>
              <w:rPr>
                <w:rFonts w:hint="default" w:ascii="Times New Roman" w:hAnsi="Times New Roman" w:eastAsia="宋体" w:cs="Times New Roman"/>
                <w:color w:val="auto"/>
                <w:sz w:val="24"/>
                <w:szCs w:val="20"/>
                <w:highlight w:val="none"/>
                <w:lang w:bidi="ar"/>
              </w:rPr>
              <w:t>均能满足</w:t>
            </w:r>
            <w:r>
              <w:rPr>
                <w:rFonts w:hint="default" w:ascii="Times New Roman" w:hAnsi="Times New Roman" w:eastAsia="宋体" w:cs="Times New Roman"/>
                <w:color w:val="auto"/>
                <w:sz w:val="24"/>
                <w:highlight w:val="none"/>
              </w:rPr>
              <w:t>中国环境科学出版社出版的国家环境保护局科</w:t>
            </w:r>
            <w:r>
              <w:rPr>
                <w:rFonts w:hint="default" w:ascii="Times New Roman" w:hAnsi="Times New Roman" w:eastAsia="宋体" w:cs="Times New Roman"/>
                <w:color w:val="auto"/>
                <w:sz w:val="24"/>
                <w:szCs w:val="24"/>
                <w:highlight w:val="none"/>
              </w:rPr>
              <w:t>技标准司的《大气污染物综合排放标准详解》中</w:t>
            </w:r>
            <w:r>
              <w:rPr>
                <w:rFonts w:hint="default" w:ascii="Times New Roman" w:hAnsi="Times New Roman" w:eastAsia="宋体" w:cs="Times New Roman"/>
                <w:color w:val="auto"/>
                <w:sz w:val="24"/>
                <w:highlight w:val="none"/>
              </w:rPr>
              <w:t>2mg/m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vertAlign w:val="baseline"/>
                <w:lang w:val="en-US" w:eastAsia="zh-CN"/>
              </w:rPr>
              <w:t>的</w:t>
            </w:r>
            <w:r>
              <w:rPr>
                <w:rFonts w:hint="default" w:ascii="Times New Roman" w:hAnsi="Times New Roman" w:eastAsia="宋体" w:cs="Times New Roman"/>
                <w:color w:val="auto"/>
                <w:sz w:val="24"/>
                <w:szCs w:val="24"/>
                <w:highlight w:val="none"/>
              </w:rPr>
              <w:t>浓度限值</w:t>
            </w:r>
            <w:r>
              <w:rPr>
                <w:rFonts w:hint="default" w:ascii="Times New Roman" w:hAnsi="Times New Roman" w:eastAsia="宋体" w:cs="Times New Roman"/>
                <w:color w:val="auto"/>
                <w:kern w:val="0"/>
                <w:sz w:val="24"/>
                <w:szCs w:val="24"/>
                <w:highlight w:val="none"/>
              </w:rPr>
              <w:t>。项目区环境空气质量满足功能区要求。</w:t>
            </w:r>
          </w:p>
          <w:p w14:paraId="72C0CBB5">
            <w:pPr>
              <w:pStyle w:val="4"/>
              <w:keepNext w:val="0"/>
              <w:keepLines w:val="0"/>
              <w:pageBreakBefore w:val="0"/>
              <w:widowControl w:val="0"/>
              <w:shd w:val="clear"/>
              <w:kinsoku/>
              <w:wordWrap/>
              <w:overflowPunct/>
              <w:topLinePunct w:val="0"/>
              <w:autoSpaceDE/>
              <w:autoSpaceDN/>
              <w:bidi w:val="0"/>
              <w:snapToGrid w:val="0"/>
              <w:spacing w:line="348"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②</w:t>
            </w:r>
            <w:r>
              <w:rPr>
                <w:rFonts w:hint="eastAsia" w:cs="Times New Roman"/>
                <w:color w:val="auto"/>
                <w:sz w:val="24"/>
                <w:szCs w:val="24"/>
                <w:highlight w:val="none"/>
                <w:lang w:val="en-US" w:eastAsia="zh-CN"/>
              </w:rPr>
              <w:t>氯化氢、氯乙烯、臭气浓度</w:t>
            </w:r>
          </w:p>
          <w:p w14:paraId="23AC35BB">
            <w:pPr>
              <w:pStyle w:val="17"/>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48" w:lineRule="auto"/>
              <w:ind w:firstLine="480"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highlight w:val="none"/>
              </w:rPr>
              <w:t xml:space="preserve">参考生态环境部工程评估中心在全国环评技术评估服务咨询平台（http://iconsult-eia.china-eia.com/index?aimModule=searching_detail&amp;fromHome=1&amp;infoId=2194）相关回复，环境空气质量标准指《环境空气质量标准》（GB3095）和地方的环境空气质量标准，不包括《环境影响评价技术导则 大气环境》（HJ2.2-2018）附录D、《工业企业设计卫生标准》（TJ36-97）、《前苏联居住区标准》（CH245-71）、《环境影响评价技术导则 </w:t>
            </w:r>
            <w:r>
              <w:rPr>
                <w:rFonts w:hint="eastAsia" w:ascii="Times New Roman" w:hAnsi="Times New Roman" w:cs="Times New Roman"/>
                <w:color w:val="auto"/>
                <w:sz w:val="24"/>
                <w:highlight w:val="none"/>
                <w:lang w:eastAsia="zh-CN"/>
              </w:rPr>
              <w:t>主要</w:t>
            </w:r>
            <w:r>
              <w:rPr>
                <w:rFonts w:hint="default" w:ascii="Times New Roman" w:hAnsi="Times New Roman" w:eastAsia="宋体" w:cs="Times New Roman"/>
                <w:color w:val="auto"/>
                <w:sz w:val="24"/>
                <w:highlight w:val="none"/>
              </w:rPr>
              <w:t>建设项目》（HJ611-2011）、《大气污染物综合排放标准详解》等导则或参考资料。本项目特征因子</w:t>
            </w:r>
            <w:r>
              <w:rPr>
                <w:rFonts w:hint="eastAsia" w:cs="Times New Roman"/>
                <w:color w:val="auto"/>
                <w:sz w:val="24"/>
                <w:szCs w:val="24"/>
                <w:highlight w:val="none"/>
                <w:lang w:val="en-US" w:eastAsia="zh-CN"/>
              </w:rPr>
              <w:t>氯化氢、氯乙烯、臭气浓度</w:t>
            </w:r>
            <w:r>
              <w:rPr>
                <w:rFonts w:hint="default" w:ascii="Times New Roman" w:hAnsi="Times New Roman" w:eastAsia="宋体" w:cs="Times New Roman"/>
                <w:color w:val="auto"/>
                <w:sz w:val="24"/>
                <w:highlight w:val="none"/>
              </w:rPr>
              <w:t>，不属于《环境空气质量标准》（GB3095</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2012）中所列项目，云南省亦无地方环境空气质量标准，因此未进行</w:t>
            </w:r>
            <w:r>
              <w:rPr>
                <w:rFonts w:hint="default" w:ascii="Times New Roman" w:hAnsi="Times New Roman" w:eastAsia="宋体" w:cs="Times New Roman"/>
                <w:b w:val="0"/>
                <w:bCs/>
                <w:color w:val="auto"/>
                <w:spacing w:val="-10"/>
                <w:sz w:val="24"/>
                <w:szCs w:val="24"/>
                <w:highlight w:val="none"/>
                <w:vertAlign w:val="baseline"/>
                <w:lang w:val="en-US" w:eastAsia="zh-CN"/>
              </w:rPr>
              <w:t>臭气浓度</w:t>
            </w:r>
            <w:r>
              <w:rPr>
                <w:rFonts w:hint="default" w:ascii="Times New Roman" w:hAnsi="Times New Roman" w:eastAsia="宋体" w:cs="Times New Roman"/>
                <w:color w:val="auto"/>
                <w:sz w:val="24"/>
                <w:highlight w:val="none"/>
              </w:rPr>
              <w:t>环境质量现状检测</w:t>
            </w:r>
            <w:r>
              <w:rPr>
                <w:rFonts w:hint="default" w:ascii="Times New Roman" w:hAnsi="Times New Roman" w:eastAsia="宋体" w:cs="Times New Roman"/>
                <w:color w:val="auto"/>
                <w:sz w:val="24"/>
                <w:highlight w:val="none"/>
                <w:lang w:eastAsia="zh-CN"/>
              </w:rPr>
              <w:t>。</w:t>
            </w:r>
          </w:p>
          <w:p w14:paraId="1266DBDB">
            <w:pPr>
              <w:pStyle w:val="17"/>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48"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2、地表水环境质量现状</w:t>
            </w:r>
          </w:p>
          <w:p w14:paraId="2A52799D">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color w:val="auto"/>
                <w:kern w:val="0"/>
                <w:sz w:val="24"/>
                <w:highlight w:val="none"/>
              </w:rPr>
              <w:t>根据项目区域水系图可知，</w:t>
            </w:r>
            <w:r>
              <w:rPr>
                <w:rFonts w:hint="default" w:ascii="Times New Roman" w:hAnsi="Times New Roman" w:eastAsia="宋体" w:cs="Times New Roman"/>
                <w:color w:val="auto"/>
                <w:kern w:val="0"/>
                <w:sz w:val="24"/>
                <w:highlight w:val="none"/>
                <w:lang w:val="zh-CN"/>
              </w:rPr>
              <w:t>本项目距离最近的地表水体为</w:t>
            </w:r>
            <w:r>
              <w:rPr>
                <w:rFonts w:hint="eastAsia" w:cs="Times New Roman"/>
                <w:color w:val="auto"/>
                <w:kern w:val="0"/>
                <w:sz w:val="24"/>
                <w:highlight w:val="none"/>
                <w:lang w:eastAsia="zh-CN"/>
              </w:rPr>
              <w:t>东</w:t>
            </w:r>
            <w:r>
              <w:rPr>
                <w:rFonts w:hint="default" w:ascii="Times New Roman" w:hAnsi="Times New Roman" w:eastAsia="宋体" w:cs="Times New Roman"/>
                <w:color w:val="auto"/>
                <w:kern w:val="0"/>
                <w:sz w:val="24"/>
                <w:highlight w:val="none"/>
              </w:rPr>
              <w:t>南侧</w:t>
            </w:r>
            <w:r>
              <w:rPr>
                <w:rFonts w:hint="eastAsia" w:cs="Times New Roman"/>
                <w:color w:val="auto"/>
                <w:kern w:val="0"/>
                <w:sz w:val="24"/>
                <w:highlight w:val="none"/>
                <w:lang w:val="en-US" w:eastAsia="zh-CN"/>
              </w:rPr>
              <w:t>718</w:t>
            </w:r>
            <w:r>
              <w:rPr>
                <w:rFonts w:hint="default" w:ascii="Times New Roman" w:hAnsi="Times New Roman" w:eastAsia="宋体" w:cs="Times New Roman"/>
                <w:color w:val="auto"/>
                <w:kern w:val="0"/>
                <w:sz w:val="24"/>
                <w:highlight w:val="none"/>
              </w:rPr>
              <w:t>m处的</w:t>
            </w:r>
            <w:r>
              <w:rPr>
                <w:rFonts w:hint="default" w:ascii="Times New Roman" w:hAnsi="Times New Roman" w:eastAsia="宋体" w:cs="Times New Roman"/>
                <w:color w:val="auto"/>
                <w:kern w:val="0"/>
                <w:sz w:val="24"/>
                <w:highlight w:val="none"/>
                <w:lang w:val="zh-CN"/>
              </w:rPr>
              <w:t>谓所河，</w:t>
            </w:r>
            <w:r>
              <w:rPr>
                <w:rFonts w:hint="default" w:ascii="Times New Roman" w:hAnsi="Times New Roman" w:eastAsia="宋体" w:cs="Times New Roman"/>
                <w:color w:val="auto"/>
                <w:sz w:val="24"/>
                <w:highlight w:val="none"/>
                <w:shd w:val="clear" w:color="auto" w:fill="auto"/>
                <w:lang w:val="en-US" w:eastAsia="zh-CN"/>
              </w:rPr>
              <w:t>经落水洞转为地下伏流，于三月三水库出露；</w:t>
            </w:r>
            <w:r>
              <w:rPr>
                <w:rFonts w:hint="default" w:ascii="Times New Roman" w:hAnsi="Times New Roman" w:eastAsia="宋体" w:cs="Times New Roman"/>
                <w:color w:val="auto"/>
                <w:sz w:val="24"/>
                <w:highlight w:val="none"/>
                <w:shd w:val="clear" w:color="auto" w:fill="auto"/>
                <w:lang w:eastAsia="zh-CN"/>
              </w:rPr>
              <w:t>三月三水库由前进河出水</w:t>
            </w:r>
            <w:r>
              <w:rPr>
                <w:rFonts w:hint="default" w:ascii="Times New Roman" w:hAnsi="Times New Roman" w:eastAsia="宋体" w:cs="Times New Roman"/>
                <w:color w:val="auto"/>
                <w:sz w:val="24"/>
                <w:highlight w:val="none"/>
              </w:rPr>
              <w:t>，最终汇入牛栏江，属牛栏江支流。根据《云南省水功能区划（2014年修订）》，牛栏江（源头—德泽水库坝址段），水功能区划牛栏江-滇池补水水源保护区，2030年水质目标为Ⅲ类，执行</w:t>
            </w:r>
            <w:r>
              <w:rPr>
                <w:rFonts w:hint="default" w:ascii="Times New Roman" w:hAnsi="Times New Roman" w:eastAsia="宋体" w:cs="Times New Roman"/>
                <w:bCs/>
                <w:color w:val="auto"/>
                <w:sz w:val="24"/>
                <w:highlight w:val="none"/>
              </w:rPr>
              <w:t>《地表水环境质量标准》（GB3838-2002）Ⅲ类标准</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zh-CN"/>
              </w:rPr>
              <w:t>由于《云南省水功能区划（2014年修订）》中未列出谓所河的水环境功能区划，按照</w:t>
            </w:r>
            <w:r>
              <w:rPr>
                <w:rFonts w:hint="default" w:ascii="Times New Roman" w:hAnsi="Times New Roman" w:eastAsia="宋体" w:cs="Times New Roman"/>
                <w:color w:val="auto"/>
                <w:sz w:val="24"/>
                <w:szCs w:val="24"/>
                <w:highlight w:val="none"/>
                <w:lang w:val="zh-CN"/>
              </w:rPr>
              <w:t>《云南寻甸产业园区总体规划修编（2021-2035）环境影响报告书》</w:t>
            </w:r>
            <w:r>
              <w:rPr>
                <w:rFonts w:hint="default" w:ascii="Times New Roman" w:hAnsi="Times New Roman" w:eastAsia="宋体" w:cs="Times New Roman"/>
                <w:color w:val="auto"/>
                <w:sz w:val="24"/>
                <w:szCs w:val="24"/>
                <w:highlight w:val="none"/>
                <w:lang w:val="en-US" w:eastAsia="zh-CN"/>
              </w:rPr>
              <w:t>及</w:t>
            </w:r>
            <w:r>
              <w:rPr>
                <w:rFonts w:hint="default" w:ascii="Times New Roman" w:hAnsi="Times New Roman" w:eastAsia="宋体" w:cs="Times New Roman"/>
                <w:color w:val="auto"/>
                <w:sz w:val="24"/>
                <w:highlight w:val="none"/>
                <w:lang w:val="zh-CN"/>
              </w:rPr>
              <w:t>支流服从干流的原则，谓所河</w:t>
            </w:r>
            <w:r>
              <w:rPr>
                <w:rFonts w:hint="default" w:ascii="Times New Roman" w:hAnsi="Times New Roman" w:eastAsia="宋体" w:cs="Times New Roman"/>
                <w:color w:val="auto"/>
                <w:sz w:val="24"/>
                <w:highlight w:val="none"/>
                <w:lang w:val="en-US" w:eastAsia="zh-CN"/>
              </w:rPr>
              <w:t>、三月三水库均</w:t>
            </w:r>
            <w:r>
              <w:rPr>
                <w:rFonts w:hint="default" w:ascii="Times New Roman" w:hAnsi="Times New Roman" w:eastAsia="宋体" w:cs="Times New Roman"/>
                <w:color w:val="auto"/>
                <w:sz w:val="24"/>
                <w:highlight w:val="none"/>
                <w:lang w:val="zh-CN"/>
              </w:rPr>
              <w:t>参照</w:t>
            </w:r>
            <w:r>
              <w:rPr>
                <w:rFonts w:hint="default" w:ascii="Times New Roman" w:hAnsi="Times New Roman" w:eastAsia="宋体" w:cs="Times New Roman"/>
                <w:color w:val="auto"/>
                <w:sz w:val="24"/>
                <w:highlight w:val="none"/>
                <w:lang w:val="en-US" w:eastAsia="zh-CN"/>
              </w:rPr>
              <w:t>牛栏江</w:t>
            </w:r>
            <w:r>
              <w:rPr>
                <w:rFonts w:hint="default" w:ascii="Times New Roman" w:hAnsi="Times New Roman" w:eastAsia="宋体" w:cs="Times New Roman"/>
                <w:color w:val="auto"/>
                <w:sz w:val="24"/>
                <w:highlight w:val="none"/>
                <w:lang w:val="zh-CN"/>
              </w:rPr>
              <w:t>执行《地表水环境质量标准》</w:t>
            </w:r>
            <w:r>
              <w:rPr>
                <w:rFonts w:hint="default" w:ascii="Times New Roman" w:hAnsi="Times New Roman" w:eastAsia="宋体" w:cs="Times New Roman"/>
                <w:color w:val="auto"/>
                <w:kern w:val="0"/>
                <w:sz w:val="24"/>
                <w:highlight w:val="none"/>
                <w:lang w:val="zh-CN"/>
              </w:rPr>
              <w:t>（GB3838-2002）中Ⅲ类水质标准。</w:t>
            </w:r>
          </w:p>
          <w:p w14:paraId="2AD7507E">
            <w:pPr>
              <w:keepNext w:val="0"/>
              <w:keepLines w:val="0"/>
              <w:pageBreakBefore w:val="0"/>
              <w:widowControl/>
              <w:shd w:val="clear"/>
              <w:kinsoku/>
              <w:wordWrap/>
              <w:overflowPunct/>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lang w:val="zh-CN" w:eastAsia="zh-CN"/>
              </w:rPr>
              <w:t>根据</w:t>
            </w:r>
            <w:r>
              <w:rPr>
                <w:rFonts w:hint="default" w:ascii="Times New Roman" w:hAnsi="Times New Roman" w:eastAsia="宋体" w:cs="Times New Roman"/>
                <w:bCs/>
                <w:color w:val="auto"/>
                <w:sz w:val="24"/>
                <w:highlight w:val="none"/>
                <w:lang w:val="zh-CN"/>
              </w:rPr>
              <w:t>《</w:t>
            </w:r>
            <w:r>
              <w:rPr>
                <w:rFonts w:hint="default" w:ascii="Times New Roman" w:hAnsi="Times New Roman" w:eastAsia="宋体" w:cs="Times New Roman"/>
                <w:bCs/>
                <w:i w:val="0"/>
                <w:iCs w:val="0"/>
                <w:caps w:val="0"/>
                <w:color w:val="auto"/>
                <w:spacing w:val="0"/>
                <w:sz w:val="24"/>
                <w:szCs w:val="24"/>
                <w:highlight w:val="none"/>
                <w:shd w:val="clear"/>
                <w:lang w:val="en-US" w:eastAsia="zh-CN"/>
              </w:rPr>
              <w:t>2023</w:t>
            </w:r>
            <w:r>
              <w:rPr>
                <w:rFonts w:hint="default" w:ascii="Times New Roman" w:hAnsi="Times New Roman" w:eastAsia="宋体" w:cs="Times New Roman"/>
                <w:bCs/>
                <w:i w:val="0"/>
                <w:iCs w:val="0"/>
                <w:caps w:val="0"/>
                <w:color w:val="auto"/>
                <w:spacing w:val="0"/>
                <w:sz w:val="24"/>
                <w:szCs w:val="24"/>
                <w:highlight w:val="none"/>
                <w:shd w:val="clear"/>
                <w:lang w:val="zh-CN"/>
              </w:rPr>
              <w:t>年</w:t>
            </w:r>
            <w:r>
              <w:rPr>
                <w:rFonts w:hint="default" w:ascii="Times New Roman" w:hAnsi="Times New Roman" w:eastAsia="宋体" w:cs="Times New Roman"/>
                <w:bCs/>
                <w:i w:val="0"/>
                <w:iCs w:val="0"/>
                <w:caps w:val="0"/>
                <w:color w:val="auto"/>
                <w:spacing w:val="0"/>
                <w:sz w:val="24"/>
                <w:szCs w:val="24"/>
                <w:highlight w:val="none"/>
                <w:shd w:val="clear"/>
                <w:lang w:val="en-US" w:eastAsia="zh-CN"/>
              </w:rPr>
              <w:t>07</w:t>
            </w:r>
            <w:r>
              <w:rPr>
                <w:rFonts w:hint="default" w:ascii="Times New Roman" w:hAnsi="Times New Roman" w:eastAsia="宋体" w:cs="Times New Roman"/>
                <w:bCs/>
                <w:i w:val="0"/>
                <w:iCs w:val="0"/>
                <w:caps w:val="0"/>
                <w:color w:val="auto"/>
                <w:spacing w:val="0"/>
                <w:sz w:val="24"/>
                <w:szCs w:val="24"/>
                <w:highlight w:val="none"/>
                <w:shd w:val="clear"/>
                <w:lang w:val="zh-CN"/>
              </w:rPr>
              <w:t>月寻甸县</w:t>
            </w:r>
            <w:r>
              <w:rPr>
                <w:rFonts w:hint="default" w:ascii="Times New Roman" w:hAnsi="Times New Roman" w:eastAsia="宋体" w:cs="Times New Roman"/>
                <w:bCs/>
                <w:i w:val="0"/>
                <w:iCs w:val="0"/>
                <w:caps w:val="0"/>
                <w:color w:val="auto"/>
                <w:spacing w:val="0"/>
                <w:sz w:val="24"/>
                <w:szCs w:val="24"/>
                <w:highlight w:val="none"/>
                <w:shd w:val="clear"/>
                <w:lang w:val="en-US" w:eastAsia="zh-CN"/>
              </w:rPr>
              <w:t>水环境质量</w:t>
            </w:r>
            <w:r>
              <w:rPr>
                <w:rFonts w:hint="default" w:ascii="Times New Roman" w:hAnsi="Times New Roman" w:eastAsia="宋体" w:cs="Times New Roman"/>
                <w:bCs/>
                <w:i w:val="0"/>
                <w:iCs w:val="0"/>
                <w:caps w:val="0"/>
                <w:color w:val="auto"/>
                <w:spacing w:val="0"/>
                <w:sz w:val="24"/>
                <w:szCs w:val="24"/>
                <w:highlight w:val="none"/>
                <w:shd w:val="clear"/>
                <w:lang w:val="zh-CN"/>
              </w:rPr>
              <w:t>监测月报（</w:t>
            </w:r>
            <w:r>
              <w:rPr>
                <w:rFonts w:hint="default" w:ascii="Times New Roman" w:hAnsi="Times New Roman" w:eastAsia="宋体" w:cs="Times New Roman"/>
                <w:bCs/>
                <w:i w:val="0"/>
                <w:iCs w:val="0"/>
                <w:caps w:val="0"/>
                <w:color w:val="auto"/>
                <w:spacing w:val="0"/>
                <w:sz w:val="24"/>
                <w:szCs w:val="24"/>
                <w:highlight w:val="none"/>
                <w:shd w:val="clear"/>
                <w:lang w:val="en-US" w:eastAsia="zh-CN"/>
              </w:rPr>
              <w:t>二零二三年第七期</w:t>
            </w:r>
            <w:r>
              <w:rPr>
                <w:rFonts w:hint="default" w:ascii="Times New Roman" w:hAnsi="Times New Roman" w:eastAsia="宋体" w:cs="Times New Roman"/>
                <w:bCs/>
                <w:i w:val="0"/>
                <w:iCs w:val="0"/>
                <w:caps w:val="0"/>
                <w:color w:val="auto"/>
                <w:spacing w:val="0"/>
                <w:sz w:val="24"/>
                <w:szCs w:val="24"/>
                <w:highlight w:val="none"/>
                <w:shd w:val="clear"/>
                <w:lang w:val="zh-CN"/>
              </w:rPr>
              <w:t>）</w:t>
            </w:r>
            <w:r>
              <w:rPr>
                <w:rFonts w:hint="default" w:ascii="Times New Roman" w:hAnsi="Times New Roman" w:eastAsia="宋体" w:cs="Times New Roman"/>
                <w:bCs/>
                <w:color w:val="auto"/>
                <w:sz w:val="24"/>
                <w:highlight w:val="none"/>
                <w:lang w:val="zh-CN"/>
              </w:rPr>
              <w:t>》</w:t>
            </w:r>
            <w:r>
              <w:rPr>
                <w:rFonts w:hint="default" w:ascii="Times New Roman" w:hAnsi="Times New Roman" w:eastAsia="宋体" w:cs="Times New Roman"/>
                <w:bCs/>
                <w:color w:val="auto"/>
                <w:sz w:val="24"/>
                <w:highlight w:val="none"/>
                <w:lang w:val="en-US" w:eastAsia="zh-CN"/>
              </w:rPr>
              <w:t>可知，</w:t>
            </w:r>
          </w:p>
          <w:p w14:paraId="25D7EABA">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0"/>
              <w:jc w:val="both"/>
              <w:rPr>
                <w:rFonts w:hint="default" w:ascii="Times New Roman" w:hAnsi="Times New Roman" w:eastAsia="宋体" w:cs="Times New Roman"/>
                <w:bCs/>
                <w:i w:val="0"/>
                <w:iCs w:val="0"/>
                <w:caps w:val="0"/>
                <w:color w:val="auto"/>
                <w:spacing w:val="0"/>
                <w:kern w:val="2"/>
                <w:sz w:val="24"/>
                <w:szCs w:val="24"/>
                <w:highlight w:val="none"/>
                <w:lang w:val="en-US" w:eastAsia="zh-CN"/>
              </w:rPr>
            </w:pPr>
            <w:r>
              <w:rPr>
                <w:rFonts w:hint="default" w:ascii="Times New Roman" w:hAnsi="Times New Roman" w:eastAsia="宋体" w:cs="Times New Roman"/>
                <w:i w:val="0"/>
                <w:iCs w:val="0"/>
                <w:caps w:val="0"/>
                <w:color w:val="auto"/>
                <w:spacing w:val="0"/>
                <w:kern w:val="2"/>
                <w:sz w:val="24"/>
                <w:szCs w:val="24"/>
                <w:highlight w:val="none"/>
                <w:shd w:val="clear"/>
                <w:lang w:val="zh-CN"/>
              </w:rPr>
              <w:t>2023年0</w:t>
            </w:r>
            <w:r>
              <w:rPr>
                <w:rFonts w:hint="default" w:ascii="Times New Roman" w:hAnsi="Times New Roman" w:eastAsia="宋体" w:cs="Times New Roman"/>
                <w:i w:val="0"/>
                <w:iCs w:val="0"/>
                <w:caps w:val="0"/>
                <w:color w:val="auto"/>
                <w:spacing w:val="0"/>
                <w:kern w:val="2"/>
                <w:sz w:val="24"/>
                <w:szCs w:val="24"/>
                <w:highlight w:val="none"/>
                <w:shd w:val="clear"/>
                <w:lang w:val="en-US" w:eastAsia="zh-CN"/>
              </w:rPr>
              <w:t>7</w:t>
            </w:r>
            <w:r>
              <w:rPr>
                <w:rFonts w:hint="default" w:ascii="Times New Roman" w:hAnsi="Times New Roman" w:eastAsia="宋体" w:cs="Times New Roman"/>
                <w:i w:val="0"/>
                <w:iCs w:val="0"/>
                <w:caps w:val="0"/>
                <w:color w:val="auto"/>
                <w:spacing w:val="0"/>
                <w:kern w:val="2"/>
                <w:sz w:val="24"/>
                <w:szCs w:val="24"/>
                <w:highlight w:val="none"/>
                <w:shd w:val="clear"/>
                <w:lang w:val="zh-CN"/>
              </w:rPr>
              <w:t>月昆明市生态环境局寻甸分局生态环境监测站共对其境内14条河流及7个湖库的共24个监测点（含</w:t>
            </w:r>
            <w:r>
              <w:rPr>
                <w:rFonts w:hint="default" w:ascii="Times New Roman" w:hAnsi="Times New Roman" w:eastAsia="宋体" w:cs="Times New Roman"/>
                <w:bCs/>
                <w:i w:val="0"/>
                <w:iCs w:val="0"/>
                <w:caps w:val="0"/>
                <w:color w:val="auto"/>
                <w:spacing w:val="0"/>
                <w:kern w:val="2"/>
                <w:sz w:val="24"/>
                <w:szCs w:val="24"/>
                <w:highlight w:val="none"/>
                <w:shd w:val="clear"/>
                <w:lang w:val="en-US"/>
              </w:rPr>
              <w:t>省厅驻昆明市生态环境监测站监测的寻甸县境内监测点）进行水质监测1期，其中：</w:t>
            </w:r>
            <w:r>
              <w:rPr>
                <w:rFonts w:hint="default" w:ascii="Times New Roman" w:hAnsi="Times New Roman" w:eastAsia="宋体" w:cs="Times New Roman"/>
                <w:bCs/>
                <w:i w:val="0"/>
                <w:iCs w:val="0"/>
                <w:caps w:val="0"/>
                <w:color w:val="auto"/>
                <w:spacing w:val="0"/>
                <w:kern w:val="2"/>
                <w:sz w:val="24"/>
                <w:szCs w:val="24"/>
                <w:highlight w:val="none"/>
                <w:shd w:val="clear"/>
              </w:rPr>
              <w:t>湖库7个，共设7个监测点位，依据监测数据，7个监测断面中新田河干涸无水，达到Ⅲ类以上水质标准的有</w:t>
            </w:r>
            <w:r>
              <w:rPr>
                <w:rFonts w:hint="default" w:ascii="Times New Roman" w:hAnsi="Times New Roman" w:eastAsia="宋体" w:cs="Times New Roman"/>
                <w:bCs/>
                <w:i w:val="0"/>
                <w:iCs w:val="0"/>
                <w:caps w:val="0"/>
                <w:color w:val="auto"/>
                <w:spacing w:val="0"/>
                <w:kern w:val="2"/>
                <w:sz w:val="24"/>
                <w:szCs w:val="24"/>
                <w:highlight w:val="none"/>
                <w:shd w:val="clear"/>
                <w:lang w:val="en-US" w:eastAsia="zh-CN"/>
              </w:rPr>
              <w:t>5</w:t>
            </w:r>
            <w:r>
              <w:rPr>
                <w:rFonts w:hint="default" w:ascii="Times New Roman" w:hAnsi="Times New Roman" w:eastAsia="宋体" w:cs="Times New Roman"/>
                <w:bCs/>
                <w:i w:val="0"/>
                <w:iCs w:val="0"/>
                <w:caps w:val="0"/>
                <w:color w:val="auto"/>
                <w:spacing w:val="0"/>
                <w:kern w:val="2"/>
                <w:sz w:val="24"/>
                <w:szCs w:val="24"/>
                <w:highlight w:val="none"/>
                <w:shd w:val="clear"/>
              </w:rPr>
              <w:t>个，水质达标率为</w:t>
            </w:r>
            <w:r>
              <w:rPr>
                <w:rFonts w:hint="default" w:ascii="Times New Roman" w:hAnsi="Times New Roman" w:eastAsia="宋体" w:cs="Times New Roman"/>
                <w:bCs/>
                <w:i w:val="0"/>
                <w:iCs w:val="0"/>
                <w:caps w:val="0"/>
                <w:color w:val="auto"/>
                <w:spacing w:val="0"/>
                <w:kern w:val="2"/>
                <w:sz w:val="24"/>
                <w:szCs w:val="24"/>
                <w:highlight w:val="none"/>
                <w:shd w:val="clear"/>
                <w:lang w:val="en-US" w:eastAsia="zh-CN"/>
              </w:rPr>
              <w:t>71.43</w:t>
            </w:r>
            <w:r>
              <w:rPr>
                <w:rFonts w:hint="default" w:ascii="Times New Roman" w:hAnsi="Times New Roman" w:eastAsia="宋体" w:cs="Times New Roman"/>
                <w:bCs/>
                <w:i w:val="0"/>
                <w:iCs w:val="0"/>
                <w:caps w:val="0"/>
                <w:color w:val="auto"/>
                <w:spacing w:val="0"/>
                <w:kern w:val="2"/>
                <w:sz w:val="24"/>
                <w:szCs w:val="24"/>
                <w:highlight w:val="none"/>
                <w:shd w:val="clear"/>
              </w:rPr>
              <w:t>%</w:t>
            </w:r>
            <w:r>
              <w:rPr>
                <w:rFonts w:hint="default" w:ascii="Times New Roman" w:hAnsi="Times New Roman" w:eastAsia="宋体" w:cs="Times New Roman"/>
                <w:bCs/>
                <w:i w:val="0"/>
                <w:iCs w:val="0"/>
                <w:caps w:val="0"/>
                <w:color w:val="auto"/>
                <w:spacing w:val="0"/>
                <w:kern w:val="2"/>
                <w:sz w:val="24"/>
                <w:szCs w:val="24"/>
                <w:highlight w:val="none"/>
                <w:shd w:val="clear"/>
                <w:lang w:eastAsia="zh-CN"/>
              </w:rPr>
              <w:t>，</w:t>
            </w:r>
            <w:r>
              <w:rPr>
                <w:rFonts w:hint="default" w:ascii="Times New Roman" w:hAnsi="Times New Roman" w:eastAsia="宋体" w:cs="Times New Roman"/>
                <w:bCs/>
                <w:i w:val="0"/>
                <w:iCs w:val="0"/>
                <w:caps w:val="0"/>
                <w:color w:val="auto"/>
                <w:spacing w:val="0"/>
                <w:kern w:val="2"/>
                <w:sz w:val="24"/>
                <w:szCs w:val="24"/>
                <w:highlight w:val="none"/>
                <w:shd w:val="clear"/>
                <w:lang w:val="en-US" w:eastAsia="zh-CN"/>
              </w:rPr>
              <w:t>监测结果如下表所示。</w:t>
            </w:r>
          </w:p>
          <w:p w14:paraId="7D56E999">
            <w:pPr>
              <w:keepNext w:val="0"/>
              <w:keepLines w:val="0"/>
              <w:pageBreakBefore w:val="0"/>
              <w:widowControl/>
              <w:shd w:val="clear"/>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 xml:space="preserve">表3-3  </w:t>
            </w:r>
            <w:r>
              <w:rPr>
                <w:rStyle w:val="29"/>
                <w:rFonts w:hint="default" w:ascii="Times New Roman" w:hAnsi="Times New Roman" w:eastAsia="宋体" w:cs="Times New Roman"/>
                <w:b/>
                <w:bCs/>
                <w:i w:val="0"/>
                <w:iCs w:val="0"/>
                <w:caps w:val="0"/>
                <w:color w:val="auto"/>
                <w:spacing w:val="0"/>
                <w:sz w:val="21"/>
                <w:szCs w:val="21"/>
                <w:highlight w:val="none"/>
                <w:shd w:val="clear" w:fill="FFFFFF"/>
              </w:rPr>
              <w:t>2023年0</w:t>
            </w:r>
            <w:r>
              <w:rPr>
                <w:rStyle w:val="29"/>
                <w:rFonts w:hint="default" w:ascii="Times New Roman" w:hAnsi="Times New Roman" w:eastAsia="宋体" w:cs="Times New Roman"/>
                <w:b/>
                <w:bCs/>
                <w:i w:val="0"/>
                <w:iCs w:val="0"/>
                <w:caps w:val="0"/>
                <w:color w:val="auto"/>
                <w:spacing w:val="0"/>
                <w:sz w:val="21"/>
                <w:szCs w:val="21"/>
                <w:highlight w:val="none"/>
                <w:shd w:val="clear" w:fill="FFFFFF"/>
                <w:lang w:val="en-US" w:eastAsia="zh-CN"/>
              </w:rPr>
              <w:t>7</w:t>
            </w:r>
            <w:r>
              <w:rPr>
                <w:rStyle w:val="29"/>
                <w:rFonts w:hint="default" w:ascii="Times New Roman" w:hAnsi="Times New Roman" w:eastAsia="宋体" w:cs="Times New Roman"/>
                <w:b/>
                <w:bCs/>
                <w:i w:val="0"/>
                <w:iCs w:val="0"/>
                <w:caps w:val="0"/>
                <w:color w:val="auto"/>
                <w:spacing w:val="0"/>
                <w:sz w:val="21"/>
                <w:szCs w:val="21"/>
                <w:highlight w:val="none"/>
                <w:shd w:val="clear" w:fill="FFFFFF"/>
              </w:rPr>
              <w:t>月寻甸境内湖库质状况统计表</w:t>
            </w:r>
          </w:p>
          <w:tbl>
            <w:tblPr>
              <w:tblStyle w:val="27"/>
              <w:tblW w:w="8443"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677"/>
              <w:gridCol w:w="651"/>
              <w:gridCol w:w="606"/>
              <w:gridCol w:w="1132"/>
              <w:gridCol w:w="4053"/>
            </w:tblGrid>
            <w:tr w14:paraId="03CD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14:paraId="5D961343">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监测名称</w:t>
                  </w:r>
                </w:p>
              </w:tc>
              <w:tc>
                <w:tcPr>
                  <w:tcW w:w="677" w:type="dxa"/>
                  <w:vAlign w:val="center"/>
                </w:tcPr>
                <w:p w14:paraId="32FEA96F">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年</w:t>
                  </w:r>
                </w:p>
              </w:tc>
              <w:tc>
                <w:tcPr>
                  <w:tcW w:w="651" w:type="dxa"/>
                  <w:vAlign w:val="center"/>
                </w:tcPr>
                <w:p w14:paraId="3A42E577">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月</w:t>
                  </w:r>
                </w:p>
              </w:tc>
              <w:tc>
                <w:tcPr>
                  <w:tcW w:w="606" w:type="dxa"/>
                  <w:vAlign w:val="center"/>
                </w:tcPr>
                <w:p w14:paraId="1DA9E048">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日</w:t>
                  </w:r>
                </w:p>
              </w:tc>
              <w:tc>
                <w:tcPr>
                  <w:tcW w:w="1132" w:type="dxa"/>
                  <w:vAlign w:val="center"/>
                </w:tcPr>
                <w:p w14:paraId="687CA827">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zh-CN" w:eastAsia="zh-CN"/>
                    </w:rPr>
                    <w:t>（</w:t>
                  </w:r>
                  <w:r>
                    <w:rPr>
                      <w:rFonts w:hint="default" w:ascii="Times New Roman" w:hAnsi="Times New Roman" w:eastAsia="宋体" w:cs="Times New Roman"/>
                      <w:b/>
                      <w:bCs/>
                      <w:color w:val="auto"/>
                      <w:sz w:val="21"/>
                      <w:szCs w:val="21"/>
                      <w:highlight w:val="none"/>
                      <w:vertAlign w:val="baseline"/>
                      <w:lang w:val="en-US" w:eastAsia="zh-CN"/>
                    </w:rPr>
                    <w:t>wpi</w:t>
                  </w:r>
                  <w:r>
                    <w:rPr>
                      <w:rFonts w:hint="default" w:ascii="Times New Roman" w:hAnsi="Times New Roman" w:eastAsia="宋体" w:cs="Times New Roman"/>
                      <w:b/>
                      <w:bCs/>
                      <w:color w:val="auto"/>
                      <w:sz w:val="21"/>
                      <w:szCs w:val="21"/>
                      <w:highlight w:val="none"/>
                      <w:vertAlign w:val="baseline"/>
                      <w:lang w:val="zh-CN" w:eastAsia="zh-CN"/>
                    </w:rPr>
                    <w:t>）</w:t>
                  </w:r>
                  <w:r>
                    <w:rPr>
                      <w:rFonts w:hint="default" w:ascii="Times New Roman" w:hAnsi="Times New Roman" w:eastAsia="宋体" w:cs="Times New Roman"/>
                      <w:b/>
                      <w:bCs/>
                      <w:color w:val="auto"/>
                      <w:sz w:val="21"/>
                      <w:szCs w:val="21"/>
                      <w:highlight w:val="none"/>
                      <w:vertAlign w:val="baseline"/>
                      <w:lang w:val="en-US" w:eastAsia="zh-CN"/>
                    </w:rPr>
                    <w:t>水质类别</w:t>
                  </w:r>
                </w:p>
              </w:tc>
              <w:tc>
                <w:tcPr>
                  <w:tcW w:w="4053" w:type="dxa"/>
                  <w:vAlign w:val="center"/>
                </w:tcPr>
                <w:p w14:paraId="6F539C0F">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zh-CN" w:eastAsia="zh-CN"/>
                    </w:rPr>
                  </w:pPr>
                  <w:r>
                    <w:rPr>
                      <w:rStyle w:val="29"/>
                      <w:rFonts w:hint="default" w:ascii="Times New Roman" w:hAnsi="Times New Roman" w:eastAsia="宋体" w:cs="Times New Roman"/>
                      <w:b/>
                      <w:bCs/>
                      <w:i w:val="0"/>
                      <w:iCs w:val="0"/>
                      <w:caps w:val="0"/>
                      <w:color w:val="auto"/>
                      <w:spacing w:val="0"/>
                      <w:sz w:val="21"/>
                      <w:szCs w:val="21"/>
                      <w:highlight w:val="none"/>
                      <w:shd w:val="clear" w:fill="FFFFFF"/>
                    </w:rPr>
                    <w:t>(wpi)水质类别超标项目与超标倍数</w:t>
                  </w:r>
                </w:p>
              </w:tc>
            </w:tr>
            <w:tr w14:paraId="1322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14:paraId="53795CE1">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zh-CN" w:eastAsia="zh-CN"/>
                    </w:rPr>
                  </w:pPr>
                  <w:r>
                    <w:rPr>
                      <w:rFonts w:hint="default" w:ascii="Times New Roman" w:hAnsi="Times New Roman" w:eastAsia="宋体" w:cs="Times New Roman"/>
                      <w:i w:val="0"/>
                      <w:iCs w:val="0"/>
                      <w:caps w:val="0"/>
                      <w:color w:val="auto"/>
                      <w:spacing w:val="0"/>
                      <w:sz w:val="21"/>
                      <w:szCs w:val="21"/>
                      <w:highlight w:val="none"/>
                      <w:shd w:val="clear" w:fill="FFFFFF"/>
                    </w:rPr>
                    <w:t>三月三水库</w:t>
                  </w:r>
                </w:p>
              </w:tc>
              <w:tc>
                <w:tcPr>
                  <w:tcW w:w="677" w:type="dxa"/>
                  <w:vAlign w:val="center"/>
                </w:tcPr>
                <w:p w14:paraId="25A87A41">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2023</w:t>
                  </w:r>
                </w:p>
              </w:tc>
              <w:tc>
                <w:tcPr>
                  <w:tcW w:w="651" w:type="dxa"/>
                  <w:vAlign w:val="center"/>
                </w:tcPr>
                <w:p w14:paraId="6F6B7DED">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07</w:t>
                  </w:r>
                </w:p>
              </w:tc>
              <w:tc>
                <w:tcPr>
                  <w:tcW w:w="606" w:type="dxa"/>
                  <w:vAlign w:val="center"/>
                </w:tcPr>
                <w:p w14:paraId="0F0F90E6">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04</w:t>
                  </w:r>
                </w:p>
              </w:tc>
              <w:tc>
                <w:tcPr>
                  <w:tcW w:w="1132" w:type="dxa"/>
                  <w:vAlign w:val="center"/>
                </w:tcPr>
                <w:p w14:paraId="62F51FB6">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zh-CN" w:eastAsia="zh-CN"/>
                    </w:rPr>
                  </w:pPr>
                  <w:r>
                    <w:rPr>
                      <w:rFonts w:hint="default" w:ascii="Times New Roman" w:hAnsi="Times New Roman" w:eastAsia="宋体" w:cs="Times New Roman"/>
                      <w:i w:val="0"/>
                      <w:iCs w:val="0"/>
                      <w:caps w:val="0"/>
                      <w:color w:val="auto"/>
                      <w:spacing w:val="0"/>
                      <w:sz w:val="21"/>
                      <w:szCs w:val="21"/>
                      <w:highlight w:val="none"/>
                      <w:shd w:val="clear" w:fill="FFFFFF"/>
                    </w:rPr>
                    <w:t>劣Ⅴ类</w:t>
                  </w:r>
                </w:p>
              </w:tc>
              <w:tc>
                <w:tcPr>
                  <w:tcW w:w="4053" w:type="dxa"/>
                  <w:vAlign w:val="center"/>
                </w:tcPr>
                <w:p w14:paraId="4BAD4B21">
                  <w:pPr>
                    <w:keepNext w:val="0"/>
                    <w:keepLines w:val="0"/>
                    <w:pageBreakBefore w:val="0"/>
                    <w:widowControl/>
                    <w:shd w:val="clear"/>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i w:val="0"/>
                      <w:iCs w:val="0"/>
                      <w:caps w:val="0"/>
                      <w:color w:val="auto"/>
                      <w:spacing w:val="0"/>
                      <w:sz w:val="21"/>
                      <w:szCs w:val="21"/>
                      <w:highlight w:val="none"/>
                      <w:shd w:val="clear" w:fill="FFFFFF"/>
                      <w:lang w:val="zh-CN" w:eastAsia="zh-CN"/>
                    </w:rPr>
                  </w:pPr>
                  <w:r>
                    <w:rPr>
                      <w:rFonts w:hint="default" w:ascii="Times New Roman" w:hAnsi="Times New Roman" w:eastAsia="宋体" w:cs="Times New Roman"/>
                      <w:i w:val="0"/>
                      <w:iCs w:val="0"/>
                      <w:caps w:val="0"/>
                      <w:color w:val="auto"/>
                      <w:spacing w:val="0"/>
                      <w:sz w:val="21"/>
                      <w:szCs w:val="21"/>
                      <w:highlight w:val="none"/>
                      <w:shd w:val="clear" w:fill="FFFFFF"/>
                    </w:rPr>
                    <w:t>化学需氧量(</w:t>
                  </w: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1.4</w:t>
                  </w:r>
                  <w:r>
                    <w:rPr>
                      <w:rFonts w:hint="default" w:ascii="Times New Roman" w:hAnsi="Times New Roman" w:eastAsia="宋体" w:cs="Times New Roman"/>
                      <w:i w:val="0"/>
                      <w:iCs w:val="0"/>
                      <w:caps w:val="0"/>
                      <w:color w:val="auto"/>
                      <w:spacing w:val="0"/>
                      <w:sz w:val="21"/>
                      <w:szCs w:val="21"/>
                      <w:highlight w:val="none"/>
                      <w:shd w:val="clear" w:fill="FFFFFF"/>
                    </w:rPr>
                    <w:t>)</w:t>
                  </w: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w:t>
                  </w:r>
                  <w:r>
                    <w:rPr>
                      <w:rFonts w:hint="default" w:ascii="Times New Roman" w:hAnsi="Times New Roman" w:eastAsia="宋体" w:cs="Times New Roman"/>
                      <w:i w:val="0"/>
                      <w:iCs w:val="0"/>
                      <w:caps w:val="0"/>
                      <w:color w:val="auto"/>
                      <w:spacing w:val="0"/>
                      <w:sz w:val="21"/>
                      <w:szCs w:val="21"/>
                      <w:highlight w:val="none"/>
                      <w:shd w:val="clear" w:fill="FFFFFF"/>
                    </w:rPr>
                    <w:t>劣Ⅴ类</w:t>
                  </w: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w:t>
                  </w:r>
                  <w:r>
                    <w:rPr>
                      <w:rFonts w:hint="default" w:ascii="Times New Roman" w:hAnsi="Times New Roman" w:eastAsia="宋体" w:cs="Times New Roman"/>
                      <w:i w:val="0"/>
                      <w:iCs w:val="0"/>
                      <w:caps w:val="0"/>
                      <w:color w:val="auto"/>
                      <w:spacing w:val="0"/>
                      <w:sz w:val="21"/>
                      <w:szCs w:val="21"/>
                      <w:highlight w:val="none"/>
                      <w:shd w:val="clear" w:fill="FFFFFF"/>
                    </w:rPr>
                    <w:t>。</w:t>
                  </w:r>
                </w:p>
              </w:tc>
            </w:tr>
          </w:tbl>
          <w:p w14:paraId="3A7F9B0B">
            <w:pPr>
              <w:keepNext w:val="0"/>
              <w:keepLines w:val="0"/>
              <w:pageBreakBefore w:val="0"/>
              <w:widowControl w:val="0"/>
              <w:shd w:val="clear"/>
              <w:kinsoku/>
              <w:wordWrap/>
              <w:overflowPunct/>
              <w:topLinePunct w:val="0"/>
              <w:autoSpaceDE/>
              <w:autoSpaceDN/>
              <w:bidi w:val="0"/>
              <w:snapToGrid w:val="0"/>
              <w:spacing w:line="348"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i w:val="0"/>
                <w:iCs w:val="0"/>
                <w:caps w:val="0"/>
                <w:color w:val="auto"/>
                <w:spacing w:val="0"/>
                <w:sz w:val="24"/>
                <w:szCs w:val="24"/>
                <w:highlight w:val="none"/>
                <w:shd w:val="clear"/>
                <w:lang w:val="en-US" w:eastAsia="zh-CN"/>
              </w:rPr>
              <w:t>根据统计表中可知，</w:t>
            </w:r>
            <w:r>
              <w:rPr>
                <w:rFonts w:hint="default" w:ascii="Times New Roman" w:hAnsi="Times New Roman" w:eastAsia="宋体" w:cs="Times New Roman"/>
                <w:i w:val="0"/>
                <w:iCs w:val="0"/>
                <w:caps w:val="0"/>
                <w:color w:val="auto"/>
                <w:spacing w:val="0"/>
                <w:sz w:val="24"/>
                <w:szCs w:val="24"/>
                <w:highlight w:val="none"/>
                <w:shd w:val="clear" w:fill="FFFFFF"/>
              </w:rPr>
              <w:t>三月三水库</w:t>
            </w:r>
            <w:r>
              <w:rPr>
                <w:rFonts w:hint="default" w:ascii="Times New Roman" w:hAnsi="Times New Roman" w:eastAsia="宋体" w:cs="Times New Roman"/>
                <w:bCs/>
                <w:i w:val="0"/>
                <w:iCs w:val="0"/>
                <w:caps w:val="0"/>
                <w:color w:val="auto"/>
                <w:spacing w:val="0"/>
                <w:sz w:val="24"/>
                <w:szCs w:val="24"/>
                <w:highlight w:val="none"/>
                <w:shd w:val="clear"/>
                <w:lang w:val="en-US" w:eastAsia="zh-CN"/>
              </w:rPr>
              <w:t>为</w:t>
            </w:r>
            <w:r>
              <w:rPr>
                <w:rFonts w:hint="default" w:ascii="Times New Roman" w:hAnsi="Times New Roman" w:eastAsia="宋体" w:cs="Times New Roman"/>
                <w:i w:val="0"/>
                <w:iCs w:val="0"/>
                <w:caps w:val="0"/>
                <w:color w:val="auto"/>
                <w:spacing w:val="0"/>
                <w:sz w:val="24"/>
                <w:szCs w:val="24"/>
                <w:highlight w:val="none"/>
                <w:shd w:val="clear" w:fill="FFFFFF"/>
              </w:rPr>
              <w:t>劣Ⅴ类</w:t>
            </w:r>
            <w:r>
              <w:rPr>
                <w:rFonts w:hint="default" w:ascii="Times New Roman" w:hAnsi="Times New Roman" w:eastAsia="宋体" w:cs="Times New Roman"/>
                <w:i w:val="0"/>
                <w:iCs w:val="0"/>
                <w:caps w:val="0"/>
                <w:color w:val="auto"/>
                <w:spacing w:val="0"/>
                <w:sz w:val="24"/>
                <w:szCs w:val="24"/>
                <w:highlight w:val="none"/>
                <w:shd w:val="clear" w:fill="FFFFFF"/>
                <w:lang w:eastAsia="zh-CN"/>
              </w:rPr>
              <w:t>，</w:t>
            </w:r>
            <w:r>
              <w:rPr>
                <w:rFonts w:hint="default" w:ascii="Times New Roman" w:hAnsi="Times New Roman" w:eastAsia="宋体" w:cs="Times New Roman"/>
                <w:color w:val="auto"/>
                <w:sz w:val="24"/>
                <w:szCs w:val="24"/>
                <w:highlight w:val="none"/>
              </w:rPr>
              <w:t>监测指标中</w:t>
            </w:r>
            <w:r>
              <w:rPr>
                <w:rFonts w:hint="default" w:ascii="Times New Roman" w:hAnsi="Times New Roman" w:eastAsia="宋体" w:cs="Times New Roman"/>
                <w:i w:val="0"/>
                <w:iCs w:val="0"/>
                <w:caps w:val="0"/>
                <w:color w:val="auto"/>
                <w:spacing w:val="0"/>
                <w:sz w:val="24"/>
                <w:szCs w:val="24"/>
                <w:highlight w:val="none"/>
                <w:shd w:val="clear" w:fill="FFFFFF"/>
              </w:rPr>
              <w:t>化学</w:t>
            </w:r>
            <w:r>
              <w:rPr>
                <w:rFonts w:hint="default" w:ascii="Times New Roman" w:hAnsi="Times New Roman" w:eastAsia="宋体" w:cs="Times New Roman"/>
                <w:i w:val="0"/>
                <w:iCs w:val="0"/>
                <w:caps w:val="0"/>
                <w:color w:val="auto"/>
                <w:spacing w:val="0"/>
                <w:sz w:val="24"/>
                <w:szCs w:val="24"/>
                <w:highlight w:val="none"/>
                <w:shd w:val="clear"/>
              </w:rPr>
              <w:t>需氧量</w:t>
            </w:r>
            <w:r>
              <w:rPr>
                <w:rFonts w:hint="default" w:ascii="Times New Roman" w:hAnsi="Times New Roman" w:eastAsia="宋体" w:cs="Times New Roman"/>
                <w:color w:val="auto"/>
                <w:sz w:val="24"/>
                <w:szCs w:val="24"/>
                <w:highlight w:val="none"/>
              </w:rPr>
              <w:t>超标，超标</w:t>
            </w:r>
            <w:r>
              <w:rPr>
                <w:rFonts w:hint="default" w:ascii="Times New Roman" w:hAnsi="Times New Roman" w:eastAsia="宋体"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rPr>
              <w:t>倍</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i w:val="0"/>
                <w:iCs w:val="0"/>
                <w:caps w:val="0"/>
                <w:color w:val="auto"/>
                <w:spacing w:val="0"/>
                <w:sz w:val="24"/>
                <w:szCs w:val="24"/>
                <w:highlight w:val="none"/>
                <w:shd w:val="clear" w:fill="FFFFFF"/>
              </w:rPr>
              <w:t>三月三水库</w:t>
            </w:r>
            <w:r>
              <w:rPr>
                <w:rFonts w:hint="default" w:ascii="Times New Roman" w:hAnsi="Times New Roman" w:eastAsia="宋体" w:cs="Times New Roman"/>
                <w:color w:val="auto"/>
                <w:sz w:val="24"/>
                <w:szCs w:val="24"/>
                <w:highlight w:val="none"/>
              </w:rPr>
              <w:t>水质不能达到《地表水环境质量标准》（GB3838-2002）Ⅲ类标准限值</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不能满足相关功能区划要求</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根据本次环评调查分析及</w:t>
            </w:r>
            <w:r>
              <w:rPr>
                <w:rFonts w:hint="default" w:ascii="Times New Roman" w:hAnsi="Times New Roman" w:eastAsia="宋体" w:cs="Times New Roman"/>
                <w:b w:val="0"/>
                <w:bCs w:val="0"/>
                <w:color w:val="auto"/>
                <w:kern w:val="2"/>
                <w:sz w:val="24"/>
                <w:szCs w:val="24"/>
                <w:highlight w:val="none"/>
                <w:lang w:val="zh-CN"/>
              </w:rPr>
              <w:t>《</w:t>
            </w:r>
            <w:r>
              <w:rPr>
                <w:rFonts w:hint="default" w:ascii="Times New Roman" w:hAnsi="Times New Roman" w:eastAsia="宋体" w:cs="Times New Roman"/>
                <w:b w:val="0"/>
                <w:bCs w:val="0"/>
                <w:color w:val="auto"/>
                <w:sz w:val="24"/>
                <w:szCs w:val="24"/>
              </w:rPr>
              <w:t>云南寻甸产业园区总体规划修编（2021-2035）环境影</w:t>
            </w:r>
            <w:r>
              <w:rPr>
                <w:rFonts w:hint="default" w:ascii="Times New Roman" w:hAnsi="Times New Roman" w:eastAsia="宋体" w:cs="Times New Roman"/>
                <w:b w:val="0"/>
                <w:bCs w:val="0"/>
                <w:color w:val="auto"/>
                <w:sz w:val="24"/>
                <w:szCs w:val="24"/>
                <w:highlight w:val="none"/>
              </w:rPr>
              <w:t>响报告书</w:t>
            </w:r>
            <w:r>
              <w:rPr>
                <w:rFonts w:hint="default" w:ascii="Times New Roman" w:hAnsi="Times New Roman" w:eastAsia="宋体" w:cs="Times New Roman"/>
                <w:b w:val="0"/>
                <w:bCs w:val="0"/>
                <w:color w:val="auto"/>
                <w:kern w:val="2"/>
                <w:sz w:val="24"/>
                <w:szCs w:val="24"/>
                <w:highlight w:val="none"/>
                <w:lang w:val="zh-CN" w:eastAsia="zh-CN"/>
              </w:rPr>
              <w:t>》</w:t>
            </w:r>
            <w:r>
              <w:rPr>
                <w:rFonts w:hint="default" w:ascii="Times New Roman" w:hAnsi="Times New Roman" w:eastAsia="宋体" w:cs="Times New Roman"/>
                <w:color w:val="auto"/>
                <w:sz w:val="24"/>
                <w:szCs w:val="24"/>
                <w:highlight w:val="none"/>
              </w:rPr>
              <w:t>分析</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超标原因主要是由于</w:t>
            </w:r>
            <w:r>
              <w:rPr>
                <w:rFonts w:hint="default" w:ascii="Times New Roman" w:hAnsi="Times New Roman" w:eastAsia="宋体" w:cs="Times New Roman"/>
                <w:color w:val="auto"/>
                <w:sz w:val="24"/>
                <w:szCs w:val="24"/>
                <w:highlight w:val="none"/>
                <w:lang w:val="en-US" w:eastAsia="zh-CN"/>
              </w:rPr>
              <w:t>入湖</w:t>
            </w:r>
            <w:r>
              <w:rPr>
                <w:rFonts w:hint="default" w:ascii="Times New Roman" w:hAnsi="Times New Roman" w:eastAsia="宋体" w:cs="Times New Roman"/>
                <w:color w:val="auto"/>
                <w:sz w:val="24"/>
                <w:szCs w:val="24"/>
                <w:highlight w:val="none"/>
              </w:rPr>
              <w:t>河道沿岸仍有生活污水汇入河道，生活面源污染导致水质变差，不能满足功能区划的要求。</w:t>
            </w:r>
          </w:p>
          <w:p w14:paraId="5301F50D">
            <w:pPr>
              <w:pStyle w:val="17"/>
              <w:keepNext w:val="0"/>
              <w:keepLines w:val="0"/>
              <w:pageBreakBefore w:val="0"/>
              <w:widowControl w:val="0"/>
              <w:numPr>
                <w:ilvl w:val="0"/>
                <w:numId w:val="0"/>
              </w:numPr>
              <w:shd w:val="clear"/>
              <w:kinsoku/>
              <w:wordWrap/>
              <w:overflowPunct/>
              <w:topLinePunct w:val="0"/>
              <w:autoSpaceDE/>
              <w:autoSpaceDN/>
              <w:bidi w:val="0"/>
              <w:adjustRightInd w:val="0"/>
              <w:snapToGrid w:val="0"/>
              <w:spacing w:beforeLines="0" w:beforeAutospacing="0" w:afterLines="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3、声环境质量现状</w:t>
            </w:r>
          </w:p>
          <w:p w14:paraId="01462246">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项目位于</w:t>
            </w:r>
            <w:r>
              <w:rPr>
                <w:rFonts w:hint="default" w:ascii="Times New Roman" w:hAnsi="Times New Roman" w:eastAsia="宋体" w:cs="Times New Roman"/>
                <w:color w:val="auto"/>
                <w:sz w:val="24"/>
                <w:szCs w:val="24"/>
                <w:highlight w:val="none"/>
                <w:u w:val="none"/>
                <w:lang w:val="en-US" w:eastAsia="zh-CN"/>
              </w:rPr>
              <w:t>云南寻甸产业园区金所片区金所组团</w:t>
            </w:r>
            <w:r>
              <w:rPr>
                <w:rFonts w:hint="eastAsia" w:cs="Times New Roman"/>
                <w:color w:val="auto"/>
                <w:sz w:val="24"/>
                <w:szCs w:val="24"/>
                <w:highlight w:val="none"/>
                <w:u w:val="none"/>
                <w:lang w:val="en-US" w:eastAsia="zh-CN"/>
              </w:rPr>
              <w:t>绿色建材产业区</w:t>
            </w: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b w:val="0"/>
                <w:bCs w:val="0"/>
                <w:color w:val="auto"/>
                <w:kern w:val="2"/>
                <w:sz w:val="24"/>
                <w:szCs w:val="24"/>
                <w:highlight w:val="none"/>
                <w:lang w:val="zh-CN"/>
              </w:rPr>
              <w:t>《</w:t>
            </w:r>
            <w:r>
              <w:rPr>
                <w:rFonts w:hint="default" w:ascii="Times New Roman" w:hAnsi="Times New Roman" w:eastAsia="宋体" w:cs="Times New Roman"/>
                <w:b w:val="0"/>
                <w:bCs w:val="0"/>
                <w:color w:val="auto"/>
                <w:sz w:val="24"/>
                <w:szCs w:val="24"/>
              </w:rPr>
              <w:t>云南寻甸产业园区总体规划修编（2021-2035）环境影</w:t>
            </w:r>
            <w:r>
              <w:rPr>
                <w:rFonts w:hint="default" w:ascii="Times New Roman" w:hAnsi="Times New Roman" w:eastAsia="宋体" w:cs="Times New Roman"/>
                <w:b w:val="0"/>
                <w:bCs w:val="0"/>
                <w:color w:val="auto"/>
                <w:sz w:val="24"/>
                <w:szCs w:val="24"/>
                <w:highlight w:val="none"/>
              </w:rPr>
              <w:t>响报告书</w:t>
            </w:r>
            <w:r>
              <w:rPr>
                <w:rFonts w:hint="default" w:ascii="Times New Roman" w:hAnsi="Times New Roman" w:eastAsia="宋体" w:cs="Times New Roman"/>
                <w:b w:val="0"/>
                <w:bCs w:val="0"/>
                <w:color w:val="auto"/>
                <w:kern w:val="2"/>
                <w:sz w:val="24"/>
                <w:szCs w:val="24"/>
                <w:highlight w:val="none"/>
                <w:lang w:val="zh-CN" w:eastAsia="zh-CN"/>
              </w:rPr>
              <w:t>》</w:t>
            </w:r>
            <w:r>
              <w:rPr>
                <w:rFonts w:hint="default" w:ascii="Times New Roman" w:hAnsi="Times New Roman" w:eastAsia="宋体" w:cs="Times New Roman"/>
                <w:b w:val="0"/>
                <w:bCs w:val="0"/>
                <w:color w:val="auto"/>
                <w:kern w:val="2"/>
                <w:sz w:val="24"/>
                <w:szCs w:val="24"/>
                <w:highlight w:val="none"/>
                <w:lang w:val="en-US" w:eastAsia="zh-CN"/>
              </w:rPr>
              <w:t>可知，</w:t>
            </w:r>
            <w:r>
              <w:rPr>
                <w:rFonts w:hint="default" w:ascii="Times New Roman" w:hAnsi="Times New Roman" w:eastAsia="宋体" w:cs="Times New Roman"/>
                <w:color w:val="auto"/>
                <w:sz w:val="24"/>
                <w:szCs w:val="24"/>
              </w:rPr>
              <w:t>工业、仓储物流区执行《声环境质量标准》（GB3096-2008）3类标准；临嵩待高速公路一侧及园区规划主干道两侧35±5m范围执行《声环境质量标准》4a类标准。</w:t>
            </w:r>
            <w:r>
              <w:rPr>
                <w:rFonts w:hint="default" w:ascii="Times New Roman" w:hAnsi="Times New Roman" w:eastAsia="宋体" w:cs="Times New Roman"/>
                <w:color w:val="auto"/>
                <w:sz w:val="24"/>
                <w:highlight w:val="none"/>
                <w:lang w:val="en-US" w:eastAsia="zh-CN" w:bidi="ar"/>
              </w:rPr>
              <w:t>因此本项目</w:t>
            </w:r>
            <w:r>
              <w:rPr>
                <w:rFonts w:hint="default" w:ascii="Times New Roman" w:hAnsi="Times New Roman" w:eastAsia="宋体" w:cs="Times New Roman"/>
                <w:color w:val="auto"/>
                <w:sz w:val="24"/>
                <w:highlight w:val="none"/>
                <w:lang w:val="en-US" w:eastAsia="zh-CN"/>
              </w:rPr>
              <w:t>厂界属于</w:t>
            </w:r>
            <w:r>
              <w:rPr>
                <w:rFonts w:hint="default" w:ascii="Times New Roman" w:hAnsi="Times New Roman" w:eastAsia="宋体" w:cs="Times New Roman"/>
                <w:color w:val="auto"/>
                <w:sz w:val="24"/>
                <w:highlight w:val="none"/>
              </w:rPr>
              <w:t>《声环境质量标准》（GB3096-2008）3类声环境功能区。</w:t>
            </w:r>
          </w:p>
          <w:p w14:paraId="34D0ED4E">
            <w:pPr>
              <w:pStyle w:val="71"/>
              <w:keepNext w:val="0"/>
              <w:keepLines w:val="0"/>
              <w:pageBreakBefore w:val="0"/>
              <w:widowControl w:val="0"/>
              <w:shd w:val="clear"/>
              <w:kinsoku/>
              <w:wordWrap/>
              <w:overflowPunct/>
              <w:topLinePunct w:val="0"/>
              <w:bidi w:val="0"/>
              <w:adjustRightInd w:val="0"/>
              <w:snapToGrid w:val="0"/>
              <w:spacing w:line="346" w:lineRule="auto"/>
              <w:ind w:firstLine="480" w:firstLineChars="200"/>
              <w:textAlignment w:val="auto"/>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sz w:val="24"/>
                <w:highlight w:val="none"/>
                <w:lang w:bidi="ar"/>
              </w:rPr>
              <w:t>根据《建设项目环境影响报告表编制技术指南（污染影响类）》（试行），</w:t>
            </w:r>
            <w:r>
              <w:rPr>
                <w:rFonts w:hint="default" w:ascii="Times New Roman" w:hAnsi="Times New Roman" w:eastAsia="宋体" w:cs="Times New Roman"/>
                <w:color w:val="auto"/>
                <w:kern w:val="0"/>
                <w:highlight w:val="none"/>
                <w:lang w:val="en-US" w:eastAsia="zh-CN"/>
              </w:rPr>
              <w:t>项目区50m范围内无声环境保护目标，因此未进行</w:t>
            </w:r>
            <w:r>
              <w:rPr>
                <w:rFonts w:hint="default" w:ascii="Times New Roman" w:hAnsi="Times New Roman" w:eastAsia="宋体" w:cs="Times New Roman"/>
                <w:color w:val="auto"/>
                <w:kern w:val="0"/>
                <w:highlight w:val="none"/>
              </w:rPr>
              <w:t>声环境质量现状</w:t>
            </w:r>
            <w:r>
              <w:rPr>
                <w:rFonts w:hint="default" w:ascii="Times New Roman" w:hAnsi="Times New Roman" w:eastAsia="宋体" w:cs="Times New Roman"/>
                <w:color w:val="auto"/>
                <w:kern w:val="0"/>
                <w:highlight w:val="none"/>
                <w:lang w:val="en-US" w:eastAsia="zh-CN"/>
              </w:rPr>
              <w:t>监测。</w:t>
            </w:r>
            <w:r>
              <w:rPr>
                <w:rFonts w:hint="default" w:ascii="Times New Roman" w:hAnsi="Times New Roman" w:eastAsia="宋体" w:cs="Times New Roman"/>
                <w:bCs/>
                <w:color w:val="auto"/>
                <w:sz w:val="24"/>
                <w:highlight w:val="none"/>
              </w:rPr>
              <w:t>根据《202</w:t>
            </w:r>
            <w:r>
              <w:rPr>
                <w:rFonts w:hint="default" w:ascii="Times New Roman" w:hAnsi="Times New Roman" w:eastAsia="宋体" w:cs="Times New Roman"/>
                <w:bCs/>
                <w:color w:val="auto"/>
                <w:sz w:val="24"/>
                <w:highlight w:val="none"/>
                <w:lang w:val="en-US" w:eastAsia="zh-CN"/>
              </w:rPr>
              <w:t>2</w:t>
            </w:r>
            <w:r>
              <w:rPr>
                <w:rFonts w:hint="default" w:ascii="Times New Roman" w:hAnsi="Times New Roman" w:eastAsia="宋体" w:cs="Times New Roman"/>
                <w:bCs/>
                <w:color w:val="auto"/>
                <w:sz w:val="24"/>
                <w:highlight w:val="none"/>
              </w:rPr>
              <w:t>年度昆明市生态环境状况公报》</w:t>
            </w:r>
            <w:r>
              <w:rPr>
                <w:rFonts w:hint="default" w:ascii="Times New Roman" w:hAnsi="Times New Roman" w:eastAsia="宋体" w:cs="Times New Roman"/>
                <w:bCs/>
                <w:color w:val="auto"/>
                <w:sz w:val="24"/>
                <w:highlight w:val="none"/>
                <w:lang w:val="en-US" w:eastAsia="zh-CN"/>
              </w:rPr>
              <w:t>可知，2022年，各县（市）区昼间区域环境噪声平均等效声级分别为：东川区53.6分贝，安宁市48.7分贝、宜良县53.3分贝，石林县48.8分贝，禄劝县54.2分贝，嵩明县52.5分贝，富民县52.7分贝，晋宁区50.9分贝，寻甸县48.6分贝。根据区域环境噪声质量划分等级进行评价，总体水平在一级（好）和二级（较好）之间。与2021年相比，安宁市、宜良县、禄劝县、嵩明县、富民县、晋宁区的昼间区域声环境质量平均等效声级下降，东川区、石林县、寻甸县的昼间区域声环境质量平均等效声级上升。</w:t>
            </w:r>
          </w:p>
          <w:p w14:paraId="1692A606">
            <w:pPr>
              <w:keepNext w:val="0"/>
              <w:keepLines w:val="0"/>
              <w:pageBreakBefore w:val="0"/>
              <w:widowControl w:val="0"/>
              <w:kinsoku/>
              <w:wordWrap/>
              <w:overflowPunct/>
              <w:topLinePunct w:val="0"/>
              <w:bidi w:val="0"/>
              <w:adjustRightInd w:val="0"/>
              <w:snapToGrid w:val="0"/>
              <w:spacing w:line="336" w:lineRule="auto"/>
              <w:ind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4、</w:t>
            </w:r>
            <w:r>
              <w:rPr>
                <w:rFonts w:hint="default" w:ascii="Times New Roman" w:hAnsi="Times New Roman" w:eastAsia="宋体" w:cs="Times New Roman"/>
                <w:b/>
                <w:bCs/>
                <w:color w:val="auto"/>
                <w:sz w:val="24"/>
                <w:highlight w:val="none"/>
                <w:lang w:val="en-US" w:eastAsia="zh-CN"/>
              </w:rPr>
              <w:t>土壤</w:t>
            </w:r>
            <w:r>
              <w:rPr>
                <w:rFonts w:hint="default" w:ascii="Times New Roman" w:hAnsi="Times New Roman" w:eastAsia="宋体" w:cs="Times New Roman"/>
                <w:b/>
                <w:bCs/>
                <w:color w:val="auto"/>
                <w:sz w:val="24"/>
                <w:highlight w:val="none"/>
              </w:rPr>
              <w:t>环境质量现状</w:t>
            </w:r>
          </w:p>
          <w:p w14:paraId="4BFD249C">
            <w:pPr>
              <w:spacing w:line="360" w:lineRule="auto"/>
              <w:ind w:firstLine="480" w:firstLineChars="200"/>
              <w:rPr>
                <w:rFonts w:hint="eastAsia"/>
                <w:b/>
                <w:bCs/>
                <w:color w:val="auto"/>
                <w:kern w:val="0"/>
                <w:sz w:val="24"/>
                <w:highlight w:val="none"/>
                <w:lang w:val="en-US" w:eastAsia="zh-CN"/>
              </w:rPr>
            </w:pPr>
            <w:r>
              <w:rPr>
                <w:rFonts w:hint="default" w:ascii="Times New Roman" w:hAnsi="Times New Roman" w:eastAsia="宋体" w:cs="Times New Roman"/>
                <w:bCs/>
                <w:color w:val="auto"/>
                <w:sz w:val="24"/>
                <w:highlight w:val="none"/>
              </w:rPr>
              <w:t>本项目</w:t>
            </w:r>
            <w:r>
              <w:rPr>
                <w:rFonts w:hint="default" w:ascii="Times New Roman" w:hAnsi="Times New Roman" w:eastAsia="宋体" w:cs="Times New Roman"/>
                <w:color w:val="auto"/>
                <w:sz w:val="24"/>
                <w:szCs w:val="24"/>
                <w:highlight w:val="none"/>
                <w:lang w:val="en-US" w:eastAsia="zh-CN"/>
              </w:rPr>
              <w:t>位于</w:t>
            </w:r>
            <w:r>
              <w:rPr>
                <w:rFonts w:hint="default" w:ascii="Times New Roman" w:hAnsi="Times New Roman" w:eastAsia="宋体" w:cs="Times New Roman"/>
                <w:color w:val="auto"/>
                <w:sz w:val="24"/>
                <w:szCs w:val="24"/>
                <w:highlight w:val="none"/>
                <w:u w:val="none"/>
                <w:lang w:val="en-US" w:eastAsia="zh-CN"/>
              </w:rPr>
              <w:t>云南寻甸产业园区金所片区金所组团</w:t>
            </w:r>
            <w:r>
              <w:rPr>
                <w:rFonts w:hint="eastAsia" w:cs="Times New Roman"/>
                <w:color w:val="auto"/>
                <w:sz w:val="24"/>
                <w:szCs w:val="24"/>
                <w:highlight w:val="none"/>
                <w:u w:val="none"/>
                <w:lang w:val="en-US" w:eastAsia="zh-CN"/>
              </w:rPr>
              <w:t>绿色建材产业区</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bCs/>
                <w:color w:val="auto"/>
                <w:sz w:val="24"/>
                <w:highlight w:val="none"/>
              </w:rPr>
              <w:t>为</w:t>
            </w:r>
            <w:r>
              <w:rPr>
                <w:rFonts w:hint="default" w:ascii="Times New Roman" w:hAnsi="Times New Roman" w:eastAsia="宋体" w:cs="Times New Roman"/>
                <w:color w:val="auto"/>
                <w:sz w:val="24"/>
                <w:szCs w:val="24"/>
                <w:highlight w:val="none"/>
              </w:rPr>
              <w:t>塑料板、管、型材制造</w:t>
            </w:r>
            <w:r>
              <w:rPr>
                <w:rFonts w:hint="default" w:ascii="Times New Roman" w:hAnsi="Times New Roman" w:eastAsia="宋体" w:cs="Times New Roman"/>
                <w:bCs/>
                <w:color w:val="auto"/>
                <w:sz w:val="24"/>
                <w:highlight w:val="none"/>
              </w:rPr>
              <w:t>，</w:t>
            </w:r>
            <w:r>
              <w:rPr>
                <w:rFonts w:hint="default" w:ascii="Times New Roman" w:hAnsi="Times New Roman" w:eastAsia="宋体" w:cs="Times New Roman"/>
                <w:color w:val="auto"/>
                <w:sz w:val="24"/>
                <w:highlight w:val="none"/>
              </w:rPr>
              <w:t>根据《建设项目环境影响报告表编制技术指南（污染影响类）》，原则上不开展</w:t>
            </w:r>
            <w:r>
              <w:rPr>
                <w:rFonts w:hint="default" w:ascii="Times New Roman" w:hAnsi="Times New Roman" w:eastAsia="宋体" w:cs="Times New Roman"/>
                <w:color w:val="auto"/>
                <w:sz w:val="24"/>
                <w:highlight w:val="none"/>
                <w:lang w:val="en-US" w:eastAsia="zh-CN"/>
              </w:rPr>
              <w:t>土壤</w:t>
            </w:r>
            <w:r>
              <w:rPr>
                <w:rFonts w:hint="default" w:ascii="Times New Roman" w:hAnsi="Times New Roman" w:eastAsia="宋体" w:cs="Times New Roman"/>
                <w:color w:val="auto"/>
                <w:sz w:val="24"/>
                <w:highlight w:val="none"/>
              </w:rPr>
              <w:t>环境质量现状调查</w:t>
            </w:r>
            <w:r>
              <w:rPr>
                <w:rFonts w:hint="default" w:ascii="Times New Roman" w:hAnsi="Times New Roman" w:eastAsia="宋体" w:cs="Times New Roman"/>
                <w:color w:val="auto"/>
                <w:sz w:val="24"/>
                <w:highlight w:val="none"/>
                <w:lang w:eastAsia="zh-CN"/>
              </w:rPr>
              <w:t>。</w:t>
            </w:r>
            <w:r>
              <w:rPr>
                <w:rFonts w:ascii="Times New Roman" w:hAnsi="Times New Roman" w:eastAsia="宋体" w:cs="Times New Roman"/>
                <w:snapToGrid w:val="0"/>
                <w:color w:val="auto"/>
                <w:kern w:val="0"/>
                <w:sz w:val="24"/>
                <w:highlight w:val="none"/>
              </w:rPr>
              <w:t>对照《环境影响评价技术导则 土壤环境（试行）》</w:t>
            </w:r>
            <w:r>
              <w:rPr>
                <w:rFonts w:hint="eastAsia" w:ascii="Times New Roman" w:hAnsi="Times New Roman" w:eastAsia="宋体" w:cs="Times New Roman"/>
                <w:snapToGrid w:val="0"/>
                <w:color w:val="auto"/>
                <w:kern w:val="0"/>
                <w:sz w:val="24"/>
                <w:highlight w:val="none"/>
              </w:rPr>
              <w:t>（</w:t>
            </w:r>
            <w:r>
              <w:rPr>
                <w:rFonts w:ascii="Times New Roman" w:hAnsi="Times New Roman" w:eastAsia="宋体" w:cs="Times New Roman"/>
                <w:snapToGrid w:val="0"/>
                <w:color w:val="auto"/>
                <w:kern w:val="0"/>
                <w:sz w:val="24"/>
                <w:highlight w:val="none"/>
              </w:rPr>
              <w:t>HJ964-2018</w:t>
            </w:r>
            <w:r>
              <w:rPr>
                <w:rFonts w:hint="eastAsia" w:ascii="Times New Roman" w:hAnsi="Times New Roman" w:eastAsia="宋体" w:cs="Times New Roman"/>
                <w:snapToGrid w:val="0"/>
                <w:color w:val="auto"/>
                <w:kern w:val="0"/>
                <w:sz w:val="24"/>
                <w:highlight w:val="none"/>
              </w:rPr>
              <w:t>）</w:t>
            </w:r>
            <w:r>
              <w:rPr>
                <w:rFonts w:ascii="Times New Roman" w:hAnsi="Times New Roman" w:eastAsia="宋体" w:cs="Times New Roman"/>
                <w:snapToGrid w:val="0"/>
                <w:color w:val="auto"/>
                <w:kern w:val="0"/>
                <w:sz w:val="24"/>
                <w:highlight w:val="none"/>
              </w:rPr>
              <w:t>附录A的表A.1可知，项目</w:t>
            </w:r>
            <w:r>
              <w:rPr>
                <w:rFonts w:hint="eastAsia" w:ascii="Times New Roman" w:hAnsi="Times New Roman" w:eastAsia="宋体" w:cs="Times New Roman"/>
                <w:color w:val="auto"/>
                <w:sz w:val="24"/>
                <w:highlight w:val="none"/>
              </w:rPr>
              <w:t>属于“其他</w:t>
            </w:r>
            <w:r>
              <w:rPr>
                <w:rFonts w:hint="eastAsia" w:ascii="Times New Roman" w:hAnsi="Times New Roman" w:eastAsia="宋体" w:cs="Times New Roman"/>
                <w:color w:val="auto"/>
                <w:sz w:val="24"/>
                <w:highlight w:val="none"/>
                <w:lang w:eastAsia="zh-CN"/>
              </w:rPr>
              <w:t>行业</w:t>
            </w:r>
            <w:r>
              <w:rPr>
                <w:rFonts w:hint="eastAsia" w:ascii="Times New Roman" w:hAnsi="Times New Roman" w:eastAsia="宋体" w:cs="Times New Roman"/>
                <w:color w:val="auto"/>
                <w:sz w:val="24"/>
                <w:highlight w:val="none"/>
              </w:rPr>
              <w:t>”类项目</w:t>
            </w:r>
            <w:r>
              <w:rPr>
                <w:rFonts w:hint="eastAsia" w:ascii="Times New Roman" w:hAnsi="Times New Roman" w:eastAsia="宋体" w:cs="Times New Roman"/>
                <w:snapToGrid w:val="0"/>
                <w:color w:val="auto"/>
                <w:kern w:val="0"/>
                <w:sz w:val="24"/>
                <w:highlight w:val="none"/>
              </w:rPr>
              <w:t>，</w:t>
            </w:r>
            <w:r>
              <w:rPr>
                <w:rFonts w:ascii="Times New Roman" w:hAnsi="Times New Roman" w:eastAsia="宋体" w:cs="Times New Roman"/>
                <w:snapToGrid w:val="0"/>
                <w:color w:val="auto"/>
                <w:kern w:val="0"/>
                <w:sz w:val="24"/>
                <w:highlight w:val="none"/>
              </w:rPr>
              <w:t>为</w:t>
            </w:r>
            <w:r>
              <w:rPr>
                <w:rFonts w:hint="eastAsia" w:ascii="Times New Roman" w:hAnsi="Times New Roman" w:eastAsia="宋体" w:cs="Times New Roman"/>
                <w:snapToGrid w:val="0"/>
                <w:color w:val="auto"/>
                <w:kern w:val="0"/>
                <w:sz w:val="24"/>
                <w:highlight w:val="none"/>
              </w:rPr>
              <w:t>Ⅳ</w:t>
            </w:r>
            <w:r>
              <w:rPr>
                <w:rFonts w:ascii="Times New Roman" w:hAnsi="Times New Roman" w:eastAsia="宋体" w:cs="Times New Roman"/>
                <w:snapToGrid w:val="0"/>
                <w:color w:val="auto"/>
                <w:kern w:val="0"/>
                <w:sz w:val="24"/>
                <w:highlight w:val="none"/>
              </w:rPr>
              <w:t>类项目。</w:t>
            </w:r>
            <w:r>
              <w:rPr>
                <w:rFonts w:hint="default" w:ascii="Times New Roman" w:hAnsi="Times New Roman" w:eastAsia="宋体" w:cs="Times New Roman"/>
                <w:color w:val="auto"/>
                <w:sz w:val="24"/>
                <w:highlight w:val="none"/>
                <w:lang w:val="en-US" w:eastAsia="zh-CN"/>
              </w:rPr>
              <w:t>因此不对土壤环境开展现状调查。</w:t>
            </w:r>
          </w:p>
          <w:p w14:paraId="6D780B90">
            <w:pPr>
              <w:keepNext w:val="0"/>
              <w:keepLines w:val="0"/>
              <w:pageBreakBefore w:val="0"/>
              <w:widowControl w:val="0"/>
              <w:kinsoku/>
              <w:wordWrap/>
              <w:overflowPunct/>
              <w:topLinePunct w:val="0"/>
              <w:bidi w:val="0"/>
              <w:adjustRightInd w:val="0"/>
              <w:snapToGrid w:val="0"/>
              <w:spacing w:line="336" w:lineRule="auto"/>
              <w:ind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5</w:t>
            </w:r>
            <w:r>
              <w:rPr>
                <w:rFonts w:hint="default" w:ascii="Times New Roman" w:hAnsi="Times New Roman" w:eastAsia="宋体" w:cs="Times New Roman"/>
                <w:b/>
                <w:bCs/>
                <w:color w:val="auto"/>
                <w:sz w:val="24"/>
                <w:highlight w:val="none"/>
              </w:rPr>
              <w:t>、地下水环境质量现状</w:t>
            </w:r>
          </w:p>
          <w:p w14:paraId="7B49EAA1">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Cs/>
                <w:color w:val="auto"/>
                <w:sz w:val="24"/>
                <w:highlight w:val="none"/>
              </w:rPr>
              <w:t>本项目</w:t>
            </w:r>
            <w:r>
              <w:rPr>
                <w:rFonts w:hint="default" w:ascii="Times New Roman" w:hAnsi="Times New Roman" w:eastAsia="宋体" w:cs="Times New Roman"/>
                <w:color w:val="auto"/>
                <w:sz w:val="24"/>
                <w:szCs w:val="24"/>
                <w:highlight w:val="none"/>
                <w:lang w:val="en-US" w:eastAsia="zh-CN"/>
              </w:rPr>
              <w:t>位于</w:t>
            </w:r>
            <w:r>
              <w:rPr>
                <w:rFonts w:hint="default" w:ascii="Times New Roman" w:hAnsi="Times New Roman" w:eastAsia="宋体" w:cs="Times New Roman"/>
                <w:color w:val="auto"/>
                <w:sz w:val="24"/>
                <w:szCs w:val="24"/>
                <w:highlight w:val="none"/>
                <w:u w:val="none"/>
                <w:lang w:val="en-US" w:eastAsia="zh-CN"/>
              </w:rPr>
              <w:t>云南寻甸产业园区金所片区金所组团</w:t>
            </w:r>
            <w:r>
              <w:rPr>
                <w:rFonts w:hint="eastAsia" w:cs="Times New Roman"/>
                <w:color w:val="auto"/>
                <w:sz w:val="24"/>
                <w:szCs w:val="24"/>
                <w:highlight w:val="none"/>
                <w:u w:val="none"/>
                <w:lang w:val="en-US" w:eastAsia="zh-CN"/>
              </w:rPr>
              <w:t>绿色建材产业区</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bCs/>
                <w:color w:val="auto"/>
                <w:sz w:val="24"/>
                <w:highlight w:val="none"/>
              </w:rPr>
              <w:t>为</w:t>
            </w:r>
            <w:r>
              <w:rPr>
                <w:rFonts w:hint="default" w:ascii="Times New Roman" w:hAnsi="Times New Roman" w:eastAsia="宋体" w:cs="Times New Roman"/>
                <w:color w:val="auto"/>
                <w:sz w:val="24"/>
                <w:szCs w:val="24"/>
                <w:highlight w:val="none"/>
              </w:rPr>
              <w:t>塑料板、管、型材制造</w:t>
            </w:r>
            <w:r>
              <w:rPr>
                <w:rFonts w:hint="default" w:ascii="Times New Roman" w:hAnsi="Times New Roman" w:eastAsia="宋体" w:cs="Times New Roman"/>
                <w:bCs/>
                <w:color w:val="auto"/>
                <w:sz w:val="24"/>
                <w:highlight w:val="none"/>
              </w:rPr>
              <w:t>，</w:t>
            </w:r>
            <w:r>
              <w:rPr>
                <w:rFonts w:hint="default" w:ascii="Times New Roman" w:hAnsi="Times New Roman" w:eastAsia="宋体" w:cs="Times New Roman"/>
                <w:color w:val="auto"/>
                <w:sz w:val="24"/>
                <w:highlight w:val="none"/>
              </w:rPr>
              <w:t>根据《建设项目环境影响报告表编制技术指南（污染影响类）》，</w:t>
            </w:r>
            <w:r>
              <w:rPr>
                <w:rFonts w:hint="eastAsia" w:cs="Times New Roman"/>
                <w:color w:val="auto"/>
                <w:sz w:val="24"/>
                <w:highlight w:val="none"/>
                <w:lang w:eastAsia="zh-CN"/>
              </w:rPr>
              <w:t>本项目无污染途径，</w:t>
            </w:r>
            <w:r>
              <w:rPr>
                <w:rFonts w:hint="default" w:ascii="Times New Roman" w:hAnsi="Times New Roman" w:eastAsia="宋体" w:cs="Times New Roman"/>
                <w:color w:val="auto"/>
                <w:sz w:val="24"/>
                <w:highlight w:val="none"/>
              </w:rPr>
              <w:t>原则上不开展</w:t>
            </w:r>
            <w:r>
              <w:rPr>
                <w:rFonts w:hint="eastAsia" w:eastAsia="宋体" w:cs="Times New Roman"/>
                <w:color w:val="auto"/>
                <w:sz w:val="24"/>
                <w:highlight w:val="none"/>
                <w:lang w:val="en-US" w:eastAsia="zh-CN"/>
              </w:rPr>
              <w:t>地下水</w:t>
            </w:r>
            <w:r>
              <w:rPr>
                <w:rFonts w:hint="default" w:ascii="Times New Roman" w:hAnsi="Times New Roman" w:eastAsia="宋体" w:cs="Times New Roman"/>
                <w:color w:val="auto"/>
                <w:sz w:val="24"/>
                <w:highlight w:val="none"/>
              </w:rPr>
              <w:t>环境质量现状调查</w:t>
            </w:r>
            <w:r>
              <w:rPr>
                <w:rFonts w:hint="default" w:ascii="Times New Roman" w:hAnsi="Times New Roman" w:eastAsia="宋体" w:cs="Times New Roman"/>
                <w:color w:val="auto"/>
                <w:sz w:val="24"/>
                <w:highlight w:val="none"/>
                <w:lang w:eastAsia="zh-CN"/>
              </w:rPr>
              <w:t>。</w:t>
            </w:r>
            <w:r>
              <w:rPr>
                <w:rFonts w:ascii="Times New Roman" w:hAnsi="Times New Roman" w:eastAsia="宋体" w:cs="Times New Roman"/>
                <w:snapToGrid w:val="0"/>
                <w:color w:val="auto"/>
                <w:kern w:val="0"/>
                <w:sz w:val="24"/>
                <w:highlight w:val="none"/>
              </w:rPr>
              <w:t xml:space="preserve">对照《环境影响评价技术导则 </w:t>
            </w:r>
            <w:r>
              <w:rPr>
                <w:rFonts w:hint="eastAsia" w:ascii="Times New Roman" w:hAnsi="Times New Roman" w:eastAsia="宋体" w:cs="Times New Roman"/>
                <w:snapToGrid w:val="0"/>
                <w:color w:val="auto"/>
                <w:kern w:val="0"/>
                <w:sz w:val="24"/>
                <w:highlight w:val="none"/>
                <w:lang w:eastAsia="zh-CN"/>
              </w:rPr>
              <w:t>地下水</w:t>
            </w:r>
            <w:r>
              <w:rPr>
                <w:rFonts w:ascii="Times New Roman" w:hAnsi="Times New Roman" w:eastAsia="宋体" w:cs="Times New Roman"/>
                <w:snapToGrid w:val="0"/>
                <w:color w:val="auto"/>
                <w:kern w:val="0"/>
                <w:sz w:val="24"/>
                <w:highlight w:val="none"/>
              </w:rPr>
              <w:t>环境》</w:t>
            </w:r>
            <w:r>
              <w:rPr>
                <w:rFonts w:hint="eastAsia" w:ascii="Times New Roman" w:hAnsi="Times New Roman" w:eastAsia="宋体" w:cs="Times New Roman"/>
                <w:snapToGrid w:val="0"/>
                <w:color w:val="auto"/>
                <w:kern w:val="0"/>
                <w:sz w:val="24"/>
                <w:highlight w:val="none"/>
              </w:rPr>
              <w:t>（</w:t>
            </w:r>
            <w:r>
              <w:rPr>
                <w:rFonts w:ascii="Times New Roman" w:hAnsi="Times New Roman" w:eastAsia="宋体" w:cs="Times New Roman"/>
                <w:snapToGrid w:val="0"/>
                <w:color w:val="auto"/>
                <w:kern w:val="0"/>
                <w:sz w:val="24"/>
                <w:highlight w:val="none"/>
              </w:rPr>
              <w:t>HJ</w:t>
            </w:r>
            <w:r>
              <w:rPr>
                <w:rFonts w:hint="eastAsia" w:ascii="Times New Roman" w:hAnsi="Times New Roman" w:eastAsia="宋体" w:cs="Times New Roman"/>
                <w:snapToGrid w:val="0"/>
                <w:color w:val="auto"/>
                <w:kern w:val="0"/>
                <w:sz w:val="24"/>
                <w:highlight w:val="none"/>
                <w:lang w:val="en-US" w:eastAsia="zh-CN"/>
              </w:rPr>
              <w:t>610</w:t>
            </w:r>
            <w:r>
              <w:rPr>
                <w:rFonts w:ascii="Times New Roman" w:hAnsi="Times New Roman" w:eastAsia="宋体" w:cs="Times New Roman"/>
                <w:snapToGrid w:val="0"/>
                <w:color w:val="auto"/>
                <w:kern w:val="0"/>
                <w:sz w:val="24"/>
                <w:highlight w:val="none"/>
              </w:rPr>
              <w:t>-201</w:t>
            </w:r>
            <w:r>
              <w:rPr>
                <w:rFonts w:hint="eastAsia" w:ascii="Times New Roman" w:hAnsi="Times New Roman" w:eastAsia="宋体" w:cs="Times New Roman"/>
                <w:snapToGrid w:val="0"/>
                <w:color w:val="auto"/>
                <w:kern w:val="0"/>
                <w:sz w:val="24"/>
                <w:highlight w:val="none"/>
                <w:lang w:val="en-US" w:eastAsia="zh-CN"/>
              </w:rPr>
              <w:t>6</w:t>
            </w:r>
            <w:r>
              <w:rPr>
                <w:rFonts w:hint="eastAsia" w:ascii="Times New Roman" w:hAnsi="Times New Roman" w:eastAsia="宋体" w:cs="Times New Roman"/>
                <w:snapToGrid w:val="0"/>
                <w:color w:val="auto"/>
                <w:kern w:val="0"/>
                <w:sz w:val="24"/>
                <w:highlight w:val="none"/>
              </w:rPr>
              <w:t>）</w:t>
            </w:r>
            <w:r>
              <w:rPr>
                <w:rFonts w:ascii="Times New Roman" w:hAnsi="Times New Roman" w:eastAsia="宋体" w:cs="Times New Roman"/>
                <w:snapToGrid w:val="0"/>
                <w:color w:val="auto"/>
                <w:kern w:val="0"/>
                <w:sz w:val="24"/>
                <w:highlight w:val="none"/>
              </w:rPr>
              <w:t>附录A可知，项目为</w:t>
            </w:r>
            <w:r>
              <w:rPr>
                <w:rFonts w:hint="eastAsia" w:ascii="Times New Roman" w:hAnsi="Times New Roman" w:eastAsia="宋体" w:cs="Times New Roman"/>
                <w:snapToGrid w:val="0"/>
                <w:color w:val="auto"/>
                <w:kern w:val="0"/>
                <w:sz w:val="24"/>
                <w:highlight w:val="none"/>
              </w:rPr>
              <w:t>Ⅳ</w:t>
            </w:r>
            <w:r>
              <w:rPr>
                <w:rFonts w:ascii="Times New Roman" w:hAnsi="Times New Roman" w:eastAsia="宋体" w:cs="Times New Roman"/>
                <w:snapToGrid w:val="0"/>
                <w:color w:val="auto"/>
                <w:kern w:val="0"/>
                <w:sz w:val="24"/>
                <w:highlight w:val="none"/>
              </w:rPr>
              <w:t>类项目。</w:t>
            </w:r>
            <w:r>
              <w:rPr>
                <w:rFonts w:hint="default" w:ascii="Times New Roman" w:hAnsi="Times New Roman" w:eastAsia="宋体" w:cs="Times New Roman"/>
                <w:color w:val="auto"/>
                <w:sz w:val="24"/>
                <w:highlight w:val="none"/>
                <w:lang w:val="en-US" w:eastAsia="zh-CN"/>
              </w:rPr>
              <w:t>因此不对</w:t>
            </w:r>
            <w:r>
              <w:rPr>
                <w:rFonts w:hint="eastAsia" w:ascii="Times New Roman" w:hAnsi="Times New Roman" w:eastAsia="宋体" w:cs="Times New Roman"/>
                <w:color w:val="auto"/>
                <w:sz w:val="24"/>
                <w:highlight w:val="none"/>
                <w:lang w:val="en-US" w:eastAsia="zh-CN"/>
              </w:rPr>
              <w:t>地下水</w:t>
            </w:r>
            <w:r>
              <w:rPr>
                <w:rFonts w:hint="default" w:ascii="Times New Roman" w:hAnsi="Times New Roman" w:eastAsia="宋体" w:cs="Times New Roman"/>
                <w:color w:val="auto"/>
                <w:sz w:val="24"/>
                <w:highlight w:val="none"/>
                <w:lang w:val="en-US" w:eastAsia="zh-CN"/>
              </w:rPr>
              <w:t>环境开展现状调查。</w:t>
            </w:r>
          </w:p>
          <w:p w14:paraId="31F80401">
            <w:pPr>
              <w:pStyle w:val="17"/>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4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、生态环境质量现状</w:t>
            </w:r>
          </w:p>
          <w:p w14:paraId="4DAED0DC">
            <w:pPr>
              <w:keepNext w:val="0"/>
              <w:keepLines w:val="0"/>
              <w:pageBreakBefore w:val="0"/>
              <w:widowControl w:val="0"/>
              <w:shd w:val="clear"/>
              <w:kinsoku/>
              <w:wordWrap/>
              <w:overflowPunct/>
              <w:topLinePunct w:val="0"/>
              <w:autoSpaceDE/>
              <w:autoSpaceDN/>
              <w:bidi w:val="0"/>
              <w:adjustRightInd/>
              <w:snapToGrid w:val="0"/>
              <w:spacing w:line="346" w:lineRule="auto"/>
              <w:ind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lang w:val="zh-CN"/>
              </w:rPr>
              <w:t>项目所在区域</w:t>
            </w:r>
            <w:r>
              <w:rPr>
                <w:rFonts w:hint="default" w:ascii="Times New Roman" w:hAnsi="Times New Roman" w:eastAsia="宋体" w:cs="Times New Roman"/>
                <w:color w:val="auto"/>
                <w:sz w:val="24"/>
                <w:szCs w:val="24"/>
                <w:highlight w:val="none"/>
                <w:lang w:val="en-US" w:eastAsia="zh-CN"/>
              </w:rPr>
              <w:t>为规划的工业园区，区域</w:t>
            </w:r>
            <w:r>
              <w:rPr>
                <w:rFonts w:hint="default" w:ascii="Times New Roman" w:hAnsi="Times New Roman" w:eastAsia="宋体" w:cs="Times New Roman"/>
                <w:color w:val="auto"/>
                <w:sz w:val="24"/>
                <w:szCs w:val="24"/>
                <w:highlight w:val="none"/>
                <w:lang w:val="zh-CN"/>
              </w:rPr>
              <w:t>现状主要为水泥路面和人工绿化植被，无天然植被，生态环境自我调节能力低。调查范围内未涉及国家保护的珍贵野生动、植物。</w:t>
            </w:r>
            <w:r>
              <w:rPr>
                <w:rFonts w:hint="default" w:ascii="Times New Roman" w:hAnsi="Times New Roman" w:eastAsia="宋体" w:cs="Times New Roman"/>
                <w:color w:val="auto"/>
                <w:sz w:val="24"/>
                <w:szCs w:val="24"/>
                <w:highlight w:val="none"/>
                <w:lang w:val="en-US" w:eastAsia="zh-CN"/>
              </w:rPr>
              <w:t>评价范围</w:t>
            </w:r>
            <w:r>
              <w:rPr>
                <w:rFonts w:hint="default" w:ascii="Times New Roman" w:hAnsi="Times New Roman" w:eastAsia="宋体" w:cs="Times New Roman"/>
                <w:color w:val="auto"/>
                <w:sz w:val="24"/>
                <w:szCs w:val="24"/>
                <w:highlight w:val="none"/>
                <w:lang w:val="zh-CN"/>
              </w:rPr>
              <w:t>内无自然保护区、风景名胜区、森林公园、历史文化遗迹等需要特殊保护的生态敏感目标，无国家</w:t>
            </w:r>
            <w:r>
              <w:rPr>
                <w:rFonts w:hint="default" w:ascii="Times New Roman" w:hAnsi="Times New Roman" w:eastAsia="宋体" w:cs="Times New Roman"/>
                <w:color w:val="auto"/>
                <w:sz w:val="24"/>
                <w:szCs w:val="24"/>
                <w:highlight w:val="none"/>
                <w:lang w:val="en-US" w:eastAsia="zh-CN"/>
              </w:rPr>
              <w:t>珍稀</w:t>
            </w:r>
            <w:r>
              <w:rPr>
                <w:rFonts w:hint="default" w:ascii="Times New Roman" w:hAnsi="Times New Roman" w:eastAsia="宋体" w:cs="Times New Roman"/>
                <w:color w:val="auto"/>
                <w:sz w:val="24"/>
                <w:szCs w:val="24"/>
                <w:highlight w:val="none"/>
                <w:lang w:val="zh-CN"/>
              </w:rPr>
              <w:t>濒危保护物种、国家重点保护野生</w:t>
            </w:r>
            <w:r>
              <w:rPr>
                <w:rFonts w:hint="default" w:ascii="Times New Roman" w:hAnsi="Times New Roman" w:eastAsia="宋体" w:cs="Times New Roman"/>
                <w:color w:val="auto"/>
                <w:sz w:val="24"/>
                <w:szCs w:val="24"/>
                <w:highlight w:val="none"/>
                <w:lang w:val="en-US" w:eastAsia="zh-CN"/>
              </w:rPr>
              <w:t>物种</w:t>
            </w:r>
            <w:r>
              <w:rPr>
                <w:rFonts w:hint="default" w:ascii="Times New Roman" w:hAnsi="Times New Roman" w:eastAsia="宋体" w:cs="Times New Roman"/>
                <w:color w:val="auto"/>
                <w:sz w:val="24"/>
                <w:szCs w:val="24"/>
                <w:highlight w:val="none"/>
                <w:lang w:val="zh-CN"/>
              </w:rPr>
              <w:t>和云南省级重点野生保护</w:t>
            </w:r>
            <w:r>
              <w:rPr>
                <w:rFonts w:hint="default" w:ascii="Times New Roman" w:hAnsi="Times New Roman" w:eastAsia="宋体" w:cs="Times New Roman"/>
                <w:color w:val="auto"/>
                <w:sz w:val="24"/>
                <w:szCs w:val="24"/>
                <w:highlight w:val="none"/>
                <w:lang w:val="en-US" w:eastAsia="zh-CN"/>
              </w:rPr>
              <w:t>物种</w:t>
            </w:r>
            <w:r>
              <w:rPr>
                <w:rFonts w:hint="default" w:ascii="Times New Roman" w:hAnsi="Times New Roman" w:eastAsia="宋体" w:cs="Times New Roman"/>
                <w:color w:val="auto"/>
                <w:sz w:val="24"/>
                <w:szCs w:val="24"/>
                <w:highlight w:val="none"/>
                <w:lang w:val="zh-CN"/>
              </w:rPr>
              <w:t>，也没有特有种类存在</w:t>
            </w:r>
            <w:r>
              <w:rPr>
                <w:rFonts w:hint="default" w:ascii="Times New Roman" w:hAnsi="Times New Roman" w:eastAsia="宋体" w:cs="Times New Roman"/>
                <w:color w:val="auto"/>
                <w:sz w:val="24"/>
                <w:szCs w:val="24"/>
                <w:highlight w:val="none"/>
              </w:rPr>
              <w:t>。</w:t>
            </w:r>
          </w:p>
        </w:tc>
      </w:tr>
      <w:tr w14:paraId="38116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vAlign w:val="center"/>
          </w:tcPr>
          <w:p w14:paraId="62E4184C">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14:paraId="46EB30FA">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保护</w:t>
            </w:r>
          </w:p>
          <w:p w14:paraId="41BD7F60">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目标</w:t>
            </w:r>
          </w:p>
        </w:tc>
        <w:tc>
          <w:tcPr>
            <w:tcW w:w="8686" w:type="dxa"/>
            <w:vAlign w:val="center"/>
          </w:tcPr>
          <w:p w14:paraId="477C25E3">
            <w:pPr>
              <w:pStyle w:val="17"/>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4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1、大气环境</w:t>
            </w:r>
          </w:p>
          <w:p w14:paraId="0A35BE1D">
            <w:pPr>
              <w:pStyle w:val="63"/>
              <w:keepNext w:val="0"/>
              <w:keepLines w:val="0"/>
              <w:pageBreakBefore w:val="0"/>
              <w:widowControl w:val="0"/>
              <w:numPr>
                <w:ilvl w:val="0"/>
                <w:numId w:val="0"/>
              </w:numPr>
              <w:shd w:val="clear"/>
              <w:kinsoku/>
              <w:wordWrap/>
              <w:overflowPunct/>
              <w:topLinePunct w:val="0"/>
              <w:autoSpaceDE/>
              <w:autoSpaceDN/>
              <w:bidi w:val="0"/>
              <w:adjustRightInd w:val="0"/>
              <w:snapToGrid w:val="0"/>
              <w:spacing w:before="0" w:after="0" w:line="346"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w:t>
            </w:r>
            <w:r>
              <w:rPr>
                <w:rFonts w:hint="default" w:ascii="Times New Roman" w:hAnsi="Times New Roman" w:eastAsia="宋体" w:cs="Times New Roman"/>
                <w:color w:val="auto"/>
                <w:sz w:val="24"/>
                <w:szCs w:val="24"/>
                <w:highlight w:val="none"/>
                <w:lang w:eastAsia="zh-CN"/>
              </w:rPr>
              <w:t>本项目</w:t>
            </w:r>
            <w:r>
              <w:rPr>
                <w:rFonts w:hint="default" w:ascii="Times New Roman" w:hAnsi="Times New Roman" w:eastAsia="宋体" w:cs="Times New Roman"/>
                <w:color w:val="auto"/>
                <w:sz w:val="24"/>
                <w:szCs w:val="24"/>
                <w:highlight w:val="none"/>
                <w:lang w:val="en-US" w:eastAsia="zh-CN"/>
              </w:rPr>
              <w:t>大气环境保护目标为厂界外</w:t>
            </w:r>
            <w:r>
              <w:rPr>
                <w:rFonts w:hint="default" w:ascii="Times New Roman" w:hAnsi="Times New Roman" w:eastAsia="宋体" w:cs="Times New Roman"/>
                <w:color w:val="auto"/>
                <w:sz w:val="24"/>
                <w:szCs w:val="24"/>
                <w:highlight w:val="none"/>
                <w:lang w:val="zh-CN"/>
              </w:rPr>
              <w:t>500米范围内的自然保护区、风景名胜区、居住区、文化区和农村地区中人群较集中的区域等保护目标。</w:t>
            </w:r>
            <w:r>
              <w:rPr>
                <w:rFonts w:hint="default" w:ascii="Times New Roman" w:hAnsi="Times New Roman" w:eastAsia="宋体" w:cs="Times New Roman"/>
                <w:color w:val="auto"/>
                <w:sz w:val="24"/>
                <w:szCs w:val="24"/>
                <w:highlight w:val="none"/>
                <w:lang w:val="en-US" w:eastAsia="zh-CN"/>
              </w:rPr>
              <w:t>根据现场踏勘，本项目周边500m范围内</w:t>
            </w:r>
            <w:r>
              <w:rPr>
                <w:rFonts w:hint="eastAsia" w:cs="Times New Roman"/>
                <w:color w:val="auto"/>
                <w:sz w:val="24"/>
                <w:szCs w:val="24"/>
                <w:highlight w:val="none"/>
                <w:lang w:val="en-US" w:eastAsia="zh-CN"/>
              </w:rPr>
              <w:t>无</w:t>
            </w:r>
            <w:r>
              <w:rPr>
                <w:rFonts w:hint="default" w:ascii="Times New Roman" w:hAnsi="Times New Roman" w:eastAsia="宋体" w:cs="Times New Roman"/>
                <w:color w:val="auto"/>
                <w:sz w:val="24"/>
                <w:szCs w:val="24"/>
                <w:highlight w:val="none"/>
                <w:lang w:val="en-US" w:eastAsia="zh-CN"/>
              </w:rPr>
              <w:t>大气环境保护目标</w:t>
            </w:r>
            <w:r>
              <w:rPr>
                <w:rFonts w:hint="eastAsia" w:cs="Times New Roman"/>
                <w:color w:val="auto"/>
                <w:sz w:val="24"/>
                <w:szCs w:val="24"/>
                <w:highlight w:val="none"/>
                <w:lang w:val="en-US" w:eastAsia="zh-CN"/>
              </w:rPr>
              <w:t>，</w:t>
            </w:r>
            <w:r>
              <w:rPr>
                <w:sz w:val="24"/>
              </w:rPr>
              <w:t>均为生产加工企业</w:t>
            </w:r>
            <w:r>
              <w:rPr>
                <w:rFonts w:hint="default" w:ascii="Times New Roman" w:hAnsi="Times New Roman" w:eastAsia="宋体" w:cs="Times New Roman"/>
                <w:color w:val="auto"/>
                <w:sz w:val="24"/>
                <w:szCs w:val="24"/>
                <w:highlight w:val="none"/>
                <w:lang w:val="en-US" w:eastAsia="zh-CN"/>
              </w:rPr>
              <w:t>。</w:t>
            </w:r>
          </w:p>
          <w:p w14:paraId="75970DFE">
            <w:pPr>
              <w:pStyle w:val="17"/>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4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2、声环境</w:t>
            </w:r>
          </w:p>
          <w:p w14:paraId="18BAF4A0">
            <w:pPr>
              <w:pStyle w:val="14"/>
              <w:keepNext w:val="0"/>
              <w:keepLines w:val="0"/>
              <w:pageBreakBefore w:val="0"/>
              <w:widowControl w:val="0"/>
              <w:shd w:val="clear"/>
              <w:kinsoku/>
              <w:wordWrap/>
              <w:overflowPunct/>
              <w:topLinePunct w:val="0"/>
              <w:autoSpaceDE/>
              <w:autoSpaceDN/>
              <w:bidi w:val="0"/>
              <w:adjustRightInd w:val="0"/>
              <w:snapToGrid w:val="0"/>
              <w:spacing w:line="346"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根据现场踏勘，项目厂界外周边50m范围内无声环境保护目标</w:t>
            </w:r>
            <w:r>
              <w:rPr>
                <w:rFonts w:hint="default" w:ascii="Times New Roman" w:hAnsi="Times New Roman" w:eastAsia="宋体" w:cs="Times New Roman"/>
                <w:color w:val="auto"/>
                <w:sz w:val="24"/>
                <w:szCs w:val="24"/>
                <w:highlight w:val="none"/>
              </w:rPr>
              <w:t>。</w:t>
            </w:r>
          </w:p>
          <w:p w14:paraId="700B6044">
            <w:pPr>
              <w:pStyle w:val="17"/>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4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3、地表水</w:t>
            </w:r>
          </w:p>
          <w:p w14:paraId="64A188BD">
            <w:pPr>
              <w:keepNext w:val="0"/>
              <w:keepLines w:val="0"/>
              <w:pageBreakBefore w:val="0"/>
              <w:widowControl w:val="0"/>
              <w:shd w:val="clear"/>
              <w:kinsoku/>
              <w:wordWrap/>
              <w:overflowPunct/>
              <w:topLinePunct w:val="0"/>
              <w:autoSpaceDE/>
              <w:autoSpaceDN/>
              <w:bidi w:val="0"/>
              <w:adjustRightInd w:val="0"/>
              <w:snapToGrid w:val="0"/>
              <w:spacing w:line="346" w:lineRule="auto"/>
              <w:ind w:firstLine="480" w:firstLineChars="200"/>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kern w:val="0"/>
                <w:sz w:val="24"/>
                <w:szCs w:val="24"/>
                <w:highlight w:val="none"/>
                <w:lang w:val="zh-CN"/>
              </w:rPr>
              <w:t>距离项目最近的地表水体为</w:t>
            </w:r>
            <w:r>
              <w:rPr>
                <w:rFonts w:hint="eastAsia" w:cs="Times New Roman"/>
                <w:color w:val="auto"/>
                <w:kern w:val="0"/>
                <w:sz w:val="24"/>
                <w:szCs w:val="24"/>
                <w:highlight w:val="none"/>
                <w:lang w:val="zh-CN"/>
              </w:rPr>
              <w:t>东南侧</w:t>
            </w:r>
            <w:r>
              <w:rPr>
                <w:rFonts w:hint="eastAsia" w:cs="Times New Roman"/>
                <w:color w:val="auto"/>
                <w:kern w:val="0"/>
                <w:sz w:val="24"/>
                <w:szCs w:val="24"/>
                <w:highlight w:val="none"/>
                <w:lang w:val="en-US" w:eastAsia="zh-CN"/>
              </w:rPr>
              <w:t>718</w:t>
            </w:r>
            <w:r>
              <w:rPr>
                <w:rFonts w:hint="default" w:ascii="Times New Roman" w:hAnsi="Times New Roman" w:eastAsia="宋体" w:cs="Times New Roman"/>
                <w:color w:val="auto"/>
                <w:kern w:val="0"/>
                <w:sz w:val="24"/>
                <w:szCs w:val="24"/>
                <w:highlight w:val="none"/>
              </w:rPr>
              <w:t>m处的</w:t>
            </w:r>
            <w:r>
              <w:rPr>
                <w:rFonts w:hint="default" w:ascii="Times New Roman" w:hAnsi="Times New Roman" w:eastAsia="宋体" w:cs="Times New Roman"/>
                <w:color w:val="auto"/>
                <w:kern w:val="0"/>
                <w:sz w:val="24"/>
                <w:szCs w:val="24"/>
                <w:highlight w:val="none"/>
                <w:lang w:val="zh-CN"/>
              </w:rPr>
              <w:t>谓所河，</w:t>
            </w:r>
            <w:r>
              <w:rPr>
                <w:rFonts w:hint="default" w:ascii="Times New Roman" w:hAnsi="Times New Roman" w:eastAsia="宋体" w:cs="Times New Roman"/>
                <w:color w:val="auto"/>
                <w:sz w:val="24"/>
                <w:szCs w:val="24"/>
                <w:highlight w:val="none"/>
                <w:shd w:val="clear" w:color="auto" w:fill="auto"/>
                <w:lang w:val="en-US" w:eastAsia="zh-CN"/>
              </w:rPr>
              <w:t>经落水洞转为地下伏流，于三月三水库出露；</w:t>
            </w:r>
            <w:r>
              <w:rPr>
                <w:rFonts w:hint="default" w:ascii="Times New Roman" w:hAnsi="Times New Roman" w:eastAsia="宋体" w:cs="Times New Roman"/>
                <w:color w:val="auto"/>
                <w:sz w:val="24"/>
                <w:szCs w:val="24"/>
                <w:highlight w:val="none"/>
                <w:shd w:val="clear" w:color="auto" w:fill="auto"/>
                <w:lang w:eastAsia="zh-CN"/>
              </w:rPr>
              <w:t>三月三水库由前</w:t>
            </w:r>
            <w:r>
              <w:rPr>
                <w:rFonts w:hint="default" w:ascii="Times New Roman" w:hAnsi="Times New Roman" w:eastAsia="宋体" w:cs="Times New Roman"/>
                <w:color w:val="auto"/>
                <w:sz w:val="24"/>
                <w:highlight w:val="none"/>
                <w:shd w:val="clear" w:color="auto" w:fill="auto"/>
                <w:lang w:eastAsia="zh-CN"/>
              </w:rPr>
              <w:t>进河出水</w:t>
            </w:r>
            <w:r>
              <w:rPr>
                <w:rFonts w:hint="default" w:ascii="Times New Roman" w:hAnsi="Times New Roman" w:eastAsia="宋体" w:cs="Times New Roman"/>
                <w:color w:val="auto"/>
                <w:sz w:val="24"/>
                <w:highlight w:val="none"/>
              </w:rPr>
              <w:t>，最终汇入牛栏江，属牛栏江支流。</w:t>
            </w:r>
            <w:r>
              <w:rPr>
                <w:rFonts w:hint="default" w:ascii="Times New Roman" w:hAnsi="Times New Roman" w:eastAsia="宋体" w:cs="Times New Roman"/>
                <w:color w:val="auto"/>
                <w:sz w:val="24"/>
                <w:highlight w:val="none"/>
                <w:lang w:val="zh-CN"/>
              </w:rPr>
              <w:t>谓所河</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三月三水库均</w:t>
            </w:r>
            <w:r>
              <w:rPr>
                <w:rFonts w:hint="default" w:ascii="Times New Roman" w:hAnsi="Times New Roman" w:eastAsia="宋体" w:cs="Times New Roman"/>
                <w:color w:val="auto"/>
                <w:sz w:val="24"/>
                <w:highlight w:val="none"/>
                <w:lang w:val="zh-CN"/>
              </w:rPr>
              <w:t>参照</w:t>
            </w:r>
            <w:r>
              <w:rPr>
                <w:rFonts w:hint="default" w:ascii="Times New Roman" w:hAnsi="Times New Roman" w:eastAsia="宋体" w:cs="Times New Roman"/>
                <w:color w:val="auto"/>
                <w:sz w:val="24"/>
                <w:highlight w:val="none"/>
                <w:lang w:val="en-US" w:eastAsia="zh-CN"/>
              </w:rPr>
              <w:t>牛栏江按照</w:t>
            </w:r>
            <w:r>
              <w:rPr>
                <w:rFonts w:hint="default" w:ascii="Times New Roman" w:hAnsi="Times New Roman" w:eastAsia="宋体" w:cs="Times New Roman"/>
                <w:color w:val="auto"/>
                <w:sz w:val="24"/>
                <w:highlight w:val="none"/>
                <w:lang w:val="zh-CN"/>
              </w:rPr>
              <w:t>《地表水环境质量标准》</w:t>
            </w:r>
            <w:r>
              <w:rPr>
                <w:rFonts w:hint="default" w:ascii="Times New Roman" w:hAnsi="Times New Roman" w:eastAsia="宋体" w:cs="Times New Roman"/>
                <w:color w:val="auto"/>
                <w:kern w:val="0"/>
                <w:sz w:val="24"/>
                <w:highlight w:val="none"/>
                <w:lang w:val="zh-CN"/>
              </w:rPr>
              <w:t>（GB3838-2002）中Ⅲ类水质标准</w:t>
            </w:r>
            <w:r>
              <w:rPr>
                <w:rFonts w:hint="default" w:ascii="Times New Roman" w:hAnsi="Times New Roman" w:eastAsia="宋体" w:cs="Times New Roman"/>
                <w:color w:val="auto"/>
                <w:kern w:val="0"/>
                <w:sz w:val="24"/>
                <w:highlight w:val="none"/>
                <w:lang w:val="en-US" w:eastAsia="zh-CN"/>
              </w:rPr>
              <w:t>进行保护</w:t>
            </w:r>
            <w:r>
              <w:rPr>
                <w:rFonts w:hint="default" w:ascii="Times New Roman" w:hAnsi="Times New Roman" w:eastAsia="宋体" w:cs="Times New Roman"/>
                <w:color w:val="auto"/>
                <w:kern w:val="0"/>
                <w:sz w:val="24"/>
                <w:highlight w:val="none"/>
                <w:lang w:val="zh-CN"/>
              </w:rPr>
              <w:t>。</w:t>
            </w:r>
          </w:p>
          <w:p w14:paraId="3A7EF08E">
            <w:pPr>
              <w:pStyle w:val="17"/>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4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4、地下水</w:t>
            </w:r>
          </w:p>
          <w:p w14:paraId="6C2F19B5">
            <w:pPr>
              <w:pStyle w:val="14"/>
              <w:keepNext w:val="0"/>
              <w:keepLines w:val="0"/>
              <w:pageBreakBefore w:val="0"/>
              <w:widowControl w:val="0"/>
              <w:shd w:val="clear"/>
              <w:kinsoku/>
              <w:wordWrap/>
              <w:overflowPunct/>
              <w:topLinePunct w:val="0"/>
              <w:autoSpaceDE/>
              <w:autoSpaceDN/>
              <w:bidi w:val="0"/>
              <w:adjustRightInd w:val="0"/>
              <w:snapToGrid w:val="0"/>
              <w:spacing w:line="346"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根据现场踏勘，项目厂界外500m范围内无地下水集中式饮用水水源和热水、矿泉水、温泉等特殊地下水资源。</w:t>
            </w:r>
          </w:p>
          <w:p w14:paraId="6374899D">
            <w:pPr>
              <w:pStyle w:val="17"/>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4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5、生态环境</w:t>
            </w:r>
          </w:p>
          <w:p w14:paraId="609B61AD">
            <w:pPr>
              <w:pStyle w:val="14"/>
              <w:keepNext w:val="0"/>
              <w:keepLines w:val="0"/>
              <w:pageBreakBefore w:val="0"/>
              <w:widowControl w:val="0"/>
              <w:shd w:val="clear"/>
              <w:kinsoku/>
              <w:wordWrap/>
              <w:overflowPunct/>
              <w:topLinePunct w:val="0"/>
              <w:autoSpaceDE/>
              <w:autoSpaceDN/>
              <w:bidi w:val="0"/>
              <w:adjustRightInd w:val="0"/>
              <w:snapToGrid w:val="0"/>
              <w:spacing w:line="346"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highlight w:val="none"/>
                <w:lang w:val="zh-CN"/>
              </w:rPr>
              <w:t>本项目位于</w:t>
            </w:r>
            <w:r>
              <w:rPr>
                <w:rFonts w:hint="default" w:ascii="Times New Roman" w:hAnsi="Times New Roman" w:eastAsia="宋体" w:cs="Times New Roman"/>
                <w:color w:val="auto"/>
                <w:sz w:val="24"/>
                <w:szCs w:val="24"/>
                <w:highlight w:val="none"/>
                <w:u w:val="none"/>
                <w:lang w:val="en-US" w:eastAsia="zh-CN"/>
              </w:rPr>
              <w:t>云南寻甸产业园区金所片区金所组团</w:t>
            </w:r>
            <w:r>
              <w:rPr>
                <w:rFonts w:hint="eastAsia" w:cs="Times New Roman"/>
                <w:color w:val="auto"/>
                <w:sz w:val="24"/>
                <w:szCs w:val="24"/>
                <w:highlight w:val="none"/>
                <w:u w:val="none"/>
                <w:lang w:val="en-US" w:eastAsia="zh-CN"/>
              </w:rPr>
              <w:t>绿色建材产业区</w:t>
            </w:r>
            <w:r>
              <w:rPr>
                <w:rFonts w:hint="default" w:ascii="Times New Roman" w:hAnsi="Times New Roman" w:eastAsia="宋体" w:cs="Times New Roman"/>
                <w:color w:val="auto"/>
                <w:sz w:val="24"/>
                <w:szCs w:val="24"/>
                <w:highlight w:val="none"/>
                <w:lang w:val="en-US" w:eastAsia="zh-CN"/>
              </w:rPr>
              <w:t>，属于规划的工业园区，不涉及园区外用地，</w:t>
            </w:r>
            <w:r>
              <w:rPr>
                <w:rFonts w:hint="default" w:ascii="Times New Roman" w:hAnsi="Times New Roman" w:eastAsia="宋体" w:cs="Times New Roman"/>
                <w:color w:val="auto"/>
                <w:sz w:val="24"/>
                <w:szCs w:val="24"/>
                <w:highlight w:val="none"/>
              </w:rPr>
              <w:t>不涉及生态保护目标</w:t>
            </w:r>
            <w:r>
              <w:rPr>
                <w:rFonts w:hint="default" w:ascii="Times New Roman" w:hAnsi="Times New Roman" w:eastAsia="宋体" w:cs="Times New Roman"/>
                <w:color w:val="auto"/>
                <w:sz w:val="24"/>
                <w:szCs w:val="24"/>
                <w:highlight w:val="none"/>
                <w:lang w:eastAsia="zh-CN"/>
              </w:rPr>
              <w:t>。</w:t>
            </w:r>
          </w:p>
          <w:p w14:paraId="2948E0F0">
            <w:pPr>
              <w:pStyle w:val="14"/>
              <w:keepNext w:val="0"/>
              <w:keepLines w:val="0"/>
              <w:pageBreakBefore w:val="0"/>
              <w:widowControl w:val="0"/>
              <w:shd w:val="clear"/>
              <w:kinsoku/>
              <w:wordWrap/>
              <w:overflowPunct/>
              <w:topLinePunct w:val="0"/>
              <w:autoSpaceDE/>
              <w:autoSpaceDN/>
              <w:bidi w:val="0"/>
              <w:adjustRightInd/>
              <w:snapToGrid/>
              <w:spacing w:line="346" w:lineRule="auto"/>
              <w:ind w:firstLine="480" w:firstLineChars="200"/>
              <w:jc w:val="left"/>
              <w:textAlignment w:val="auto"/>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Cs/>
                <w:color w:val="auto"/>
                <w:sz w:val="24"/>
                <w:highlight w:val="none"/>
                <w:lang w:val="en-US" w:eastAsia="zh-CN"/>
              </w:rPr>
              <w:t>本项目主要保护目标详见下表，</w:t>
            </w:r>
            <w:r>
              <w:rPr>
                <w:rFonts w:hint="default" w:ascii="Times New Roman" w:hAnsi="Times New Roman" w:eastAsia="宋体" w:cs="Times New Roman"/>
                <w:bCs/>
                <w:color w:val="auto"/>
                <w:sz w:val="24"/>
                <w:highlight w:val="none"/>
                <w:lang w:eastAsia="zh-CN"/>
              </w:rPr>
              <w:t>项目周边关系</w:t>
            </w:r>
            <w:r>
              <w:rPr>
                <w:rFonts w:hint="default" w:ascii="Times New Roman" w:hAnsi="Times New Roman" w:eastAsia="宋体" w:cs="Times New Roman"/>
                <w:bCs/>
                <w:color w:val="auto"/>
                <w:sz w:val="24"/>
                <w:highlight w:val="none"/>
              </w:rPr>
              <w:t>示意详见附图</w:t>
            </w:r>
            <w:r>
              <w:rPr>
                <w:rFonts w:hint="default" w:ascii="Times New Roman" w:hAnsi="Times New Roman" w:eastAsia="宋体" w:cs="Times New Roman"/>
                <w:bCs/>
                <w:color w:val="auto"/>
                <w:sz w:val="24"/>
                <w:highlight w:val="none"/>
                <w:lang w:val="en-US" w:eastAsia="zh-CN"/>
              </w:rPr>
              <w:t>3</w:t>
            </w:r>
            <w:r>
              <w:rPr>
                <w:rFonts w:hint="default" w:ascii="Times New Roman" w:hAnsi="Times New Roman" w:eastAsia="宋体" w:cs="Times New Roman"/>
                <w:bCs/>
                <w:color w:val="auto"/>
                <w:sz w:val="24"/>
                <w:highlight w:val="none"/>
              </w:rPr>
              <w:t>。</w:t>
            </w:r>
          </w:p>
          <w:p w14:paraId="662A76C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3</w:t>
            </w:r>
            <w:r>
              <w:rPr>
                <w:rFonts w:hint="default" w:ascii="Times New Roman" w:hAnsi="Times New Roman" w:eastAsia="宋体" w:cs="Times New Roman"/>
                <w:b/>
                <w:color w:val="auto"/>
                <w:szCs w:val="21"/>
                <w:highlight w:val="none"/>
              </w:rPr>
              <w:t>-</w:t>
            </w:r>
            <w:r>
              <w:rPr>
                <w:rFonts w:hint="default" w:ascii="Times New Roman" w:hAnsi="Times New Roman" w:eastAsia="宋体" w:cs="Times New Roman"/>
                <w:b/>
                <w:color w:val="auto"/>
                <w:szCs w:val="21"/>
                <w:highlight w:val="none"/>
                <w:lang w:val="en-US" w:eastAsia="zh-CN"/>
              </w:rPr>
              <w:t>4</w:t>
            </w:r>
            <w:r>
              <w:rPr>
                <w:rFonts w:hint="default" w:ascii="Times New Roman" w:hAnsi="Times New Roman" w:eastAsia="宋体" w:cs="Times New Roman"/>
                <w:b/>
                <w:color w:val="auto"/>
                <w:szCs w:val="21"/>
                <w:highlight w:val="none"/>
              </w:rPr>
              <w:t xml:space="preserve"> </w:t>
            </w:r>
            <w:r>
              <w:rPr>
                <w:rFonts w:hint="default" w:ascii="Times New Roman" w:hAnsi="Times New Roman" w:eastAsia="宋体" w:cs="Times New Roman"/>
                <w:b/>
                <w:color w:val="auto"/>
                <w:szCs w:val="21"/>
                <w:highlight w:val="none"/>
                <w:lang w:val="en-US" w:eastAsia="zh-CN"/>
              </w:rPr>
              <w:t xml:space="preserve"> </w:t>
            </w:r>
            <w:r>
              <w:rPr>
                <w:rFonts w:hint="default" w:ascii="Times New Roman" w:hAnsi="Times New Roman" w:eastAsia="宋体" w:cs="Times New Roman"/>
                <w:b/>
                <w:color w:val="auto"/>
                <w:szCs w:val="21"/>
                <w:highlight w:val="none"/>
              </w:rPr>
              <w:t>项目主要保护目标一览表</w:t>
            </w:r>
          </w:p>
          <w:tbl>
            <w:tblPr>
              <w:tblStyle w:val="26"/>
              <w:tblW w:w="8524"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35"/>
              <w:gridCol w:w="954"/>
              <w:gridCol w:w="910"/>
              <w:gridCol w:w="902"/>
              <w:gridCol w:w="704"/>
              <w:gridCol w:w="956"/>
              <w:gridCol w:w="942"/>
              <w:gridCol w:w="982"/>
              <w:gridCol w:w="1739"/>
            </w:tblGrid>
            <w:tr w14:paraId="7DF4962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5" w:type="dxa"/>
                  <w:vMerge w:val="restart"/>
                  <w:tcBorders>
                    <w:tl2br w:val="nil"/>
                    <w:tr2bl w:val="nil"/>
                  </w:tcBorders>
                  <w:noWrap w:val="0"/>
                  <w:vAlign w:val="center"/>
                </w:tcPr>
                <w:p w14:paraId="12F15C36">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环境</w:t>
                  </w:r>
                </w:p>
                <w:p w14:paraId="228FFC68">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要素</w:t>
                  </w:r>
                </w:p>
              </w:tc>
              <w:tc>
                <w:tcPr>
                  <w:tcW w:w="954" w:type="dxa"/>
                  <w:vMerge w:val="restart"/>
                  <w:tcBorders>
                    <w:tl2br w:val="nil"/>
                    <w:tr2bl w:val="nil"/>
                  </w:tcBorders>
                  <w:noWrap w:val="0"/>
                  <w:vAlign w:val="center"/>
                </w:tcPr>
                <w:p w14:paraId="0C6AA833">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保护目标名称</w:t>
                  </w:r>
                </w:p>
              </w:tc>
              <w:tc>
                <w:tcPr>
                  <w:tcW w:w="1812" w:type="dxa"/>
                  <w:gridSpan w:val="2"/>
                  <w:tcBorders>
                    <w:tl2br w:val="nil"/>
                    <w:tr2bl w:val="nil"/>
                  </w:tcBorders>
                  <w:noWrap w:val="0"/>
                  <w:vAlign w:val="center"/>
                </w:tcPr>
                <w:p w14:paraId="45FD8C9B">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坐标</w:t>
                  </w:r>
                </w:p>
              </w:tc>
              <w:tc>
                <w:tcPr>
                  <w:tcW w:w="704" w:type="dxa"/>
                  <w:vMerge w:val="restart"/>
                  <w:tcBorders>
                    <w:tl2br w:val="nil"/>
                    <w:tr2bl w:val="nil"/>
                  </w:tcBorders>
                  <w:noWrap w:val="0"/>
                  <w:vAlign w:val="center"/>
                </w:tcPr>
                <w:p w14:paraId="495AEE4D">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保护对象</w:t>
                  </w:r>
                </w:p>
              </w:tc>
              <w:tc>
                <w:tcPr>
                  <w:tcW w:w="956" w:type="dxa"/>
                  <w:vMerge w:val="restart"/>
                  <w:tcBorders>
                    <w:tl2br w:val="nil"/>
                    <w:tr2bl w:val="nil"/>
                  </w:tcBorders>
                  <w:noWrap w:val="0"/>
                  <w:vAlign w:val="center"/>
                </w:tcPr>
                <w:p w14:paraId="5C7E256A">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保护内容</w:t>
                  </w:r>
                </w:p>
              </w:tc>
              <w:tc>
                <w:tcPr>
                  <w:tcW w:w="942" w:type="dxa"/>
                  <w:vMerge w:val="restart"/>
                  <w:tcBorders>
                    <w:tl2br w:val="nil"/>
                    <w:tr2bl w:val="nil"/>
                  </w:tcBorders>
                  <w:noWrap w:val="0"/>
                  <w:vAlign w:val="center"/>
                </w:tcPr>
                <w:p w14:paraId="0C8058E6">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相对厂址方位</w:t>
                  </w:r>
                </w:p>
              </w:tc>
              <w:tc>
                <w:tcPr>
                  <w:tcW w:w="982" w:type="dxa"/>
                  <w:vMerge w:val="restart"/>
                  <w:tcBorders>
                    <w:tl2br w:val="nil"/>
                    <w:tr2bl w:val="nil"/>
                  </w:tcBorders>
                  <w:noWrap w:val="0"/>
                  <w:vAlign w:val="center"/>
                </w:tcPr>
                <w:p w14:paraId="5A72DF09">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相对厂界距离</w:t>
                  </w:r>
                </w:p>
              </w:tc>
              <w:tc>
                <w:tcPr>
                  <w:tcW w:w="1739" w:type="dxa"/>
                  <w:vMerge w:val="restart"/>
                  <w:tcBorders>
                    <w:tl2br w:val="nil"/>
                    <w:tr2bl w:val="nil"/>
                  </w:tcBorders>
                  <w:noWrap w:val="0"/>
                  <w:vAlign w:val="center"/>
                </w:tcPr>
                <w:p w14:paraId="21F59DCD">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环境功能区及执行标准</w:t>
                  </w:r>
                </w:p>
              </w:tc>
            </w:tr>
            <w:tr w14:paraId="684B98A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5" w:type="dxa"/>
                  <w:vMerge w:val="continue"/>
                  <w:tcBorders>
                    <w:tl2br w:val="nil"/>
                    <w:tr2bl w:val="nil"/>
                  </w:tcBorders>
                  <w:noWrap w:val="0"/>
                  <w:vAlign w:val="center"/>
                </w:tcPr>
                <w:p w14:paraId="46B3D75D">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954" w:type="dxa"/>
                  <w:vMerge w:val="continue"/>
                  <w:tcBorders>
                    <w:tl2br w:val="nil"/>
                    <w:tr2bl w:val="nil"/>
                  </w:tcBorders>
                  <w:noWrap w:val="0"/>
                  <w:vAlign w:val="center"/>
                </w:tcPr>
                <w:p w14:paraId="19938605">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910" w:type="dxa"/>
                  <w:tcBorders>
                    <w:tl2br w:val="nil"/>
                    <w:tr2bl w:val="nil"/>
                  </w:tcBorders>
                  <w:noWrap w:val="0"/>
                  <w:vAlign w:val="center"/>
                </w:tcPr>
                <w:p w14:paraId="19CADA90">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经度</w:t>
                  </w:r>
                </w:p>
              </w:tc>
              <w:tc>
                <w:tcPr>
                  <w:tcW w:w="902" w:type="dxa"/>
                  <w:tcBorders>
                    <w:tl2br w:val="nil"/>
                    <w:tr2bl w:val="nil"/>
                  </w:tcBorders>
                  <w:noWrap w:val="0"/>
                  <w:vAlign w:val="center"/>
                </w:tcPr>
                <w:p w14:paraId="000F2EF8">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纬度</w:t>
                  </w:r>
                </w:p>
              </w:tc>
              <w:tc>
                <w:tcPr>
                  <w:tcW w:w="704" w:type="dxa"/>
                  <w:vMerge w:val="continue"/>
                  <w:tcBorders>
                    <w:tl2br w:val="nil"/>
                    <w:tr2bl w:val="nil"/>
                  </w:tcBorders>
                  <w:noWrap w:val="0"/>
                  <w:vAlign w:val="center"/>
                </w:tcPr>
                <w:p w14:paraId="7B474539">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956" w:type="dxa"/>
                  <w:vMerge w:val="continue"/>
                  <w:tcBorders>
                    <w:tl2br w:val="nil"/>
                    <w:tr2bl w:val="nil"/>
                  </w:tcBorders>
                  <w:noWrap w:val="0"/>
                  <w:vAlign w:val="center"/>
                </w:tcPr>
                <w:p w14:paraId="13913B4B">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942" w:type="dxa"/>
                  <w:vMerge w:val="continue"/>
                  <w:tcBorders>
                    <w:tl2br w:val="nil"/>
                    <w:tr2bl w:val="nil"/>
                  </w:tcBorders>
                  <w:noWrap w:val="0"/>
                  <w:vAlign w:val="center"/>
                </w:tcPr>
                <w:p w14:paraId="70BEE549">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982" w:type="dxa"/>
                  <w:vMerge w:val="continue"/>
                  <w:tcBorders>
                    <w:tl2br w:val="nil"/>
                    <w:tr2bl w:val="nil"/>
                  </w:tcBorders>
                  <w:noWrap w:val="0"/>
                  <w:vAlign w:val="center"/>
                </w:tcPr>
                <w:p w14:paraId="13E73027">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1739" w:type="dxa"/>
                  <w:vMerge w:val="continue"/>
                  <w:tcBorders>
                    <w:tl2br w:val="nil"/>
                    <w:tr2bl w:val="nil"/>
                  </w:tcBorders>
                  <w:noWrap w:val="0"/>
                  <w:vAlign w:val="center"/>
                </w:tcPr>
                <w:p w14:paraId="57634675">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r>
            <w:tr w14:paraId="17D738C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35" w:type="dxa"/>
                  <w:vMerge w:val="restart"/>
                  <w:tcBorders>
                    <w:tl2br w:val="nil"/>
                    <w:tr2bl w:val="nil"/>
                  </w:tcBorders>
                  <w:noWrap w:val="0"/>
                  <w:vAlign w:val="center"/>
                </w:tcPr>
                <w:p w14:paraId="2D657693">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地表水</w:t>
                  </w:r>
                </w:p>
              </w:tc>
              <w:tc>
                <w:tcPr>
                  <w:tcW w:w="954" w:type="dxa"/>
                  <w:tcBorders>
                    <w:tl2br w:val="nil"/>
                    <w:tr2bl w:val="nil"/>
                  </w:tcBorders>
                  <w:noWrap w:val="0"/>
                  <w:vAlign w:val="center"/>
                </w:tcPr>
                <w:p w14:paraId="40ACB7C6">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zh-CN"/>
                    </w:rPr>
                    <w:t>谓所河</w:t>
                  </w:r>
                </w:p>
              </w:tc>
              <w:tc>
                <w:tcPr>
                  <w:tcW w:w="910" w:type="dxa"/>
                  <w:tcBorders>
                    <w:tl2br w:val="nil"/>
                    <w:tr2bl w:val="nil"/>
                  </w:tcBorders>
                  <w:noWrap w:val="0"/>
                  <w:vAlign w:val="center"/>
                </w:tcPr>
                <w:p w14:paraId="7AACD46B">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902" w:type="dxa"/>
                  <w:tcBorders>
                    <w:tl2br w:val="nil"/>
                    <w:tr2bl w:val="nil"/>
                  </w:tcBorders>
                  <w:noWrap w:val="0"/>
                  <w:vAlign w:val="center"/>
                </w:tcPr>
                <w:p w14:paraId="7A4ADB9D">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704" w:type="dxa"/>
                  <w:tcBorders>
                    <w:tl2br w:val="nil"/>
                    <w:tr2bl w:val="nil"/>
                  </w:tcBorders>
                  <w:noWrap w:val="0"/>
                  <w:vAlign w:val="center"/>
                </w:tcPr>
                <w:p w14:paraId="53671A1F">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w:t>
                  </w:r>
                </w:p>
              </w:tc>
              <w:tc>
                <w:tcPr>
                  <w:tcW w:w="956" w:type="dxa"/>
                  <w:tcBorders>
                    <w:tl2br w:val="nil"/>
                    <w:tr2bl w:val="nil"/>
                  </w:tcBorders>
                  <w:noWrap w:val="0"/>
                  <w:vAlign w:val="center"/>
                </w:tcPr>
                <w:p w14:paraId="543D1789">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w:t>
                  </w:r>
                </w:p>
              </w:tc>
              <w:tc>
                <w:tcPr>
                  <w:tcW w:w="942" w:type="dxa"/>
                  <w:tcBorders>
                    <w:tl2br w:val="nil"/>
                    <w:tr2bl w:val="nil"/>
                  </w:tcBorders>
                  <w:noWrap w:val="0"/>
                  <w:vAlign w:val="center"/>
                </w:tcPr>
                <w:p w14:paraId="3073F140">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东</w:t>
                  </w:r>
                  <w:r>
                    <w:rPr>
                      <w:rFonts w:hint="default" w:ascii="Times New Roman" w:hAnsi="Times New Roman" w:eastAsia="宋体" w:cs="Times New Roman"/>
                      <w:color w:val="auto"/>
                      <w:sz w:val="21"/>
                      <w:szCs w:val="21"/>
                      <w:highlight w:val="none"/>
                      <w:lang w:val="en-US" w:eastAsia="zh-CN"/>
                    </w:rPr>
                    <w:t>南侧</w:t>
                  </w:r>
                </w:p>
              </w:tc>
              <w:tc>
                <w:tcPr>
                  <w:tcW w:w="982" w:type="dxa"/>
                  <w:tcBorders>
                    <w:tl2br w:val="nil"/>
                    <w:tr2bl w:val="nil"/>
                  </w:tcBorders>
                  <w:noWrap w:val="0"/>
                  <w:vAlign w:val="center"/>
                </w:tcPr>
                <w:p w14:paraId="701C9BCC">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718</w:t>
                  </w:r>
                  <w:r>
                    <w:rPr>
                      <w:rFonts w:hint="default" w:ascii="Times New Roman" w:hAnsi="Times New Roman" w:eastAsia="宋体" w:cs="Times New Roman"/>
                      <w:color w:val="auto"/>
                      <w:sz w:val="21"/>
                      <w:szCs w:val="21"/>
                      <w:highlight w:val="none"/>
                      <w:lang w:val="en-US" w:eastAsia="zh-CN"/>
                    </w:rPr>
                    <w:t>m</w:t>
                  </w:r>
                </w:p>
              </w:tc>
              <w:tc>
                <w:tcPr>
                  <w:tcW w:w="1739" w:type="dxa"/>
                  <w:vMerge w:val="restart"/>
                  <w:tcBorders>
                    <w:tl2br w:val="nil"/>
                    <w:tr2bl w:val="nil"/>
                  </w:tcBorders>
                  <w:noWrap w:val="0"/>
                  <w:vAlign w:val="center"/>
                </w:tcPr>
                <w:p w14:paraId="56044092">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《地表水环境质量标准》</w:t>
                  </w:r>
                  <w:r>
                    <w:rPr>
                      <w:rFonts w:hint="default" w:ascii="Times New Roman" w:hAnsi="Times New Roman" w:eastAsia="宋体" w:cs="Times New Roman"/>
                      <w:color w:val="auto"/>
                      <w:kern w:val="0"/>
                      <w:sz w:val="21"/>
                      <w:szCs w:val="21"/>
                      <w:highlight w:val="none"/>
                      <w:lang w:val="zh-CN"/>
                    </w:rPr>
                    <w:t>（GB3838-2002）中Ⅲ类标准</w:t>
                  </w:r>
                </w:p>
              </w:tc>
            </w:tr>
            <w:tr w14:paraId="6B29104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35" w:type="dxa"/>
                  <w:vMerge w:val="continue"/>
                  <w:tcBorders>
                    <w:tl2br w:val="nil"/>
                    <w:tr2bl w:val="nil"/>
                  </w:tcBorders>
                  <w:noWrap w:val="0"/>
                  <w:vAlign w:val="center"/>
                </w:tcPr>
                <w:p w14:paraId="1DC66100">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highlight w:val="none"/>
                    </w:rPr>
                  </w:pPr>
                </w:p>
              </w:tc>
              <w:tc>
                <w:tcPr>
                  <w:tcW w:w="954" w:type="dxa"/>
                  <w:tcBorders>
                    <w:tl2br w:val="nil"/>
                    <w:tr2bl w:val="nil"/>
                  </w:tcBorders>
                  <w:noWrap w:val="0"/>
                  <w:vAlign w:val="center"/>
                </w:tcPr>
                <w:p w14:paraId="20D24404">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auto"/>
                    </w:rPr>
                    <w:t>三月三水库</w:t>
                  </w:r>
                </w:p>
              </w:tc>
              <w:tc>
                <w:tcPr>
                  <w:tcW w:w="910" w:type="dxa"/>
                  <w:tcBorders>
                    <w:tl2br w:val="nil"/>
                    <w:tr2bl w:val="nil"/>
                  </w:tcBorders>
                  <w:noWrap w:val="0"/>
                  <w:vAlign w:val="center"/>
                </w:tcPr>
                <w:p w14:paraId="74A77546">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902" w:type="dxa"/>
                  <w:tcBorders>
                    <w:tl2br w:val="nil"/>
                    <w:tr2bl w:val="nil"/>
                  </w:tcBorders>
                  <w:noWrap w:val="0"/>
                  <w:vAlign w:val="center"/>
                </w:tcPr>
                <w:p w14:paraId="1AAFD79E">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704" w:type="dxa"/>
                  <w:tcBorders>
                    <w:tl2br w:val="nil"/>
                    <w:tr2bl w:val="nil"/>
                  </w:tcBorders>
                  <w:noWrap w:val="0"/>
                  <w:vAlign w:val="center"/>
                </w:tcPr>
                <w:p w14:paraId="791CC752">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956" w:type="dxa"/>
                  <w:tcBorders>
                    <w:tl2br w:val="nil"/>
                    <w:tr2bl w:val="nil"/>
                  </w:tcBorders>
                  <w:noWrap w:val="0"/>
                  <w:vAlign w:val="center"/>
                </w:tcPr>
                <w:p w14:paraId="12EB5F5A">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942" w:type="dxa"/>
                  <w:tcBorders>
                    <w:tl2br w:val="nil"/>
                    <w:tr2bl w:val="nil"/>
                  </w:tcBorders>
                  <w:noWrap w:val="0"/>
                  <w:vAlign w:val="center"/>
                </w:tcPr>
                <w:p w14:paraId="407F2500">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东南侧</w:t>
                  </w:r>
                </w:p>
              </w:tc>
              <w:tc>
                <w:tcPr>
                  <w:tcW w:w="982" w:type="dxa"/>
                  <w:tcBorders>
                    <w:tl2br w:val="nil"/>
                    <w:tr2bl w:val="nil"/>
                  </w:tcBorders>
                  <w:noWrap w:val="0"/>
                  <w:vAlign w:val="center"/>
                </w:tcPr>
                <w:p w14:paraId="57176C14">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4966</w:t>
                  </w:r>
                  <w:r>
                    <w:rPr>
                      <w:rFonts w:hint="default" w:ascii="Times New Roman" w:hAnsi="Times New Roman" w:eastAsia="宋体" w:cs="Times New Roman"/>
                      <w:color w:val="auto"/>
                      <w:sz w:val="21"/>
                      <w:szCs w:val="21"/>
                      <w:highlight w:val="none"/>
                      <w:lang w:val="en-US" w:eastAsia="zh-CN"/>
                    </w:rPr>
                    <w:t>m</w:t>
                  </w:r>
                </w:p>
              </w:tc>
              <w:tc>
                <w:tcPr>
                  <w:tcW w:w="1739" w:type="dxa"/>
                  <w:vMerge w:val="continue"/>
                  <w:tcBorders>
                    <w:tl2br w:val="nil"/>
                    <w:tr2bl w:val="nil"/>
                  </w:tcBorders>
                  <w:noWrap w:val="0"/>
                  <w:vAlign w:val="center"/>
                </w:tcPr>
                <w:p w14:paraId="56546FB2">
                  <w:pPr>
                    <w:pStyle w:val="2"/>
                    <w:keepNext w:val="0"/>
                    <w:keepLines w:val="0"/>
                    <w:pageBreakBefore w:val="0"/>
                    <w:shd w:val="clear"/>
                    <w:kinsoku/>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r>
          </w:tbl>
          <w:p w14:paraId="272B69D9">
            <w:pPr>
              <w:pStyle w:val="14"/>
              <w:keepNext w:val="0"/>
              <w:keepLines w:val="0"/>
              <w:pageBreakBefore w:val="0"/>
              <w:widowControl w:val="0"/>
              <w:shd w:val="clear"/>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color w:val="auto"/>
                <w:kern w:val="0"/>
                <w:szCs w:val="21"/>
                <w:highlight w:val="none"/>
                <w:lang w:val="en-US" w:eastAsia="zh-CN"/>
              </w:rPr>
            </w:pPr>
          </w:p>
        </w:tc>
      </w:tr>
      <w:tr w14:paraId="78808E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tcMar>
              <w:left w:w="28" w:type="dxa"/>
              <w:right w:w="28" w:type="dxa"/>
            </w:tcMar>
            <w:vAlign w:val="center"/>
          </w:tcPr>
          <w:p w14:paraId="0441EF9A">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污染</w:t>
            </w:r>
          </w:p>
          <w:p w14:paraId="78579F54">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物排</w:t>
            </w:r>
          </w:p>
          <w:p w14:paraId="3855DD37">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放控</w:t>
            </w:r>
          </w:p>
          <w:p w14:paraId="3C432365">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制标</w:t>
            </w:r>
          </w:p>
          <w:p w14:paraId="75657511">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准</w:t>
            </w:r>
          </w:p>
        </w:tc>
        <w:tc>
          <w:tcPr>
            <w:tcW w:w="8686" w:type="dxa"/>
            <w:vAlign w:val="center"/>
          </w:tcPr>
          <w:p w14:paraId="4A31D508">
            <w:pPr>
              <w:pStyle w:val="17"/>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1、废气</w:t>
            </w:r>
          </w:p>
          <w:p w14:paraId="70AF5B9E">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施工期</w:t>
            </w:r>
          </w:p>
          <w:p w14:paraId="7233C229">
            <w:pPr>
              <w:keepNext w:val="0"/>
              <w:keepLines w:val="0"/>
              <w:pageBreakBefore w:val="0"/>
              <w:widowControl w:val="0"/>
              <w:shd w:val="clear"/>
              <w:kinsoku/>
              <w:wordWrap/>
              <w:overflowPunct/>
              <w:topLinePunct w:val="0"/>
              <w:autoSpaceDE/>
              <w:autoSpaceDN/>
              <w:bidi w:val="0"/>
              <w:spacing w:line="360" w:lineRule="auto"/>
              <w:ind w:firstLine="48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施工期无组织粉尘执行《大气污染物综合排放标准》（GB16297-1996）表2中颗粒物无组织排放监控浓度限值要求。</w:t>
            </w:r>
          </w:p>
          <w:p w14:paraId="37DBD6F2">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3</w:t>
            </w:r>
            <w:r>
              <w:rPr>
                <w:rFonts w:hint="default" w:ascii="Times New Roman" w:hAnsi="Times New Roman" w:eastAsia="宋体" w:cs="Times New Roman"/>
                <w:b/>
                <w:bCs/>
                <w:color w:val="auto"/>
                <w:szCs w:val="21"/>
                <w:highlight w:val="none"/>
              </w:rPr>
              <w:t>-</w:t>
            </w:r>
            <w:r>
              <w:rPr>
                <w:rFonts w:hint="eastAsia" w:cs="Times New Roman"/>
                <w:b/>
                <w:bCs/>
                <w:color w:val="auto"/>
                <w:szCs w:val="21"/>
                <w:highlight w:val="none"/>
                <w:lang w:val="en-US" w:eastAsia="zh-CN"/>
              </w:rPr>
              <w:t>4</w:t>
            </w:r>
            <w:r>
              <w:rPr>
                <w:rFonts w:hint="default" w:ascii="Times New Roman" w:hAnsi="Times New Roman" w:eastAsia="宋体" w:cs="Times New Roman"/>
                <w:b/>
                <w:bCs/>
                <w:color w:val="auto"/>
                <w:szCs w:val="21"/>
                <w:highlight w:val="none"/>
              </w:rPr>
              <w:t xml:space="preserve">  无组织颗粒物排放标准</w:t>
            </w:r>
          </w:p>
          <w:tbl>
            <w:tblPr>
              <w:tblStyle w:val="26"/>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682"/>
              <w:gridCol w:w="3501"/>
            </w:tblGrid>
            <w:tr w14:paraId="5EA3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75" w:type="dxa"/>
                  <w:vMerge w:val="restart"/>
                  <w:noWrap w:val="0"/>
                  <w:vAlign w:val="center"/>
                </w:tcPr>
                <w:p w14:paraId="38FE0EE6">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污染物</w:t>
                  </w:r>
                </w:p>
              </w:tc>
              <w:tc>
                <w:tcPr>
                  <w:tcW w:w="6183" w:type="dxa"/>
                  <w:gridSpan w:val="2"/>
                  <w:noWrap w:val="0"/>
                  <w:vAlign w:val="center"/>
                </w:tcPr>
                <w:p w14:paraId="45259A2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无组织排放监控浓度限值</w:t>
                  </w:r>
                </w:p>
              </w:tc>
            </w:tr>
            <w:tr w14:paraId="5A3A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75" w:type="dxa"/>
                  <w:vMerge w:val="continue"/>
                  <w:noWrap w:val="0"/>
                  <w:vAlign w:val="center"/>
                </w:tcPr>
                <w:p w14:paraId="06EA4E6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p>
              </w:tc>
              <w:tc>
                <w:tcPr>
                  <w:tcW w:w="2682" w:type="dxa"/>
                  <w:noWrap w:val="0"/>
                  <w:vAlign w:val="center"/>
                </w:tcPr>
                <w:p w14:paraId="1B4B993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监控点</w:t>
                  </w:r>
                </w:p>
              </w:tc>
              <w:tc>
                <w:tcPr>
                  <w:tcW w:w="3501" w:type="dxa"/>
                  <w:noWrap w:val="0"/>
                  <w:vAlign w:val="center"/>
                </w:tcPr>
                <w:p w14:paraId="0894739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浓度（mg/m</w:t>
                  </w:r>
                  <w:r>
                    <w:rPr>
                      <w:rFonts w:hint="default" w:ascii="Times New Roman" w:hAnsi="Times New Roman" w:eastAsia="宋体" w:cs="Times New Roman"/>
                      <w:b/>
                      <w:bCs/>
                      <w:color w:val="auto"/>
                      <w:highlight w:val="none"/>
                      <w:vertAlign w:val="superscript"/>
                    </w:rPr>
                    <w:t>3</w:t>
                  </w:r>
                  <w:r>
                    <w:rPr>
                      <w:rFonts w:hint="default" w:ascii="Times New Roman" w:hAnsi="Times New Roman" w:eastAsia="宋体" w:cs="Times New Roman"/>
                      <w:b/>
                      <w:bCs/>
                      <w:color w:val="auto"/>
                      <w:highlight w:val="none"/>
                    </w:rPr>
                    <w:t>）</w:t>
                  </w:r>
                </w:p>
              </w:tc>
            </w:tr>
            <w:tr w14:paraId="0AFF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75" w:type="dxa"/>
                  <w:noWrap w:val="0"/>
                  <w:vAlign w:val="center"/>
                </w:tcPr>
                <w:p w14:paraId="5C263A7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颗粒物</w:t>
                  </w:r>
                </w:p>
              </w:tc>
              <w:tc>
                <w:tcPr>
                  <w:tcW w:w="2682" w:type="dxa"/>
                  <w:noWrap w:val="0"/>
                  <w:vAlign w:val="center"/>
                </w:tcPr>
                <w:p w14:paraId="7C0407B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周界外浓度最高点</w:t>
                  </w:r>
                </w:p>
              </w:tc>
              <w:tc>
                <w:tcPr>
                  <w:tcW w:w="3501" w:type="dxa"/>
                  <w:noWrap w:val="0"/>
                  <w:vAlign w:val="center"/>
                </w:tcPr>
                <w:p w14:paraId="2727ED8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w:t>
                  </w:r>
                </w:p>
              </w:tc>
            </w:tr>
          </w:tbl>
          <w:p w14:paraId="5B44E04E">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（2）运营期</w:t>
            </w:r>
          </w:p>
          <w:p w14:paraId="3253AC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①</w:t>
            </w:r>
            <w:r>
              <w:rPr>
                <w:rFonts w:hint="default" w:ascii="Times New Roman" w:hAnsi="Times New Roman" w:eastAsia="宋体" w:cs="Times New Roman"/>
                <w:color w:val="auto"/>
                <w:sz w:val="24"/>
                <w:szCs w:val="24"/>
                <w:highlight w:val="none"/>
                <w:lang w:eastAsia="zh-CN"/>
              </w:rPr>
              <w:t>本项目</w:t>
            </w:r>
            <w:r>
              <w:rPr>
                <w:rFonts w:hint="eastAsia" w:cs="Times New Roman"/>
                <w:color w:val="auto"/>
                <w:sz w:val="24"/>
                <w:szCs w:val="24"/>
                <w:highlight w:val="none"/>
                <w:lang w:val="en-US" w:eastAsia="zh-CN"/>
              </w:rPr>
              <w:t>混料、破碎、磨粉粉尘</w:t>
            </w:r>
            <w:r>
              <w:rPr>
                <w:rFonts w:hint="default" w:ascii="Times New Roman" w:hAnsi="Times New Roman" w:eastAsia="宋体" w:cs="Times New Roman"/>
                <w:color w:val="auto"/>
                <w:sz w:val="24"/>
                <w:szCs w:val="24"/>
                <w:highlight w:val="none"/>
                <w:lang w:val="en-US" w:eastAsia="zh-CN"/>
              </w:rPr>
              <w:t>分别</w:t>
            </w:r>
            <w:r>
              <w:rPr>
                <w:rFonts w:hint="eastAsia" w:cs="Times New Roman"/>
                <w:color w:val="auto"/>
                <w:sz w:val="24"/>
                <w:szCs w:val="24"/>
                <w:highlight w:val="none"/>
                <w:lang w:val="en-US" w:eastAsia="zh-CN"/>
              </w:rPr>
              <w:t>14集气罩收集后</w:t>
            </w:r>
            <w:r>
              <w:rPr>
                <w:rFonts w:hint="default" w:ascii="Times New Roman" w:hAnsi="Times New Roman" w:eastAsia="宋体" w:cs="Times New Roman"/>
                <w:color w:val="auto"/>
                <w:sz w:val="24"/>
                <w:szCs w:val="24"/>
                <w:highlight w:val="none"/>
              </w:rPr>
              <w:t>经</w:t>
            </w:r>
            <w:r>
              <w:rPr>
                <w:rFonts w:hint="default" w:ascii="Times New Roman" w:hAnsi="Times New Roman" w:eastAsia="宋体" w:cs="Times New Roman"/>
                <w:color w:val="auto"/>
                <w:sz w:val="24"/>
                <w:szCs w:val="24"/>
                <w:highlight w:val="none"/>
                <w:lang w:val="en-US" w:eastAsia="zh-CN"/>
              </w:rPr>
              <w:t>1套</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布袋除尘器</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处理</w:t>
            </w:r>
            <w:r>
              <w:rPr>
                <w:rFonts w:hint="default" w:ascii="Times New Roman" w:hAnsi="Times New Roman" w:eastAsia="宋体" w:cs="Times New Roman"/>
                <w:color w:val="auto"/>
                <w:sz w:val="24"/>
                <w:szCs w:val="24"/>
                <w:highlight w:val="none"/>
                <w:lang w:val="en-US" w:eastAsia="zh-CN"/>
              </w:rPr>
              <w:t>达标</w:t>
            </w:r>
            <w:r>
              <w:rPr>
                <w:rFonts w:hint="default" w:ascii="Times New Roman" w:hAnsi="Times New Roman" w:eastAsia="宋体" w:cs="Times New Roman"/>
                <w:color w:val="auto"/>
                <w:sz w:val="24"/>
                <w:szCs w:val="24"/>
                <w:highlight w:val="none"/>
                <w:lang w:eastAsia="zh-CN"/>
              </w:rPr>
              <w:t>后</w:t>
            </w:r>
            <w:r>
              <w:rPr>
                <w:rFonts w:hint="default" w:ascii="Times New Roman" w:hAnsi="Times New Roman" w:eastAsia="宋体" w:cs="Times New Roman"/>
                <w:color w:val="auto"/>
                <w:sz w:val="24"/>
                <w:szCs w:val="24"/>
                <w:highlight w:val="none"/>
                <w:lang w:val="en-US" w:eastAsia="zh-CN"/>
              </w:rPr>
              <w:t>由1根15m高的排气筒（DA001）排放</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废气执行</w:t>
            </w:r>
            <w:r>
              <w:rPr>
                <w:rFonts w:hint="default" w:ascii="Times New Roman" w:hAnsi="Times New Roman" w:eastAsia="宋体" w:cs="Times New Roman"/>
                <w:color w:val="auto"/>
                <w:sz w:val="24"/>
                <w:szCs w:val="24"/>
                <w:highlight w:val="none"/>
                <w:lang w:val="zh-CN"/>
              </w:rPr>
              <w:t>《大气污染物综合排放标准》（GB16297-1996）</w:t>
            </w:r>
            <w:r>
              <w:rPr>
                <w:rFonts w:hint="default" w:ascii="Times New Roman" w:hAnsi="Times New Roman" w:eastAsia="宋体" w:cs="Times New Roman"/>
                <w:color w:val="auto"/>
                <w:sz w:val="24"/>
                <w:szCs w:val="24"/>
                <w:highlight w:val="none"/>
              </w:rPr>
              <w:t>表2中</w:t>
            </w:r>
            <w:r>
              <w:rPr>
                <w:rFonts w:hint="default" w:ascii="Times New Roman" w:hAnsi="Times New Roman" w:eastAsia="宋体" w:cs="Times New Roman"/>
                <w:color w:val="auto"/>
                <w:sz w:val="24"/>
                <w:szCs w:val="24"/>
                <w:highlight w:val="none"/>
                <w:lang w:val="en-US" w:eastAsia="zh-CN"/>
              </w:rPr>
              <w:t>二级</w:t>
            </w:r>
            <w:r>
              <w:rPr>
                <w:rFonts w:hint="default" w:ascii="Times New Roman" w:hAnsi="Times New Roman" w:eastAsia="宋体" w:cs="Times New Roman"/>
                <w:color w:val="auto"/>
                <w:sz w:val="24"/>
                <w:szCs w:val="24"/>
                <w:highlight w:val="none"/>
                <w:lang w:eastAsia="zh-CN"/>
              </w:rPr>
              <w:t>浓度限值</w:t>
            </w:r>
            <w:r>
              <w:rPr>
                <w:rFonts w:hint="default" w:ascii="Times New Roman" w:hAnsi="Times New Roman" w:eastAsia="宋体" w:cs="Times New Roman"/>
                <w:color w:val="auto"/>
                <w:sz w:val="24"/>
                <w:szCs w:val="24"/>
                <w:highlight w:val="none"/>
                <w:lang w:val="en-US" w:eastAsia="zh-CN"/>
              </w:rPr>
              <w:t>要求。</w:t>
            </w:r>
          </w:p>
          <w:p w14:paraId="32473F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②本项目</w:t>
            </w:r>
            <w:r>
              <w:rPr>
                <w:rFonts w:hint="eastAsia" w:cs="Times New Roman"/>
                <w:bCs/>
                <w:color w:val="auto"/>
                <w:sz w:val="24"/>
                <w:szCs w:val="24"/>
                <w:highlight w:val="none"/>
                <w:lang w:val="en-US" w:eastAsia="zh-CN"/>
              </w:rPr>
              <w:t>挤出</w:t>
            </w:r>
            <w:r>
              <w:rPr>
                <w:rFonts w:hint="default" w:ascii="Times New Roman" w:hAnsi="Times New Roman" w:eastAsia="宋体" w:cs="Times New Roman"/>
                <w:color w:val="auto"/>
                <w:sz w:val="24"/>
                <w:szCs w:val="24"/>
                <w:highlight w:val="none"/>
                <w:lang w:val="en-US" w:eastAsia="zh-CN"/>
              </w:rPr>
              <w:t>废气及</w:t>
            </w:r>
            <w:r>
              <w:rPr>
                <w:rFonts w:hint="eastAsia" w:cs="Times New Roman"/>
                <w:color w:val="auto"/>
                <w:sz w:val="24"/>
                <w:szCs w:val="24"/>
                <w:highlight w:val="none"/>
                <w:lang w:val="en-US" w:eastAsia="zh-CN"/>
              </w:rPr>
              <w:t>覆膜</w:t>
            </w:r>
            <w:r>
              <w:rPr>
                <w:rFonts w:hint="default" w:ascii="Times New Roman" w:hAnsi="Times New Roman" w:eastAsia="宋体" w:cs="Times New Roman"/>
                <w:color w:val="auto"/>
                <w:sz w:val="24"/>
                <w:szCs w:val="24"/>
                <w:highlight w:val="none"/>
                <w:lang w:val="zh-CN"/>
              </w:rPr>
              <w:t>废气</w:t>
            </w:r>
            <w:r>
              <w:rPr>
                <w:rFonts w:hint="default" w:ascii="Times New Roman" w:hAnsi="Times New Roman" w:eastAsia="宋体" w:cs="Times New Roman"/>
                <w:color w:val="auto"/>
                <w:sz w:val="24"/>
                <w:szCs w:val="24"/>
                <w:highlight w:val="none"/>
                <w:lang w:val="zh-CN" w:eastAsia="zh-CN"/>
              </w:rPr>
              <w:t>经</w:t>
            </w:r>
            <w:r>
              <w:rPr>
                <w:rFonts w:hint="eastAsia" w:cs="Times New Roman"/>
                <w:color w:val="auto"/>
                <w:sz w:val="24"/>
                <w:szCs w:val="24"/>
                <w:highlight w:val="none"/>
                <w:lang w:val="en-US" w:eastAsia="zh-CN"/>
              </w:rPr>
              <w:t>20个</w:t>
            </w:r>
            <w:r>
              <w:rPr>
                <w:rFonts w:hint="eastAsia" w:cs="Times New Roman"/>
                <w:color w:val="auto"/>
                <w:sz w:val="24"/>
                <w:szCs w:val="24"/>
                <w:highlight w:val="none"/>
                <w:lang w:val="zh-CN" w:eastAsia="zh-CN"/>
              </w:rPr>
              <w:t>集气罩收集后经</w:t>
            </w:r>
            <w:r>
              <w:rPr>
                <w:rFonts w:hint="eastAsia" w:cs="Times New Roman"/>
                <w:color w:val="auto"/>
                <w:sz w:val="24"/>
                <w:szCs w:val="24"/>
                <w:highlight w:val="none"/>
                <w:lang w:val="en-US" w:eastAsia="zh-CN"/>
              </w:rPr>
              <w:t>1套</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三级</w:t>
            </w:r>
            <w:r>
              <w:rPr>
                <w:rFonts w:hint="default" w:ascii="Times New Roman" w:hAnsi="Times New Roman" w:eastAsia="宋体" w:cs="Times New Roman"/>
                <w:color w:val="auto"/>
                <w:sz w:val="24"/>
                <w:szCs w:val="24"/>
                <w:highlight w:val="none"/>
                <w:lang w:val="zh-CN" w:eastAsia="zh-CN"/>
              </w:rPr>
              <w:t>活性炭吸附装置”</w:t>
            </w:r>
            <w:r>
              <w:rPr>
                <w:rFonts w:hint="default" w:ascii="Times New Roman" w:hAnsi="Times New Roman" w:eastAsia="宋体" w:cs="Times New Roman"/>
                <w:color w:val="auto"/>
                <w:sz w:val="24"/>
                <w:szCs w:val="24"/>
                <w:highlight w:val="none"/>
                <w:lang w:val="zh-CN"/>
              </w:rPr>
              <w:t>处理后由</w:t>
            </w:r>
            <w:r>
              <w:rPr>
                <w:rFonts w:hint="default" w:ascii="Times New Roman" w:hAnsi="Times New Roman" w:eastAsia="宋体" w:cs="Times New Roman"/>
                <w:color w:val="auto"/>
                <w:sz w:val="24"/>
                <w:szCs w:val="24"/>
                <w:highlight w:val="none"/>
                <w:lang w:val="en-US" w:eastAsia="zh-CN"/>
              </w:rPr>
              <w:t>1根15m高的</w:t>
            </w:r>
            <w:r>
              <w:rPr>
                <w:rFonts w:hint="default" w:ascii="Times New Roman" w:hAnsi="Times New Roman" w:eastAsia="宋体" w:cs="Times New Roman"/>
                <w:color w:val="auto"/>
                <w:sz w:val="24"/>
                <w:szCs w:val="24"/>
                <w:highlight w:val="none"/>
                <w:lang w:val="zh-CN"/>
              </w:rPr>
              <w:t>排气筒</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DA002</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zh-CN"/>
              </w:rPr>
              <w:t>排放</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highlight w:val="none"/>
                <w:lang w:val="en-US" w:eastAsia="zh-CN"/>
              </w:rPr>
              <w:t>废气执行</w:t>
            </w:r>
            <w:r>
              <w:rPr>
                <w:rFonts w:hint="default" w:ascii="Times New Roman" w:hAnsi="Times New Roman" w:eastAsia="宋体" w:cs="Times New Roman"/>
                <w:color w:val="auto"/>
                <w:sz w:val="24"/>
                <w:szCs w:val="24"/>
                <w:highlight w:val="none"/>
                <w:lang w:val="zh-CN"/>
              </w:rPr>
              <w:t>《大气污染物综合排放标准》（GB16297</w:t>
            </w:r>
            <w:r>
              <w:rPr>
                <w:rFonts w:hint="default" w:ascii="Times New Roman" w:hAnsi="Times New Roman" w:eastAsia="宋体" w:cs="Times New Roman"/>
                <w:color w:val="auto"/>
                <w:sz w:val="24"/>
                <w:highlight w:val="none"/>
                <w:lang w:val="zh-CN"/>
              </w:rPr>
              <w:t>-1996）</w:t>
            </w:r>
            <w:r>
              <w:rPr>
                <w:rFonts w:hint="default" w:ascii="Times New Roman" w:hAnsi="Times New Roman" w:eastAsia="宋体" w:cs="Times New Roman"/>
                <w:color w:val="auto"/>
                <w:sz w:val="24"/>
                <w:szCs w:val="24"/>
                <w:highlight w:val="none"/>
              </w:rPr>
              <w:t>表2中</w:t>
            </w:r>
            <w:r>
              <w:rPr>
                <w:rFonts w:hint="default" w:ascii="Times New Roman" w:hAnsi="Times New Roman" w:eastAsia="宋体" w:cs="Times New Roman"/>
                <w:color w:val="auto"/>
                <w:sz w:val="24"/>
                <w:szCs w:val="24"/>
                <w:highlight w:val="none"/>
                <w:lang w:val="en-US" w:eastAsia="zh-CN"/>
              </w:rPr>
              <w:t>二级</w:t>
            </w:r>
            <w:r>
              <w:rPr>
                <w:rFonts w:hint="default" w:ascii="Times New Roman" w:hAnsi="Times New Roman" w:eastAsia="宋体" w:cs="Times New Roman"/>
                <w:color w:val="auto"/>
                <w:sz w:val="24"/>
                <w:szCs w:val="24"/>
                <w:highlight w:val="none"/>
                <w:lang w:eastAsia="zh-CN"/>
              </w:rPr>
              <w:t>浓度限值</w:t>
            </w:r>
            <w:r>
              <w:rPr>
                <w:rFonts w:hint="default" w:ascii="Times New Roman" w:hAnsi="Times New Roman" w:eastAsia="宋体" w:cs="Times New Roman"/>
                <w:color w:val="auto"/>
                <w:sz w:val="24"/>
                <w:szCs w:val="24"/>
                <w:highlight w:val="none"/>
                <w:lang w:val="en-US" w:eastAsia="zh-CN"/>
              </w:rPr>
              <w:t>要求。</w:t>
            </w:r>
          </w:p>
          <w:p w14:paraId="66FFA4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rPr>
              <w:t>根据《大气污染物综合排放标准》（GB16297-1996）中“7.1排气筒高度除须遵守表列排放速率值外，还应高出周围200米半径范围的建筑5米以上，不能达到该要求的排气筒，应按其高度对应的表列排放速率标准值严格50%执行”，由于</w:t>
            </w:r>
            <w:r>
              <w:rPr>
                <w:rFonts w:hint="eastAsia"/>
                <w:sz w:val="24"/>
              </w:rPr>
              <w:t>本项目综合楼高17.5m，厂房高12m</w:t>
            </w:r>
            <w:r>
              <w:rPr>
                <w:rFonts w:hint="default" w:ascii="Times New Roman" w:hAnsi="Times New Roman" w:eastAsia="宋体" w:cs="Times New Roman"/>
                <w:color w:val="auto"/>
                <w:sz w:val="24"/>
              </w:rPr>
              <w:t>。本项目排气筒高度无法做到高出周围200米半径范围内的建筑物5米以上，因此</w:t>
            </w:r>
            <w:r>
              <w:rPr>
                <w:rFonts w:hint="default" w:ascii="Times New Roman" w:hAnsi="Times New Roman" w:eastAsia="宋体" w:cs="Times New Roman"/>
                <w:color w:val="auto"/>
                <w:sz w:val="24"/>
                <w:lang w:val="en-US" w:eastAsia="zh-CN"/>
              </w:rPr>
              <w:t>本项目DA001及DA002</w:t>
            </w:r>
            <w:r>
              <w:rPr>
                <w:rFonts w:hint="default" w:ascii="Times New Roman" w:hAnsi="Times New Roman" w:eastAsia="宋体" w:cs="Times New Roman"/>
                <w:color w:val="auto"/>
                <w:sz w:val="24"/>
              </w:rPr>
              <w:t>排放速率标准严格50%执行</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szCs w:val="24"/>
                <w:highlight w:val="none"/>
                <w:lang w:val="en-US" w:eastAsia="zh-CN"/>
              </w:rPr>
              <w:t>详</w:t>
            </w:r>
            <w:r>
              <w:rPr>
                <w:rFonts w:hint="default" w:ascii="Times New Roman" w:hAnsi="Times New Roman" w:eastAsia="宋体" w:cs="Times New Roman"/>
                <w:color w:val="auto"/>
                <w:sz w:val="24"/>
                <w:szCs w:val="24"/>
                <w:highlight w:val="none"/>
              </w:rPr>
              <w:t>见表</w:t>
            </w:r>
            <w:r>
              <w:rPr>
                <w:rFonts w:hint="default" w:ascii="Times New Roman" w:hAnsi="Times New Roman"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所示</w:t>
            </w:r>
            <w:r>
              <w:rPr>
                <w:rFonts w:hint="default" w:ascii="Times New Roman" w:hAnsi="Times New Roman" w:eastAsia="宋体" w:cs="Times New Roman"/>
                <w:color w:val="auto"/>
                <w:sz w:val="24"/>
                <w:szCs w:val="24"/>
                <w:highlight w:val="none"/>
              </w:rPr>
              <w:t>。</w:t>
            </w:r>
          </w:p>
          <w:p w14:paraId="049708DD">
            <w:pPr>
              <w:jc w:val="center"/>
              <w:rPr>
                <w:b/>
                <w:bCs/>
                <w:color w:val="auto"/>
                <w:szCs w:val="21"/>
              </w:rPr>
            </w:pPr>
            <w:r>
              <w:rPr>
                <w:rFonts w:hint="default" w:ascii="Times New Roman" w:hAnsi="Times New Roman" w:eastAsia="宋体" w:cs="Times New Roman"/>
                <w:b/>
                <w:bCs/>
                <w:color w:val="auto"/>
                <w:sz w:val="21"/>
                <w:szCs w:val="21"/>
                <w:highlight w:val="none"/>
                <w:lang w:val="en-US" w:eastAsia="zh-CN"/>
              </w:rPr>
              <w:t>表3-</w:t>
            </w:r>
            <w:r>
              <w:rPr>
                <w:rFonts w:hint="eastAsia"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 xml:space="preserve">  大气污染物综合排放标准   单位：</w:t>
            </w:r>
            <w:r>
              <w:rPr>
                <w:rFonts w:hint="default" w:ascii="Times New Roman" w:hAnsi="Times New Roman" w:eastAsia="宋体" w:cs="Times New Roman"/>
                <w:b/>
                <w:bCs/>
                <w:color w:val="auto"/>
                <w:sz w:val="21"/>
                <w:szCs w:val="21"/>
                <w:highlight w:val="none"/>
              </w:rPr>
              <w:t>mg/m</w:t>
            </w:r>
            <w:r>
              <w:rPr>
                <w:rFonts w:hint="default" w:ascii="Times New Roman" w:hAnsi="Times New Roman" w:eastAsia="宋体" w:cs="Times New Roman"/>
                <w:b/>
                <w:bCs/>
                <w:color w:val="auto"/>
                <w:sz w:val="21"/>
                <w:szCs w:val="21"/>
                <w:highlight w:val="none"/>
                <w:vertAlign w:val="superscript"/>
              </w:rPr>
              <w:t>3</w:t>
            </w:r>
          </w:p>
          <w:tbl>
            <w:tblPr>
              <w:tblStyle w:val="26"/>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406"/>
              <w:gridCol w:w="1576"/>
              <w:gridCol w:w="802"/>
              <w:gridCol w:w="1900"/>
              <w:gridCol w:w="1434"/>
            </w:tblGrid>
            <w:tr w14:paraId="57C7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7" w:type="dxa"/>
                  <w:vMerge w:val="restart"/>
                  <w:noWrap w:val="0"/>
                  <w:vAlign w:val="center"/>
                </w:tcPr>
                <w:p w14:paraId="5C96F4D9">
                  <w:pPr>
                    <w:jc w:val="center"/>
                    <w:rPr>
                      <w:rFonts w:eastAsia="宋体"/>
                      <w:b/>
                      <w:bCs/>
                      <w:color w:val="auto"/>
                      <w:szCs w:val="21"/>
                    </w:rPr>
                  </w:pPr>
                  <w:r>
                    <w:rPr>
                      <w:rFonts w:eastAsia="宋体"/>
                      <w:b/>
                      <w:bCs/>
                      <w:color w:val="auto"/>
                      <w:szCs w:val="21"/>
                    </w:rPr>
                    <w:t>污染物</w:t>
                  </w:r>
                </w:p>
              </w:tc>
              <w:tc>
                <w:tcPr>
                  <w:tcW w:w="1406" w:type="dxa"/>
                  <w:vMerge w:val="restart"/>
                  <w:noWrap w:val="0"/>
                  <w:vAlign w:val="center"/>
                </w:tcPr>
                <w:p w14:paraId="70BEA0A5">
                  <w:pPr>
                    <w:jc w:val="center"/>
                    <w:rPr>
                      <w:rFonts w:eastAsia="宋体"/>
                      <w:b/>
                      <w:bCs/>
                      <w:color w:val="auto"/>
                      <w:szCs w:val="21"/>
                    </w:rPr>
                  </w:pPr>
                  <w:r>
                    <w:rPr>
                      <w:rFonts w:eastAsia="宋体"/>
                      <w:b/>
                      <w:bCs/>
                      <w:color w:val="auto"/>
                      <w:szCs w:val="21"/>
                    </w:rPr>
                    <w:t>最高允许排放浓度（mg/m</w:t>
                  </w:r>
                  <w:r>
                    <w:rPr>
                      <w:rFonts w:eastAsia="宋体"/>
                      <w:b/>
                      <w:bCs/>
                      <w:color w:val="auto"/>
                      <w:szCs w:val="21"/>
                      <w:vertAlign w:val="superscript"/>
                    </w:rPr>
                    <w:t>3</w:t>
                  </w:r>
                  <w:r>
                    <w:rPr>
                      <w:rFonts w:eastAsia="宋体"/>
                      <w:b/>
                      <w:bCs/>
                      <w:color w:val="auto"/>
                      <w:szCs w:val="21"/>
                    </w:rPr>
                    <w:t>）</w:t>
                  </w:r>
                </w:p>
              </w:tc>
              <w:tc>
                <w:tcPr>
                  <w:tcW w:w="2378" w:type="dxa"/>
                  <w:gridSpan w:val="2"/>
                  <w:noWrap w:val="0"/>
                  <w:vAlign w:val="center"/>
                </w:tcPr>
                <w:p w14:paraId="400A2CE9">
                  <w:pPr>
                    <w:jc w:val="center"/>
                    <w:rPr>
                      <w:rFonts w:eastAsia="宋体"/>
                      <w:b/>
                      <w:bCs/>
                      <w:color w:val="auto"/>
                      <w:szCs w:val="21"/>
                    </w:rPr>
                  </w:pPr>
                  <w:r>
                    <w:rPr>
                      <w:rFonts w:eastAsia="宋体"/>
                      <w:b/>
                      <w:bCs/>
                      <w:color w:val="auto"/>
                      <w:szCs w:val="21"/>
                    </w:rPr>
                    <w:t>最高允许排放速率（kg/h）</w:t>
                  </w:r>
                </w:p>
              </w:tc>
              <w:tc>
                <w:tcPr>
                  <w:tcW w:w="3334" w:type="dxa"/>
                  <w:gridSpan w:val="2"/>
                  <w:noWrap w:val="0"/>
                  <w:vAlign w:val="center"/>
                </w:tcPr>
                <w:p w14:paraId="448CD8C9">
                  <w:pPr>
                    <w:jc w:val="center"/>
                    <w:rPr>
                      <w:rFonts w:eastAsia="宋体"/>
                      <w:b/>
                      <w:bCs/>
                      <w:color w:val="auto"/>
                      <w:szCs w:val="21"/>
                    </w:rPr>
                  </w:pPr>
                  <w:r>
                    <w:rPr>
                      <w:rFonts w:eastAsia="宋体"/>
                      <w:b/>
                      <w:bCs/>
                      <w:color w:val="auto"/>
                      <w:szCs w:val="21"/>
                    </w:rPr>
                    <w:t>无组织排放监控浓度限值</w:t>
                  </w:r>
                </w:p>
              </w:tc>
            </w:tr>
            <w:tr w14:paraId="17CC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7" w:type="dxa"/>
                  <w:vMerge w:val="continue"/>
                  <w:noWrap w:val="0"/>
                  <w:vAlign w:val="center"/>
                </w:tcPr>
                <w:p w14:paraId="306BE2DE">
                  <w:pPr>
                    <w:jc w:val="center"/>
                    <w:textAlignment w:val="baseline"/>
                    <w:rPr>
                      <w:rFonts w:eastAsia="宋体"/>
                      <w:b/>
                      <w:bCs/>
                      <w:color w:val="auto"/>
                      <w:szCs w:val="21"/>
                    </w:rPr>
                  </w:pPr>
                </w:p>
              </w:tc>
              <w:tc>
                <w:tcPr>
                  <w:tcW w:w="1406" w:type="dxa"/>
                  <w:vMerge w:val="continue"/>
                  <w:noWrap w:val="0"/>
                  <w:vAlign w:val="center"/>
                </w:tcPr>
                <w:p w14:paraId="32A6D07C">
                  <w:pPr>
                    <w:jc w:val="center"/>
                    <w:textAlignment w:val="baseline"/>
                    <w:rPr>
                      <w:rFonts w:eastAsia="宋体"/>
                      <w:b/>
                      <w:bCs/>
                      <w:color w:val="auto"/>
                      <w:szCs w:val="21"/>
                    </w:rPr>
                  </w:pPr>
                </w:p>
              </w:tc>
              <w:tc>
                <w:tcPr>
                  <w:tcW w:w="1576" w:type="dxa"/>
                  <w:noWrap w:val="0"/>
                  <w:vAlign w:val="center"/>
                </w:tcPr>
                <w:p w14:paraId="0B34F32D">
                  <w:pPr>
                    <w:jc w:val="center"/>
                    <w:rPr>
                      <w:rFonts w:eastAsia="宋体"/>
                      <w:b/>
                      <w:bCs/>
                      <w:color w:val="auto"/>
                      <w:szCs w:val="21"/>
                    </w:rPr>
                  </w:pPr>
                  <w:r>
                    <w:rPr>
                      <w:rFonts w:eastAsia="宋体"/>
                      <w:b/>
                      <w:bCs/>
                      <w:color w:val="auto"/>
                      <w:szCs w:val="21"/>
                    </w:rPr>
                    <w:t>排气筒高度（m）</w:t>
                  </w:r>
                </w:p>
              </w:tc>
              <w:tc>
                <w:tcPr>
                  <w:tcW w:w="802" w:type="dxa"/>
                  <w:noWrap w:val="0"/>
                  <w:vAlign w:val="center"/>
                </w:tcPr>
                <w:p w14:paraId="1F2D6207">
                  <w:pPr>
                    <w:jc w:val="center"/>
                    <w:rPr>
                      <w:rFonts w:eastAsia="宋体"/>
                      <w:b/>
                      <w:bCs/>
                      <w:color w:val="auto"/>
                      <w:szCs w:val="21"/>
                    </w:rPr>
                  </w:pPr>
                  <w:r>
                    <w:rPr>
                      <w:rFonts w:eastAsia="宋体"/>
                      <w:b/>
                      <w:bCs/>
                      <w:color w:val="auto"/>
                      <w:szCs w:val="21"/>
                    </w:rPr>
                    <w:t>二级</w:t>
                  </w:r>
                </w:p>
              </w:tc>
              <w:tc>
                <w:tcPr>
                  <w:tcW w:w="1900" w:type="dxa"/>
                  <w:noWrap w:val="0"/>
                  <w:vAlign w:val="center"/>
                </w:tcPr>
                <w:p w14:paraId="15AD4CB8">
                  <w:pPr>
                    <w:jc w:val="center"/>
                    <w:rPr>
                      <w:rFonts w:eastAsia="宋体"/>
                      <w:b/>
                      <w:bCs/>
                      <w:color w:val="auto"/>
                      <w:szCs w:val="21"/>
                    </w:rPr>
                  </w:pPr>
                  <w:r>
                    <w:rPr>
                      <w:rFonts w:eastAsia="宋体"/>
                      <w:b/>
                      <w:bCs/>
                      <w:color w:val="auto"/>
                      <w:szCs w:val="21"/>
                    </w:rPr>
                    <w:t>监控点</w:t>
                  </w:r>
                </w:p>
              </w:tc>
              <w:tc>
                <w:tcPr>
                  <w:tcW w:w="1434" w:type="dxa"/>
                  <w:noWrap w:val="0"/>
                  <w:vAlign w:val="center"/>
                </w:tcPr>
                <w:p w14:paraId="30E095E3">
                  <w:pPr>
                    <w:jc w:val="center"/>
                    <w:rPr>
                      <w:rFonts w:eastAsia="宋体"/>
                      <w:b/>
                      <w:bCs/>
                      <w:color w:val="auto"/>
                      <w:szCs w:val="21"/>
                    </w:rPr>
                  </w:pPr>
                  <w:r>
                    <w:rPr>
                      <w:rFonts w:eastAsia="宋体"/>
                      <w:b/>
                      <w:bCs/>
                      <w:color w:val="auto"/>
                      <w:szCs w:val="21"/>
                    </w:rPr>
                    <w:t>浓度（mg/m</w:t>
                  </w:r>
                  <w:r>
                    <w:rPr>
                      <w:rFonts w:eastAsia="宋体"/>
                      <w:b/>
                      <w:bCs/>
                      <w:color w:val="auto"/>
                      <w:szCs w:val="21"/>
                      <w:vertAlign w:val="superscript"/>
                    </w:rPr>
                    <w:t>3</w:t>
                  </w:r>
                  <w:r>
                    <w:rPr>
                      <w:rFonts w:eastAsia="宋体"/>
                      <w:b/>
                      <w:bCs/>
                      <w:color w:val="auto"/>
                      <w:szCs w:val="21"/>
                    </w:rPr>
                    <w:t>）</w:t>
                  </w:r>
                </w:p>
              </w:tc>
            </w:tr>
            <w:tr w14:paraId="639C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7" w:type="dxa"/>
                  <w:noWrap w:val="0"/>
                  <w:vAlign w:val="center"/>
                </w:tcPr>
                <w:p w14:paraId="6E3364F0">
                  <w:pPr>
                    <w:jc w:val="center"/>
                    <w:rPr>
                      <w:rFonts w:hint="eastAsia" w:eastAsia="宋体"/>
                      <w:color w:val="auto"/>
                      <w:szCs w:val="21"/>
                    </w:rPr>
                  </w:pPr>
                  <w:r>
                    <w:rPr>
                      <w:rFonts w:hint="eastAsia" w:eastAsia="宋体"/>
                      <w:color w:val="auto"/>
                      <w:szCs w:val="21"/>
                    </w:rPr>
                    <w:t>颗粒物</w:t>
                  </w:r>
                </w:p>
              </w:tc>
              <w:tc>
                <w:tcPr>
                  <w:tcW w:w="1406" w:type="dxa"/>
                  <w:noWrap w:val="0"/>
                  <w:vAlign w:val="center"/>
                </w:tcPr>
                <w:p w14:paraId="36D27E62">
                  <w:pPr>
                    <w:jc w:val="center"/>
                    <w:rPr>
                      <w:rFonts w:eastAsia="宋体"/>
                      <w:color w:val="auto"/>
                      <w:szCs w:val="21"/>
                    </w:rPr>
                  </w:pPr>
                  <w:r>
                    <w:rPr>
                      <w:rFonts w:hint="eastAsia" w:eastAsia="宋体"/>
                      <w:color w:val="auto"/>
                      <w:szCs w:val="21"/>
                    </w:rPr>
                    <w:t>120</w:t>
                  </w:r>
                </w:p>
              </w:tc>
              <w:tc>
                <w:tcPr>
                  <w:tcW w:w="1576" w:type="dxa"/>
                  <w:noWrap w:val="0"/>
                  <w:vAlign w:val="center"/>
                </w:tcPr>
                <w:p w14:paraId="28D4D5E9">
                  <w:pPr>
                    <w:jc w:val="center"/>
                    <w:rPr>
                      <w:rFonts w:eastAsia="宋体"/>
                      <w:color w:val="auto"/>
                      <w:szCs w:val="21"/>
                    </w:rPr>
                  </w:pPr>
                  <w:r>
                    <w:rPr>
                      <w:rFonts w:eastAsia="宋体"/>
                      <w:color w:val="auto"/>
                      <w:szCs w:val="21"/>
                    </w:rPr>
                    <w:t>15</w:t>
                  </w:r>
                </w:p>
              </w:tc>
              <w:tc>
                <w:tcPr>
                  <w:tcW w:w="802" w:type="dxa"/>
                  <w:noWrap w:val="0"/>
                  <w:vAlign w:val="center"/>
                </w:tcPr>
                <w:p w14:paraId="51D9338E">
                  <w:pPr>
                    <w:jc w:val="center"/>
                    <w:rPr>
                      <w:rFonts w:hint="default" w:eastAsia="宋体"/>
                      <w:color w:val="auto"/>
                      <w:szCs w:val="21"/>
                      <w:lang w:val="en-US" w:eastAsia="zh-CN"/>
                    </w:rPr>
                  </w:pPr>
                  <w:r>
                    <w:rPr>
                      <w:rFonts w:hint="eastAsia" w:eastAsia="宋体"/>
                      <w:color w:val="auto"/>
                      <w:szCs w:val="21"/>
                      <w:lang w:val="en-US" w:eastAsia="zh-CN"/>
                    </w:rPr>
                    <w:t>1.75</w:t>
                  </w:r>
                </w:p>
              </w:tc>
              <w:tc>
                <w:tcPr>
                  <w:tcW w:w="1900" w:type="dxa"/>
                  <w:noWrap w:val="0"/>
                  <w:vAlign w:val="center"/>
                </w:tcPr>
                <w:p w14:paraId="60B7E185">
                  <w:pPr>
                    <w:jc w:val="center"/>
                    <w:rPr>
                      <w:rFonts w:eastAsia="宋体"/>
                      <w:color w:val="auto"/>
                      <w:szCs w:val="21"/>
                    </w:rPr>
                  </w:pPr>
                  <w:r>
                    <w:rPr>
                      <w:rFonts w:eastAsia="宋体"/>
                      <w:color w:val="auto"/>
                      <w:szCs w:val="21"/>
                    </w:rPr>
                    <w:t>周界外浓度最高点</w:t>
                  </w:r>
                </w:p>
              </w:tc>
              <w:tc>
                <w:tcPr>
                  <w:tcW w:w="1434" w:type="dxa"/>
                  <w:noWrap w:val="0"/>
                  <w:vAlign w:val="center"/>
                </w:tcPr>
                <w:p w14:paraId="7238A187">
                  <w:pPr>
                    <w:jc w:val="center"/>
                    <w:rPr>
                      <w:rFonts w:hint="eastAsia" w:eastAsia="宋体"/>
                      <w:color w:val="auto"/>
                      <w:szCs w:val="21"/>
                    </w:rPr>
                  </w:pPr>
                  <w:r>
                    <w:rPr>
                      <w:rFonts w:eastAsia="宋体"/>
                      <w:color w:val="auto"/>
                      <w:szCs w:val="21"/>
                    </w:rPr>
                    <w:t>1.</w:t>
                  </w:r>
                  <w:r>
                    <w:rPr>
                      <w:rFonts w:hint="eastAsia" w:eastAsia="宋体"/>
                      <w:color w:val="auto"/>
                      <w:szCs w:val="21"/>
                    </w:rPr>
                    <w:t>0</w:t>
                  </w:r>
                </w:p>
              </w:tc>
            </w:tr>
            <w:tr w14:paraId="5D79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7" w:type="dxa"/>
                  <w:noWrap w:val="0"/>
                  <w:vAlign w:val="center"/>
                </w:tcPr>
                <w:p w14:paraId="7D1A2B82">
                  <w:pPr>
                    <w:jc w:val="center"/>
                    <w:rPr>
                      <w:rFonts w:hint="eastAsia" w:eastAsia="宋体"/>
                      <w:color w:val="auto"/>
                      <w:szCs w:val="21"/>
                    </w:rPr>
                  </w:pPr>
                  <w:r>
                    <w:rPr>
                      <w:rFonts w:hint="eastAsia" w:eastAsia="宋体"/>
                      <w:color w:val="auto"/>
                      <w:szCs w:val="21"/>
                    </w:rPr>
                    <w:t>非甲烷总烃</w:t>
                  </w:r>
                </w:p>
              </w:tc>
              <w:tc>
                <w:tcPr>
                  <w:tcW w:w="1406" w:type="dxa"/>
                  <w:noWrap w:val="0"/>
                  <w:vAlign w:val="center"/>
                </w:tcPr>
                <w:p w14:paraId="6E42CA47">
                  <w:pPr>
                    <w:jc w:val="center"/>
                    <w:rPr>
                      <w:rFonts w:eastAsia="宋体"/>
                      <w:color w:val="auto"/>
                      <w:szCs w:val="21"/>
                    </w:rPr>
                  </w:pPr>
                  <w:r>
                    <w:rPr>
                      <w:rFonts w:hint="eastAsia" w:eastAsia="宋体"/>
                      <w:color w:val="auto"/>
                      <w:szCs w:val="21"/>
                    </w:rPr>
                    <w:t>120</w:t>
                  </w:r>
                </w:p>
              </w:tc>
              <w:tc>
                <w:tcPr>
                  <w:tcW w:w="1576" w:type="dxa"/>
                  <w:noWrap w:val="0"/>
                  <w:vAlign w:val="center"/>
                </w:tcPr>
                <w:p w14:paraId="2163F6F9">
                  <w:pPr>
                    <w:jc w:val="center"/>
                    <w:rPr>
                      <w:rFonts w:eastAsia="宋体"/>
                      <w:color w:val="auto"/>
                      <w:szCs w:val="21"/>
                    </w:rPr>
                  </w:pPr>
                  <w:r>
                    <w:rPr>
                      <w:rFonts w:hint="eastAsia" w:eastAsia="宋体"/>
                      <w:color w:val="auto"/>
                      <w:szCs w:val="21"/>
                    </w:rPr>
                    <w:t>15</w:t>
                  </w:r>
                </w:p>
              </w:tc>
              <w:tc>
                <w:tcPr>
                  <w:tcW w:w="802" w:type="dxa"/>
                  <w:noWrap w:val="0"/>
                  <w:vAlign w:val="center"/>
                </w:tcPr>
                <w:p w14:paraId="02FD75F4">
                  <w:pPr>
                    <w:jc w:val="center"/>
                    <w:rPr>
                      <w:rFonts w:hint="eastAsia" w:eastAsia="宋体"/>
                      <w:color w:val="auto"/>
                      <w:szCs w:val="21"/>
                      <w:lang w:eastAsia="zh-CN"/>
                    </w:rPr>
                  </w:pPr>
                  <w:r>
                    <w:rPr>
                      <w:rFonts w:hint="eastAsia" w:eastAsia="宋体"/>
                      <w:color w:val="auto"/>
                      <w:szCs w:val="21"/>
                      <w:lang w:val="en-US" w:eastAsia="zh-CN"/>
                    </w:rPr>
                    <w:t>5</w:t>
                  </w:r>
                </w:p>
              </w:tc>
              <w:tc>
                <w:tcPr>
                  <w:tcW w:w="1900" w:type="dxa"/>
                  <w:noWrap w:val="0"/>
                  <w:vAlign w:val="center"/>
                </w:tcPr>
                <w:p w14:paraId="55D14794">
                  <w:pPr>
                    <w:jc w:val="center"/>
                    <w:rPr>
                      <w:rFonts w:eastAsia="宋体"/>
                      <w:color w:val="auto"/>
                      <w:szCs w:val="21"/>
                    </w:rPr>
                  </w:pPr>
                  <w:r>
                    <w:rPr>
                      <w:rFonts w:eastAsia="宋体"/>
                      <w:color w:val="auto"/>
                      <w:szCs w:val="21"/>
                    </w:rPr>
                    <w:t>周界外浓度最高点</w:t>
                  </w:r>
                </w:p>
              </w:tc>
              <w:tc>
                <w:tcPr>
                  <w:tcW w:w="1434" w:type="dxa"/>
                  <w:noWrap w:val="0"/>
                  <w:vAlign w:val="center"/>
                </w:tcPr>
                <w:p w14:paraId="57BB9463">
                  <w:pPr>
                    <w:jc w:val="center"/>
                    <w:rPr>
                      <w:rFonts w:eastAsia="宋体"/>
                      <w:color w:val="auto"/>
                      <w:szCs w:val="21"/>
                    </w:rPr>
                  </w:pPr>
                  <w:r>
                    <w:rPr>
                      <w:rFonts w:hint="eastAsia" w:eastAsia="宋体"/>
                      <w:color w:val="auto"/>
                      <w:szCs w:val="21"/>
                    </w:rPr>
                    <w:t>4.0</w:t>
                  </w:r>
                </w:p>
              </w:tc>
            </w:tr>
            <w:tr w14:paraId="6CDE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7" w:type="dxa"/>
                  <w:noWrap w:val="0"/>
                  <w:vAlign w:val="center"/>
                </w:tcPr>
                <w:p w14:paraId="2CC5E002">
                  <w:pPr>
                    <w:jc w:val="center"/>
                    <w:rPr>
                      <w:rFonts w:hint="eastAsia" w:eastAsia="宋体"/>
                      <w:color w:val="auto"/>
                      <w:szCs w:val="21"/>
                    </w:rPr>
                  </w:pPr>
                  <w:r>
                    <w:rPr>
                      <w:rFonts w:hint="eastAsia" w:eastAsia="宋体"/>
                      <w:color w:val="auto"/>
                      <w:szCs w:val="21"/>
                    </w:rPr>
                    <w:t>氯化氢</w:t>
                  </w:r>
                </w:p>
              </w:tc>
              <w:tc>
                <w:tcPr>
                  <w:tcW w:w="1406" w:type="dxa"/>
                  <w:noWrap w:val="0"/>
                  <w:vAlign w:val="center"/>
                </w:tcPr>
                <w:p w14:paraId="485530FC">
                  <w:pPr>
                    <w:jc w:val="center"/>
                    <w:rPr>
                      <w:rFonts w:eastAsia="宋体"/>
                      <w:color w:val="auto"/>
                      <w:szCs w:val="21"/>
                    </w:rPr>
                  </w:pPr>
                  <w:r>
                    <w:rPr>
                      <w:rFonts w:hint="eastAsia" w:eastAsia="宋体"/>
                      <w:color w:val="auto"/>
                      <w:szCs w:val="21"/>
                    </w:rPr>
                    <w:t>100</w:t>
                  </w:r>
                </w:p>
              </w:tc>
              <w:tc>
                <w:tcPr>
                  <w:tcW w:w="1576" w:type="dxa"/>
                  <w:noWrap w:val="0"/>
                  <w:vAlign w:val="center"/>
                </w:tcPr>
                <w:p w14:paraId="60D23716">
                  <w:pPr>
                    <w:jc w:val="center"/>
                    <w:rPr>
                      <w:rFonts w:eastAsia="宋体"/>
                      <w:color w:val="auto"/>
                      <w:szCs w:val="21"/>
                    </w:rPr>
                  </w:pPr>
                  <w:r>
                    <w:rPr>
                      <w:rFonts w:hint="eastAsia" w:eastAsia="宋体"/>
                      <w:color w:val="auto"/>
                      <w:szCs w:val="21"/>
                    </w:rPr>
                    <w:t>15</w:t>
                  </w:r>
                </w:p>
              </w:tc>
              <w:tc>
                <w:tcPr>
                  <w:tcW w:w="802" w:type="dxa"/>
                  <w:noWrap w:val="0"/>
                  <w:vAlign w:val="center"/>
                </w:tcPr>
                <w:p w14:paraId="04ED3F2E">
                  <w:pPr>
                    <w:jc w:val="center"/>
                    <w:rPr>
                      <w:rFonts w:hint="default" w:eastAsia="宋体"/>
                      <w:color w:val="auto"/>
                      <w:szCs w:val="21"/>
                      <w:lang w:val="en-US" w:eastAsia="zh-CN"/>
                    </w:rPr>
                  </w:pPr>
                  <w:r>
                    <w:rPr>
                      <w:rFonts w:hint="eastAsia" w:eastAsia="宋体"/>
                      <w:color w:val="auto"/>
                      <w:szCs w:val="21"/>
                    </w:rPr>
                    <w:t>0.</w:t>
                  </w:r>
                  <w:r>
                    <w:rPr>
                      <w:rFonts w:hint="eastAsia" w:eastAsia="宋体"/>
                      <w:color w:val="auto"/>
                      <w:szCs w:val="21"/>
                      <w:lang w:val="en-US" w:eastAsia="zh-CN"/>
                    </w:rPr>
                    <w:t>13</w:t>
                  </w:r>
                </w:p>
              </w:tc>
              <w:tc>
                <w:tcPr>
                  <w:tcW w:w="1900" w:type="dxa"/>
                  <w:noWrap w:val="0"/>
                  <w:vAlign w:val="center"/>
                </w:tcPr>
                <w:p w14:paraId="07717E34">
                  <w:pPr>
                    <w:jc w:val="center"/>
                    <w:rPr>
                      <w:rFonts w:eastAsia="宋体"/>
                      <w:color w:val="auto"/>
                      <w:szCs w:val="21"/>
                    </w:rPr>
                  </w:pPr>
                  <w:r>
                    <w:rPr>
                      <w:rFonts w:eastAsia="宋体"/>
                      <w:color w:val="auto"/>
                      <w:szCs w:val="21"/>
                    </w:rPr>
                    <w:t>周界外浓度最高点</w:t>
                  </w:r>
                </w:p>
              </w:tc>
              <w:tc>
                <w:tcPr>
                  <w:tcW w:w="1434" w:type="dxa"/>
                  <w:noWrap w:val="0"/>
                  <w:vAlign w:val="center"/>
                </w:tcPr>
                <w:p w14:paraId="117F38DF">
                  <w:pPr>
                    <w:jc w:val="center"/>
                    <w:rPr>
                      <w:rFonts w:eastAsia="宋体"/>
                      <w:color w:val="auto"/>
                      <w:szCs w:val="21"/>
                    </w:rPr>
                  </w:pPr>
                  <w:r>
                    <w:rPr>
                      <w:rFonts w:hint="eastAsia" w:eastAsia="宋体"/>
                      <w:color w:val="auto"/>
                      <w:szCs w:val="21"/>
                    </w:rPr>
                    <w:t>0.20</w:t>
                  </w:r>
                </w:p>
              </w:tc>
            </w:tr>
            <w:tr w14:paraId="452E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7" w:type="dxa"/>
                  <w:noWrap w:val="0"/>
                  <w:vAlign w:val="center"/>
                </w:tcPr>
                <w:p w14:paraId="002D328D">
                  <w:pPr>
                    <w:jc w:val="center"/>
                    <w:rPr>
                      <w:rFonts w:hint="eastAsia" w:eastAsia="宋体"/>
                      <w:color w:val="auto"/>
                      <w:szCs w:val="21"/>
                    </w:rPr>
                  </w:pPr>
                  <w:r>
                    <w:rPr>
                      <w:rFonts w:hint="eastAsia" w:eastAsia="宋体"/>
                      <w:color w:val="auto"/>
                      <w:szCs w:val="21"/>
                    </w:rPr>
                    <w:t>氯乙烯</w:t>
                  </w:r>
                </w:p>
              </w:tc>
              <w:tc>
                <w:tcPr>
                  <w:tcW w:w="1406" w:type="dxa"/>
                  <w:noWrap w:val="0"/>
                  <w:vAlign w:val="center"/>
                </w:tcPr>
                <w:p w14:paraId="7E2607F4">
                  <w:pPr>
                    <w:jc w:val="center"/>
                    <w:rPr>
                      <w:rFonts w:eastAsia="宋体"/>
                      <w:color w:val="auto"/>
                      <w:szCs w:val="21"/>
                    </w:rPr>
                  </w:pPr>
                  <w:r>
                    <w:rPr>
                      <w:rFonts w:hint="eastAsia" w:eastAsia="宋体"/>
                      <w:color w:val="auto"/>
                      <w:szCs w:val="21"/>
                    </w:rPr>
                    <w:t>36</w:t>
                  </w:r>
                </w:p>
              </w:tc>
              <w:tc>
                <w:tcPr>
                  <w:tcW w:w="1576" w:type="dxa"/>
                  <w:noWrap w:val="0"/>
                  <w:vAlign w:val="center"/>
                </w:tcPr>
                <w:p w14:paraId="001DD73E">
                  <w:pPr>
                    <w:jc w:val="center"/>
                    <w:rPr>
                      <w:rFonts w:eastAsia="宋体"/>
                      <w:color w:val="auto"/>
                      <w:szCs w:val="21"/>
                    </w:rPr>
                  </w:pPr>
                  <w:r>
                    <w:rPr>
                      <w:rFonts w:hint="eastAsia" w:eastAsia="宋体"/>
                      <w:color w:val="auto"/>
                      <w:szCs w:val="21"/>
                    </w:rPr>
                    <w:t>15</w:t>
                  </w:r>
                </w:p>
              </w:tc>
              <w:tc>
                <w:tcPr>
                  <w:tcW w:w="802" w:type="dxa"/>
                  <w:noWrap w:val="0"/>
                  <w:vAlign w:val="center"/>
                </w:tcPr>
                <w:p w14:paraId="4EA1E4B1">
                  <w:pPr>
                    <w:jc w:val="center"/>
                    <w:rPr>
                      <w:rFonts w:hint="default" w:eastAsia="宋体"/>
                      <w:color w:val="auto"/>
                      <w:szCs w:val="21"/>
                      <w:lang w:val="en-US" w:eastAsia="zh-CN"/>
                    </w:rPr>
                  </w:pPr>
                  <w:r>
                    <w:rPr>
                      <w:rFonts w:hint="eastAsia" w:eastAsia="宋体"/>
                      <w:color w:val="auto"/>
                      <w:szCs w:val="21"/>
                      <w:lang w:val="en-US" w:eastAsia="zh-CN"/>
                    </w:rPr>
                    <w:t>0.385</w:t>
                  </w:r>
                </w:p>
              </w:tc>
              <w:tc>
                <w:tcPr>
                  <w:tcW w:w="1900" w:type="dxa"/>
                  <w:noWrap w:val="0"/>
                  <w:vAlign w:val="center"/>
                </w:tcPr>
                <w:p w14:paraId="4C3066D0">
                  <w:pPr>
                    <w:jc w:val="center"/>
                    <w:rPr>
                      <w:rFonts w:eastAsia="宋体"/>
                      <w:color w:val="auto"/>
                      <w:szCs w:val="21"/>
                    </w:rPr>
                  </w:pPr>
                  <w:r>
                    <w:rPr>
                      <w:rFonts w:eastAsia="宋体"/>
                      <w:color w:val="auto"/>
                      <w:szCs w:val="21"/>
                    </w:rPr>
                    <w:t>周界外浓度最高点</w:t>
                  </w:r>
                </w:p>
              </w:tc>
              <w:tc>
                <w:tcPr>
                  <w:tcW w:w="1434" w:type="dxa"/>
                  <w:noWrap w:val="0"/>
                  <w:vAlign w:val="center"/>
                </w:tcPr>
                <w:p w14:paraId="147FDBEE">
                  <w:pPr>
                    <w:jc w:val="center"/>
                    <w:rPr>
                      <w:rFonts w:hint="eastAsia" w:eastAsia="宋体"/>
                      <w:color w:val="auto"/>
                      <w:szCs w:val="21"/>
                    </w:rPr>
                  </w:pPr>
                  <w:r>
                    <w:rPr>
                      <w:rFonts w:hint="eastAsia" w:eastAsia="宋体"/>
                      <w:color w:val="auto"/>
                      <w:szCs w:val="21"/>
                    </w:rPr>
                    <w:t>0.60</w:t>
                  </w:r>
                </w:p>
              </w:tc>
            </w:tr>
          </w:tbl>
          <w:p w14:paraId="310AA28D">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highlight w:val="none"/>
                <w:lang w:val="zh-CN"/>
              </w:rPr>
              <w:t>厂内无组织VOCs排放浓度限值执行</w:t>
            </w:r>
            <w:r>
              <w:rPr>
                <w:rFonts w:hint="default" w:ascii="Times New Roman" w:hAnsi="Times New Roman" w:eastAsia="宋体" w:cs="Times New Roman"/>
                <w:color w:val="auto"/>
                <w:sz w:val="24"/>
                <w:highlight w:val="none"/>
              </w:rPr>
              <w:t>《挥发性有机物无组织排放控制标准》</w:t>
            </w:r>
            <w:r>
              <w:rPr>
                <w:rFonts w:hint="default" w:ascii="Times New Roman" w:hAnsi="Times New Roman" w:eastAsia="宋体" w:cs="Times New Roman"/>
                <w:color w:val="auto"/>
                <w:sz w:val="24"/>
                <w:highlight w:val="none"/>
                <w:lang w:val="zh-CN"/>
              </w:rPr>
              <w:t>（GB</w:t>
            </w:r>
            <w:r>
              <w:rPr>
                <w:rFonts w:hint="default" w:ascii="Times New Roman" w:hAnsi="Times New Roman" w:eastAsia="宋体" w:cs="Times New Roman"/>
                <w:color w:val="auto"/>
                <w:sz w:val="24"/>
                <w:highlight w:val="none"/>
              </w:rPr>
              <w:t>37822</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2019</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中的要求</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标准值见表3-</w:t>
            </w:r>
            <w:r>
              <w:rPr>
                <w:rFonts w:hint="eastAsia" w:cs="Times New Roman"/>
                <w:color w:val="auto"/>
                <w:sz w:val="24"/>
                <w:highlight w:val="none"/>
                <w:lang w:val="en-US" w:eastAsia="zh-CN"/>
              </w:rPr>
              <w:t>6</w:t>
            </w:r>
            <w:r>
              <w:rPr>
                <w:rFonts w:hint="default" w:ascii="Times New Roman" w:hAnsi="Times New Roman" w:eastAsia="宋体" w:cs="Times New Roman"/>
                <w:color w:val="auto"/>
                <w:sz w:val="24"/>
                <w:highlight w:val="none"/>
              </w:rPr>
              <w:t>。</w:t>
            </w:r>
          </w:p>
          <w:p w14:paraId="399B35FD">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非甲烷总烃厂区内无组织排放限值</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单位：mg/m</w:t>
            </w:r>
            <w:r>
              <w:rPr>
                <w:rFonts w:hint="default" w:ascii="Times New Roman" w:hAnsi="Times New Roman" w:eastAsia="宋体" w:cs="Times New Roman"/>
                <w:b/>
                <w:bCs/>
                <w:color w:val="auto"/>
                <w:sz w:val="21"/>
                <w:szCs w:val="21"/>
                <w:highlight w:val="none"/>
                <w:vertAlign w:val="superscript"/>
              </w:rPr>
              <w:t>3</w:t>
            </w:r>
          </w:p>
          <w:tbl>
            <w:tblPr>
              <w:tblStyle w:val="26"/>
              <w:tblW w:w="8309"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1661"/>
              <w:gridCol w:w="1662"/>
              <w:gridCol w:w="2423"/>
              <w:gridCol w:w="2563"/>
            </w:tblGrid>
            <w:tr w14:paraId="471B878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661" w:type="dxa"/>
                  <w:tcBorders>
                    <w:tl2br w:val="nil"/>
                    <w:tr2bl w:val="nil"/>
                  </w:tcBorders>
                  <w:noWrap w:val="0"/>
                  <w:vAlign w:val="center"/>
                </w:tcPr>
                <w:p w14:paraId="6D9897D5">
                  <w:pPr>
                    <w:pStyle w:val="77"/>
                    <w:keepNext w:val="0"/>
                    <w:keepLines w:val="0"/>
                    <w:pageBreakBefore w:val="0"/>
                    <w:widowControl w:val="0"/>
                    <w:shd w:val="clear"/>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污染项目</w:t>
                  </w:r>
                </w:p>
              </w:tc>
              <w:tc>
                <w:tcPr>
                  <w:tcW w:w="1662" w:type="dxa"/>
                  <w:tcBorders>
                    <w:tl2br w:val="nil"/>
                    <w:tr2bl w:val="nil"/>
                  </w:tcBorders>
                  <w:noWrap w:val="0"/>
                  <w:vAlign w:val="center"/>
                </w:tcPr>
                <w:p w14:paraId="5882DC27">
                  <w:pPr>
                    <w:pStyle w:val="77"/>
                    <w:keepNext w:val="0"/>
                    <w:keepLines w:val="0"/>
                    <w:pageBreakBefore w:val="0"/>
                    <w:widowControl w:val="0"/>
                    <w:shd w:val="clear"/>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排放限值</w:t>
                  </w:r>
                </w:p>
              </w:tc>
              <w:tc>
                <w:tcPr>
                  <w:tcW w:w="2423" w:type="dxa"/>
                  <w:tcBorders>
                    <w:tl2br w:val="nil"/>
                    <w:tr2bl w:val="nil"/>
                  </w:tcBorders>
                  <w:noWrap w:val="0"/>
                  <w:vAlign w:val="center"/>
                </w:tcPr>
                <w:p w14:paraId="1C5B8BF8">
                  <w:pPr>
                    <w:pStyle w:val="77"/>
                    <w:keepNext w:val="0"/>
                    <w:keepLines w:val="0"/>
                    <w:pageBreakBefore w:val="0"/>
                    <w:widowControl w:val="0"/>
                    <w:shd w:val="clear"/>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限值含义</w:t>
                  </w:r>
                </w:p>
              </w:tc>
              <w:tc>
                <w:tcPr>
                  <w:tcW w:w="2563" w:type="dxa"/>
                  <w:tcBorders>
                    <w:tl2br w:val="nil"/>
                    <w:tr2bl w:val="nil"/>
                  </w:tcBorders>
                  <w:noWrap w:val="0"/>
                  <w:vAlign w:val="center"/>
                </w:tcPr>
                <w:p w14:paraId="71320986">
                  <w:pPr>
                    <w:pStyle w:val="77"/>
                    <w:keepNext w:val="0"/>
                    <w:keepLines w:val="0"/>
                    <w:pageBreakBefore w:val="0"/>
                    <w:widowControl w:val="0"/>
                    <w:shd w:val="clear"/>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无组织排放监控位置</w:t>
                  </w:r>
                </w:p>
              </w:tc>
            </w:tr>
            <w:tr w14:paraId="16872AE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661" w:type="dxa"/>
                  <w:vMerge w:val="restart"/>
                  <w:tcBorders>
                    <w:tl2br w:val="nil"/>
                    <w:tr2bl w:val="nil"/>
                  </w:tcBorders>
                  <w:noWrap w:val="0"/>
                  <w:vAlign w:val="center"/>
                </w:tcPr>
                <w:p w14:paraId="0A539F74">
                  <w:pPr>
                    <w:pStyle w:val="77"/>
                    <w:keepNext w:val="0"/>
                    <w:keepLines w:val="0"/>
                    <w:pageBreakBefore w:val="0"/>
                    <w:widowControl w:val="0"/>
                    <w:shd w:val="clear"/>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NMHC</w:t>
                  </w:r>
                </w:p>
              </w:tc>
              <w:tc>
                <w:tcPr>
                  <w:tcW w:w="1662" w:type="dxa"/>
                  <w:tcBorders>
                    <w:tl2br w:val="nil"/>
                    <w:tr2bl w:val="nil"/>
                  </w:tcBorders>
                  <w:noWrap w:val="0"/>
                  <w:vAlign w:val="center"/>
                </w:tcPr>
                <w:p w14:paraId="680E6C2D">
                  <w:pPr>
                    <w:pStyle w:val="77"/>
                    <w:keepNext w:val="0"/>
                    <w:keepLines w:val="0"/>
                    <w:pageBreakBefore w:val="0"/>
                    <w:widowControl w:val="0"/>
                    <w:shd w:val="clear"/>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10mg/m³</w:t>
                  </w:r>
                </w:p>
              </w:tc>
              <w:tc>
                <w:tcPr>
                  <w:tcW w:w="2423" w:type="dxa"/>
                  <w:tcBorders>
                    <w:tl2br w:val="nil"/>
                    <w:tr2bl w:val="nil"/>
                  </w:tcBorders>
                  <w:noWrap w:val="0"/>
                  <w:vAlign w:val="center"/>
                </w:tcPr>
                <w:p w14:paraId="146048BF">
                  <w:pPr>
                    <w:pStyle w:val="77"/>
                    <w:keepNext w:val="0"/>
                    <w:keepLines w:val="0"/>
                    <w:pageBreakBefore w:val="0"/>
                    <w:widowControl w:val="0"/>
                    <w:shd w:val="clear"/>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监控点处 1h 平均浓度值</w:t>
                  </w:r>
                </w:p>
              </w:tc>
              <w:tc>
                <w:tcPr>
                  <w:tcW w:w="2563" w:type="dxa"/>
                  <w:vMerge w:val="restart"/>
                  <w:tcBorders>
                    <w:tl2br w:val="nil"/>
                    <w:tr2bl w:val="nil"/>
                  </w:tcBorders>
                  <w:noWrap w:val="0"/>
                  <w:vAlign w:val="center"/>
                </w:tcPr>
                <w:p w14:paraId="6B977A5E">
                  <w:pPr>
                    <w:pStyle w:val="77"/>
                    <w:keepNext w:val="0"/>
                    <w:keepLines w:val="0"/>
                    <w:pageBreakBefore w:val="0"/>
                    <w:widowControl w:val="0"/>
                    <w:shd w:val="clear"/>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在厂房外设置监控点</w:t>
                  </w:r>
                </w:p>
              </w:tc>
            </w:tr>
            <w:tr w14:paraId="5CD899D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661" w:type="dxa"/>
                  <w:vMerge w:val="continue"/>
                  <w:tcBorders>
                    <w:tl2br w:val="nil"/>
                    <w:tr2bl w:val="nil"/>
                  </w:tcBorders>
                  <w:noWrap w:val="0"/>
                  <w:vAlign w:val="center"/>
                </w:tcPr>
                <w:p w14:paraId="5FB9FD0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662" w:type="dxa"/>
                  <w:tcBorders>
                    <w:tl2br w:val="nil"/>
                    <w:tr2bl w:val="nil"/>
                  </w:tcBorders>
                  <w:noWrap w:val="0"/>
                  <w:vAlign w:val="center"/>
                </w:tcPr>
                <w:p w14:paraId="1E79939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30mg/m³</w:t>
                  </w:r>
                </w:p>
              </w:tc>
              <w:tc>
                <w:tcPr>
                  <w:tcW w:w="2423" w:type="dxa"/>
                  <w:tcBorders>
                    <w:tl2br w:val="nil"/>
                    <w:tr2bl w:val="nil"/>
                  </w:tcBorders>
                  <w:noWrap w:val="0"/>
                  <w:vAlign w:val="center"/>
                </w:tcPr>
                <w:p w14:paraId="611B7AA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监控点处任意一次浓度值</w:t>
                  </w:r>
                </w:p>
              </w:tc>
              <w:tc>
                <w:tcPr>
                  <w:tcW w:w="2563" w:type="dxa"/>
                  <w:vMerge w:val="continue"/>
                  <w:tcBorders>
                    <w:tl2br w:val="nil"/>
                    <w:tr2bl w:val="nil"/>
                  </w:tcBorders>
                  <w:noWrap w:val="0"/>
                  <w:vAlign w:val="center"/>
                </w:tcPr>
                <w:p w14:paraId="74FC9387">
                  <w:pPr>
                    <w:keepNext w:val="0"/>
                    <w:keepLines w:val="0"/>
                    <w:pageBreakBefore w:val="0"/>
                    <w:widowControl w:val="0"/>
                    <w:shd w:val="clear"/>
                    <w:kinsoku/>
                    <w:wordWrap/>
                    <w:overflowPunct/>
                    <w:topLinePunct w:val="0"/>
                    <w:bidi w:val="0"/>
                    <w:adjustRightInd/>
                    <w:snapToGrid/>
                    <w:spacing w:line="240" w:lineRule="auto"/>
                    <w:ind w:left="0" w:right="0"/>
                    <w:jc w:val="center"/>
                    <w:textAlignment w:val="auto"/>
                    <w:rPr>
                      <w:rFonts w:hint="default" w:ascii="Times New Roman" w:hAnsi="Times New Roman" w:eastAsia="宋体" w:cs="Times New Roman"/>
                      <w:color w:val="auto"/>
                      <w:sz w:val="21"/>
                      <w:szCs w:val="21"/>
                      <w:highlight w:val="none"/>
                    </w:rPr>
                  </w:pPr>
                </w:p>
              </w:tc>
            </w:tr>
          </w:tbl>
          <w:p w14:paraId="02C50CCC">
            <w:pPr>
              <w:pStyle w:val="6"/>
              <w:shd w:val="clear"/>
              <w:adjustRightInd w:val="0"/>
              <w:spacing w:before="0" w:after="0" w:line="360" w:lineRule="auto"/>
              <w:ind w:right="0" w:firstLine="480" w:firstLineChars="200"/>
              <w:rPr>
                <w:rFonts w:hint="default" w:ascii="Times New Roman" w:hAnsi="Times New Roman" w:eastAsia="宋体" w:cs="Times New Roman"/>
                <w:b w:val="0"/>
                <w:bCs w:val="0"/>
                <w:color w:val="auto"/>
                <w:sz w:val="24"/>
                <w:highlight w:val="none"/>
                <w:lang w:val="en-US" w:eastAsia="zh-CN"/>
              </w:rPr>
            </w:pPr>
            <w:r>
              <w:rPr>
                <w:rFonts w:hint="eastAsia" w:cs="Times New Roman"/>
                <w:color w:val="auto"/>
                <w:sz w:val="24"/>
                <w:highlight w:val="none"/>
                <w:lang w:eastAsia="zh-CN"/>
              </w:rPr>
              <w:t>④</w:t>
            </w:r>
            <w:r>
              <w:rPr>
                <w:rFonts w:hint="default" w:ascii="Times New Roman" w:hAnsi="Times New Roman" w:eastAsia="宋体" w:cs="Times New Roman"/>
                <w:color w:val="auto"/>
                <w:sz w:val="24"/>
                <w:highlight w:val="none"/>
              </w:rPr>
              <w:t>项目运营期</w:t>
            </w:r>
            <w:r>
              <w:rPr>
                <w:rFonts w:hint="default" w:ascii="Times New Roman" w:hAnsi="Times New Roman" w:eastAsia="宋体" w:cs="Times New Roman"/>
                <w:color w:val="auto"/>
                <w:sz w:val="24"/>
                <w:highlight w:val="none"/>
                <w:lang w:val="en-US" w:eastAsia="zh-CN"/>
              </w:rPr>
              <w:t>生产车间臭气浓度大部分随有机废气一同收集为有组织排放，未收集少部分为无组织排放，</w:t>
            </w:r>
            <w:r>
              <w:rPr>
                <w:rFonts w:hint="default" w:ascii="Times New Roman" w:hAnsi="Times New Roman" w:eastAsia="宋体" w:cs="Times New Roman"/>
                <w:color w:val="auto"/>
                <w:sz w:val="24"/>
                <w:szCs w:val="24"/>
                <w:highlight w:val="none"/>
                <w:lang w:val="en-US" w:eastAsia="zh-CN"/>
              </w:rPr>
              <w:t>因此臭气浓度</w:t>
            </w:r>
            <w:r>
              <w:rPr>
                <w:rFonts w:hint="default" w:ascii="Times New Roman" w:hAnsi="Times New Roman" w:eastAsia="宋体" w:cs="Times New Roman"/>
                <w:color w:val="auto"/>
                <w:sz w:val="24"/>
                <w:szCs w:val="24"/>
                <w:highlight w:val="none"/>
                <w:lang w:val="zh-CN" w:eastAsia="zh-CN"/>
              </w:rPr>
              <w:t>排放执行《恶臭污染物排放标准》（GB14554-93）</w:t>
            </w:r>
            <w:r>
              <w:rPr>
                <w:rFonts w:hint="default" w:ascii="Times New Roman" w:hAnsi="Times New Roman" w:eastAsia="宋体" w:cs="Times New Roman"/>
                <w:color w:val="auto"/>
                <w:sz w:val="24"/>
                <w:szCs w:val="24"/>
                <w:highlight w:val="none"/>
                <w:lang w:val="en-US" w:eastAsia="zh-CN"/>
              </w:rPr>
              <w:t>中</w:t>
            </w:r>
            <w:r>
              <w:rPr>
                <w:rFonts w:hint="default" w:ascii="Times New Roman" w:hAnsi="Times New Roman" w:eastAsia="宋体" w:cs="Times New Roman"/>
                <w:color w:val="auto"/>
                <w:sz w:val="24"/>
                <w:szCs w:val="24"/>
                <w:highlight w:val="none"/>
                <w:lang w:val="zh-CN" w:eastAsia="zh-CN"/>
              </w:rPr>
              <w:t>标准</w:t>
            </w:r>
            <w:r>
              <w:rPr>
                <w:rFonts w:hint="default" w:ascii="Times New Roman" w:hAnsi="Times New Roman" w:eastAsia="宋体" w:cs="Times New Roman"/>
                <w:color w:val="auto"/>
                <w:sz w:val="24"/>
                <w:szCs w:val="24"/>
                <w:highlight w:val="none"/>
                <w:lang w:val="en-US" w:eastAsia="zh-CN"/>
              </w:rPr>
              <w:t>限值</w:t>
            </w:r>
            <w:r>
              <w:rPr>
                <w:rFonts w:hint="default" w:ascii="Times New Roman" w:hAnsi="Times New Roman" w:eastAsia="宋体" w:cs="Times New Roman"/>
                <w:color w:val="auto"/>
                <w:sz w:val="24"/>
                <w:szCs w:val="24"/>
                <w:highlight w:val="none"/>
                <w:lang w:val="zh-CN" w:eastAsia="zh-CN"/>
              </w:rPr>
              <w:t>要求</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排放执行标准值详见表</w:t>
            </w:r>
            <w:r>
              <w:rPr>
                <w:rFonts w:hint="default" w:ascii="Times New Roman" w:hAnsi="Times New Roman" w:eastAsia="宋体" w:cs="Times New Roman"/>
                <w:color w:val="auto"/>
                <w:sz w:val="24"/>
                <w:highlight w:val="none"/>
                <w:lang w:val="en-US" w:eastAsia="zh-CN"/>
              </w:rPr>
              <w:t>3-</w:t>
            </w:r>
            <w:r>
              <w:rPr>
                <w:rFonts w:hint="eastAsia" w:cs="Times New Roman"/>
                <w:color w:val="auto"/>
                <w:sz w:val="24"/>
                <w:highlight w:val="none"/>
                <w:lang w:val="en-US" w:eastAsia="zh-CN"/>
              </w:rPr>
              <w:t>7</w:t>
            </w:r>
            <w:r>
              <w:rPr>
                <w:rFonts w:hint="default" w:ascii="Times New Roman" w:hAnsi="Times New Roman" w:eastAsia="宋体" w:cs="Times New Roman"/>
                <w:color w:val="auto"/>
                <w:sz w:val="24"/>
                <w:highlight w:val="none"/>
              </w:rPr>
              <w:t>。</w:t>
            </w:r>
          </w:p>
          <w:p w14:paraId="670D2083">
            <w:pPr>
              <w:pStyle w:val="47"/>
              <w:shd w:val="clear"/>
              <w:snapToGrid w:val="0"/>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3-</w:t>
            </w:r>
            <w:r>
              <w:rPr>
                <w:rFonts w:hint="eastAsia" w:cs="Times New Roman"/>
                <w:b/>
                <w:color w:val="auto"/>
                <w:sz w:val="21"/>
                <w:szCs w:val="21"/>
                <w:highlight w:val="none"/>
                <w:lang w:val="en-US" w:eastAsia="zh-CN"/>
              </w:rPr>
              <w:t>7</w:t>
            </w:r>
            <w:r>
              <w:rPr>
                <w:rFonts w:hint="default" w:ascii="Times New Roman" w:hAnsi="Times New Roman" w:eastAsia="宋体" w:cs="Times New Roman"/>
                <w:b/>
                <w:color w:val="auto"/>
                <w:sz w:val="21"/>
                <w:szCs w:val="21"/>
                <w:highlight w:val="none"/>
              </w:rPr>
              <w:t xml:space="preserve">  恶臭污染物厂界标准值</w:t>
            </w:r>
          </w:p>
          <w:tbl>
            <w:tblPr>
              <w:tblStyle w:val="2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1062"/>
              <w:gridCol w:w="1465"/>
              <w:gridCol w:w="1379"/>
              <w:gridCol w:w="3207"/>
            </w:tblGrid>
            <w:tr w14:paraId="239E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468" w:type="dxa"/>
                  <w:gridSpan w:val="2"/>
                  <w:tcBorders>
                    <w:top w:val="single" w:color="auto" w:sz="4" w:space="0"/>
                    <w:left w:val="single" w:color="auto" w:sz="4" w:space="0"/>
                    <w:bottom w:val="single" w:color="auto" w:sz="4" w:space="0"/>
                    <w:right w:val="single" w:color="auto" w:sz="4" w:space="0"/>
                  </w:tcBorders>
                  <w:vAlign w:val="center"/>
                </w:tcPr>
                <w:p w14:paraId="26ACCA34">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控制项目</w:t>
                  </w:r>
                </w:p>
              </w:tc>
              <w:tc>
                <w:tcPr>
                  <w:tcW w:w="1465" w:type="dxa"/>
                  <w:tcBorders>
                    <w:top w:val="single" w:color="auto" w:sz="4" w:space="0"/>
                    <w:left w:val="single" w:color="auto" w:sz="4" w:space="0"/>
                    <w:bottom w:val="single" w:color="auto" w:sz="4" w:space="0"/>
                    <w:right w:val="single" w:color="auto" w:sz="4" w:space="0"/>
                  </w:tcBorders>
                  <w:vAlign w:val="center"/>
                </w:tcPr>
                <w:p w14:paraId="01FBA504">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单位</w:t>
                  </w:r>
                </w:p>
              </w:tc>
              <w:tc>
                <w:tcPr>
                  <w:tcW w:w="1379" w:type="dxa"/>
                  <w:tcBorders>
                    <w:top w:val="single" w:color="auto" w:sz="4" w:space="0"/>
                    <w:left w:val="single" w:color="auto" w:sz="4" w:space="0"/>
                    <w:bottom w:val="single" w:color="auto" w:sz="4" w:space="0"/>
                    <w:right w:val="single" w:color="auto" w:sz="4" w:space="0"/>
                  </w:tcBorders>
                  <w:vAlign w:val="center"/>
                </w:tcPr>
                <w:p w14:paraId="70419967">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标准限值</w:t>
                  </w:r>
                </w:p>
              </w:tc>
              <w:tc>
                <w:tcPr>
                  <w:tcW w:w="3207" w:type="dxa"/>
                  <w:tcBorders>
                    <w:top w:val="single" w:color="auto" w:sz="4" w:space="0"/>
                    <w:left w:val="single" w:color="auto" w:sz="4" w:space="0"/>
                    <w:bottom w:val="single" w:color="auto" w:sz="4" w:space="0"/>
                    <w:right w:val="single" w:color="auto" w:sz="4" w:space="0"/>
                  </w:tcBorders>
                  <w:vAlign w:val="center"/>
                </w:tcPr>
                <w:p w14:paraId="720F38E9">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依据</w:t>
                  </w:r>
                </w:p>
              </w:tc>
            </w:tr>
            <w:tr w14:paraId="5F66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1406" w:type="dxa"/>
                  <w:tcBorders>
                    <w:top w:val="single" w:color="auto" w:sz="4" w:space="0"/>
                    <w:left w:val="single" w:color="auto" w:sz="4" w:space="0"/>
                    <w:right w:val="single" w:color="auto" w:sz="4" w:space="0"/>
                  </w:tcBorders>
                  <w:vAlign w:val="center"/>
                </w:tcPr>
                <w:p w14:paraId="2D076F49">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有组织</w:t>
                  </w:r>
                </w:p>
              </w:tc>
              <w:tc>
                <w:tcPr>
                  <w:tcW w:w="1062" w:type="dxa"/>
                  <w:tcBorders>
                    <w:top w:val="single" w:color="auto" w:sz="4" w:space="0"/>
                    <w:left w:val="single" w:color="auto" w:sz="4" w:space="0"/>
                    <w:right w:val="single" w:color="auto" w:sz="4" w:space="0"/>
                  </w:tcBorders>
                  <w:vAlign w:val="center"/>
                </w:tcPr>
                <w:p w14:paraId="778F2466">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臭气浓度</w:t>
                  </w:r>
                </w:p>
              </w:tc>
              <w:tc>
                <w:tcPr>
                  <w:tcW w:w="1465" w:type="dxa"/>
                  <w:tcBorders>
                    <w:top w:val="single" w:color="auto" w:sz="4" w:space="0"/>
                    <w:left w:val="single" w:color="auto" w:sz="4" w:space="0"/>
                    <w:right w:val="single" w:color="auto" w:sz="4" w:space="0"/>
                  </w:tcBorders>
                  <w:vAlign w:val="center"/>
                </w:tcPr>
                <w:p w14:paraId="5C892A8D">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无量纲</w:t>
                  </w:r>
                </w:p>
              </w:tc>
              <w:tc>
                <w:tcPr>
                  <w:tcW w:w="1379" w:type="dxa"/>
                  <w:tcBorders>
                    <w:top w:val="single" w:color="auto" w:sz="4" w:space="0"/>
                    <w:left w:val="single" w:color="auto" w:sz="4" w:space="0"/>
                    <w:bottom w:val="single" w:color="auto" w:sz="4" w:space="0"/>
                    <w:right w:val="single" w:color="auto" w:sz="4" w:space="0"/>
                  </w:tcBorders>
                  <w:vAlign w:val="center"/>
                </w:tcPr>
                <w:p w14:paraId="6EFA2A33">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2000</w:t>
                  </w:r>
                </w:p>
              </w:tc>
              <w:tc>
                <w:tcPr>
                  <w:tcW w:w="3207" w:type="dxa"/>
                  <w:vMerge w:val="restart"/>
                  <w:tcBorders>
                    <w:top w:val="single" w:color="auto" w:sz="4" w:space="0"/>
                    <w:left w:val="single" w:color="auto" w:sz="4" w:space="0"/>
                    <w:right w:val="single" w:color="auto" w:sz="4" w:space="0"/>
                  </w:tcBorders>
                  <w:vAlign w:val="center"/>
                </w:tcPr>
                <w:p w14:paraId="2AE73D40">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（GB14554-93）中二级标准</w:t>
                  </w:r>
                </w:p>
              </w:tc>
            </w:tr>
            <w:tr w14:paraId="409D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1406" w:type="dxa"/>
                  <w:tcBorders>
                    <w:top w:val="single" w:color="auto" w:sz="4" w:space="0"/>
                    <w:left w:val="single" w:color="auto" w:sz="4" w:space="0"/>
                    <w:right w:val="single" w:color="auto" w:sz="4" w:space="0"/>
                  </w:tcBorders>
                  <w:vAlign w:val="center"/>
                </w:tcPr>
                <w:p w14:paraId="250A2DB3">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lang w:val="en-US" w:eastAsia="zh-CN"/>
                    </w:rPr>
                    <w:t>无组织</w:t>
                  </w:r>
                </w:p>
              </w:tc>
              <w:tc>
                <w:tcPr>
                  <w:tcW w:w="1062" w:type="dxa"/>
                  <w:tcBorders>
                    <w:top w:val="single" w:color="auto" w:sz="4" w:space="0"/>
                    <w:left w:val="single" w:color="auto" w:sz="4" w:space="0"/>
                    <w:right w:val="single" w:color="auto" w:sz="4" w:space="0"/>
                  </w:tcBorders>
                  <w:vAlign w:val="center"/>
                </w:tcPr>
                <w:p w14:paraId="6732E10D">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臭气浓度</w:t>
                  </w:r>
                </w:p>
              </w:tc>
              <w:tc>
                <w:tcPr>
                  <w:tcW w:w="1465" w:type="dxa"/>
                  <w:tcBorders>
                    <w:top w:val="single" w:color="auto" w:sz="4" w:space="0"/>
                    <w:left w:val="single" w:color="auto" w:sz="4" w:space="0"/>
                    <w:right w:val="single" w:color="auto" w:sz="4" w:space="0"/>
                  </w:tcBorders>
                  <w:vAlign w:val="center"/>
                </w:tcPr>
                <w:p w14:paraId="3C4923E7">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无量纲</w:t>
                  </w:r>
                </w:p>
              </w:tc>
              <w:tc>
                <w:tcPr>
                  <w:tcW w:w="1379" w:type="dxa"/>
                  <w:tcBorders>
                    <w:top w:val="single" w:color="auto" w:sz="4" w:space="0"/>
                    <w:left w:val="single" w:color="auto" w:sz="4" w:space="0"/>
                    <w:bottom w:val="single" w:color="auto" w:sz="4" w:space="0"/>
                    <w:right w:val="single" w:color="auto" w:sz="4" w:space="0"/>
                  </w:tcBorders>
                  <w:vAlign w:val="center"/>
                </w:tcPr>
                <w:p w14:paraId="313C3FEF">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20</w:t>
                  </w:r>
                </w:p>
              </w:tc>
              <w:tc>
                <w:tcPr>
                  <w:tcW w:w="3207" w:type="dxa"/>
                  <w:vMerge w:val="continue"/>
                  <w:tcBorders>
                    <w:left w:val="single" w:color="auto" w:sz="4" w:space="0"/>
                    <w:right w:val="single" w:color="auto" w:sz="4" w:space="0"/>
                  </w:tcBorders>
                  <w:vAlign w:val="center"/>
                </w:tcPr>
                <w:p w14:paraId="3BC8113C">
                  <w:pPr>
                    <w:shd w:val="clear"/>
                    <w:jc w:val="center"/>
                    <w:rPr>
                      <w:rFonts w:hint="default" w:ascii="Times New Roman" w:hAnsi="Times New Roman" w:eastAsia="宋体" w:cs="Times New Roman"/>
                      <w:bCs/>
                      <w:color w:val="auto"/>
                      <w:szCs w:val="21"/>
                      <w:highlight w:val="none"/>
                    </w:rPr>
                  </w:pPr>
                </w:p>
              </w:tc>
            </w:tr>
          </w:tbl>
          <w:p w14:paraId="7A4AF48F">
            <w:pPr>
              <w:pStyle w:val="6"/>
              <w:keepNext w:val="0"/>
              <w:keepLines w:val="0"/>
              <w:pageBreakBefore w:val="0"/>
              <w:widowControl w:val="0"/>
              <w:shd w:val="clear"/>
              <w:kinsoku/>
              <w:wordWrap/>
              <w:overflowPunct/>
              <w:topLinePunct w:val="0"/>
              <w:autoSpaceDE/>
              <w:autoSpaceDN/>
              <w:bidi w:val="0"/>
              <w:adjustRightInd w:val="0"/>
              <w:spacing w:before="0" w:after="0" w:line="336" w:lineRule="auto"/>
              <w:ind w:right="0" w:firstLine="480" w:firstLineChars="200"/>
              <w:textAlignment w:val="auto"/>
              <w:rPr>
                <w:rFonts w:hint="default" w:ascii="Times New Roman" w:hAnsi="Times New Roman" w:eastAsia="宋体" w:cs="Times New Roman"/>
                <w:b w:val="0"/>
                <w:bCs w:val="0"/>
                <w:color w:val="auto"/>
                <w:sz w:val="24"/>
                <w:highlight w:val="none"/>
                <w:lang w:val="en-US" w:eastAsia="zh-CN"/>
              </w:rPr>
            </w:pPr>
            <w:r>
              <w:rPr>
                <w:rFonts w:hint="eastAsia" w:cs="Times New Roman"/>
                <w:b w:val="0"/>
                <w:bCs w:val="0"/>
                <w:color w:val="auto"/>
                <w:sz w:val="24"/>
                <w:highlight w:val="none"/>
                <w:lang w:val="en-US" w:eastAsia="zh-CN"/>
              </w:rPr>
              <w:t>⑤</w:t>
            </w:r>
            <w:r>
              <w:rPr>
                <w:rFonts w:hint="default" w:ascii="Times New Roman" w:hAnsi="Times New Roman" w:eastAsia="宋体" w:cs="Times New Roman"/>
                <w:b w:val="0"/>
                <w:bCs w:val="0"/>
                <w:color w:val="auto"/>
                <w:sz w:val="24"/>
                <w:highlight w:val="none"/>
                <w:lang w:val="en-US" w:eastAsia="zh-CN"/>
              </w:rPr>
              <w:t>食堂油烟</w:t>
            </w:r>
          </w:p>
          <w:p w14:paraId="067F5E85">
            <w:pPr>
              <w:pStyle w:val="6"/>
              <w:keepNext w:val="0"/>
              <w:keepLines w:val="0"/>
              <w:pageBreakBefore w:val="0"/>
              <w:widowControl w:val="0"/>
              <w:shd w:val="clear"/>
              <w:kinsoku/>
              <w:wordWrap/>
              <w:overflowPunct/>
              <w:topLinePunct w:val="0"/>
              <w:autoSpaceDE/>
              <w:autoSpaceDN/>
              <w:bidi w:val="0"/>
              <w:adjustRightInd w:val="0"/>
              <w:spacing w:before="0" w:after="0" w:line="336"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项目运营期食堂油烟排放执行《饮食业油烟排放标准（试行）》（GB18483-2001）中的</w:t>
            </w:r>
            <w:r>
              <w:rPr>
                <w:rFonts w:hint="default" w:ascii="Times New Roman" w:hAnsi="Times New Roman" w:eastAsia="宋体" w:cs="Times New Roman"/>
                <w:color w:val="auto"/>
                <w:sz w:val="24"/>
                <w:szCs w:val="24"/>
                <w:highlight w:val="none"/>
                <w:lang w:val="en-US" w:eastAsia="zh-CN"/>
              </w:rPr>
              <w:t>小型规模</w:t>
            </w:r>
            <w:r>
              <w:rPr>
                <w:rFonts w:hint="default" w:ascii="Times New Roman" w:hAnsi="Times New Roman" w:eastAsia="宋体" w:cs="Times New Roman"/>
                <w:color w:val="auto"/>
                <w:sz w:val="24"/>
                <w:szCs w:val="24"/>
                <w:highlight w:val="none"/>
              </w:rPr>
              <w:t>最高允许排放浓度，即油烟</w:t>
            </w:r>
            <w:r>
              <w:rPr>
                <w:rFonts w:hint="default" w:ascii="Times New Roman" w:hAnsi="Times New Roman" w:eastAsia="宋体" w:cs="Times New Roman"/>
                <w:color w:val="auto"/>
                <w:sz w:val="24"/>
                <w:szCs w:val="24"/>
                <w:highlight w:val="none"/>
                <w:lang w:val="en-US" w:eastAsia="zh-CN"/>
              </w:rPr>
              <w:t>排放浓度</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.0mg/m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Cs w:val="0"/>
                <w:color w:val="auto"/>
                <w:sz w:val="24"/>
                <w:szCs w:val="24"/>
                <w:highlight w:val="none"/>
              </w:rPr>
              <w:t>净化设施最低去除效率</w:t>
            </w:r>
            <w:r>
              <w:rPr>
                <w:rFonts w:hint="default" w:ascii="Times New Roman" w:hAnsi="Times New Roman" w:eastAsia="宋体" w:cs="Times New Roman"/>
                <w:bCs w:val="0"/>
                <w:color w:val="auto"/>
                <w:sz w:val="24"/>
                <w:szCs w:val="24"/>
                <w:highlight w:val="none"/>
                <w:lang w:val="en-US" w:eastAsia="zh-CN"/>
              </w:rPr>
              <w:t>60%</w:t>
            </w:r>
            <w:r>
              <w:rPr>
                <w:rFonts w:hint="default" w:ascii="Times New Roman" w:hAnsi="Times New Roman" w:eastAsia="宋体" w:cs="Times New Roman"/>
                <w:bCs w:val="0"/>
                <w:color w:val="auto"/>
                <w:sz w:val="24"/>
                <w:szCs w:val="24"/>
                <w:highlight w:val="none"/>
                <w:lang w:eastAsia="zh-CN"/>
              </w:rPr>
              <w:t>。</w:t>
            </w:r>
          </w:p>
          <w:p w14:paraId="0984501A">
            <w:pPr>
              <w:pStyle w:val="17"/>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3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2、废水</w:t>
            </w:r>
          </w:p>
          <w:p w14:paraId="233FEEB8">
            <w:pPr>
              <w:pStyle w:val="72"/>
              <w:adjustRightInd w:val="0"/>
              <w:snapToGrid w:val="0"/>
              <w:ind w:firstLine="600" w:firstLineChars="25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highlight w:val="none"/>
                <w:lang w:val="en-US" w:eastAsia="zh-CN"/>
              </w:rPr>
              <w:t>冷却废水经循环水冷却池冷却后循环使用，不外排；食堂废水经隔油池处理后，与生活污水一同进入</w:t>
            </w:r>
            <w:r>
              <w:rPr>
                <w:rFonts w:hint="eastAsia" w:ascii="Times New Roman" w:hAnsi="Times New Roman" w:eastAsia="宋体" w:cs="Times New Roman"/>
                <w:color w:val="auto"/>
                <w:sz w:val="24"/>
                <w:szCs w:val="24"/>
                <w:highlight w:val="none"/>
                <w:lang w:val="en-US" w:eastAsia="zh-CN"/>
              </w:rPr>
              <w:t>依托的</w:t>
            </w:r>
            <w:r>
              <w:rPr>
                <w:rFonts w:hint="default" w:ascii="Times New Roman" w:hAnsi="Times New Roman" w:eastAsia="宋体" w:cs="Times New Roman"/>
                <w:color w:val="auto"/>
                <w:sz w:val="24"/>
                <w:szCs w:val="24"/>
                <w:highlight w:val="none"/>
                <w:lang w:val="en-US" w:eastAsia="zh-CN"/>
              </w:rPr>
              <w:t>化粪池处理</w:t>
            </w:r>
            <w:r>
              <w:rPr>
                <w:rFonts w:hint="eastAsia" w:ascii="Times New Roman" w:hAnsi="Times New Roman" w:eastAsia="宋体" w:cs="Times New Roman"/>
                <w:color w:val="auto"/>
                <w:sz w:val="24"/>
                <w:szCs w:val="24"/>
                <w:highlight w:val="none"/>
                <w:lang w:val="en-US" w:eastAsia="zh-CN"/>
              </w:rPr>
              <w:t>后</w:t>
            </w:r>
            <w:r>
              <w:rPr>
                <w:rFonts w:hint="default" w:ascii="Times New Roman" w:hAnsi="Times New Roman" w:eastAsia="宋体" w:cs="Times New Roman"/>
                <w:color w:val="auto"/>
                <w:sz w:val="24"/>
                <w:szCs w:val="24"/>
                <w:highlight w:val="none"/>
                <w:lang w:val="en-US" w:eastAsia="zh-CN"/>
              </w:rPr>
              <w:t>再进入到厂区</w:t>
            </w:r>
            <w:r>
              <w:rPr>
                <w:rFonts w:hint="eastAsia" w:ascii="Times New Roman" w:hAnsi="Times New Roman" w:eastAsia="宋体" w:cs="Times New Roman"/>
                <w:color w:val="auto"/>
                <w:sz w:val="24"/>
                <w:szCs w:val="24"/>
                <w:highlight w:val="none"/>
                <w:lang w:val="en-US" w:eastAsia="zh-CN"/>
              </w:rPr>
              <w:t>依托的一体化污水处理站</w:t>
            </w:r>
            <w:r>
              <w:rPr>
                <w:rFonts w:hint="default" w:ascii="Times New Roman" w:hAnsi="Times New Roman" w:eastAsia="宋体" w:cs="Times New Roman"/>
                <w:color w:val="auto"/>
                <w:sz w:val="24"/>
                <w:szCs w:val="24"/>
                <w:highlight w:val="none"/>
                <w:lang w:val="en-US" w:eastAsia="zh-CN"/>
              </w:rPr>
              <w:t>处理后，达到《城市污水再生利用 城市杂用水水质》（GB/T18920-2020）中的城市绿化、道路清扫、消防、建筑施工标准后，用于项目区内绿化及道路场地洒水降尘，不外排。</w:t>
            </w:r>
          </w:p>
          <w:p w14:paraId="7754276E">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highlight w:val="none"/>
                <w:lang w:val="en-US" w:eastAsia="zh-CN"/>
              </w:rPr>
              <w:t>生活污水执行标准值见表3-</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w:t>
            </w:r>
          </w:p>
          <w:p w14:paraId="3B509836">
            <w:pPr>
              <w:shd w:val="clear" w:color="auto" w:fill="auto"/>
              <w:spacing w:line="240" w:lineRule="auto"/>
              <w:ind w:firstLine="0" w:firstLineChars="0"/>
              <w:jc w:val="center"/>
              <w:rPr>
                <w:rFonts w:hint="default" w:ascii="Times New Roman" w:hAnsi="Times New Roman" w:eastAsia="宋体" w:cs="Times New Roman"/>
                <w:b/>
                <w:bCs/>
                <w:color w:val="auto"/>
                <w:sz w:val="21"/>
                <w:szCs w:val="21"/>
                <w:highlight w:val="none"/>
                <w:lang w:val="en-US" w:bidi="ar"/>
              </w:rPr>
            </w:pPr>
            <w:r>
              <w:rPr>
                <w:rFonts w:hint="default" w:ascii="Times New Roman" w:hAnsi="Times New Roman" w:eastAsia="宋体" w:cs="Times New Roman"/>
                <w:b/>
                <w:bCs/>
                <w:color w:val="auto"/>
                <w:sz w:val="21"/>
                <w:szCs w:val="21"/>
                <w:highlight w:val="none"/>
                <w:lang w:bidi="ar"/>
              </w:rPr>
              <w:t>表</w:t>
            </w:r>
            <w:r>
              <w:rPr>
                <w:rFonts w:hint="default" w:ascii="Times New Roman" w:hAnsi="Times New Roman" w:eastAsia="宋体" w:cs="Times New Roman"/>
                <w:b/>
                <w:bCs/>
                <w:color w:val="auto"/>
                <w:sz w:val="21"/>
                <w:szCs w:val="21"/>
                <w:highlight w:val="none"/>
                <w:lang w:val="en-US" w:eastAsia="zh-CN" w:bidi="ar"/>
              </w:rPr>
              <w:t>3-</w:t>
            </w:r>
            <w:r>
              <w:rPr>
                <w:rFonts w:hint="eastAsia" w:cs="Times New Roman"/>
                <w:b/>
                <w:bCs/>
                <w:color w:val="auto"/>
                <w:sz w:val="21"/>
                <w:szCs w:val="21"/>
                <w:highlight w:val="none"/>
                <w:lang w:val="en-US" w:eastAsia="zh-CN" w:bidi="ar"/>
              </w:rPr>
              <w:t>8</w:t>
            </w:r>
            <w:r>
              <w:rPr>
                <w:rFonts w:hint="default" w:ascii="Times New Roman" w:hAnsi="Times New Roman" w:eastAsia="宋体" w:cs="Times New Roman"/>
                <w:b/>
                <w:bCs/>
                <w:color w:val="auto"/>
                <w:sz w:val="21"/>
                <w:szCs w:val="21"/>
                <w:highlight w:val="none"/>
                <w:lang w:bidi="ar"/>
              </w:rPr>
              <w:t xml:space="preserve"> </w:t>
            </w:r>
            <w:r>
              <w:rPr>
                <w:rFonts w:hint="default" w:ascii="Times New Roman" w:hAnsi="Times New Roman" w:eastAsia="宋体" w:cs="Times New Roman"/>
                <w:b/>
                <w:bCs/>
                <w:color w:val="auto"/>
                <w:sz w:val="21"/>
                <w:szCs w:val="21"/>
                <w:highlight w:val="none"/>
                <w:lang w:val="en-US" w:eastAsia="zh-CN" w:bidi="ar"/>
              </w:rPr>
              <w:t xml:space="preserve"> 城市污水再生利用 城市杂用水水质</w:t>
            </w:r>
          </w:p>
          <w:tbl>
            <w:tblPr>
              <w:tblStyle w:val="26"/>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210"/>
            </w:tblGrid>
            <w:tr w14:paraId="6B9B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340263AF">
                  <w:pPr>
                    <w:pStyle w:val="43"/>
                    <w:shd w:val="clear" w:color="auto" w:fill="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项目</w:t>
                  </w:r>
                </w:p>
              </w:tc>
              <w:tc>
                <w:tcPr>
                  <w:tcW w:w="4210" w:type="dxa"/>
                  <w:vAlign w:val="center"/>
                </w:tcPr>
                <w:p w14:paraId="79B41CF7">
                  <w:pPr>
                    <w:pStyle w:val="43"/>
                    <w:shd w:val="clear" w:color="auto" w:fill="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城市绿化、道路清扫、消防、建筑施工</w:t>
                  </w:r>
                </w:p>
              </w:tc>
            </w:tr>
            <w:tr w14:paraId="0E8D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40271BA1">
                  <w:pPr>
                    <w:shd w:val="clear" w:color="auto" w:fill="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pH</w:t>
                  </w:r>
                </w:p>
              </w:tc>
              <w:tc>
                <w:tcPr>
                  <w:tcW w:w="4210" w:type="dxa"/>
                  <w:vAlign w:val="center"/>
                </w:tcPr>
                <w:p w14:paraId="5DD9DC6F">
                  <w:pPr>
                    <w:pStyle w:val="43"/>
                    <w:shd w:val="clear" w:color="auto" w:fill="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6.0~9.0</w:t>
                  </w:r>
                </w:p>
              </w:tc>
            </w:tr>
            <w:tr w14:paraId="241D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65A4B34B">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色度≤</w:t>
                  </w:r>
                </w:p>
              </w:tc>
              <w:tc>
                <w:tcPr>
                  <w:tcW w:w="4210" w:type="dxa"/>
                  <w:vAlign w:val="center"/>
                </w:tcPr>
                <w:p w14:paraId="5063042E">
                  <w:pPr>
                    <w:pStyle w:val="43"/>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r>
            <w:tr w14:paraId="7D3A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1C28FC0A">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嗅</w:t>
                  </w:r>
                </w:p>
              </w:tc>
              <w:tc>
                <w:tcPr>
                  <w:tcW w:w="4210" w:type="dxa"/>
                  <w:vAlign w:val="center"/>
                </w:tcPr>
                <w:p w14:paraId="0373B6B6">
                  <w:pPr>
                    <w:pStyle w:val="43"/>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无不快感</w:t>
                  </w:r>
                </w:p>
              </w:tc>
            </w:tr>
            <w:tr w14:paraId="5129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64BA423B">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浊度/NTU≤</w:t>
                  </w:r>
                </w:p>
              </w:tc>
              <w:tc>
                <w:tcPr>
                  <w:tcW w:w="4210" w:type="dxa"/>
                  <w:vAlign w:val="center"/>
                </w:tcPr>
                <w:p w14:paraId="7ED579D8">
                  <w:pPr>
                    <w:pStyle w:val="43"/>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r>
            <w:tr w14:paraId="5A61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14:paraId="21B9C0C3">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五日生化需氧量（BOD</w:t>
                  </w:r>
                  <w:r>
                    <w:rPr>
                      <w:rFonts w:hint="default" w:ascii="Times New Roman" w:hAnsi="Times New Roman" w:eastAsia="宋体" w:cs="Times New Roman"/>
                      <w:color w:val="auto"/>
                      <w:sz w:val="21"/>
                      <w:szCs w:val="21"/>
                      <w:highlight w:val="none"/>
                      <w:vertAlign w:val="subscript"/>
                      <w:lang w:val="en-US" w:eastAsia="zh-CN"/>
                    </w:rPr>
                    <w:t>5</w:t>
                  </w:r>
                  <w:r>
                    <w:rPr>
                      <w:rFonts w:hint="default" w:ascii="Times New Roman" w:hAnsi="Times New Roman" w:eastAsia="宋体" w:cs="Times New Roman"/>
                      <w:color w:val="auto"/>
                      <w:sz w:val="21"/>
                      <w:szCs w:val="21"/>
                      <w:highlight w:val="none"/>
                      <w:lang w:val="en-US" w:eastAsia="zh-CN"/>
                    </w:rPr>
                    <w:t>）/（mg/L）≤</w:t>
                  </w:r>
                </w:p>
              </w:tc>
              <w:tc>
                <w:tcPr>
                  <w:tcW w:w="4210" w:type="dxa"/>
                  <w:vAlign w:val="center"/>
                </w:tcPr>
                <w:p w14:paraId="394723CA">
                  <w:pPr>
                    <w:pStyle w:val="43"/>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r>
            <w:tr w14:paraId="5461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14:paraId="44DFB36C">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氨氮/（mg/L）≤</w:t>
                  </w:r>
                </w:p>
              </w:tc>
              <w:tc>
                <w:tcPr>
                  <w:tcW w:w="4210" w:type="dxa"/>
                  <w:vAlign w:val="center"/>
                </w:tcPr>
                <w:p w14:paraId="1C72DFB5">
                  <w:pPr>
                    <w:pStyle w:val="43"/>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r>
            <w:tr w14:paraId="23E8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14:paraId="201213AB">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阴离子表面活性剂/（mg/L）≤</w:t>
                  </w:r>
                </w:p>
              </w:tc>
              <w:tc>
                <w:tcPr>
                  <w:tcW w:w="4210" w:type="dxa"/>
                  <w:vAlign w:val="center"/>
                </w:tcPr>
                <w:p w14:paraId="14142999">
                  <w:pPr>
                    <w:pStyle w:val="43"/>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w:t>
                  </w:r>
                </w:p>
              </w:tc>
            </w:tr>
            <w:tr w14:paraId="1D5A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14:paraId="26E4D02A">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溶解性总固体/（mg/L）≤</w:t>
                  </w:r>
                </w:p>
              </w:tc>
              <w:tc>
                <w:tcPr>
                  <w:tcW w:w="4210" w:type="dxa"/>
                  <w:vAlign w:val="center"/>
                </w:tcPr>
                <w:p w14:paraId="120FE5E9">
                  <w:pPr>
                    <w:pStyle w:val="43"/>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1000（2000）</w:t>
                  </w:r>
                  <w:r>
                    <w:rPr>
                      <w:rFonts w:hint="default" w:ascii="Times New Roman" w:hAnsi="Times New Roman" w:eastAsia="宋体" w:cs="Times New Roman"/>
                      <w:color w:val="auto"/>
                      <w:sz w:val="21"/>
                      <w:szCs w:val="21"/>
                      <w:highlight w:val="none"/>
                      <w:vertAlign w:val="superscript"/>
                      <w:lang w:val="en-US" w:eastAsia="zh-CN"/>
                    </w:rPr>
                    <w:t>a</w:t>
                  </w:r>
                </w:p>
              </w:tc>
            </w:tr>
            <w:tr w14:paraId="346C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14:paraId="22FC32A0">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溶解氧/（mg/L）≤</w:t>
                  </w:r>
                </w:p>
              </w:tc>
              <w:tc>
                <w:tcPr>
                  <w:tcW w:w="4210" w:type="dxa"/>
                  <w:vAlign w:val="center"/>
                </w:tcPr>
                <w:p w14:paraId="0F8DE392">
                  <w:pPr>
                    <w:pStyle w:val="43"/>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r>
            <w:tr w14:paraId="25A1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14:paraId="150D44E2">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总氯/（mg/L）≤</w:t>
                  </w:r>
                </w:p>
              </w:tc>
              <w:tc>
                <w:tcPr>
                  <w:tcW w:w="4210" w:type="dxa"/>
                  <w:vAlign w:val="center"/>
                </w:tcPr>
                <w:p w14:paraId="306B16F1">
                  <w:pPr>
                    <w:pStyle w:val="43"/>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1.0（出厂），0.2</w:t>
                  </w:r>
                  <w:r>
                    <w:rPr>
                      <w:rFonts w:hint="default" w:ascii="Times New Roman" w:hAnsi="Times New Roman" w:eastAsia="宋体" w:cs="Times New Roman"/>
                      <w:color w:val="auto"/>
                      <w:sz w:val="21"/>
                      <w:szCs w:val="21"/>
                      <w:highlight w:val="none"/>
                      <w:vertAlign w:val="superscript"/>
                      <w:lang w:val="en-US" w:eastAsia="zh-CN"/>
                    </w:rPr>
                    <w:t>b</w:t>
                  </w:r>
                  <w:r>
                    <w:rPr>
                      <w:rFonts w:hint="default" w:ascii="Times New Roman" w:hAnsi="Times New Roman" w:eastAsia="宋体" w:cs="Times New Roman"/>
                      <w:color w:val="auto"/>
                      <w:sz w:val="21"/>
                      <w:szCs w:val="21"/>
                      <w:highlight w:val="none"/>
                      <w:lang w:val="en-US" w:eastAsia="zh-CN"/>
                    </w:rPr>
                    <w:t>（管网末端）</w:t>
                  </w:r>
                </w:p>
              </w:tc>
            </w:tr>
            <w:tr w14:paraId="37BC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8413" w:type="dxa"/>
                  <w:gridSpan w:val="2"/>
                  <w:vAlign w:val="center"/>
                </w:tcPr>
                <w:p w14:paraId="1E89E9E0">
                  <w:pPr>
                    <w:pStyle w:val="43"/>
                    <w:shd w:val="clear" w:color="auto" w:fill="auto"/>
                    <w:ind w:firstLine="0" w:firstLineChars="0"/>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a 括号内指标值为沿海及本地水源中溶解性固体含量较高的区域的指标。</w:t>
                  </w:r>
                </w:p>
                <w:p w14:paraId="0917D40F">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b 用于城市绿化时，不应超过2.5mg/L。</w:t>
                  </w:r>
                </w:p>
              </w:tc>
            </w:tr>
          </w:tbl>
          <w:p w14:paraId="58BCB2E4">
            <w:pPr>
              <w:pStyle w:val="17"/>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3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3、噪声</w:t>
            </w:r>
          </w:p>
          <w:p w14:paraId="228CE2BC">
            <w:pPr>
              <w:keepNext w:val="0"/>
              <w:keepLines w:val="0"/>
              <w:pageBreakBefore w:val="0"/>
              <w:widowControl w:val="0"/>
              <w:shd w:val="clear"/>
              <w:kinsoku/>
              <w:wordWrap/>
              <w:overflowPunct/>
              <w:topLinePunct w:val="0"/>
              <w:autoSpaceDE/>
              <w:autoSpaceDN/>
              <w:bidi w:val="0"/>
              <w:adjustRightInd w:val="0"/>
              <w:snapToGrid w:val="0"/>
              <w:spacing w:line="336"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施工期</w:t>
            </w:r>
          </w:p>
          <w:p w14:paraId="1D5579B8">
            <w:pPr>
              <w:keepNext w:val="0"/>
              <w:keepLines w:val="0"/>
              <w:pageBreakBefore w:val="0"/>
              <w:widowControl w:val="0"/>
              <w:shd w:val="clear"/>
              <w:kinsoku/>
              <w:wordWrap/>
              <w:overflowPunct/>
              <w:topLinePunct w:val="0"/>
              <w:autoSpaceDE/>
              <w:autoSpaceDN/>
              <w:bidi w:val="0"/>
              <w:adjustRightInd w:val="0"/>
              <w:snapToGrid w:val="0"/>
              <w:spacing w:line="336" w:lineRule="auto"/>
              <w:ind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项目施工期噪声执行</w:t>
            </w:r>
            <w:r>
              <w:rPr>
                <w:rFonts w:hint="default" w:ascii="Times New Roman" w:hAnsi="Times New Roman" w:eastAsia="宋体" w:cs="Times New Roman"/>
                <w:color w:val="auto"/>
                <w:kern w:val="0"/>
                <w:sz w:val="24"/>
                <w:highlight w:val="none"/>
              </w:rPr>
              <w:t>《建筑施工场界环境噪声排放标准》</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GB12523-2011</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标准限值见表</w:t>
            </w:r>
            <w:r>
              <w:rPr>
                <w:rFonts w:hint="default" w:ascii="Times New Roman" w:hAnsi="Times New Roman" w:eastAsia="宋体" w:cs="Times New Roman"/>
                <w:color w:val="auto"/>
                <w:kern w:val="0"/>
                <w:sz w:val="24"/>
                <w:highlight w:val="none"/>
                <w:lang w:val="en-US" w:eastAsia="zh-CN"/>
              </w:rPr>
              <w:t>3-</w:t>
            </w:r>
            <w:r>
              <w:rPr>
                <w:rFonts w:hint="eastAsia" w:cs="Times New Roman"/>
                <w:color w:val="auto"/>
                <w:kern w:val="0"/>
                <w:sz w:val="24"/>
                <w:highlight w:val="none"/>
                <w:lang w:val="en-US" w:eastAsia="zh-CN"/>
              </w:rPr>
              <w:t>9</w:t>
            </w:r>
            <w:r>
              <w:rPr>
                <w:rFonts w:hint="default" w:ascii="Times New Roman" w:hAnsi="Times New Roman" w:eastAsia="宋体" w:cs="Times New Roman"/>
                <w:color w:val="auto"/>
                <w:kern w:val="0"/>
                <w:sz w:val="24"/>
                <w:highlight w:val="none"/>
              </w:rPr>
              <w:t>。</w:t>
            </w:r>
          </w:p>
          <w:p w14:paraId="6D46DDCE">
            <w:pPr>
              <w:shd w:val="clear"/>
              <w:adjustRightInd w:val="0"/>
              <w:snapToGrid w:val="0"/>
              <w:jc w:val="center"/>
              <w:textAlignment w:val="baseline"/>
              <w:rPr>
                <w:rFonts w:hint="default" w:ascii="Times New Roman" w:hAnsi="Times New Roman" w:eastAsia="宋体" w:cs="Times New Roman"/>
                <w:b/>
                <w:color w:val="auto"/>
                <w:highlight w:val="none"/>
                <w:lang w:eastAsia="zh-CN"/>
              </w:rPr>
            </w:pPr>
            <w:r>
              <w:rPr>
                <w:rFonts w:hint="default" w:ascii="Times New Roman" w:hAnsi="Times New Roman" w:eastAsia="宋体" w:cs="Times New Roman"/>
                <w:b/>
                <w:bCs/>
                <w:color w:val="auto"/>
                <w:highlight w:val="none"/>
              </w:rPr>
              <w:t>表</w:t>
            </w:r>
            <w:r>
              <w:rPr>
                <w:rFonts w:hint="default" w:ascii="Times New Roman" w:hAnsi="Times New Roman" w:eastAsia="宋体" w:cs="Times New Roman"/>
                <w:b/>
                <w:bCs/>
                <w:color w:val="auto"/>
                <w:highlight w:val="none"/>
                <w:lang w:val="en-US" w:eastAsia="zh-CN"/>
              </w:rPr>
              <w:t>3-</w:t>
            </w:r>
            <w:r>
              <w:rPr>
                <w:rFonts w:hint="eastAsia" w:cs="Times New Roman"/>
                <w:b/>
                <w:bCs/>
                <w:color w:val="auto"/>
                <w:highlight w:val="none"/>
                <w:lang w:val="en-US" w:eastAsia="zh-CN"/>
              </w:rPr>
              <w:t>9</w:t>
            </w:r>
            <w:r>
              <w:rPr>
                <w:rFonts w:hint="default" w:ascii="Times New Roman" w:hAnsi="Times New Roman" w:eastAsia="宋体" w:cs="Times New Roman"/>
                <w:b/>
                <w:bCs/>
                <w:color w:val="auto"/>
                <w:highlight w:val="none"/>
              </w:rPr>
              <w:t xml:space="preserve">  </w:t>
            </w:r>
            <w:r>
              <w:rPr>
                <w:rFonts w:hint="default" w:ascii="Times New Roman" w:hAnsi="Times New Roman" w:eastAsia="宋体" w:cs="Times New Roman"/>
                <w:b/>
                <w:color w:val="auto"/>
                <w:highlight w:val="none"/>
              </w:rPr>
              <w:t>建筑施工场界环境噪声排放标准   单位：dB</w:t>
            </w:r>
            <w:r>
              <w:rPr>
                <w:rFonts w:hint="default" w:ascii="Times New Roman" w:hAnsi="Times New Roman" w:eastAsia="宋体" w:cs="Times New Roman"/>
                <w:b/>
                <w:color w:val="auto"/>
                <w:highlight w:val="none"/>
                <w:lang w:eastAsia="zh-CN"/>
              </w:rPr>
              <w:t>（</w:t>
            </w:r>
            <w:r>
              <w:rPr>
                <w:rFonts w:hint="default" w:ascii="Times New Roman" w:hAnsi="Times New Roman" w:eastAsia="宋体" w:cs="Times New Roman"/>
                <w:b/>
                <w:color w:val="auto"/>
                <w:highlight w:val="none"/>
              </w:rPr>
              <w:t>A</w:t>
            </w:r>
            <w:r>
              <w:rPr>
                <w:rFonts w:hint="default" w:ascii="Times New Roman" w:hAnsi="Times New Roman" w:eastAsia="宋体" w:cs="Times New Roman"/>
                <w:b/>
                <w:color w:val="auto"/>
                <w:highlight w:val="none"/>
                <w:lang w:eastAsia="zh-CN"/>
              </w:rPr>
              <w:t>）</w:t>
            </w:r>
          </w:p>
          <w:tbl>
            <w:tblPr>
              <w:tblStyle w:val="26"/>
              <w:tblW w:w="84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634"/>
              <w:gridCol w:w="1453"/>
              <w:gridCol w:w="3788"/>
            </w:tblGrid>
            <w:tr w14:paraId="5440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582" w:type="dxa"/>
                  <w:noWrap w:val="0"/>
                  <w:vAlign w:val="center"/>
                </w:tcPr>
                <w:p w14:paraId="57958F5C">
                  <w:pPr>
                    <w:pStyle w:val="2"/>
                    <w:shd w:val="clear"/>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环境要素</w:t>
                  </w:r>
                </w:p>
              </w:tc>
              <w:tc>
                <w:tcPr>
                  <w:tcW w:w="3087" w:type="dxa"/>
                  <w:gridSpan w:val="2"/>
                  <w:noWrap w:val="0"/>
                  <w:vAlign w:val="center"/>
                </w:tcPr>
                <w:p w14:paraId="2D722683">
                  <w:pPr>
                    <w:pStyle w:val="2"/>
                    <w:shd w:val="clear"/>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标准值</w:t>
                  </w:r>
                </w:p>
              </w:tc>
              <w:tc>
                <w:tcPr>
                  <w:tcW w:w="3788" w:type="dxa"/>
                  <w:noWrap w:val="0"/>
                  <w:vAlign w:val="center"/>
                </w:tcPr>
                <w:p w14:paraId="1DD164BC">
                  <w:pPr>
                    <w:pStyle w:val="2"/>
                    <w:shd w:val="clear"/>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标准来源</w:t>
                  </w:r>
                </w:p>
              </w:tc>
            </w:tr>
            <w:tr w14:paraId="0A3C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582" w:type="dxa"/>
                  <w:vMerge w:val="restart"/>
                  <w:noWrap w:val="0"/>
                  <w:vAlign w:val="center"/>
                </w:tcPr>
                <w:p w14:paraId="36CE240F">
                  <w:pPr>
                    <w:pStyle w:val="2"/>
                    <w:shd w:val="clear"/>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噪声</w:t>
                  </w:r>
                </w:p>
              </w:tc>
              <w:tc>
                <w:tcPr>
                  <w:tcW w:w="1634" w:type="dxa"/>
                  <w:noWrap w:val="0"/>
                  <w:vAlign w:val="center"/>
                </w:tcPr>
                <w:p w14:paraId="32BA641D">
                  <w:pPr>
                    <w:pStyle w:val="2"/>
                    <w:shd w:val="clear"/>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昼间</w:t>
                  </w:r>
                </w:p>
              </w:tc>
              <w:tc>
                <w:tcPr>
                  <w:tcW w:w="1453" w:type="dxa"/>
                  <w:noWrap w:val="0"/>
                  <w:vAlign w:val="center"/>
                </w:tcPr>
                <w:p w14:paraId="44999EB0">
                  <w:pPr>
                    <w:pStyle w:val="2"/>
                    <w:shd w:val="clear"/>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夜间</w:t>
                  </w:r>
                </w:p>
              </w:tc>
              <w:tc>
                <w:tcPr>
                  <w:tcW w:w="3788" w:type="dxa"/>
                  <w:vMerge w:val="restart"/>
                  <w:noWrap w:val="0"/>
                  <w:vAlign w:val="center"/>
                </w:tcPr>
                <w:p w14:paraId="7256CD04">
                  <w:pPr>
                    <w:pStyle w:val="2"/>
                    <w:shd w:val="clear"/>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《建筑施工场界环境噪声排放标准》（</w:t>
                  </w:r>
                  <w:r>
                    <w:rPr>
                      <w:rFonts w:hint="default" w:ascii="Times New Roman" w:hAnsi="Times New Roman" w:eastAsia="宋体" w:cs="Times New Roman"/>
                      <w:bCs/>
                      <w:color w:val="auto"/>
                      <w:kern w:val="0"/>
                      <w:highlight w:val="none"/>
                    </w:rPr>
                    <w:t>GB12523－2011</w:t>
                  </w:r>
                  <w:r>
                    <w:rPr>
                      <w:rFonts w:hint="default" w:ascii="Times New Roman" w:hAnsi="Times New Roman" w:eastAsia="宋体" w:cs="Times New Roman"/>
                      <w:bCs/>
                      <w:color w:val="auto"/>
                      <w:highlight w:val="none"/>
                    </w:rPr>
                    <w:t>）表1中排放限值</w:t>
                  </w:r>
                </w:p>
              </w:tc>
            </w:tr>
            <w:tr w14:paraId="59C7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582" w:type="dxa"/>
                  <w:vMerge w:val="continue"/>
                  <w:noWrap w:val="0"/>
                  <w:vAlign w:val="center"/>
                </w:tcPr>
                <w:p w14:paraId="02CB417E">
                  <w:pPr>
                    <w:pStyle w:val="2"/>
                    <w:shd w:val="clear"/>
                    <w:spacing w:after="0"/>
                    <w:ind w:left="0" w:leftChars="0" w:firstLine="0" w:firstLineChars="0"/>
                    <w:jc w:val="center"/>
                    <w:rPr>
                      <w:rFonts w:hint="default" w:ascii="Times New Roman" w:hAnsi="Times New Roman" w:eastAsia="宋体" w:cs="Times New Roman"/>
                      <w:bCs/>
                      <w:color w:val="auto"/>
                      <w:highlight w:val="none"/>
                    </w:rPr>
                  </w:pPr>
                </w:p>
              </w:tc>
              <w:tc>
                <w:tcPr>
                  <w:tcW w:w="1634" w:type="dxa"/>
                  <w:noWrap w:val="0"/>
                  <w:vAlign w:val="center"/>
                </w:tcPr>
                <w:p w14:paraId="5ED0E6EA">
                  <w:pPr>
                    <w:pStyle w:val="2"/>
                    <w:shd w:val="clear"/>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70</w:t>
                  </w:r>
                </w:p>
              </w:tc>
              <w:tc>
                <w:tcPr>
                  <w:tcW w:w="1453" w:type="dxa"/>
                  <w:noWrap w:val="0"/>
                  <w:vAlign w:val="center"/>
                </w:tcPr>
                <w:p w14:paraId="13A1AC0E">
                  <w:pPr>
                    <w:pStyle w:val="2"/>
                    <w:shd w:val="clear"/>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55</w:t>
                  </w:r>
                </w:p>
              </w:tc>
              <w:tc>
                <w:tcPr>
                  <w:tcW w:w="3788" w:type="dxa"/>
                  <w:vMerge w:val="continue"/>
                  <w:noWrap w:val="0"/>
                  <w:vAlign w:val="center"/>
                </w:tcPr>
                <w:p w14:paraId="1D6C6579">
                  <w:pPr>
                    <w:pStyle w:val="2"/>
                    <w:shd w:val="clear"/>
                    <w:spacing w:after="0"/>
                    <w:ind w:left="0" w:leftChars="0" w:firstLine="0" w:firstLineChars="0"/>
                    <w:jc w:val="center"/>
                    <w:rPr>
                      <w:rFonts w:hint="default" w:ascii="Times New Roman" w:hAnsi="Times New Roman" w:eastAsia="宋体" w:cs="Times New Roman"/>
                      <w:bCs/>
                      <w:color w:val="auto"/>
                      <w:sz w:val="24"/>
                      <w:highlight w:val="none"/>
                    </w:rPr>
                  </w:pPr>
                </w:p>
              </w:tc>
            </w:tr>
          </w:tbl>
          <w:p w14:paraId="5BBFC6ED">
            <w:pPr>
              <w:keepNext w:val="0"/>
              <w:keepLines w:val="0"/>
              <w:pageBreakBefore w:val="0"/>
              <w:widowControl w:val="0"/>
              <w:shd w:val="clear"/>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（2）运营期</w:t>
            </w:r>
          </w:p>
          <w:p w14:paraId="625806EA">
            <w:pPr>
              <w:keepNext w:val="0"/>
              <w:keepLines w:val="0"/>
              <w:pageBreakBefore w:val="0"/>
              <w:widowControl w:val="0"/>
              <w:shd w:val="clear"/>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auto"/>
                <w:sz w:val="24"/>
                <w:highlight w:val="none"/>
                <w:lang w:val="en-US" w:eastAsia="zh-CN"/>
              </w:rPr>
              <w:t>项目</w:t>
            </w:r>
            <w:r>
              <w:rPr>
                <w:rFonts w:hint="default" w:ascii="Times New Roman" w:hAnsi="Times New Roman" w:eastAsia="宋体" w:cs="Times New Roman"/>
                <w:color w:val="auto"/>
                <w:sz w:val="24"/>
                <w:highlight w:val="none"/>
              </w:rPr>
              <w:t>营运期</w:t>
            </w:r>
            <w:r>
              <w:rPr>
                <w:rFonts w:hint="default" w:ascii="Times New Roman" w:hAnsi="Times New Roman" w:eastAsia="宋体" w:cs="Times New Roman"/>
                <w:color w:val="auto"/>
                <w:sz w:val="24"/>
                <w:szCs w:val="24"/>
                <w:lang w:val="en-US" w:eastAsia="zh-CN"/>
              </w:rPr>
              <w:t>厂界</w:t>
            </w:r>
            <w:r>
              <w:rPr>
                <w:rFonts w:hint="default" w:ascii="Times New Roman" w:hAnsi="Times New Roman" w:eastAsia="宋体" w:cs="Times New Roman"/>
                <w:color w:val="auto"/>
                <w:sz w:val="24"/>
                <w:highlight w:val="none"/>
              </w:rPr>
              <w:t>噪声排放执行《工业企业厂界环境噪声排放标准》（GB12348-2008）</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类标准，</w:t>
            </w:r>
            <w:r>
              <w:rPr>
                <w:rFonts w:hint="default" w:ascii="Times New Roman" w:hAnsi="Times New Roman" w:eastAsia="宋体" w:cs="Times New Roman"/>
                <w:color w:val="auto"/>
                <w:kern w:val="0"/>
                <w:sz w:val="24"/>
                <w:highlight w:val="none"/>
              </w:rPr>
              <w:t>标准限值</w:t>
            </w:r>
            <w:r>
              <w:rPr>
                <w:rFonts w:hint="default" w:ascii="Times New Roman" w:hAnsi="Times New Roman" w:eastAsia="宋体" w:cs="Times New Roman"/>
                <w:color w:val="auto"/>
                <w:sz w:val="24"/>
                <w:highlight w:val="none"/>
              </w:rPr>
              <w:t>详见表</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-1</w:t>
            </w:r>
            <w:r>
              <w:rPr>
                <w:rFonts w:hint="eastAsia" w:cs="Times New Roman"/>
                <w:color w:val="auto"/>
                <w:sz w:val="24"/>
                <w:highlight w:val="none"/>
                <w:lang w:val="en-US" w:eastAsia="zh-CN"/>
              </w:rPr>
              <w:t>0</w:t>
            </w:r>
            <w:r>
              <w:rPr>
                <w:rFonts w:hint="default" w:ascii="Times New Roman" w:hAnsi="Times New Roman" w:eastAsia="宋体" w:cs="Times New Roman"/>
                <w:color w:val="auto"/>
                <w:sz w:val="24"/>
                <w:highlight w:val="none"/>
              </w:rPr>
              <w:t>。</w:t>
            </w:r>
          </w:p>
          <w:p w14:paraId="155F4D5E">
            <w:pPr>
              <w:shd w:val="clea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表</w:t>
            </w:r>
            <w:r>
              <w:rPr>
                <w:rFonts w:hint="default" w:ascii="Times New Roman" w:hAnsi="Times New Roman" w:eastAsia="宋体" w:cs="Times New Roman"/>
                <w:b/>
                <w:color w:val="auto"/>
                <w:kern w:val="21"/>
                <w:szCs w:val="21"/>
                <w:highlight w:val="none"/>
                <w:lang w:val="en-US" w:eastAsia="zh-CN"/>
              </w:rPr>
              <w:t>3</w:t>
            </w:r>
            <w:r>
              <w:rPr>
                <w:rFonts w:hint="default" w:ascii="Times New Roman" w:hAnsi="Times New Roman" w:eastAsia="宋体" w:cs="Times New Roman"/>
                <w:b/>
                <w:color w:val="auto"/>
                <w:kern w:val="21"/>
                <w:szCs w:val="21"/>
                <w:highlight w:val="none"/>
              </w:rPr>
              <w:t>-</w:t>
            </w:r>
            <w:r>
              <w:rPr>
                <w:rFonts w:hint="default" w:ascii="Times New Roman" w:hAnsi="Times New Roman" w:eastAsia="宋体" w:cs="Times New Roman"/>
                <w:b/>
                <w:color w:val="auto"/>
                <w:kern w:val="21"/>
                <w:szCs w:val="21"/>
                <w:highlight w:val="none"/>
                <w:lang w:val="en-US" w:eastAsia="zh-CN"/>
              </w:rPr>
              <w:t>1</w:t>
            </w:r>
            <w:r>
              <w:rPr>
                <w:rFonts w:hint="eastAsia" w:cs="Times New Roman"/>
                <w:b/>
                <w:color w:val="auto"/>
                <w:kern w:val="21"/>
                <w:szCs w:val="21"/>
                <w:highlight w:val="none"/>
                <w:lang w:val="en-US" w:eastAsia="zh-CN"/>
              </w:rPr>
              <w:t>0</w:t>
            </w:r>
            <w:r>
              <w:rPr>
                <w:rFonts w:hint="default" w:ascii="Times New Roman" w:hAnsi="Times New Roman" w:eastAsia="宋体" w:cs="Times New Roman"/>
                <w:b/>
                <w:color w:val="auto"/>
                <w:kern w:val="21"/>
                <w:szCs w:val="21"/>
                <w:highlight w:val="none"/>
                <w:lang w:val="en-US" w:eastAsia="zh-CN"/>
              </w:rPr>
              <w:t xml:space="preserve">  </w:t>
            </w:r>
            <w:r>
              <w:rPr>
                <w:rFonts w:hint="default" w:ascii="Times New Roman" w:hAnsi="Times New Roman" w:eastAsia="宋体" w:cs="Times New Roman"/>
                <w:b/>
                <w:color w:val="auto"/>
                <w:kern w:val="21"/>
                <w:szCs w:val="21"/>
                <w:highlight w:val="none"/>
              </w:rPr>
              <w:t>工业企业厂界环境噪声排放标准   单位：dB（A）</w:t>
            </w:r>
          </w:p>
          <w:tbl>
            <w:tblPr>
              <w:tblStyle w:val="26"/>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764"/>
              <w:gridCol w:w="1412"/>
            </w:tblGrid>
            <w:tr w14:paraId="129B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8" w:type="dxa"/>
                  <w:vMerge w:val="restart"/>
                  <w:vAlign w:val="center"/>
                </w:tcPr>
                <w:p w14:paraId="79B9643A">
                  <w:pPr>
                    <w:shd w:val="clear"/>
                    <w:tabs>
                      <w:tab w:val="left" w:pos="0"/>
                    </w:tabs>
                    <w:adjustRightInd w:val="0"/>
                    <w:snapToGrid w:val="0"/>
                    <w:jc w:val="center"/>
                    <w:rPr>
                      <w:rFonts w:hint="default" w:ascii="Times New Roman" w:hAnsi="Times New Roman" w:eastAsia="宋体" w:cs="Times New Roman"/>
                      <w:b/>
                      <w:color w:val="auto"/>
                      <w:kern w:val="21"/>
                      <w:szCs w:val="21"/>
                      <w:highlight w:val="none"/>
                      <w:lang w:val="en-US" w:eastAsia="zh-CN"/>
                    </w:rPr>
                  </w:pPr>
                  <w:r>
                    <w:rPr>
                      <w:rFonts w:hint="default" w:ascii="Times New Roman" w:hAnsi="Times New Roman" w:eastAsia="宋体" w:cs="Times New Roman"/>
                      <w:b/>
                      <w:color w:val="auto"/>
                      <w:kern w:val="21"/>
                      <w:szCs w:val="21"/>
                      <w:highlight w:val="none"/>
                      <w:lang w:val="en-US" w:eastAsia="zh-CN"/>
                    </w:rPr>
                    <w:t>类别</w:t>
                  </w:r>
                </w:p>
              </w:tc>
              <w:tc>
                <w:tcPr>
                  <w:tcW w:w="5176" w:type="dxa"/>
                  <w:gridSpan w:val="2"/>
                  <w:vAlign w:val="center"/>
                </w:tcPr>
                <w:p w14:paraId="24FDBEC4">
                  <w:pPr>
                    <w:shd w:val="clea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时段</w:t>
                  </w:r>
                </w:p>
              </w:tc>
            </w:tr>
            <w:tr w14:paraId="689B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8" w:type="dxa"/>
                  <w:vMerge w:val="continue"/>
                  <w:vAlign w:val="center"/>
                </w:tcPr>
                <w:p w14:paraId="730B2778">
                  <w:pPr>
                    <w:shd w:val="clear"/>
                    <w:tabs>
                      <w:tab w:val="left" w:pos="0"/>
                    </w:tabs>
                    <w:adjustRightInd w:val="0"/>
                    <w:snapToGrid w:val="0"/>
                    <w:jc w:val="center"/>
                    <w:rPr>
                      <w:rFonts w:hint="default" w:ascii="Times New Roman" w:hAnsi="Times New Roman" w:eastAsia="宋体" w:cs="Times New Roman"/>
                      <w:b/>
                      <w:color w:val="auto"/>
                      <w:kern w:val="21"/>
                      <w:szCs w:val="21"/>
                      <w:highlight w:val="none"/>
                    </w:rPr>
                  </w:pPr>
                </w:p>
              </w:tc>
              <w:tc>
                <w:tcPr>
                  <w:tcW w:w="3764" w:type="dxa"/>
                  <w:vAlign w:val="center"/>
                </w:tcPr>
                <w:p w14:paraId="4796DC2E">
                  <w:pPr>
                    <w:shd w:val="clea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昼间</w:t>
                  </w:r>
                </w:p>
              </w:tc>
              <w:tc>
                <w:tcPr>
                  <w:tcW w:w="1412" w:type="dxa"/>
                  <w:vAlign w:val="center"/>
                </w:tcPr>
                <w:p w14:paraId="67D152B4">
                  <w:pPr>
                    <w:shd w:val="clea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夜间</w:t>
                  </w:r>
                </w:p>
              </w:tc>
            </w:tr>
            <w:tr w14:paraId="53E9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8" w:type="dxa"/>
                  <w:vAlign w:val="center"/>
                </w:tcPr>
                <w:p w14:paraId="794716D8">
                  <w:pPr>
                    <w:shd w:val="clear"/>
                    <w:tabs>
                      <w:tab w:val="left" w:pos="0"/>
                    </w:tabs>
                    <w:adjustRightInd w:val="0"/>
                    <w:snapToGrid w:val="0"/>
                    <w:jc w:val="center"/>
                    <w:rPr>
                      <w:rFonts w:hint="default" w:ascii="Times New Roman" w:hAnsi="Times New Roman" w:eastAsia="宋体" w:cs="Times New Roman"/>
                      <w:bCs/>
                      <w:color w:val="auto"/>
                      <w:kern w:val="21"/>
                      <w:szCs w:val="21"/>
                      <w:highlight w:val="none"/>
                      <w:lang w:eastAsia="zh-CN"/>
                    </w:rPr>
                  </w:pPr>
                  <w:r>
                    <w:rPr>
                      <w:rFonts w:hint="default" w:ascii="Times New Roman" w:hAnsi="Times New Roman" w:eastAsia="宋体" w:cs="Times New Roman"/>
                      <w:bCs/>
                      <w:color w:val="auto"/>
                      <w:kern w:val="21"/>
                      <w:szCs w:val="21"/>
                      <w:highlight w:val="none"/>
                    </w:rPr>
                    <w:t>3类</w:t>
                  </w:r>
                </w:p>
              </w:tc>
              <w:tc>
                <w:tcPr>
                  <w:tcW w:w="3764" w:type="dxa"/>
                  <w:vAlign w:val="center"/>
                </w:tcPr>
                <w:p w14:paraId="38B6F9E0">
                  <w:pPr>
                    <w:shd w:val="clear"/>
                    <w:tabs>
                      <w:tab w:val="left" w:pos="0"/>
                    </w:tabs>
                    <w:adjustRightInd w:val="0"/>
                    <w:snapToGrid w:val="0"/>
                    <w:jc w:val="center"/>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65</w:t>
                  </w:r>
                </w:p>
              </w:tc>
              <w:tc>
                <w:tcPr>
                  <w:tcW w:w="1412" w:type="dxa"/>
                  <w:vAlign w:val="center"/>
                </w:tcPr>
                <w:p w14:paraId="4B48238C">
                  <w:pPr>
                    <w:shd w:val="clear"/>
                    <w:tabs>
                      <w:tab w:val="left" w:pos="0"/>
                    </w:tabs>
                    <w:adjustRightInd w:val="0"/>
                    <w:snapToGrid w:val="0"/>
                    <w:jc w:val="center"/>
                    <w:rPr>
                      <w:rFonts w:hint="default" w:ascii="Times New Roman" w:hAnsi="Times New Roman" w:eastAsia="宋体" w:cs="Times New Roman"/>
                      <w:bCs/>
                      <w:color w:val="auto"/>
                      <w:kern w:val="21"/>
                      <w:szCs w:val="21"/>
                      <w:highlight w:val="none"/>
                    </w:rPr>
                  </w:pPr>
                  <w:r>
                    <w:rPr>
                      <w:rFonts w:hint="default" w:ascii="Times New Roman" w:hAnsi="Times New Roman" w:eastAsia="宋体" w:cs="Times New Roman"/>
                      <w:bCs/>
                      <w:color w:val="auto"/>
                      <w:kern w:val="21"/>
                      <w:szCs w:val="21"/>
                      <w:highlight w:val="none"/>
                    </w:rPr>
                    <w:t>55</w:t>
                  </w:r>
                </w:p>
              </w:tc>
            </w:tr>
          </w:tbl>
          <w:p w14:paraId="6435EA98">
            <w:pPr>
              <w:pStyle w:val="17"/>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4、固废</w:t>
            </w:r>
          </w:p>
          <w:p w14:paraId="74569DC3">
            <w:pPr>
              <w:pStyle w:val="17"/>
              <w:keepNext w:val="0"/>
              <w:keepLines w:val="0"/>
              <w:pageBreakBefore w:val="0"/>
              <w:widowControl w:val="0"/>
              <w:shd w:val="clear"/>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sz w:val="24"/>
                <w:highlight w:val="none"/>
                <w:lang w:val="zh-CN"/>
              </w:rPr>
              <w:t>项目运营</w:t>
            </w:r>
            <w:r>
              <w:rPr>
                <w:rFonts w:hint="default" w:ascii="Times New Roman" w:hAnsi="Times New Roman" w:eastAsia="宋体" w:cs="Times New Roman"/>
                <w:color w:val="auto"/>
                <w:sz w:val="24"/>
                <w:highlight w:val="none"/>
                <w:lang w:val="en-US" w:eastAsia="zh-CN"/>
              </w:rPr>
              <w:t>期</w:t>
            </w:r>
            <w:r>
              <w:rPr>
                <w:rFonts w:hint="default" w:ascii="Times New Roman" w:hAnsi="Times New Roman" w:eastAsia="宋体" w:cs="Times New Roman"/>
                <w:color w:val="auto"/>
                <w:sz w:val="24"/>
                <w:highlight w:val="none"/>
                <w:lang w:val="zh-CN"/>
              </w:rPr>
              <w:t>产生的一般固体废物</w:t>
            </w:r>
            <w:r>
              <w:rPr>
                <w:rFonts w:hint="default" w:ascii="Times New Roman" w:hAnsi="Times New Roman" w:eastAsia="宋体" w:cs="Times New Roman"/>
                <w:color w:val="auto"/>
                <w:sz w:val="24"/>
                <w:highlight w:val="none"/>
                <w:lang w:val="en-US" w:eastAsia="zh-CN"/>
              </w:rPr>
              <w:t>贮存和处置</w:t>
            </w:r>
            <w:r>
              <w:rPr>
                <w:rFonts w:hint="default" w:ascii="Times New Roman" w:hAnsi="Times New Roman" w:eastAsia="宋体" w:cs="Times New Roman"/>
                <w:color w:val="auto"/>
                <w:sz w:val="24"/>
                <w:highlight w:val="none"/>
                <w:lang w:val="zh-CN"/>
              </w:rPr>
              <w:t>执行《一般工业固体废物贮存和填埋污染控制标准》（GB18599-20</w:t>
            </w:r>
            <w:r>
              <w:rPr>
                <w:rFonts w:hint="default" w:ascii="Times New Roman" w:hAnsi="Times New Roman" w:eastAsia="宋体" w:cs="Times New Roman"/>
                <w:color w:val="auto"/>
                <w:sz w:val="24"/>
                <w:highlight w:val="none"/>
                <w:lang w:val="en-US" w:eastAsia="zh-CN"/>
              </w:rPr>
              <w:t>20</w:t>
            </w:r>
            <w:r>
              <w:rPr>
                <w:rFonts w:hint="default" w:ascii="Times New Roman" w:hAnsi="Times New Roman" w:eastAsia="宋体" w:cs="Times New Roman"/>
                <w:color w:val="auto"/>
                <w:sz w:val="24"/>
                <w:highlight w:val="none"/>
                <w:lang w:val="zh-CN"/>
              </w:rPr>
              <w:t>）；危险废物贮存执行</w:t>
            </w:r>
            <w:r>
              <w:rPr>
                <w:rStyle w:val="70"/>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sz w:val="24"/>
                <w:highlight w:val="none"/>
                <w:lang w:val="zh-CN"/>
              </w:rPr>
              <w:t>。</w:t>
            </w:r>
          </w:p>
        </w:tc>
      </w:tr>
      <w:tr w14:paraId="294AE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dxa"/>
            <w:vAlign w:val="center"/>
          </w:tcPr>
          <w:p w14:paraId="1EE5ED6D">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总量</w:t>
            </w:r>
          </w:p>
          <w:p w14:paraId="37F99845">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控制</w:t>
            </w:r>
          </w:p>
          <w:p w14:paraId="2AD0FC2B">
            <w:pPr>
              <w:shd w:val="clea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指标</w:t>
            </w:r>
          </w:p>
        </w:tc>
        <w:tc>
          <w:tcPr>
            <w:tcW w:w="8686" w:type="dxa"/>
            <w:vAlign w:val="center"/>
          </w:tcPr>
          <w:p w14:paraId="353C6883">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结合工程分析，本项目总量控制指标建议如下：</w:t>
            </w:r>
          </w:p>
          <w:p w14:paraId="48337735">
            <w:pPr>
              <w:keepNext w:val="0"/>
              <w:keepLines w:val="0"/>
              <w:pageBreakBefore w:val="0"/>
              <w:widowControl w:val="0"/>
              <w:shd w:val="clear"/>
              <w:kinsoku/>
              <w:wordWrap/>
              <w:overflowPunct/>
              <w:topLinePunct w:val="0"/>
              <w:autoSpaceDE/>
              <w:autoSpaceDN/>
              <w:bidi w:val="0"/>
              <w:adjustRightInd w:val="0"/>
              <w:snapToGrid w:val="0"/>
              <w:spacing w:line="348"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废气</w:t>
            </w:r>
          </w:p>
          <w:p w14:paraId="21AAB083">
            <w:pPr>
              <w:keepNext w:val="0"/>
              <w:keepLines w:val="0"/>
              <w:pageBreakBefore w:val="0"/>
              <w:shd w:val="clear"/>
              <w:kinsoku/>
              <w:wordWrap/>
              <w:overflowPunct/>
              <w:topLinePunct w:val="0"/>
              <w:autoSpaceDE/>
              <w:autoSpaceDN/>
              <w:bidi w:val="0"/>
              <w:spacing w:line="348" w:lineRule="auto"/>
              <w:ind w:firstLine="480" w:firstLineChars="200"/>
              <w:textAlignment w:val="auto"/>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lang w:eastAsia="zh-CN"/>
              </w:rPr>
              <w:t>①有组织排放情况</w:t>
            </w:r>
          </w:p>
          <w:p w14:paraId="037495CB">
            <w:pPr>
              <w:keepNext w:val="0"/>
              <w:keepLines w:val="0"/>
              <w:pageBreakBefore w:val="0"/>
              <w:shd w:val="clear"/>
              <w:kinsoku/>
              <w:wordWrap/>
              <w:overflowPunct/>
              <w:topLinePunct w:val="0"/>
              <w:autoSpaceDE/>
              <w:autoSpaceDN/>
              <w:bidi w:val="0"/>
              <w:spacing w:line="348" w:lineRule="auto"/>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废气量：</w:t>
            </w:r>
            <w:r>
              <w:rPr>
                <w:rFonts w:hint="eastAsia" w:cs="Times New Roman"/>
                <w:b w:val="0"/>
                <w:bCs w:val="0"/>
                <w:color w:val="auto"/>
                <w:kern w:val="0"/>
                <w:sz w:val="24"/>
                <w:szCs w:val="24"/>
                <w:highlight w:val="none"/>
                <w:lang w:val="en-US" w:eastAsia="zh-CN"/>
              </w:rPr>
              <w:t>19006.2</w:t>
            </w:r>
            <w:r>
              <w:rPr>
                <w:rFonts w:hint="default" w:ascii="Times New Roman" w:hAnsi="Times New Roman" w:eastAsia="宋体" w:cs="Times New Roman"/>
                <w:b w:val="0"/>
                <w:bCs w:val="0"/>
                <w:color w:val="auto"/>
                <w:kern w:val="0"/>
                <w:sz w:val="24"/>
                <w:szCs w:val="24"/>
                <w:highlight w:val="none"/>
                <w:lang w:val="en-US" w:eastAsia="zh-CN"/>
              </w:rPr>
              <w:t>万m</w:t>
            </w:r>
            <w:r>
              <w:rPr>
                <w:rFonts w:hint="default" w:ascii="Times New Roman" w:hAnsi="Times New Roman" w:eastAsia="宋体" w:cs="Times New Roman"/>
                <w:b w:val="0"/>
                <w:bCs w:val="0"/>
                <w:color w:val="auto"/>
                <w:kern w:val="0"/>
                <w:sz w:val="24"/>
                <w:szCs w:val="24"/>
                <w:highlight w:val="none"/>
                <w:vertAlign w:val="superscript"/>
                <w:lang w:val="en-US" w:eastAsia="zh-CN"/>
              </w:rPr>
              <w:t>3</w:t>
            </w:r>
            <w:r>
              <w:rPr>
                <w:rFonts w:hint="default" w:ascii="Times New Roman" w:hAnsi="Times New Roman" w:eastAsia="宋体" w:cs="Times New Roman"/>
                <w:b w:val="0"/>
                <w:bCs w:val="0"/>
                <w:color w:val="auto"/>
                <w:kern w:val="0"/>
                <w:sz w:val="24"/>
                <w:szCs w:val="24"/>
                <w:highlight w:val="none"/>
                <w:lang w:val="en-US" w:eastAsia="zh-CN"/>
              </w:rPr>
              <w:t>/a</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有组织颗粒物排放量为0.</w:t>
            </w:r>
            <w:r>
              <w:rPr>
                <w:rFonts w:hint="eastAsia" w:cs="Times New Roman"/>
                <w:bCs/>
                <w:color w:val="auto"/>
                <w:sz w:val="24"/>
                <w:szCs w:val="24"/>
                <w:highlight w:val="none"/>
                <w:lang w:val="en-US" w:eastAsia="zh-CN"/>
              </w:rPr>
              <w:t>0680</w:t>
            </w:r>
            <w:r>
              <w:rPr>
                <w:rFonts w:hint="default" w:ascii="Times New Roman" w:hAnsi="Times New Roman" w:eastAsia="宋体" w:cs="Times New Roman"/>
                <w:bCs/>
                <w:color w:val="auto"/>
                <w:sz w:val="24"/>
                <w:szCs w:val="24"/>
                <w:highlight w:val="none"/>
                <w:lang w:val="en-US" w:eastAsia="zh-CN"/>
              </w:rPr>
              <w:t>t/a，有组织</w:t>
            </w:r>
            <w:r>
              <w:rPr>
                <w:rFonts w:hint="eastAsia" w:cs="Times New Roman"/>
                <w:bCs/>
                <w:color w:val="auto"/>
                <w:sz w:val="24"/>
                <w:szCs w:val="24"/>
                <w:highlight w:val="none"/>
                <w:lang w:val="en-US" w:eastAsia="zh-CN"/>
              </w:rPr>
              <w:t>氯化氢</w:t>
            </w:r>
            <w:r>
              <w:rPr>
                <w:rFonts w:hint="default" w:ascii="Times New Roman" w:hAnsi="Times New Roman" w:eastAsia="宋体" w:cs="Times New Roman"/>
                <w:bCs/>
                <w:color w:val="auto"/>
                <w:sz w:val="24"/>
                <w:szCs w:val="24"/>
                <w:highlight w:val="none"/>
                <w:lang w:val="en-US" w:eastAsia="zh-CN"/>
              </w:rPr>
              <w:t>排放量为0.</w:t>
            </w:r>
            <w:r>
              <w:rPr>
                <w:rFonts w:hint="eastAsia" w:cs="Times New Roman"/>
                <w:bCs/>
                <w:color w:val="auto"/>
                <w:sz w:val="24"/>
                <w:szCs w:val="24"/>
                <w:highlight w:val="none"/>
                <w:lang w:val="en-US" w:eastAsia="zh-CN"/>
              </w:rPr>
              <w:t>0250</w:t>
            </w:r>
            <w:r>
              <w:rPr>
                <w:rFonts w:hint="default" w:ascii="Times New Roman" w:hAnsi="Times New Roman" w:eastAsia="宋体" w:cs="Times New Roman"/>
                <w:bCs/>
                <w:color w:val="auto"/>
                <w:sz w:val="24"/>
                <w:szCs w:val="24"/>
                <w:highlight w:val="none"/>
                <w:lang w:val="en-US" w:eastAsia="zh-CN"/>
              </w:rPr>
              <w:t>t/a，有组织</w:t>
            </w:r>
            <w:r>
              <w:rPr>
                <w:rFonts w:hint="eastAsia" w:cs="Times New Roman"/>
                <w:color w:val="auto"/>
                <w:sz w:val="24"/>
                <w:szCs w:val="24"/>
                <w:highlight w:val="none"/>
                <w:lang w:eastAsia="zh-CN"/>
              </w:rPr>
              <w:t>氯乙烯</w:t>
            </w:r>
            <w:r>
              <w:rPr>
                <w:rFonts w:hint="default" w:ascii="Times New Roman" w:hAnsi="Times New Roman" w:eastAsia="宋体" w:cs="Times New Roman"/>
                <w:bCs/>
                <w:color w:val="auto"/>
                <w:sz w:val="24"/>
                <w:szCs w:val="24"/>
                <w:highlight w:val="none"/>
                <w:lang w:val="en-US" w:eastAsia="zh-CN"/>
              </w:rPr>
              <w:t>排放量为0.</w:t>
            </w:r>
            <w:r>
              <w:rPr>
                <w:rFonts w:hint="eastAsia" w:cs="Times New Roman"/>
                <w:bCs/>
                <w:color w:val="auto"/>
                <w:sz w:val="24"/>
                <w:szCs w:val="24"/>
                <w:highlight w:val="none"/>
                <w:lang w:val="en-US" w:eastAsia="zh-CN"/>
              </w:rPr>
              <w:t>0092</w:t>
            </w:r>
            <w:r>
              <w:rPr>
                <w:rFonts w:hint="default" w:ascii="Times New Roman" w:hAnsi="Times New Roman" w:eastAsia="宋体" w:cs="Times New Roman"/>
                <w:bCs/>
                <w:color w:val="auto"/>
                <w:sz w:val="24"/>
                <w:szCs w:val="24"/>
                <w:highlight w:val="none"/>
                <w:lang w:val="en-US" w:eastAsia="zh-CN"/>
              </w:rPr>
              <w:t>t/a，有组织</w:t>
            </w:r>
            <w:r>
              <w:rPr>
                <w:rFonts w:hint="default" w:ascii="Times New Roman" w:hAnsi="Times New Roman" w:eastAsia="宋体" w:cs="Times New Roman"/>
                <w:color w:val="auto"/>
                <w:sz w:val="24"/>
                <w:szCs w:val="24"/>
                <w:highlight w:val="none"/>
                <w:lang w:val="en-US" w:eastAsia="zh-CN"/>
              </w:rPr>
              <w:t>非甲烷总烃</w:t>
            </w:r>
            <w:r>
              <w:rPr>
                <w:rFonts w:hint="default" w:ascii="Times New Roman" w:hAnsi="Times New Roman" w:eastAsia="宋体" w:cs="Times New Roman"/>
                <w:b w:val="0"/>
                <w:bCs w:val="0"/>
                <w:color w:val="auto"/>
                <w:kern w:val="0"/>
                <w:sz w:val="24"/>
                <w:szCs w:val="24"/>
                <w:highlight w:val="none"/>
                <w:lang w:val="en-US" w:eastAsia="zh-CN"/>
              </w:rPr>
              <w:t>排放量为0.</w:t>
            </w:r>
            <w:r>
              <w:rPr>
                <w:rFonts w:hint="eastAsia" w:cs="Times New Roman"/>
                <w:b w:val="0"/>
                <w:bCs w:val="0"/>
                <w:color w:val="auto"/>
                <w:kern w:val="0"/>
                <w:sz w:val="24"/>
                <w:szCs w:val="24"/>
                <w:highlight w:val="none"/>
                <w:lang w:val="en-US" w:eastAsia="zh-CN"/>
              </w:rPr>
              <w:t>7606</w:t>
            </w:r>
            <w:r>
              <w:rPr>
                <w:rFonts w:hint="default" w:ascii="Times New Roman" w:hAnsi="Times New Roman" w:eastAsia="宋体" w:cs="Times New Roman"/>
                <w:b w:val="0"/>
                <w:bCs w:val="0"/>
                <w:color w:val="auto"/>
                <w:kern w:val="0"/>
                <w:sz w:val="24"/>
                <w:szCs w:val="24"/>
                <w:highlight w:val="none"/>
                <w:lang w:val="en-US" w:eastAsia="zh-CN"/>
              </w:rPr>
              <w:t>t/a</w:t>
            </w:r>
            <w:r>
              <w:rPr>
                <w:rFonts w:hint="default" w:ascii="Times New Roman" w:hAnsi="Times New Roman" w:eastAsia="宋体" w:cs="Times New Roman"/>
                <w:bCs/>
                <w:color w:val="auto"/>
                <w:sz w:val="24"/>
                <w:szCs w:val="24"/>
                <w:highlight w:val="none"/>
              </w:rPr>
              <w:t>。</w:t>
            </w:r>
          </w:p>
          <w:p w14:paraId="7CCCE959">
            <w:pPr>
              <w:pStyle w:val="11"/>
              <w:keepNext w:val="0"/>
              <w:keepLines w:val="0"/>
              <w:pageBreakBefore w:val="0"/>
              <w:shd w:val="clear"/>
              <w:kinsoku/>
              <w:wordWrap/>
              <w:overflowPunct/>
              <w:topLinePunct w:val="0"/>
              <w:autoSpaceDE/>
              <w:autoSpaceDN/>
              <w:bidi w:val="0"/>
              <w:spacing w:before="0" w:line="348" w:lineRule="auto"/>
              <w:ind w:firstLine="482"/>
              <w:jc w:val="left"/>
              <w:textAlignment w:val="auto"/>
              <w:rPr>
                <w:rFonts w:hint="default" w:ascii="Times New Roman" w:hAnsi="Times New Roman" w:eastAsia="宋体" w:cs="Times New Roman"/>
                <w:b w:val="0"/>
                <w:bCs/>
                <w:color w:val="auto"/>
                <w:kern w:val="0"/>
                <w:sz w:val="24"/>
                <w:szCs w:val="24"/>
                <w:highlight w:val="none"/>
                <w:lang w:eastAsia="zh-CN"/>
              </w:rPr>
            </w:pPr>
            <w:r>
              <w:rPr>
                <w:rFonts w:hint="default" w:ascii="Times New Roman" w:hAnsi="Times New Roman" w:eastAsia="宋体" w:cs="Times New Roman"/>
                <w:b w:val="0"/>
                <w:bCs/>
                <w:color w:val="auto"/>
                <w:kern w:val="0"/>
                <w:sz w:val="24"/>
                <w:szCs w:val="24"/>
                <w:highlight w:val="none"/>
                <w:lang w:eastAsia="zh-CN"/>
              </w:rPr>
              <w:t>②无组织排放情况</w:t>
            </w:r>
          </w:p>
          <w:p w14:paraId="7A999A80">
            <w:pPr>
              <w:pStyle w:val="11"/>
              <w:keepNext w:val="0"/>
              <w:keepLines w:val="0"/>
              <w:pageBreakBefore w:val="0"/>
              <w:shd w:val="clear"/>
              <w:kinsoku/>
              <w:wordWrap/>
              <w:overflowPunct/>
              <w:topLinePunct w:val="0"/>
              <w:autoSpaceDE/>
              <w:autoSpaceDN/>
              <w:bidi w:val="0"/>
              <w:spacing w:before="0" w:line="348" w:lineRule="auto"/>
              <w:ind w:firstLine="482"/>
              <w:jc w:val="left"/>
              <w:textAlignment w:val="auto"/>
              <w:rPr>
                <w:rFonts w:hint="default" w:ascii="Times New Roman" w:hAnsi="Times New Roman" w:eastAsia="宋体" w:cs="Times New Roman"/>
                <w:b w:val="0"/>
                <w:bCs/>
                <w:color w:val="auto"/>
                <w:kern w:val="0"/>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无组织颗粒物排放量为</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5103</w:t>
            </w:r>
            <w:r>
              <w:rPr>
                <w:rFonts w:hint="default" w:ascii="Times New Roman" w:hAnsi="Times New Roman" w:eastAsia="宋体" w:cs="Times New Roman"/>
                <w:bCs/>
                <w:color w:val="auto"/>
                <w:sz w:val="24"/>
                <w:szCs w:val="24"/>
                <w:highlight w:val="none"/>
                <w:lang w:val="en-US" w:eastAsia="zh-CN"/>
              </w:rPr>
              <w:t>t/a，无组织</w:t>
            </w:r>
            <w:r>
              <w:rPr>
                <w:rFonts w:hint="eastAsia" w:cs="Times New Roman"/>
                <w:bCs/>
                <w:color w:val="auto"/>
                <w:sz w:val="24"/>
                <w:szCs w:val="24"/>
                <w:highlight w:val="none"/>
                <w:lang w:val="en-US" w:eastAsia="zh-CN"/>
              </w:rPr>
              <w:t>氯化氢</w:t>
            </w:r>
            <w:r>
              <w:rPr>
                <w:rFonts w:hint="default" w:ascii="Times New Roman" w:hAnsi="Times New Roman" w:eastAsia="宋体" w:cs="Times New Roman"/>
                <w:bCs/>
                <w:color w:val="auto"/>
                <w:sz w:val="24"/>
                <w:szCs w:val="24"/>
                <w:highlight w:val="none"/>
                <w:lang w:val="en-US" w:eastAsia="zh-CN"/>
              </w:rPr>
              <w:t>排放量为0.00</w:t>
            </w:r>
            <w:r>
              <w:rPr>
                <w:rFonts w:hint="eastAsia" w:cs="Times New Roman"/>
                <w:bCs/>
                <w:color w:val="auto"/>
                <w:sz w:val="24"/>
                <w:szCs w:val="24"/>
                <w:highlight w:val="none"/>
                <w:lang w:val="en-US" w:eastAsia="zh-CN"/>
              </w:rPr>
              <w:t>63</w:t>
            </w:r>
            <w:r>
              <w:rPr>
                <w:rFonts w:hint="default" w:ascii="Times New Roman" w:hAnsi="Times New Roman" w:eastAsia="宋体" w:cs="Times New Roman"/>
                <w:bCs/>
                <w:color w:val="auto"/>
                <w:sz w:val="24"/>
                <w:szCs w:val="24"/>
                <w:highlight w:val="none"/>
                <w:lang w:val="en-US" w:eastAsia="zh-CN"/>
              </w:rPr>
              <w:t>t/a，无组织</w:t>
            </w:r>
            <w:r>
              <w:rPr>
                <w:rFonts w:hint="eastAsia" w:cs="Times New Roman"/>
                <w:color w:val="auto"/>
                <w:sz w:val="24"/>
                <w:szCs w:val="24"/>
                <w:highlight w:val="none"/>
                <w:lang w:eastAsia="zh-CN"/>
              </w:rPr>
              <w:t>氯乙烯</w:t>
            </w:r>
            <w:r>
              <w:rPr>
                <w:rFonts w:hint="default" w:ascii="Times New Roman" w:hAnsi="Times New Roman" w:eastAsia="宋体" w:cs="Times New Roman"/>
                <w:bCs/>
                <w:color w:val="auto"/>
                <w:sz w:val="24"/>
                <w:szCs w:val="24"/>
                <w:highlight w:val="none"/>
                <w:lang w:val="en-US" w:eastAsia="zh-CN"/>
              </w:rPr>
              <w:t>排放量为0.0</w:t>
            </w:r>
            <w:r>
              <w:rPr>
                <w:rFonts w:hint="eastAsia" w:cs="Times New Roman"/>
                <w:bCs/>
                <w:color w:val="auto"/>
                <w:sz w:val="24"/>
                <w:szCs w:val="24"/>
                <w:highlight w:val="none"/>
                <w:lang w:val="en-US" w:eastAsia="zh-CN"/>
              </w:rPr>
              <w:t>076</w:t>
            </w:r>
            <w:r>
              <w:rPr>
                <w:rFonts w:hint="default" w:ascii="Times New Roman" w:hAnsi="Times New Roman" w:eastAsia="宋体" w:cs="Times New Roman"/>
                <w:bCs/>
                <w:color w:val="auto"/>
                <w:sz w:val="24"/>
                <w:szCs w:val="24"/>
                <w:highlight w:val="none"/>
                <w:lang w:val="en-US" w:eastAsia="zh-CN"/>
              </w:rPr>
              <w:t>t/a，无组织</w:t>
            </w:r>
            <w:r>
              <w:rPr>
                <w:rFonts w:hint="default" w:ascii="Times New Roman" w:hAnsi="Times New Roman" w:eastAsia="宋体" w:cs="Times New Roman"/>
                <w:color w:val="auto"/>
                <w:sz w:val="24"/>
                <w:szCs w:val="24"/>
                <w:highlight w:val="none"/>
                <w:lang w:val="en-US" w:eastAsia="zh-CN"/>
              </w:rPr>
              <w:t>非甲烷总烃</w:t>
            </w:r>
            <w:r>
              <w:rPr>
                <w:rFonts w:hint="default" w:ascii="Times New Roman" w:hAnsi="Times New Roman" w:eastAsia="宋体" w:cs="Times New Roman"/>
                <w:b w:val="0"/>
                <w:bCs w:val="0"/>
                <w:color w:val="auto"/>
                <w:kern w:val="0"/>
                <w:sz w:val="24"/>
                <w:szCs w:val="24"/>
                <w:highlight w:val="none"/>
                <w:lang w:val="en-US" w:eastAsia="zh-CN"/>
              </w:rPr>
              <w:t>排放量为0.</w:t>
            </w:r>
            <w:r>
              <w:rPr>
                <w:rFonts w:hint="eastAsia" w:cs="Times New Roman"/>
                <w:b w:val="0"/>
                <w:bCs w:val="0"/>
                <w:color w:val="auto"/>
                <w:kern w:val="0"/>
                <w:sz w:val="24"/>
                <w:szCs w:val="24"/>
                <w:highlight w:val="none"/>
                <w:lang w:val="en-US" w:eastAsia="zh-CN"/>
              </w:rPr>
              <w:t>6338</w:t>
            </w:r>
            <w:r>
              <w:rPr>
                <w:rFonts w:hint="default" w:ascii="Times New Roman" w:hAnsi="Times New Roman" w:eastAsia="宋体" w:cs="Times New Roman"/>
                <w:b w:val="0"/>
                <w:bCs w:val="0"/>
                <w:color w:val="auto"/>
                <w:kern w:val="0"/>
                <w:sz w:val="24"/>
                <w:szCs w:val="24"/>
                <w:highlight w:val="none"/>
                <w:lang w:val="en-US" w:eastAsia="zh-CN"/>
              </w:rPr>
              <w:t>t/a</w:t>
            </w:r>
            <w:r>
              <w:rPr>
                <w:rFonts w:hint="default" w:ascii="Times New Roman" w:hAnsi="Times New Roman" w:eastAsia="宋体" w:cs="Times New Roman"/>
                <w:bCs/>
                <w:color w:val="auto"/>
                <w:sz w:val="24"/>
                <w:szCs w:val="24"/>
                <w:highlight w:val="none"/>
              </w:rPr>
              <w:t>。</w:t>
            </w:r>
          </w:p>
          <w:p w14:paraId="7A1D9EBF">
            <w:pPr>
              <w:pStyle w:val="11"/>
              <w:keepNext w:val="0"/>
              <w:keepLines w:val="0"/>
              <w:pageBreakBefore w:val="0"/>
              <w:shd w:val="clear"/>
              <w:kinsoku/>
              <w:wordWrap/>
              <w:overflowPunct/>
              <w:topLinePunct w:val="0"/>
              <w:autoSpaceDE/>
              <w:autoSpaceDN/>
              <w:bidi w:val="0"/>
              <w:spacing w:before="0" w:line="348" w:lineRule="auto"/>
              <w:ind w:firstLine="482"/>
              <w:jc w:val="left"/>
              <w:textAlignment w:val="auto"/>
              <w:rPr>
                <w:rFonts w:hint="default" w:ascii="Times New Roman" w:hAnsi="Times New Roman" w:eastAsia="宋体" w:cs="Times New Roman"/>
                <w:b w:val="0"/>
                <w:bCs/>
                <w:color w:val="auto"/>
                <w:kern w:val="0"/>
                <w:sz w:val="24"/>
                <w:szCs w:val="24"/>
                <w:highlight w:val="none"/>
                <w:lang w:eastAsia="zh-CN"/>
              </w:rPr>
            </w:pPr>
            <w:r>
              <w:rPr>
                <w:rFonts w:hint="default" w:ascii="Times New Roman" w:hAnsi="Times New Roman" w:eastAsia="宋体" w:cs="Times New Roman"/>
                <w:b w:val="0"/>
                <w:bCs/>
                <w:color w:val="auto"/>
                <w:kern w:val="0"/>
                <w:sz w:val="24"/>
                <w:szCs w:val="24"/>
                <w:highlight w:val="none"/>
                <w:lang w:eastAsia="zh-CN"/>
              </w:rPr>
              <w:t>③全厂排放总量情况（有组织排放</w:t>
            </w:r>
            <w:r>
              <w:rPr>
                <w:rFonts w:hint="default" w:ascii="Times New Roman" w:hAnsi="Times New Roman" w:eastAsia="宋体" w:cs="Times New Roman"/>
                <w:b w:val="0"/>
                <w:bCs/>
                <w:color w:val="auto"/>
                <w:kern w:val="0"/>
                <w:sz w:val="24"/>
                <w:szCs w:val="24"/>
                <w:highlight w:val="none"/>
                <w:lang w:val="en-US" w:eastAsia="zh-CN"/>
              </w:rPr>
              <w:t>+无组织排放废气</w:t>
            </w:r>
            <w:r>
              <w:rPr>
                <w:rFonts w:hint="default" w:ascii="Times New Roman" w:hAnsi="Times New Roman" w:eastAsia="宋体" w:cs="Times New Roman"/>
                <w:b w:val="0"/>
                <w:bCs/>
                <w:color w:val="auto"/>
                <w:kern w:val="0"/>
                <w:sz w:val="24"/>
                <w:szCs w:val="24"/>
                <w:highlight w:val="none"/>
                <w:lang w:eastAsia="zh-CN"/>
              </w:rPr>
              <w:t>）</w:t>
            </w:r>
          </w:p>
          <w:p w14:paraId="18E785BF">
            <w:pPr>
              <w:keepNext w:val="0"/>
              <w:keepLines w:val="0"/>
              <w:pageBreakBefore w:val="0"/>
              <w:widowControl/>
              <w:shd w:val="clear"/>
              <w:kinsoku/>
              <w:wordWrap/>
              <w:overflowPunct/>
              <w:topLinePunct w:val="0"/>
              <w:autoSpaceDE/>
              <w:autoSpaceDN/>
              <w:bidi w:val="0"/>
              <w:adjustRightInd/>
              <w:snapToGrid/>
              <w:spacing w:line="348" w:lineRule="auto"/>
              <w:ind w:firstLine="480" w:firstLineChars="200"/>
              <w:jc w:val="left"/>
              <w:textAlignment w:val="auto"/>
              <w:outlineLvl w:val="9"/>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废气量：</w:t>
            </w:r>
            <w:r>
              <w:rPr>
                <w:rFonts w:hint="eastAsia" w:cs="Times New Roman"/>
                <w:b w:val="0"/>
                <w:bCs w:val="0"/>
                <w:color w:val="auto"/>
                <w:kern w:val="0"/>
                <w:sz w:val="24"/>
                <w:szCs w:val="24"/>
                <w:highlight w:val="none"/>
                <w:lang w:val="en-US" w:eastAsia="zh-CN"/>
              </w:rPr>
              <w:t>19006.2</w:t>
            </w:r>
            <w:r>
              <w:rPr>
                <w:rFonts w:hint="default" w:ascii="Times New Roman" w:hAnsi="Times New Roman" w:eastAsia="宋体" w:cs="Times New Roman"/>
                <w:b w:val="0"/>
                <w:bCs w:val="0"/>
                <w:color w:val="auto"/>
                <w:kern w:val="0"/>
                <w:sz w:val="24"/>
                <w:szCs w:val="24"/>
                <w:highlight w:val="none"/>
                <w:lang w:val="en-US" w:eastAsia="zh-CN"/>
              </w:rPr>
              <w:t>万m</w:t>
            </w:r>
            <w:r>
              <w:rPr>
                <w:rFonts w:hint="default" w:ascii="Times New Roman" w:hAnsi="Times New Roman" w:eastAsia="宋体" w:cs="Times New Roman"/>
                <w:b w:val="0"/>
                <w:bCs w:val="0"/>
                <w:color w:val="auto"/>
                <w:kern w:val="0"/>
                <w:sz w:val="24"/>
                <w:szCs w:val="24"/>
                <w:highlight w:val="none"/>
                <w:vertAlign w:val="superscript"/>
                <w:lang w:val="en-US" w:eastAsia="zh-CN"/>
              </w:rPr>
              <w:t>3</w:t>
            </w:r>
            <w:r>
              <w:rPr>
                <w:rFonts w:hint="default" w:ascii="Times New Roman" w:hAnsi="Times New Roman" w:eastAsia="宋体" w:cs="Times New Roman"/>
                <w:b w:val="0"/>
                <w:bCs w:val="0"/>
                <w:color w:val="auto"/>
                <w:kern w:val="0"/>
                <w:sz w:val="24"/>
                <w:szCs w:val="24"/>
                <w:highlight w:val="none"/>
                <w:lang w:val="en-US" w:eastAsia="zh-CN"/>
              </w:rPr>
              <w:t>/a</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颗粒物排放总量为</w:t>
            </w:r>
            <w:r>
              <w:rPr>
                <w:rFonts w:hint="default" w:ascii="Times New Roman" w:hAnsi="Times New Roman" w:eastAsia="宋体" w:cs="Times New Roman"/>
                <w:i w:val="0"/>
                <w:iCs w:val="0"/>
                <w:color w:val="auto"/>
                <w:kern w:val="0"/>
                <w:sz w:val="24"/>
                <w:szCs w:val="24"/>
                <w:highlight w:val="none"/>
                <w:u w:val="none"/>
                <w:lang w:val="en-US" w:eastAsia="zh-CN" w:bidi="ar"/>
              </w:rPr>
              <w:t>0.</w:t>
            </w:r>
            <w:r>
              <w:rPr>
                <w:rFonts w:hint="eastAsia" w:cs="Times New Roman"/>
                <w:i w:val="0"/>
                <w:iCs w:val="0"/>
                <w:color w:val="auto"/>
                <w:kern w:val="0"/>
                <w:sz w:val="24"/>
                <w:szCs w:val="24"/>
                <w:highlight w:val="none"/>
                <w:u w:val="none"/>
                <w:lang w:val="en-US" w:eastAsia="zh-CN" w:bidi="ar"/>
              </w:rPr>
              <w:t>5783</w:t>
            </w:r>
            <w:r>
              <w:rPr>
                <w:rFonts w:hint="default" w:ascii="Times New Roman" w:hAnsi="Times New Roman" w:eastAsia="宋体" w:cs="Times New Roman"/>
                <w:bCs/>
                <w:color w:val="auto"/>
                <w:sz w:val="24"/>
                <w:szCs w:val="24"/>
                <w:highlight w:val="none"/>
                <w:lang w:val="en-US" w:eastAsia="zh-CN"/>
              </w:rPr>
              <w:t>t/a，</w:t>
            </w:r>
            <w:r>
              <w:rPr>
                <w:rFonts w:hint="eastAsia" w:cs="Times New Roman"/>
                <w:color w:val="auto"/>
                <w:position w:val="2"/>
                <w:sz w:val="24"/>
                <w:szCs w:val="24"/>
                <w:highlight w:val="none"/>
                <w:lang w:eastAsia="zh-CN"/>
              </w:rPr>
              <w:t>氯化氢</w:t>
            </w:r>
            <w:r>
              <w:rPr>
                <w:rFonts w:hint="default" w:ascii="Times New Roman" w:hAnsi="Times New Roman" w:eastAsia="宋体" w:cs="Times New Roman"/>
                <w:bCs/>
                <w:color w:val="auto"/>
                <w:sz w:val="24"/>
                <w:szCs w:val="24"/>
                <w:highlight w:val="none"/>
                <w:lang w:val="en-US" w:eastAsia="zh-CN"/>
              </w:rPr>
              <w:t>排放总量为0.</w:t>
            </w:r>
            <w:r>
              <w:rPr>
                <w:rFonts w:hint="eastAsia" w:cs="Times New Roman"/>
                <w:bCs/>
                <w:color w:val="auto"/>
                <w:sz w:val="24"/>
                <w:szCs w:val="24"/>
                <w:highlight w:val="none"/>
                <w:lang w:val="en-US" w:eastAsia="zh-CN"/>
              </w:rPr>
              <w:t>0313</w:t>
            </w:r>
            <w:r>
              <w:rPr>
                <w:rFonts w:hint="default" w:ascii="Times New Roman" w:hAnsi="Times New Roman" w:eastAsia="宋体" w:cs="Times New Roman"/>
                <w:bCs/>
                <w:color w:val="auto"/>
                <w:sz w:val="24"/>
                <w:szCs w:val="24"/>
                <w:highlight w:val="none"/>
                <w:lang w:val="en-US" w:eastAsia="zh-CN"/>
              </w:rPr>
              <w:t>t/a，</w:t>
            </w:r>
            <w:r>
              <w:rPr>
                <w:rFonts w:hint="eastAsia" w:cs="Times New Roman"/>
                <w:color w:val="auto"/>
                <w:sz w:val="24"/>
                <w:szCs w:val="24"/>
                <w:highlight w:val="none"/>
                <w:lang w:eastAsia="zh-CN"/>
              </w:rPr>
              <w:t>氯乙烯</w:t>
            </w:r>
            <w:r>
              <w:rPr>
                <w:rFonts w:hint="default" w:ascii="Times New Roman" w:hAnsi="Times New Roman" w:eastAsia="宋体" w:cs="Times New Roman"/>
                <w:bCs/>
                <w:color w:val="auto"/>
                <w:sz w:val="24"/>
                <w:szCs w:val="24"/>
                <w:highlight w:val="none"/>
                <w:lang w:val="en-US" w:eastAsia="zh-CN"/>
              </w:rPr>
              <w:t>排放总量为0.</w:t>
            </w:r>
            <w:r>
              <w:rPr>
                <w:rFonts w:hint="eastAsia" w:cs="Times New Roman"/>
                <w:bCs/>
                <w:color w:val="auto"/>
                <w:sz w:val="24"/>
                <w:szCs w:val="24"/>
                <w:highlight w:val="none"/>
                <w:lang w:val="en-US" w:eastAsia="zh-CN"/>
              </w:rPr>
              <w:t>0618</w:t>
            </w:r>
            <w:r>
              <w:rPr>
                <w:rFonts w:hint="default" w:ascii="Times New Roman" w:hAnsi="Times New Roman" w:eastAsia="宋体" w:cs="Times New Roman"/>
                <w:bCs/>
                <w:color w:val="auto"/>
                <w:sz w:val="24"/>
                <w:szCs w:val="24"/>
                <w:highlight w:val="none"/>
                <w:lang w:val="en-US" w:eastAsia="zh-CN"/>
              </w:rPr>
              <w:t>/a，</w:t>
            </w:r>
            <w:r>
              <w:rPr>
                <w:rFonts w:hint="default" w:ascii="Times New Roman" w:hAnsi="Times New Roman" w:eastAsia="宋体" w:cs="Times New Roman"/>
                <w:color w:val="auto"/>
                <w:sz w:val="24"/>
                <w:szCs w:val="24"/>
                <w:highlight w:val="none"/>
                <w:lang w:val="en-US" w:eastAsia="zh-CN"/>
              </w:rPr>
              <w:t>非甲烷总烃</w:t>
            </w:r>
            <w:r>
              <w:rPr>
                <w:rFonts w:hint="default" w:ascii="Times New Roman" w:hAnsi="Times New Roman" w:eastAsia="宋体" w:cs="Times New Roman"/>
                <w:b w:val="0"/>
                <w:bCs w:val="0"/>
                <w:color w:val="auto"/>
                <w:kern w:val="0"/>
                <w:sz w:val="24"/>
                <w:szCs w:val="24"/>
                <w:highlight w:val="none"/>
                <w:lang w:val="en-US" w:eastAsia="zh-CN"/>
              </w:rPr>
              <w:t>排放总量为</w:t>
            </w:r>
            <w:r>
              <w:rPr>
                <w:rFonts w:hint="eastAsia" w:cs="Times New Roman"/>
                <w:b w:val="0"/>
                <w:bCs w:val="0"/>
                <w:color w:val="auto"/>
                <w:kern w:val="0"/>
                <w:sz w:val="24"/>
                <w:szCs w:val="24"/>
                <w:highlight w:val="none"/>
                <w:lang w:val="en-US" w:eastAsia="zh-CN"/>
              </w:rPr>
              <w:t>1.3944</w:t>
            </w:r>
            <w:r>
              <w:rPr>
                <w:rFonts w:hint="default" w:ascii="Times New Roman" w:hAnsi="Times New Roman" w:eastAsia="宋体" w:cs="Times New Roman"/>
                <w:b w:val="0"/>
                <w:bCs w:val="0"/>
                <w:color w:val="auto"/>
                <w:kern w:val="0"/>
                <w:sz w:val="24"/>
                <w:szCs w:val="24"/>
                <w:highlight w:val="none"/>
                <w:lang w:val="en-US" w:eastAsia="zh-CN"/>
              </w:rPr>
              <w:t>t/a</w:t>
            </w:r>
            <w:r>
              <w:rPr>
                <w:rFonts w:hint="default" w:ascii="Times New Roman" w:hAnsi="Times New Roman" w:eastAsia="宋体" w:cs="Times New Roman"/>
                <w:bCs/>
                <w:color w:val="auto"/>
                <w:sz w:val="24"/>
                <w:szCs w:val="24"/>
                <w:highlight w:val="none"/>
              </w:rPr>
              <w:t>。</w:t>
            </w:r>
          </w:p>
          <w:p w14:paraId="28F6228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48"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废水</w:t>
            </w:r>
          </w:p>
          <w:p w14:paraId="4BC597B8">
            <w:pPr>
              <w:pStyle w:val="72"/>
              <w:adjustRightInd w:val="0"/>
              <w:snapToGrid w:val="0"/>
              <w:ind w:firstLine="600" w:firstLineChars="250"/>
              <w:rPr>
                <w:rFonts w:hint="default" w:ascii="Times New Roman" w:hAnsi="Times New Roman" w:eastAsia="宋体" w:cs="Times New Roman"/>
                <w:color w:val="auto"/>
                <w:sz w:val="24"/>
                <w:szCs w:val="24"/>
                <w:highlight w:val="none"/>
                <w:lang w:val="en-US" w:eastAsia="zh-CN" w:bidi="ar"/>
              </w:rPr>
            </w:pPr>
            <w:r>
              <w:rPr>
                <w:rFonts w:hint="default" w:ascii="Times New Roman" w:hAnsi="Times New Roman" w:eastAsia="宋体" w:cs="Times New Roman"/>
                <w:color w:val="auto"/>
                <w:sz w:val="24"/>
                <w:szCs w:val="24"/>
                <w:highlight w:val="none"/>
                <w:lang w:val="en-US" w:eastAsia="zh-CN"/>
              </w:rPr>
              <w:t>本项目冷却废水经循环水冷却池冷却后循环使用，不外排；食堂废水经隔油池处理后，与生活污水一同进入</w:t>
            </w:r>
            <w:r>
              <w:rPr>
                <w:rFonts w:hint="eastAsia" w:ascii="Times New Roman" w:hAnsi="Times New Roman" w:eastAsia="宋体" w:cs="Times New Roman"/>
                <w:color w:val="auto"/>
                <w:sz w:val="24"/>
                <w:szCs w:val="24"/>
                <w:highlight w:val="none"/>
                <w:lang w:val="en-US" w:eastAsia="zh-CN"/>
              </w:rPr>
              <w:t>依托的</w:t>
            </w:r>
            <w:r>
              <w:rPr>
                <w:rFonts w:hint="default" w:ascii="Times New Roman" w:hAnsi="Times New Roman" w:eastAsia="宋体" w:cs="Times New Roman"/>
                <w:color w:val="auto"/>
                <w:sz w:val="24"/>
                <w:szCs w:val="24"/>
                <w:highlight w:val="none"/>
                <w:lang w:val="en-US" w:eastAsia="zh-CN"/>
              </w:rPr>
              <w:t>化粪池处理</w:t>
            </w:r>
            <w:r>
              <w:rPr>
                <w:rFonts w:hint="eastAsia" w:ascii="Times New Roman" w:hAnsi="Times New Roman" w:eastAsia="宋体" w:cs="Times New Roman"/>
                <w:color w:val="auto"/>
                <w:sz w:val="24"/>
                <w:szCs w:val="24"/>
                <w:highlight w:val="none"/>
                <w:lang w:val="en-US" w:eastAsia="zh-CN"/>
              </w:rPr>
              <w:t>后</w:t>
            </w:r>
            <w:r>
              <w:rPr>
                <w:rFonts w:hint="default" w:ascii="Times New Roman" w:hAnsi="Times New Roman" w:eastAsia="宋体" w:cs="Times New Roman"/>
                <w:color w:val="auto"/>
                <w:sz w:val="24"/>
                <w:szCs w:val="24"/>
                <w:highlight w:val="none"/>
                <w:lang w:val="en-US" w:eastAsia="zh-CN"/>
              </w:rPr>
              <w:t>再进入到厂区</w:t>
            </w:r>
            <w:r>
              <w:rPr>
                <w:rFonts w:hint="eastAsia" w:ascii="Times New Roman" w:hAnsi="Times New Roman" w:eastAsia="宋体" w:cs="Times New Roman"/>
                <w:color w:val="auto"/>
                <w:sz w:val="24"/>
                <w:szCs w:val="24"/>
                <w:highlight w:val="none"/>
                <w:lang w:val="en-US" w:eastAsia="zh-CN"/>
              </w:rPr>
              <w:t>依托的一体化污水处理站</w:t>
            </w:r>
            <w:r>
              <w:rPr>
                <w:rFonts w:hint="default" w:ascii="Times New Roman" w:hAnsi="Times New Roman" w:eastAsia="宋体" w:cs="Times New Roman"/>
                <w:color w:val="auto"/>
                <w:sz w:val="24"/>
                <w:szCs w:val="24"/>
                <w:highlight w:val="none"/>
                <w:lang w:val="en-US" w:eastAsia="zh-CN"/>
              </w:rPr>
              <w:t>处理后，达到《城市污水再生利用 城市杂用水水质》（GB/T18920-2020）中的城市绿化、道路清扫、消防、建筑施工标准后，用于项目区内绿化及道路场地洒水降尘，不外排。</w:t>
            </w:r>
          </w:p>
          <w:p w14:paraId="6F152178">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因此，不设总量控制指标</w:t>
            </w:r>
            <w:r>
              <w:rPr>
                <w:rFonts w:hint="default" w:ascii="Times New Roman" w:hAnsi="Times New Roman" w:eastAsia="宋体" w:cs="Times New Roman"/>
                <w:b w:val="0"/>
                <w:bCs w:val="0"/>
                <w:color w:val="auto"/>
                <w:kern w:val="0"/>
                <w:sz w:val="24"/>
                <w:szCs w:val="24"/>
                <w:highlight w:val="none"/>
              </w:rPr>
              <w:t>。</w:t>
            </w:r>
          </w:p>
          <w:p w14:paraId="19F72D4C">
            <w:pPr>
              <w:keepNext w:val="0"/>
              <w:keepLines w:val="0"/>
              <w:pageBreakBefore w:val="0"/>
              <w:widowControl w:val="0"/>
              <w:shd w:val="clear"/>
              <w:kinsoku/>
              <w:wordWrap/>
              <w:overflowPunct/>
              <w:topLinePunct w:val="0"/>
              <w:autoSpaceDE/>
              <w:autoSpaceDN/>
              <w:bidi w:val="0"/>
              <w:adjustRightInd w:val="0"/>
              <w:snapToGrid w:val="0"/>
              <w:spacing w:line="348"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固体废物</w:t>
            </w:r>
          </w:p>
          <w:p w14:paraId="42AAA309">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本项目固体废物</w:t>
            </w:r>
            <w:r>
              <w:rPr>
                <w:rFonts w:hint="default" w:ascii="Times New Roman" w:hAnsi="Times New Roman" w:eastAsia="宋体" w:cs="Times New Roman"/>
                <w:b w:val="0"/>
                <w:bCs w:val="0"/>
                <w:color w:val="auto"/>
                <w:sz w:val="24"/>
                <w:szCs w:val="24"/>
                <w:highlight w:val="none"/>
              </w:rPr>
              <w:t>处置率100%</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不</w:t>
            </w:r>
            <w:r>
              <w:rPr>
                <w:rFonts w:hint="default" w:ascii="Times New Roman" w:hAnsi="Times New Roman" w:eastAsia="宋体" w:cs="Times New Roman"/>
                <w:color w:val="auto"/>
                <w:sz w:val="24"/>
                <w:szCs w:val="24"/>
                <w:highlight w:val="none"/>
                <w:lang w:val="en-US" w:eastAsia="zh-CN"/>
              </w:rPr>
              <w:t>设总量控制指标</w:t>
            </w:r>
            <w:r>
              <w:rPr>
                <w:rFonts w:hint="default" w:ascii="Times New Roman" w:hAnsi="Times New Roman" w:eastAsia="宋体" w:cs="Times New Roman"/>
                <w:color w:val="auto"/>
                <w:sz w:val="24"/>
                <w:szCs w:val="24"/>
                <w:highlight w:val="none"/>
              </w:rPr>
              <w:t>。</w:t>
            </w:r>
          </w:p>
          <w:p w14:paraId="2E4AD304">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szCs w:val="24"/>
                <w:highlight w:val="none"/>
              </w:rPr>
            </w:pPr>
          </w:p>
          <w:p w14:paraId="7F07D6A0">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szCs w:val="24"/>
                <w:highlight w:val="none"/>
              </w:rPr>
            </w:pPr>
          </w:p>
          <w:p w14:paraId="40EE0470">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szCs w:val="24"/>
                <w:highlight w:val="none"/>
              </w:rPr>
            </w:pPr>
          </w:p>
          <w:p w14:paraId="472A430D">
            <w:pPr>
              <w:keepNext w:val="0"/>
              <w:keepLines w:val="0"/>
              <w:pageBreakBefore w:val="0"/>
              <w:widowControl w:val="0"/>
              <w:shd w:val="clear"/>
              <w:kinsoku/>
              <w:wordWrap/>
              <w:overflowPunct/>
              <w:topLinePunct w:val="0"/>
              <w:autoSpaceDE/>
              <w:autoSpaceDN/>
              <w:bidi w:val="0"/>
              <w:adjustRightInd w:val="0"/>
              <w:snapToGrid w:val="0"/>
              <w:spacing w:line="348" w:lineRule="auto"/>
              <w:textAlignment w:val="auto"/>
              <w:rPr>
                <w:rFonts w:hint="eastAsia" w:ascii="Times New Roman" w:hAnsi="Times New Roman" w:eastAsia="宋体" w:cs="Times New Roman"/>
                <w:color w:val="auto"/>
                <w:sz w:val="24"/>
                <w:szCs w:val="24"/>
                <w:highlight w:val="none"/>
                <w:lang w:eastAsia="zh-CN"/>
              </w:rPr>
            </w:pPr>
          </w:p>
        </w:tc>
      </w:tr>
    </w:tbl>
    <w:p w14:paraId="19251886">
      <w:pPr>
        <w:pStyle w:val="25"/>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r>
        <w:rPr>
          <w:rFonts w:hint="default" w:ascii="Times New Roman" w:hAnsi="Times New Roman" w:eastAsia="宋体" w:cs="Times New Roman"/>
          <w:snapToGrid w:val="0"/>
          <w:color w:val="auto"/>
          <w:sz w:val="36"/>
          <w:szCs w:val="36"/>
          <w:highlight w:val="none"/>
        </w:rPr>
        <w:br w:type="page"/>
      </w:r>
      <w:bookmarkStart w:id="20" w:name="_Toc32349"/>
      <w:bookmarkStart w:id="21" w:name="_Toc6112"/>
      <w:r>
        <w:rPr>
          <w:rFonts w:hint="default" w:ascii="Times New Roman" w:hAnsi="Times New Roman" w:eastAsia="宋体" w:cs="Times New Roman"/>
          <w:b/>
          <w:bCs/>
          <w:snapToGrid w:val="0"/>
          <w:color w:val="auto"/>
          <w:sz w:val="30"/>
          <w:szCs w:val="30"/>
          <w:highlight w:val="none"/>
        </w:rPr>
        <w:t>四、主要环境影响和保护措施</w:t>
      </w:r>
      <w:bookmarkEnd w:id="20"/>
      <w:bookmarkEnd w:id="21"/>
    </w:p>
    <w:tbl>
      <w:tblPr>
        <w:tblStyle w:val="26"/>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23"/>
      </w:tblGrid>
      <w:tr w14:paraId="28445F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8" w:type="dxa"/>
            <w:tcMar>
              <w:left w:w="28" w:type="dxa"/>
              <w:right w:w="28" w:type="dxa"/>
            </w:tcMar>
            <w:vAlign w:val="center"/>
          </w:tcPr>
          <w:p w14:paraId="6A7715C8">
            <w:pPr>
              <w:pStyle w:val="25"/>
              <w:shd w:val="clear"/>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施工</w:t>
            </w:r>
          </w:p>
          <w:p w14:paraId="0117FD3A">
            <w:pPr>
              <w:pStyle w:val="25"/>
              <w:shd w:val="clear"/>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期环</w:t>
            </w:r>
          </w:p>
          <w:p w14:paraId="363CB912">
            <w:pPr>
              <w:pStyle w:val="25"/>
              <w:shd w:val="clear"/>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境保</w:t>
            </w:r>
          </w:p>
          <w:p w14:paraId="600FEEA3">
            <w:pPr>
              <w:pStyle w:val="25"/>
              <w:shd w:val="clear"/>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护措</w:t>
            </w:r>
          </w:p>
          <w:p w14:paraId="4B03183C">
            <w:pPr>
              <w:pStyle w:val="25"/>
              <w:shd w:val="clear"/>
              <w:adjustRightInd w:val="0"/>
              <w:snapToGrid w:val="0"/>
              <w:spacing w:before="0" w:beforeAutospacing="0" w:after="0" w:afterAutospacing="0"/>
              <w:jc w:val="center"/>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color w:val="auto"/>
                <w:kern w:val="2"/>
                <w:sz w:val="24"/>
                <w:szCs w:val="24"/>
                <w:highlight w:val="none"/>
              </w:rPr>
              <w:t>施</w:t>
            </w:r>
          </w:p>
        </w:tc>
        <w:tc>
          <w:tcPr>
            <w:tcW w:w="8623" w:type="dxa"/>
            <w:vAlign w:val="center"/>
          </w:tcPr>
          <w:p w14:paraId="641A06FB">
            <w:pPr>
              <w:pStyle w:val="2"/>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iCs/>
                <w:color w:val="auto"/>
                <w:sz w:val="24"/>
                <w:highlight w:val="none"/>
              </w:rPr>
              <w:t>本</w:t>
            </w:r>
            <w:r>
              <w:rPr>
                <w:color w:val="auto"/>
                <w:sz w:val="24"/>
              </w:rPr>
              <w:t>项目</w:t>
            </w:r>
            <w:r>
              <w:rPr>
                <w:rFonts w:hint="eastAsia"/>
                <w:color w:val="auto"/>
                <w:sz w:val="24"/>
              </w:rPr>
              <w:t>租用已建标准</w:t>
            </w:r>
            <w:r>
              <w:rPr>
                <w:color w:val="auto"/>
                <w:sz w:val="24"/>
              </w:rPr>
              <w:t>厂房</w:t>
            </w:r>
            <w:r>
              <w:rPr>
                <w:rFonts w:hint="eastAsia"/>
                <w:color w:val="auto"/>
                <w:sz w:val="24"/>
              </w:rPr>
              <w:t>及办公综合楼</w:t>
            </w:r>
            <w:r>
              <w:rPr>
                <w:color w:val="auto"/>
                <w:sz w:val="24"/>
              </w:rPr>
              <w:t>进行建设，施工期仅在现有厂房内进行装修改造</w:t>
            </w:r>
            <w:r>
              <w:rPr>
                <w:rFonts w:hint="eastAsia"/>
                <w:color w:val="auto"/>
                <w:sz w:val="24"/>
              </w:rPr>
              <w:t>、</w:t>
            </w:r>
            <w:r>
              <w:rPr>
                <w:color w:val="auto"/>
                <w:sz w:val="24"/>
              </w:rPr>
              <w:t>设备安装</w:t>
            </w:r>
            <w:r>
              <w:rPr>
                <w:rFonts w:hint="eastAsia"/>
                <w:color w:val="auto"/>
                <w:sz w:val="24"/>
                <w:lang w:eastAsia="zh-CN"/>
              </w:rPr>
              <w:t>、环保设施建设</w:t>
            </w:r>
            <w:r>
              <w:rPr>
                <w:rFonts w:hint="eastAsia"/>
                <w:color w:val="auto"/>
                <w:sz w:val="24"/>
              </w:rPr>
              <w:t>等</w:t>
            </w:r>
            <w:r>
              <w:rPr>
                <w:color w:val="auto"/>
                <w:sz w:val="24"/>
              </w:rPr>
              <w:t>。施工期主要产生的污染物</w:t>
            </w:r>
            <w:r>
              <w:rPr>
                <w:rFonts w:hint="default" w:ascii="Times New Roman" w:hAnsi="Times New Roman" w:eastAsia="宋体" w:cs="Times New Roman"/>
                <w:b w:val="0"/>
                <w:bCs w:val="0"/>
                <w:color w:val="auto"/>
                <w:sz w:val="24"/>
                <w:szCs w:val="24"/>
                <w:highlight w:val="none"/>
                <w:lang w:val="en-US" w:eastAsia="zh-CN"/>
              </w:rPr>
              <w:t>废气、废水、噪声、固废等。</w:t>
            </w:r>
          </w:p>
          <w:p w14:paraId="71D6A0D5">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sz w:val="24"/>
                <w:highlight w:val="none"/>
              </w:rPr>
              <w:t>1、施工期废气影响分析</w:t>
            </w:r>
          </w:p>
          <w:p w14:paraId="6C5C8FD7">
            <w:pPr>
              <w:pStyle w:val="5"/>
              <w:keepNext w:val="0"/>
              <w:keepLines w:val="0"/>
              <w:pageBreakBefore w:val="0"/>
              <w:shd w:val="clear"/>
              <w:kinsoku/>
              <w:wordWrap/>
              <w:overflowPunct/>
              <w:topLinePunct w:val="0"/>
              <w:autoSpaceDE/>
              <w:autoSpaceDN/>
              <w:bidi w:val="0"/>
              <w:spacing w:after="0" w:afterLines="0"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施工期废气主要为施工粉尘、焊接烟尘、施工机械及车辆燃油废气等。</w:t>
            </w:r>
          </w:p>
          <w:p w14:paraId="0967B5EC">
            <w:pPr>
              <w:keepNext w:val="0"/>
              <w:keepLines w:val="0"/>
              <w:pageBreakBefore w:val="0"/>
              <w:shd w:val="clear"/>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val="0"/>
                <w:color w:val="auto"/>
                <w:kern w:val="2"/>
                <w:sz w:val="24"/>
                <w:szCs w:val="24"/>
                <w:highlight w:val="none"/>
                <w:lang w:val="zh-CN" w:eastAsia="zh-CN" w:bidi="ar-SA"/>
              </w:rPr>
            </w:pPr>
            <w:r>
              <w:rPr>
                <w:rFonts w:hint="default" w:ascii="Times New Roman" w:hAnsi="Times New Roman" w:eastAsia="宋体" w:cs="Times New Roman"/>
                <w:b/>
                <w:bCs w:val="0"/>
                <w:color w:val="auto"/>
                <w:kern w:val="2"/>
                <w:sz w:val="24"/>
                <w:szCs w:val="24"/>
                <w:highlight w:val="none"/>
                <w:lang w:val="zh-CN" w:eastAsia="zh-CN" w:bidi="ar-SA"/>
              </w:rPr>
              <w:t>（1）施工粉尘影响</w:t>
            </w:r>
          </w:p>
          <w:p w14:paraId="0C5E7346">
            <w:pPr>
              <w:shd w:val="clear"/>
              <w:adjustRightInd w:val="0"/>
              <w:snapToGrid w:val="0"/>
              <w:spacing w:afterLines="0" w:line="360" w:lineRule="auto"/>
              <w:ind w:firstLine="480" w:firstLineChars="200"/>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val="en-US" w:eastAsia="zh-CN" w:bidi="ar"/>
              </w:rPr>
              <w:t>项目施工扬尘主要来自施工建筑材料装卸、运输，施工垃圾堆放，施工车辆的扬尘等。</w:t>
            </w:r>
            <w:r>
              <w:rPr>
                <w:rFonts w:hint="default" w:ascii="Times New Roman" w:hAnsi="Times New Roman" w:eastAsia="宋体" w:cs="Times New Roman"/>
                <w:color w:val="auto"/>
                <w:kern w:val="0"/>
                <w:sz w:val="24"/>
                <w:szCs w:val="24"/>
                <w:highlight w:val="none"/>
                <w:lang w:bidi="ar"/>
              </w:rPr>
              <w:t>为降低施工粉尘对周边大气环境的影响，应采取如下防治措施：</w:t>
            </w:r>
          </w:p>
          <w:p w14:paraId="337F0FDD">
            <w:pPr>
              <w:shd w:val="clea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施工场地定期洒水，有效防止扬尘，在风速大于四级风速气象条件下加大洒水量及洒水频次；</w:t>
            </w:r>
          </w:p>
          <w:p w14:paraId="3397ABF5">
            <w:pPr>
              <w:shd w:val="clea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施工建筑材料定点堆放，在大风天气对散料堆场采用水喷淋防尘，用</w:t>
            </w:r>
            <w:r>
              <w:rPr>
                <w:rFonts w:hint="eastAsia" w:cs="Times New Roman"/>
                <w:color w:val="auto"/>
                <w:sz w:val="24"/>
                <w:szCs w:val="24"/>
                <w:highlight w:val="none"/>
                <w:lang w:eastAsia="zh-CN"/>
              </w:rPr>
              <w:t>篷布</w:t>
            </w:r>
            <w:r>
              <w:rPr>
                <w:rFonts w:hint="default" w:ascii="Times New Roman" w:hAnsi="Times New Roman" w:eastAsia="宋体" w:cs="Times New Roman"/>
                <w:color w:val="auto"/>
                <w:sz w:val="24"/>
                <w:szCs w:val="24"/>
                <w:highlight w:val="none"/>
              </w:rPr>
              <w:t>遮盖建筑材料，尽量按量购进建筑材料，避免在场内长时间堆放；</w:t>
            </w:r>
          </w:p>
          <w:p w14:paraId="191C93B8">
            <w:pPr>
              <w:shd w:val="clea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施工场地清理阶段做到先洒水，后清扫，施工后期建筑垃圾及时清理；</w:t>
            </w:r>
          </w:p>
          <w:p w14:paraId="15BFC7E9">
            <w:pPr>
              <w:shd w:val="clea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④</w:t>
            </w:r>
            <w:r>
              <w:rPr>
                <w:rFonts w:hint="default" w:ascii="Times New Roman" w:hAnsi="Times New Roman" w:eastAsia="宋体" w:cs="Times New Roman"/>
                <w:color w:val="auto"/>
                <w:sz w:val="24"/>
                <w:szCs w:val="24"/>
                <w:highlight w:val="none"/>
                <w:lang w:eastAsia="ja-JP"/>
              </w:rPr>
              <w:t>加强施工现场运输车辆管理，运输车辆必须车身整洁，装载车厢完好、严密，装载货物堆码整齐，严禁在装运过程中沿途抛、洒、滴、漏</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ja-JP"/>
              </w:rPr>
              <w:t>不得污染道路</w:t>
            </w:r>
            <w:r>
              <w:rPr>
                <w:rFonts w:hint="default" w:ascii="Times New Roman" w:hAnsi="Times New Roman" w:eastAsia="宋体" w:cs="Times New Roman"/>
                <w:color w:val="auto"/>
                <w:sz w:val="24"/>
                <w:szCs w:val="24"/>
                <w:highlight w:val="none"/>
                <w:lang w:eastAsia="zh-CN"/>
              </w:rPr>
              <w:t>；</w:t>
            </w:r>
          </w:p>
          <w:p w14:paraId="1817F606">
            <w:pPr>
              <w:shd w:val="clea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⑤</w:t>
            </w:r>
            <w:r>
              <w:rPr>
                <w:rFonts w:hint="default" w:ascii="Times New Roman" w:hAnsi="Times New Roman" w:eastAsia="宋体" w:cs="Times New Roman"/>
                <w:color w:val="auto"/>
                <w:sz w:val="24"/>
                <w:szCs w:val="24"/>
                <w:highlight w:val="none"/>
              </w:rPr>
              <w:t>优化施工期间运输车辆的出入场路径</w:t>
            </w:r>
            <w:r>
              <w:rPr>
                <w:rFonts w:hint="default" w:ascii="Times New Roman" w:hAnsi="Times New Roman" w:eastAsia="宋体" w:cs="Times New Roman"/>
                <w:color w:val="auto"/>
                <w:sz w:val="24"/>
                <w:szCs w:val="24"/>
                <w:highlight w:val="none"/>
                <w:lang w:eastAsia="zh-CN"/>
              </w:rPr>
              <w:t>；</w:t>
            </w:r>
          </w:p>
          <w:p w14:paraId="1F82132C">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color w:val="auto"/>
                <w:sz w:val="28"/>
                <w:highlight w:val="none"/>
              </w:rPr>
            </w:pPr>
            <w:r>
              <w:rPr>
                <w:rFonts w:hint="default" w:ascii="Times New Roman" w:hAnsi="Times New Roman" w:eastAsia="宋体" w:cs="Times New Roman"/>
                <w:color w:val="auto"/>
                <w:sz w:val="24"/>
                <w:szCs w:val="24"/>
                <w:highlight w:val="none"/>
                <w:lang w:val="en-US" w:eastAsia="zh-CN"/>
              </w:rPr>
              <w:t>⑥</w:t>
            </w:r>
            <w:r>
              <w:rPr>
                <w:rFonts w:hint="default" w:ascii="Times New Roman" w:hAnsi="Times New Roman" w:eastAsia="宋体" w:cs="Times New Roman"/>
                <w:color w:val="auto"/>
                <w:sz w:val="24"/>
                <w:szCs w:val="24"/>
                <w:highlight w:val="none"/>
              </w:rPr>
              <w:t>在施工中合理组织施工，缩短施工时间，尽量减少施工污染。</w:t>
            </w:r>
          </w:p>
          <w:p w14:paraId="18FC4DE4">
            <w:pPr>
              <w:shd w:val="clear"/>
              <w:adjustRightInd w:val="0"/>
              <w:spacing w:afterLines="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施工期产生的粉尘污染是短期的，随着施工活动的结束，施工扬尘对环境空气的影响也就随之结束，因此施工期粉尘对评价区域的空气环境质量影响较小。</w:t>
            </w:r>
          </w:p>
          <w:p w14:paraId="5B2F9565">
            <w:pPr>
              <w:shd w:val="clear"/>
              <w:spacing w:afterLines="0" w:line="360" w:lineRule="auto"/>
              <w:ind w:firstLine="482" w:firstLineChars="200"/>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）焊接烟尘影响</w:t>
            </w:r>
          </w:p>
          <w:p w14:paraId="135E2594">
            <w:pPr>
              <w:shd w:val="clear"/>
              <w:spacing w:afterLines="0" w:line="360" w:lineRule="auto"/>
              <w:ind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highlight w:val="none"/>
              </w:rPr>
              <w:t>根据工程规模，项目焊接工程量较小，焊接过程烟尘</w:t>
            </w:r>
            <w:r>
              <w:rPr>
                <w:rFonts w:hint="default" w:ascii="Times New Roman" w:hAnsi="Times New Roman" w:eastAsia="宋体" w:cs="Times New Roman"/>
                <w:color w:val="auto"/>
                <w:sz w:val="24"/>
                <w:highlight w:val="none"/>
                <w:lang w:eastAsia="zh-CN"/>
              </w:rPr>
              <w:t>量</w:t>
            </w:r>
            <w:r>
              <w:rPr>
                <w:rFonts w:hint="default" w:ascii="Times New Roman" w:hAnsi="Times New Roman" w:eastAsia="宋体" w:cs="Times New Roman"/>
                <w:color w:val="auto"/>
                <w:sz w:val="24"/>
                <w:highlight w:val="none"/>
                <w:lang w:val="en-US" w:eastAsia="zh-CN"/>
              </w:rPr>
              <w:t>不大</w:t>
            </w:r>
            <w:r>
              <w:rPr>
                <w:rFonts w:hint="default" w:ascii="Times New Roman" w:hAnsi="Times New Roman" w:eastAsia="宋体" w:cs="Times New Roman"/>
                <w:color w:val="auto"/>
                <w:sz w:val="24"/>
                <w:highlight w:val="none"/>
              </w:rPr>
              <w:t>，呈无组织排放。</w:t>
            </w:r>
            <w:r>
              <w:rPr>
                <w:rFonts w:hint="default" w:ascii="Times New Roman" w:hAnsi="Times New Roman" w:eastAsia="宋体" w:cs="Times New Roman"/>
                <w:color w:val="auto"/>
                <w:sz w:val="24"/>
                <w:szCs w:val="24"/>
                <w:highlight w:val="none"/>
              </w:rPr>
              <w:t>施工焊接烟尘具有间断性产生、产生量较小、产生点相对分散、易被稀释扩散等特点，加之施工场地周围较空旷，大气扩散条件相对较好，焊接烟尘经自然扩散和稀释</w:t>
            </w:r>
            <w:r>
              <w:rPr>
                <w:rFonts w:hint="default" w:ascii="Times New Roman" w:hAnsi="Times New Roman" w:eastAsia="宋体" w:cs="Times New Roman"/>
                <w:color w:val="auto"/>
                <w:sz w:val="24"/>
                <w:szCs w:val="24"/>
                <w:highlight w:val="none"/>
                <w:lang w:val="zh-CN" w:eastAsia="zh-CN"/>
              </w:rPr>
              <w:t>后对周围环境影响很小。</w:t>
            </w:r>
          </w:p>
          <w:p w14:paraId="025AF38E">
            <w:pPr>
              <w:shd w:val="clear"/>
              <w:spacing w:afterLines="0"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highlight w:val="none"/>
              </w:rPr>
              <w:t>施工机械及车辆燃油废气</w:t>
            </w:r>
            <w:r>
              <w:rPr>
                <w:rFonts w:hint="default" w:ascii="Times New Roman" w:hAnsi="Times New Roman" w:eastAsia="宋体" w:cs="Times New Roman"/>
                <w:b/>
                <w:bCs/>
                <w:color w:val="auto"/>
                <w:sz w:val="24"/>
                <w:szCs w:val="24"/>
                <w:highlight w:val="none"/>
                <w:lang w:val="zh-CN"/>
              </w:rPr>
              <w:t>影响</w:t>
            </w:r>
          </w:p>
          <w:p w14:paraId="1D52737D">
            <w:pPr>
              <w:pStyle w:val="2"/>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lang w:val="zh-CN"/>
              </w:rPr>
              <w:t>项目施工车辆运输过程及施工机械使用过程中产生的尾气将对沿路居民生活及环境空气产生一定的影响。因此，建设单位应在施工期间加强对车辆及施工机械的维修，尽量减少尾气的排放。</w:t>
            </w:r>
            <w:r>
              <w:rPr>
                <w:rFonts w:hint="default" w:ascii="Times New Roman" w:hAnsi="Times New Roman" w:eastAsia="宋体" w:cs="Times New Roman"/>
                <w:color w:val="auto"/>
                <w:sz w:val="24"/>
                <w:szCs w:val="24"/>
                <w:highlight w:val="none"/>
              </w:rPr>
              <w:t>施工机械和运输车辆所产生的废气经自然扩散和稀释</w:t>
            </w:r>
            <w:r>
              <w:rPr>
                <w:rFonts w:hint="default" w:ascii="Times New Roman" w:hAnsi="Times New Roman" w:eastAsia="宋体" w:cs="Times New Roman"/>
                <w:color w:val="auto"/>
                <w:sz w:val="24"/>
                <w:szCs w:val="24"/>
                <w:highlight w:val="none"/>
                <w:lang w:eastAsia="zh-CN"/>
              </w:rPr>
              <w:t>后对周围环境影响较小</w:t>
            </w:r>
            <w:r>
              <w:rPr>
                <w:rFonts w:hint="default" w:ascii="Times New Roman" w:hAnsi="Times New Roman" w:eastAsia="宋体" w:cs="Times New Roman"/>
                <w:color w:val="auto"/>
                <w:sz w:val="24"/>
                <w:szCs w:val="24"/>
                <w:highlight w:val="none"/>
              </w:rPr>
              <w:t>。</w:t>
            </w:r>
          </w:p>
          <w:p w14:paraId="6C47F7DF">
            <w:pPr>
              <w:keepNext w:val="0"/>
              <w:keepLines w:val="0"/>
              <w:pageBreakBefore w:val="0"/>
              <w:kinsoku/>
              <w:wordWrap/>
              <w:overflowPunct/>
              <w:topLinePunct w:val="0"/>
              <w:bidi w:val="0"/>
              <w:spacing w:line="360" w:lineRule="auto"/>
              <w:ind w:firstLine="482" w:firstLineChars="200"/>
              <w:textAlignment w:val="auto"/>
              <w:rPr>
                <w:rFonts w:hint="default" w:ascii="Times New Roman" w:hAnsi="Times New Roman" w:eastAsia="宋体" w:cs="Times New Roman"/>
                <w:b/>
                <w:bCs w:val="0"/>
                <w:color w:val="auto"/>
                <w:sz w:val="24"/>
                <w:highlight w:val="none"/>
                <w:lang w:val="en-US" w:eastAsia="zh-CN"/>
              </w:rPr>
            </w:pPr>
            <w:r>
              <w:rPr>
                <w:rFonts w:hint="default" w:ascii="Times New Roman" w:hAnsi="Times New Roman" w:eastAsia="宋体" w:cs="Times New Roman"/>
                <w:b/>
                <w:bCs w:val="0"/>
                <w:color w:val="auto"/>
                <w:sz w:val="24"/>
                <w:highlight w:val="none"/>
                <w:lang w:val="en-US" w:eastAsia="zh-CN"/>
              </w:rPr>
              <w:t>（4）使用涂料产生的废气</w:t>
            </w:r>
          </w:p>
          <w:p w14:paraId="01AFC5B0">
            <w:pPr>
              <w:pStyle w:val="2"/>
              <w:keepNext w:val="0"/>
              <w:keepLines w:val="0"/>
              <w:pageBreakBefore w:val="0"/>
              <w:widowControl w:val="0"/>
              <w:kinsoku/>
              <w:wordWrap/>
              <w:overflowPunct/>
              <w:topLinePunct w:val="0"/>
              <w:autoSpaceDE/>
              <w:autoSpaceDN/>
              <w:bidi w:val="0"/>
              <w:spacing w:after="0" w:line="356" w:lineRule="auto"/>
              <w:ind w:left="0" w:leftChars="0" w:firstLine="480"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val="0"/>
                <w:bCs/>
                <w:color w:val="auto"/>
                <w:sz w:val="24"/>
                <w:lang w:val="en-US" w:eastAsia="zh-CN"/>
              </w:rPr>
              <w:t>项目建筑在后期装修过程中产生的废气属无组织排放，主要污染因子为挥发性有机废气等。项目在装修过程中，产生的废气主要来源包括地板漆、墙面漆和内墙涂料等，由于使用的油漆组分不同，挥发系数也不相同，并且装修阶段随机性大，时间跨度较长，装修作业点分散，油漆废气的排放时间和部位尚不能明确，装修阶段的油漆废气排放周期相对较短。因此，环评提出本项目应</w:t>
            </w:r>
            <w:bookmarkStart w:id="22" w:name="_Hlk141364638"/>
            <w:r>
              <w:rPr>
                <w:rFonts w:hint="default" w:ascii="Times New Roman" w:hAnsi="Times New Roman" w:eastAsia="宋体" w:cs="Times New Roman"/>
                <w:bCs/>
                <w:color w:val="auto"/>
                <w:sz w:val="24"/>
              </w:rPr>
              <w:t>使用环保型装修材料</w:t>
            </w:r>
            <w:bookmarkEnd w:id="22"/>
            <w:r>
              <w:rPr>
                <w:rFonts w:hint="default" w:ascii="Times New Roman" w:hAnsi="Times New Roman" w:eastAsia="宋体" w:cs="Times New Roman"/>
                <w:bCs/>
                <w:color w:val="auto"/>
                <w:sz w:val="24"/>
                <w:lang w:eastAsia="zh-CN"/>
              </w:rPr>
              <w:t>；</w:t>
            </w:r>
            <w:r>
              <w:rPr>
                <w:rFonts w:hint="default" w:ascii="Times New Roman" w:hAnsi="Times New Roman" w:eastAsia="宋体" w:cs="Times New Roman"/>
                <w:b w:val="0"/>
                <w:bCs/>
                <w:color w:val="auto"/>
                <w:sz w:val="24"/>
                <w:lang w:val="en-US" w:eastAsia="zh-CN"/>
              </w:rPr>
              <w:t>装修期间涂刷油漆时，应加强室内的通风换气，</w:t>
            </w:r>
            <w:r>
              <w:rPr>
                <w:rFonts w:hint="eastAsia" w:cs="Times New Roman"/>
                <w:b w:val="0"/>
                <w:bCs/>
                <w:color w:val="auto"/>
                <w:sz w:val="24"/>
                <w:lang w:val="en-US" w:eastAsia="zh-CN"/>
              </w:rPr>
              <w:t>再者</w:t>
            </w:r>
            <w:r>
              <w:rPr>
                <w:rFonts w:hint="default" w:ascii="Times New Roman" w:hAnsi="Times New Roman" w:eastAsia="宋体" w:cs="Times New Roman"/>
                <w:b w:val="0"/>
                <w:bCs/>
                <w:color w:val="auto"/>
                <w:sz w:val="24"/>
                <w:lang w:val="en-US" w:eastAsia="zh-CN"/>
              </w:rPr>
              <w:t>由于装修时废气中含有的有机废气等影响环境质量的有毒有害物质挥发时间长，应特别注意室内空气的流畅。</w:t>
            </w:r>
          </w:p>
          <w:p w14:paraId="27DAA32D">
            <w:pPr>
              <w:pStyle w:val="2"/>
              <w:shd w:val="clear"/>
              <w:spacing w:after="0" w:line="360" w:lineRule="auto"/>
              <w:ind w:left="0" w:leftChars="0"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2、施工期废水影响分析</w:t>
            </w:r>
          </w:p>
          <w:p w14:paraId="1844B686">
            <w:pPr>
              <w:shd w:val="clear"/>
              <w:spacing w:line="360" w:lineRule="auto"/>
              <w:ind w:firstLine="480" w:firstLineChars="200"/>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施工期产生的废水主要是施工废水</w:t>
            </w:r>
            <w:r>
              <w:rPr>
                <w:rFonts w:hint="default" w:ascii="Times New Roman" w:hAnsi="Times New Roman" w:eastAsia="宋体" w:cs="Times New Roman"/>
                <w:color w:val="auto"/>
                <w:sz w:val="24"/>
                <w:szCs w:val="24"/>
                <w:highlight w:val="none"/>
                <w:lang w:val="en-US" w:eastAsia="zh-CN"/>
              </w:rPr>
              <w:t>及施工人员</w:t>
            </w:r>
            <w:r>
              <w:rPr>
                <w:rFonts w:hint="default" w:ascii="Times New Roman" w:hAnsi="Times New Roman" w:eastAsia="宋体" w:cs="Times New Roman"/>
                <w:color w:val="auto"/>
                <w:sz w:val="24"/>
                <w:szCs w:val="24"/>
                <w:highlight w:val="none"/>
                <w:lang w:val="zh-CN" w:eastAsia="zh-CN"/>
              </w:rPr>
              <w:t>生活污水。</w:t>
            </w:r>
          </w:p>
          <w:p w14:paraId="68DD45AC">
            <w:pPr>
              <w:shd w:val="clea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①施工废水</w:t>
            </w:r>
          </w:p>
          <w:p w14:paraId="4AE4DE60">
            <w:pPr>
              <w:shd w:val="clear"/>
              <w:spacing w:line="360" w:lineRule="auto"/>
              <w:ind w:firstLine="480" w:firstLineChars="200"/>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项目施工过程中主要产生施工设备维修、清洗废水，施工期废水量约为</w:t>
            </w:r>
            <w:r>
              <w:rPr>
                <w:rFonts w:hint="eastAsia" w:cs="Times New Roman"/>
                <w:color w:val="auto"/>
                <w:sz w:val="24"/>
                <w:szCs w:val="24"/>
                <w:highlight w:val="none"/>
                <w:lang w:val="en-US" w:eastAsia="zh-CN"/>
              </w:rPr>
              <w:t>0.5</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zh-CN" w:eastAsia="zh-CN"/>
              </w:rPr>
              <w:t>/d，主要污染物为SS，浓度约1000mg/L。</w:t>
            </w:r>
          </w:p>
          <w:p w14:paraId="5F5A0B13">
            <w:pPr>
              <w:shd w:val="clea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施工人员生活污水</w:t>
            </w:r>
          </w:p>
          <w:p w14:paraId="4388D75B">
            <w:pPr>
              <w:shd w:val="clear"/>
              <w:spacing w:line="360" w:lineRule="auto"/>
              <w:ind w:firstLine="480" w:firstLineChars="200"/>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项目施工期不设施工营地，施工人员均不在项目区食宿，仅产生少量洗手清洁废水。项目施工总周期为</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个月</w:t>
            </w:r>
            <w:r>
              <w:rPr>
                <w:rFonts w:hint="default" w:ascii="Times New Roman" w:hAnsi="Times New Roman" w:eastAsia="宋体" w:cs="Times New Roman"/>
                <w:color w:val="auto"/>
                <w:sz w:val="24"/>
                <w:szCs w:val="24"/>
                <w:highlight w:val="none"/>
                <w:lang w:val="zh-CN" w:eastAsia="zh-CN"/>
              </w:rPr>
              <w:t>，施工高峰期人员</w:t>
            </w:r>
            <w:r>
              <w:rPr>
                <w:rFonts w:hint="default" w:ascii="Times New Roman" w:hAnsi="Times New Roman" w:eastAsia="宋体" w:cs="Times New Roman"/>
                <w:color w:val="auto"/>
                <w:sz w:val="24"/>
                <w:szCs w:val="24"/>
                <w:highlight w:val="none"/>
                <w:lang w:val="en-US" w:eastAsia="zh-CN"/>
              </w:rPr>
              <w:t>约</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zh-CN" w:eastAsia="zh-CN"/>
              </w:rPr>
              <w:t>0人计，施工人员洗手清洁用水按</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eastAsia="zh-CN"/>
              </w:rPr>
              <w:t>0L/人·d计，</w:t>
            </w:r>
            <w:r>
              <w:rPr>
                <w:rFonts w:hint="default" w:ascii="Times New Roman" w:hAnsi="Times New Roman" w:eastAsia="宋体" w:cs="Times New Roman"/>
                <w:color w:val="auto"/>
                <w:sz w:val="24"/>
                <w:szCs w:val="24"/>
                <w:highlight w:val="none"/>
                <w:lang w:val="en-US" w:eastAsia="zh-CN"/>
              </w:rPr>
              <w:t>施工人员</w:t>
            </w:r>
            <w:r>
              <w:rPr>
                <w:rFonts w:hint="default" w:ascii="Times New Roman" w:hAnsi="Times New Roman" w:eastAsia="宋体" w:cs="Times New Roman"/>
                <w:color w:val="auto"/>
                <w:sz w:val="24"/>
                <w:szCs w:val="24"/>
                <w:highlight w:val="none"/>
                <w:lang w:val="zh-CN" w:eastAsia="zh-CN"/>
              </w:rPr>
              <w:t>用水量为</w:t>
            </w:r>
            <w:r>
              <w:rPr>
                <w:rFonts w:hint="eastAsia" w:cs="Times New Roman"/>
                <w:color w:val="auto"/>
                <w:sz w:val="24"/>
                <w:szCs w:val="24"/>
                <w:highlight w:val="none"/>
                <w:lang w:val="en-US" w:eastAsia="zh-CN"/>
              </w:rPr>
              <w:t>48</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en-US" w:eastAsia="zh-CN"/>
              </w:rPr>
              <w:t>/施工期</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平均0.</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zh-CN" w:eastAsia="zh-CN"/>
              </w:rPr>
              <w:t>/d，排水系数按80%计算，则施工人员洗手清洁废水产生量为</w:t>
            </w:r>
            <w:r>
              <w:rPr>
                <w:rFonts w:hint="eastAsia" w:cs="Times New Roman"/>
                <w:color w:val="auto"/>
                <w:sz w:val="24"/>
                <w:szCs w:val="24"/>
                <w:highlight w:val="none"/>
                <w:lang w:val="en-US" w:eastAsia="zh-CN"/>
              </w:rPr>
              <w:t>38.4</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en-US" w:eastAsia="zh-CN"/>
              </w:rPr>
              <w:t>/施工期</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平均0.</w:t>
            </w:r>
            <w:r>
              <w:rPr>
                <w:rFonts w:hint="eastAsia" w:cs="Times New Roman"/>
                <w:color w:val="auto"/>
                <w:sz w:val="24"/>
                <w:szCs w:val="24"/>
                <w:highlight w:val="none"/>
                <w:lang w:val="en-US" w:eastAsia="zh-CN"/>
              </w:rPr>
              <w:t>16</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zh-CN" w:eastAsia="zh-CN"/>
              </w:rPr>
              <w:t>/d。</w:t>
            </w:r>
          </w:p>
          <w:p w14:paraId="47EE6E63">
            <w:pPr>
              <w:pStyle w:val="2"/>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lang w:val="zh-CN" w:eastAsia="zh-CN"/>
              </w:rPr>
              <w:t>施工过程中施工废水、施工人员生活污水</w:t>
            </w:r>
            <w:r>
              <w:rPr>
                <w:rFonts w:hint="default" w:ascii="Times New Roman" w:hAnsi="Times New Roman" w:eastAsia="宋体" w:cs="Times New Roman"/>
                <w:color w:val="auto"/>
                <w:sz w:val="24"/>
                <w:szCs w:val="24"/>
                <w:highlight w:val="none"/>
                <w:lang w:val="en-US" w:eastAsia="zh-CN"/>
              </w:rPr>
              <w:t>设置1个容积约为</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的临时沉淀池，施工废水及</w:t>
            </w:r>
            <w:r>
              <w:rPr>
                <w:rFonts w:hint="default" w:ascii="Times New Roman" w:hAnsi="Times New Roman" w:eastAsia="宋体" w:cs="Times New Roman"/>
                <w:color w:val="auto"/>
                <w:sz w:val="24"/>
                <w:szCs w:val="24"/>
                <w:highlight w:val="none"/>
                <w:lang w:val="zh-CN" w:eastAsia="zh-CN"/>
              </w:rPr>
              <w:t>施工人员洗手清洁</w:t>
            </w:r>
            <w:r>
              <w:rPr>
                <w:rFonts w:hint="default" w:ascii="Times New Roman" w:hAnsi="Times New Roman" w:eastAsia="宋体" w:cs="Times New Roman"/>
                <w:color w:val="auto"/>
                <w:sz w:val="24"/>
                <w:szCs w:val="24"/>
                <w:highlight w:val="none"/>
                <w:lang w:val="en-US" w:eastAsia="zh-CN"/>
              </w:rPr>
              <w:t>废水收集处理后全部用于施工场地洒水降尘，不外排；</w:t>
            </w:r>
            <w:r>
              <w:rPr>
                <w:rFonts w:hint="default" w:ascii="Times New Roman" w:hAnsi="Times New Roman" w:eastAsia="宋体" w:cs="Times New Roman"/>
                <w:color w:val="auto"/>
                <w:sz w:val="24"/>
                <w:szCs w:val="24"/>
                <w:highlight w:val="none"/>
                <w:lang w:val="zh-CN" w:eastAsia="zh-CN"/>
              </w:rPr>
              <w:t>施工人员</w:t>
            </w:r>
            <w:r>
              <w:rPr>
                <w:rFonts w:hint="default" w:ascii="Times New Roman" w:hAnsi="Times New Roman" w:eastAsia="宋体" w:cs="Times New Roman"/>
                <w:color w:val="auto"/>
                <w:sz w:val="24"/>
                <w:szCs w:val="24"/>
                <w:highlight w:val="none"/>
                <w:lang w:val="en-US" w:eastAsia="zh-CN"/>
              </w:rPr>
              <w:t>上厕所依托周边公共卫生间进行使用，</w:t>
            </w:r>
            <w:r>
              <w:rPr>
                <w:rFonts w:hint="default" w:ascii="Times New Roman" w:hAnsi="Times New Roman" w:eastAsia="宋体" w:cs="Times New Roman"/>
                <w:color w:val="auto"/>
                <w:sz w:val="24"/>
                <w:szCs w:val="24"/>
                <w:highlight w:val="none"/>
                <w:lang w:val="zh-CN" w:eastAsia="zh-CN"/>
              </w:rPr>
              <w:t>对周围地表水影响较小。</w:t>
            </w:r>
          </w:p>
          <w:p w14:paraId="0A4DC07D">
            <w:pPr>
              <w:pStyle w:val="2"/>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3、噪声</w:t>
            </w:r>
          </w:p>
          <w:p w14:paraId="0DEE7392">
            <w:pPr>
              <w:adjustRightInd w:val="0"/>
              <w:snapToGrid w:val="0"/>
              <w:spacing w:line="360" w:lineRule="auto"/>
              <w:ind w:firstLine="480" w:firstLineChars="200"/>
              <w:rPr>
                <w:color w:val="auto"/>
                <w:sz w:val="24"/>
              </w:rPr>
            </w:pPr>
            <w:r>
              <w:rPr>
                <w:color w:val="auto"/>
                <w:sz w:val="24"/>
              </w:rPr>
              <w:t>为保护周边声环境质量，项目应采取以下施工噪声防治措施：</w:t>
            </w:r>
          </w:p>
          <w:p w14:paraId="23208DC3">
            <w:pPr>
              <w:adjustRightInd w:val="0"/>
              <w:snapToGrid w:val="0"/>
              <w:spacing w:line="360" w:lineRule="auto"/>
              <w:ind w:firstLine="480" w:firstLineChars="200"/>
              <w:rPr>
                <w:color w:val="auto"/>
                <w:sz w:val="24"/>
              </w:rPr>
            </w:pPr>
            <w:r>
              <w:rPr>
                <w:color w:val="auto"/>
                <w:sz w:val="24"/>
              </w:rPr>
              <w:t>①从声源上控制：项目施工使用的主要机械设备为低噪声机械设备。</w:t>
            </w:r>
          </w:p>
          <w:p w14:paraId="2EB8251E">
            <w:pPr>
              <w:adjustRightInd w:val="0"/>
              <w:snapToGrid w:val="0"/>
              <w:spacing w:line="360" w:lineRule="auto"/>
              <w:ind w:firstLine="480" w:firstLineChars="200"/>
              <w:rPr>
                <w:color w:val="auto"/>
                <w:sz w:val="24"/>
              </w:rPr>
            </w:pPr>
            <w:r>
              <w:rPr>
                <w:color w:val="auto"/>
                <w:sz w:val="24"/>
              </w:rPr>
              <w:t>②严禁夜间施工，若必须进行夜间作业，需按要求提前向主管部门申请，并在将施工信息告知周边住户及单位。</w:t>
            </w:r>
          </w:p>
          <w:p w14:paraId="4E53EFAB">
            <w:pPr>
              <w:adjustRightInd w:val="0"/>
              <w:snapToGrid w:val="0"/>
              <w:spacing w:line="360" w:lineRule="auto"/>
              <w:ind w:firstLine="480" w:firstLineChars="200"/>
              <w:rPr>
                <w:color w:val="auto"/>
                <w:sz w:val="24"/>
              </w:rPr>
            </w:pPr>
            <w:r>
              <w:rPr>
                <w:color w:val="auto"/>
                <w:sz w:val="24"/>
              </w:rPr>
              <w:t>③施工场地内可固定设备应尽量设置在设备专用房或操作间内，避免露天作业。</w:t>
            </w:r>
          </w:p>
          <w:p w14:paraId="049B90AA">
            <w:pPr>
              <w:adjustRightInd w:val="0"/>
              <w:snapToGrid w:val="0"/>
              <w:spacing w:line="360" w:lineRule="auto"/>
              <w:ind w:firstLine="480" w:firstLineChars="200"/>
              <w:rPr>
                <w:color w:val="auto"/>
                <w:sz w:val="24"/>
              </w:rPr>
            </w:pPr>
            <w:r>
              <w:rPr>
                <w:rFonts w:hint="eastAsia"/>
                <w:color w:val="auto"/>
                <w:sz w:val="24"/>
              </w:rPr>
              <w:t>④</w:t>
            </w:r>
            <w:r>
              <w:rPr>
                <w:color w:val="auto"/>
                <w:sz w:val="24"/>
              </w:rPr>
              <w:t>施工企业应对施工噪声进行自律，合理安排工期，缩短施工的施工时间。</w:t>
            </w:r>
          </w:p>
          <w:p w14:paraId="64A234D1">
            <w:pPr>
              <w:adjustRightInd w:val="0"/>
              <w:snapToGrid w:val="0"/>
              <w:spacing w:line="360" w:lineRule="auto"/>
              <w:ind w:firstLine="480" w:firstLineChars="200"/>
              <w:rPr>
                <w:color w:val="auto"/>
                <w:sz w:val="24"/>
              </w:rPr>
            </w:pPr>
            <w:r>
              <w:rPr>
                <w:color w:val="auto"/>
                <w:sz w:val="24"/>
              </w:rPr>
              <w:t>本项目在采取了上述措施后，对周围声环境影响较小。</w:t>
            </w:r>
          </w:p>
          <w:p w14:paraId="1AAF627D">
            <w:pPr>
              <w:adjustRightInd w:val="0"/>
              <w:snapToGrid w:val="0"/>
              <w:spacing w:line="360" w:lineRule="auto"/>
              <w:ind w:firstLine="482" w:firstLineChars="200"/>
              <w:rPr>
                <w:b/>
                <w:bCs/>
                <w:color w:val="auto"/>
                <w:sz w:val="24"/>
                <w:lang w:val="zh-CN"/>
              </w:rPr>
            </w:pPr>
            <w:bookmarkStart w:id="23" w:name="_Toc14957238"/>
            <w:r>
              <w:rPr>
                <w:b/>
                <w:bCs/>
                <w:color w:val="auto"/>
                <w:sz w:val="24"/>
                <w:lang w:val="zh-CN"/>
              </w:rPr>
              <w:t>4</w:t>
            </w:r>
            <w:r>
              <w:rPr>
                <w:b/>
                <w:bCs/>
                <w:color w:val="auto"/>
                <w:sz w:val="24"/>
              </w:rPr>
              <w:t>、固体废物环境</w:t>
            </w:r>
            <w:bookmarkEnd w:id="23"/>
            <w:r>
              <w:rPr>
                <w:b/>
                <w:bCs/>
                <w:color w:val="auto"/>
                <w:sz w:val="24"/>
              </w:rPr>
              <w:t>保护措施</w:t>
            </w:r>
          </w:p>
          <w:p w14:paraId="700CFB08">
            <w:pPr>
              <w:adjustRightInd w:val="0"/>
              <w:snapToGrid w:val="0"/>
              <w:spacing w:line="360" w:lineRule="auto"/>
              <w:ind w:firstLine="480" w:firstLineChars="200"/>
              <w:rPr>
                <w:color w:val="auto"/>
                <w:sz w:val="24"/>
              </w:rPr>
            </w:pPr>
            <w:r>
              <w:rPr>
                <w:bCs/>
                <w:color w:val="auto"/>
                <w:sz w:val="24"/>
                <w:szCs w:val="28"/>
              </w:rPr>
              <w:t>项目施工期固体废弃物主要为建筑垃圾以及生活垃圾。</w:t>
            </w:r>
            <w:r>
              <w:rPr>
                <w:color w:val="auto"/>
                <w:sz w:val="24"/>
              </w:rPr>
              <w:t>厂房内部装修过程中会产生少量的建筑垃圾，建筑垃圾中可以回收利用的回收利用，不能利用的运至政府部门指定的建筑垃圾堆放场处置。项目施工人员均不在项目区食宿，</w:t>
            </w:r>
            <w:r>
              <w:rPr>
                <w:bCs/>
                <w:color w:val="auto"/>
                <w:sz w:val="24"/>
              </w:rPr>
              <w:t>生活垃圾产生量按0.2kg/d·人计，则</w:t>
            </w:r>
            <w:r>
              <w:rPr>
                <w:color w:val="auto"/>
                <w:sz w:val="24"/>
              </w:rPr>
              <w:t>产生量约2kg/d，生活垃圾</w:t>
            </w:r>
            <w:r>
              <w:rPr>
                <w:rFonts w:hint="eastAsia"/>
                <w:color w:val="auto"/>
                <w:sz w:val="24"/>
              </w:rPr>
              <w:t>经垃圾桶收集后委托环卫清运</w:t>
            </w:r>
            <w:r>
              <w:rPr>
                <w:color w:val="auto"/>
                <w:sz w:val="24"/>
              </w:rPr>
              <w:t>。</w:t>
            </w:r>
          </w:p>
          <w:p w14:paraId="4B454097">
            <w:pPr>
              <w:shd w:val="clear"/>
              <w:spacing w:line="360" w:lineRule="auto"/>
              <w:ind w:firstLine="480"/>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color w:val="auto"/>
                <w:sz w:val="24"/>
                <w:highlight w:val="none"/>
              </w:rPr>
              <w:t>综上，在各项环保措施得到切实实施的情况下，项目施工期产生的环境影响较小，且为暂时的，随着施工期的结束而消失，对周围环境影响较小。</w:t>
            </w:r>
          </w:p>
        </w:tc>
      </w:tr>
      <w:tr w14:paraId="0CCF81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8" w:type="dxa"/>
            <w:tcMar>
              <w:left w:w="28" w:type="dxa"/>
              <w:right w:w="28" w:type="dxa"/>
            </w:tcMar>
            <w:vAlign w:val="center"/>
          </w:tcPr>
          <w:p w14:paraId="63278609">
            <w:pPr>
              <w:shd w:val="clea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运营</w:t>
            </w:r>
          </w:p>
          <w:p w14:paraId="5C0D0D8A">
            <w:pPr>
              <w:shd w:val="clea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14:paraId="3B4F3383">
            <w:pPr>
              <w:shd w:val="clea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14:paraId="6EC304D2">
            <w:pPr>
              <w:shd w:val="clea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14:paraId="6CBC51D9">
            <w:pPr>
              <w:shd w:val="clea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14:paraId="12D76BD6">
            <w:pPr>
              <w:shd w:val="clea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623" w:type="dxa"/>
            <w:vAlign w:val="top"/>
          </w:tcPr>
          <w:p w14:paraId="5B892F72">
            <w:pPr>
              <w:shd w:val="clear"/>
              <w:adjustRightInd w:val="0"/>
              <w:snapToGrid w:val="0"/>
              <w:spacing w:line="360" w:lineRule="auto"/>
              <w:ind w:firstLine="482" w:firstLineChars="200"/>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val="en-US" w:eastAsia="zh-CN"/>
              </w:rPr>
              <w:t>一</w:t>
            </w:r>
            <w:r>
              <w:rPr>
                <w:rFonts w:hint="default" w:ascii="Times New Roman" w:hAnsi="Times New Roman" w:eastAsia="宋体" w:cs="Times New Roman"/>
                <w:b/>
                <w:color w:val="auto"/>
                <w:sz w:val="24"/>
                <w:highlight w:val="none"/>
              </w:rPr>
              <w:t>、废气</w:t>
            </w:r>
            <w:r>
              <w:rPr>
                <w:rFonts w:hint="default" w:ascii="Times New Roman" w:hAnsi="Times New Roman" w:eastAsia="宋体" w:cs="Times New Roman"/>
                <w:b/>
                <w:color w:val="auto"/>
                <w:sz w:val="24"/>
                <w:highlight w:val="none"/>
                <w:lang w:eastAsia="zh-CN"/>
              </w:rPr>
              <w:t>源强核算及影响分析</w:t>
            </w:r>
          </w:p>
          <w:p w14:paraId="23BD66E7">
            <w:pPr>
              <w:pStyle w:val="17"/>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运营期</w:t>
            </w:r>
            <w:r>
              <w:rPr>
                <w:rFonts w:hint="default" w:ascii="Times New Roman" w:hAnsi="Times New Roman" w:eastAsia="宋体" w:cs="Times New Roman"/>
                <w:color w:val="auto"/>
                <w:sz w:val="24"/>
                <w:highlight w:val="none"/>
                <w:u w:val="none"/>
              </w:rPr>
              <w:t>废</w:t>
            </w:r>
            <w:r>
              <w:rPr>
                <w:rFonts w:hint="default" w:ascii="Times New Roman" w:hAnsi="Times New Roman" w:eastAsia="宋体" w:cs="Times New Roman"/>
                <w:color w:val="auto"/>
                <w:sz w:val="24"/>
                <w:highlight w:val="none"/>
                <w:u w:val="none"/>
                <w:lang w:val="en-US" w:eastAsia="zh-CN"/>
              </w:rPr>
              <w:t>气主要为</w:t>
            </w:r>
            <w:r>
              <w:rPr>
                <w:rFonts w:hint="eastAsia" w:ascii="Times New Roman" w:hAnsi="Times New Roman" w:cs="Times New Roman"/>
                <w:color w:val="auto"/>
                <w:sz w:val="24"/>
                <w:highlight w:val="none"/>
                <w:u w:val="none"/>
                <w:lang w:val="en-US" w:eastAsia="zh-CN"/>
              </w:rPr>
              <w:t>混料</w:t>
            </w:r>
            <w:r>
              <w:rPr>
                <w:rFonts w:hint="default" w:ascii="Times New Roman" w:hAnsi="Times New Roman" w:eastAsia="宋体" w:cs="Times New Roman"/>
                <w:color w:val="auto"/>
                <w:sz w:val="24"/>
                <w:highlight w:val="none"/>
                <w:u w:val="none"/>
                <w:lang w:val="en-US" w:eastAsia="zh-CN"/>
              </w:rPr>
              <w:t>粉尘、</w:t>
            </w:r>
            <w:r>
              <w:rPr>
                <w:rFonts w:hint="eastAsia" w:ascii="Times New Roman" w:hAnsi="Times New Roman" w:cs="Times New Roman"/>
                <w:color w:val="auto"/>
                <w:sz w:val="24"/>
                <w:highlight w:val="none"/>
                <w:u w:val="none"/>
                <w:lang w:val="en-US" w:eastAsia="zh-CN"/>
              </w:rPr>
              <w:t>破碎粉尘、磨粉粉尘、挤出废气、覆膜废气</w:t>
            </w:r>
            <w:r>
              <w:rPr>
                <w:rFonts w:hint="default" w:ascii="Times New Roman" w:hAnsi="Times New Roman" w:eastAsia="宋体" w:cs="Times New Roman"/>
                <w:color w:val="auto"/>
                <w:sz w:val="24"/>
                <w:highlight w:val="none"/>
                <w:u w:val="none"/>
                <w:lang w:val="en-US" w:eastAsia="zh-CN"/>
              </w:rPr>
              <w:t>、食堂油烟及异味等。</w:t>
            </w:r>
          </w:p>
          <w:p w14:paraId="67499B4C">
            <w:pPr>
              <w:pStyle w:val="17"/>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1、污染物源强核算</w:t>
            </w:r>
          </w:p>
          <w:p w14:paraId="6B6A5FD5">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lang w:val="en-US" w:eastAsia="zh-CN"/>
              </w:rPr>
              <w:t>1</w:t>
            </w: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lang w:val="en-US" w:eastAsia="zh-CN"/>
              </w:rPr>
              <w:t>正常情况时废气</w:t>
            </w:r>
          </w:p>
          <w:p w14:paraId="086BFC68">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1）生产废气</w:t>
            </w:r>
          </w:p>
          <w:p w14:paraId="0109FA70">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项目运营期废气排放源见表4-1</w:t>
            </w:r>
            <w:r>
              <w:rPr>
                <w:rFonts w:hint="eastAsia" w:ascii="Times New Roman" w:hAnsi="Times New Roman" w:cs="Times New Roman"/>
                <w:b w:val="0"/>
                <w:bCs w:val="0"/>
                <w:color w:val="auto"/>
                <w:sz w:val="24"/>
                <w:szCs w:val="24"/>
                <w:highlight w:val="none"/>
                <w:lang w:val="en-US" w:eastAsia="zh-CN"/>
              </w:rPr>
              <w:t>、4-2</w:t>
            </w:r>
            <w:r>
              <w:rPr>
                <w:rFonts w:hint="default" w:ascii="Times New Roman" w:hAnsi="Times New Roman" w:eastAsia="宋体" w:cs="Times New Roman"/>
                <w:b w:val="0"/>
                <w:bCs w:val="0"/>
                <w:color w:val="auto"/>
                <w:sz w:val="24"/>
                <w:szCs w:val="24"/>
                <w:highlight w:val="none"/>
                <w:lang w:val="en-US" w:eastAsia="zh-CN"/>
              </w:rPr>
              <w:t>。</w:t>
            </w:r>
          </w:p>
          <w:p w14:paraId="0726603C">
            <w:pPr>
              <w:pStyle w:val="17"/>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  项目运营期废气排放源一览表</w:t>
            </w:r>
          </w:p>
          <w:tbl>
            <w:tblPr>
              <w:tblStyle w:val="27"/>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944"/>
              <w:gridCol w:w="2269"/>
              <w:gridCol w:w="2270"/>
            </w:tblGrid>
            <w:tr w14:paraId="00CC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5" w:type="dxa"/>
                  <w:gridSpan w:val="2"/>
                  <w:vAlign w:val="center"/>
                </w:tcPr>
                <w:p w14:paraId="7ACB985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4539" w:type="dxa"/>
                  <w:gridSpan w:val="2"/>
                  <w:vAlign w:val="center"/>
                </w:tcPr>
                <w:p w14:paraId="278F910C">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z w:val="21"/>
                      <w:szCs w:val="21"/>
                      <w:highlight w:val="none"/>
                      <w:lang w:val="en-US" w:eastAsia="zh-CN"/>
                    </w:rPr>
                    <w:t>混料、破碎、磨粉粉尘</w:t>
                  </w:r>
                </w:p>
              </w:tc>
            </w:tr>
            <w:tr w14:paraId="0FE7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5" w:type="dxa"/>
                  <w:gridSpan w:val="2"/>
                  <w:vAlign w:val="center"/>
                </w:tcPr>
                <w:p w14:paraId="71F6DE48">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2269" w:type="dxa"/>
                  <w:vAlign w:val="center"/>
                </w:tcPr>
                <w:p w14:paraId="3C27A1B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z w:val="21"/>
                      <w:szCs w:val="21"/>
                      <w:highlight w:val="none"/>
                      <w:lang w:eastAsia="zh-CN"/>
                    </w:rPr>
                    <w:t>颗粒物</w:t>
                  </w:r>
                </w:p>
              </w:tc>
              <w:tc>
                <w:tcPr>
                  <w:tcW w:w="2270" w:type="dxa"/>
                  <w:vAlign w:val="center"/>
                </w:tcPr>
                <w:p w14:paraId="15D1B345">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颗粒物</w:t>
                  </w:r>
                </w:p>
              </w:tc>
            </w:tr>
            <w:tr w14:paraId="09248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5" w:type="dxa"/>
                  <w:gridSpan w:val="2"/>
                  <w:vAlign w:val="center"/>
                </w:tcPr>
                <w:p w14:paraId="1A358FAB">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2269" w:type="dxa"/>
                  <w:vAlign w:val="center"/>
                </w:tcPr>
                <w:p w14:paraId="3BC5636A">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6.804</w:t>
                  </w:r>
                </w:p>
              </w:tc>
              <w:tc>
                <w:tcPr>
                  <w:tcW w:w="2270" w:type="dxa"/>
                  <w:vAlign w:val="center"/>
                </w:tcPr>
                <w:p w14:paraId="3B5B50E1">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少量</w:t>
                  </w:r>
                </w:p>
              </w:tc>
            </w:tr>
            <w:tr w14:paraId="6BBED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5" w:type="dxa"/>
                  <w:gridSpan w:val="2"/>
                  <w:vAlign w:val="center"/>
                </w:tcPr>
                <w:p w14:paraId="4160238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2269" w:type="dxa"/>
                  <w:vAlign w:val="center"/>
                </w:tcPr>
                <w:p w14:paraId="540414E8">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70.33</w:t>
                  </w:r>
                </w:p>
              </w:tc>
              <w:tc>
                <w:tcPr>
                  <w:tcW w:w="2270" w:type="dxa"/>
                  <w:vAlign w:val="center"/>
                </w:tcPr>
                <w:p w14:paraId="4F1A57C9">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r>
            <w:tr w14:paraId="01DE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5" w:type="dxa"/>
                  <w:gridSpan w:val="2"/>
                  <w:vAlign w:val="center"/>
                </w:tcPr>
                <w:p w14:paraId="7B853F19">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2269" w:type="dxa"/>
                  <w:vAlign w:val="center"/>
                </w:tcPr>
                <w:p w14:paraId="74458B81">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ascii="Times New Roman" w:hAnsi="Times New Roman" w:eastAsia="宋体" w:cs="Times New Roman"/>
                      <w:b w:val="0"/>
                      <w:bCs w:val="0"/>
                      <w:color w:val="auto"/>
                      <w:spacing w:val="-10"/>
                      <w:sz w:val="21"/>
                      <w:szCs w:val="21"/>
                      <w:highlight w:val="none"/>
                      <w:vertAlign w:val="baseline"/>
                      <w:lang w:val="en-US" w:eastAsia="zh-CN"/>
                    </w:rPr>
                    <w:t>有组织</w:t>
                  </w:r>
                </w:p>
              </w:tc>
              <w:tc>
                <w:tcPr>
                  <w:tcW w:w="2270" w:type="dxa"/>
                  <w:vAlign w:val="center"/>
                </w:tcPr>
                <w:p w14:paraId="6F474F90">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无组织</w:t>
                  </w:r>
                </w:p>
              </w:tc>
            </w:tr>
            <w:tr w14:paraId="361F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Merge w:val="restart"/>
                  <w:vAlign w:val="center"/>
                </w:tcPr>
                <w:p w14:paraId="0D97DC41">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2944" w:type="dxa"/>
                  <w:vAlign w:val="center"/>
                </w:tcPr>
                <w:p w14:paraId="3C933B8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2269" w:type="dxa"/>
                  <w:vAlign w:val="center"/>
                </w:tcPr>
                <w:p w14:paraId="7293B1B3">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ascii="Times New Roman" w:hAnsi="Times New Roman" w:cs="Times New Roman"/>
                      <w:color w:val="auto"/>
                      <w:sz w:val="21"/>
                      <w:szCs w:val="21"/>
                      <w:highlight w:val="none"/>
                      <w:lang w:val="en-US" w:eastAsia="zh-CN"/>
                    </w:rPr>
                    <w:t>26875</w:t>
                  </w:r>
                  <w:r>
                    <w:rPr>
                      <w:rFonts w:hint="default" w:ascii="Times New Roman" w:hAnsi="Times New Roman" w:eastAsia="宋体" w:cs="Times New Roman"/>
                      <w:i w:val="0"/>
                      <w:iCs w:val="0"/>
                      <w:color w:val="auto"/>
                      <w:kern w:val="0"/>
                      <w:sz w:val="21"/>
                      <w:szCs w:val="21"/>
                      <w:u w:val="none"/>
                      <w:lang w:val="en-US" w:eastAsia="zh-CN" w:bidi="ar"/>
                    </w:rPr>
                    <w:t>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/h</w:t>
                  </w:r>
                </w:p>
              </w:tc>
              <w:tc>
                <w:tcPr>
                  <w:tcW w:w="2270" w:type="dxa"/>
                  <w:vAlign w:val="center"/>
                </w:tcPr>
                <w:p w14:paraId="14AF654C">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r>
            <w:tr w14:paraId="3043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Merge w:val="continue"/>
                  <w:vAlign w:val="center"/>
                </w:tcPr>
                <w:p w14:paraId="0DA1CCBD">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2944" w:type="dxa"/>
                  <w:vAlign w:val="center"/>
                </w:tcPr>
                <w:p w14:paraId="54EBCEA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2269" w:type="dxa"/>
                  <w:vAlign w:val="center"/>
                </w:tcPr>
                <w:p w14:paraId="070A57D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80%</w:t>
                  </w:r>
                </w:p>
              </w:tc>
              <w:tc>
                <w:tcPr>
                  <w:tcW w:w="2270" w:type="dxa"/>
                  <w:vAlign w:val="center"/>
                </w:tcPr>
                <w:p w14:paraId="465BF320">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r>
            <w:tr w14:paraId="5DB4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Merge w:val="continue"/>
                  <w:vAlign w:val="center"/>
                </w:tcPr>
                <w:p w14:paraId="0310DD5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2944" w:type="dxa"/>
                  <w:vAlign w:val="center"/>
                </w:tcPr>
                <w:p w14:paraId="03EC736A">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2269" w:type="dxa"/>
                  <w:vAlign w:val="center"/>
                </w:tcPr>
                <w:p w14:paraId="6BABEAA1">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布袋除尘器</w:t>
                  </w:r>
                </w:p>
              </w:tc>
              <w:tc>
                <w:tcPr>
                  <w:tcW w:w="2270" w:type="dxa"/>
                  <w:vAlign w:val="center"/>
                </w:tcPr>
                <w:p w14:paraId="2F0C6B20">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ascii="Times New Roman" w:hAnsi="Times New Roman" w:cs="Times New Roman"/>
                      <w:i w:val="0"/>
                      <w:iCs w:val="0"/>
                      <w:color w:val="auto"/>
                      <w:kern w:val="0"/>
                      <w:sz w:val="21"/>
                      <w:szCs w:val="21"/>
                      <w:u w:val="none"/>
                      <w:lang w:val="en-US" w:eastAsia="zh-CN" w:bidi="ar"/>
                    </w:rPr>
                    <w:t>厂房阻隔沉降</w:t>
                  </w:r>
                </w:p>
              </w:tc>
            </w:tr>
            <w:tr w14:paraId="347F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11" w:type="dxa"/>
                  <w:vMerge w:val="continue"/>
                  <w:vAlign w:val="center"/>
                </w:tcPr>
                <w:p w14:paraId="0DF63D1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2944" w:type="dxa"/>
                  <w:vAlign w:val="center"/>
                </w:tcPr>
                <w:p w14:paraId="6F58EA9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2269" w:type="dxa"/>
                  <w:vAlign w:val="center"/>
                </w:tcPr>
                <w:p w14:paraId="18E9D86F">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99%</w:t>
                  </w:r>
                </w:p>
              </w:tc>
              <w:tc>
                <w:tcPr>
                  <w:tcW w:w="2270" w:type="dxa"/>
                  <w:vAlign w:val="center"/>
                </w:tcPr>
                <w:p w14:paraId="589DD67A">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70</w:t>
                  </w: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r>
            <w:tr w14:paraId="700A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Merge w:val="continue"/>
                  <w:vAlign w:val="center"/>
                </w:tcPr>
                <w:p w14:paraId="2855E0CC">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2944" w:type="dxa"/>
                  <w:vAlign w:val="center"/>
                </w:tcPr>
                <w:p w14:paraId="03BDEC6A">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2269" w:type="dxa"/>
                  <w:vAlign w:val="center"/>
                </w:tcPr>
                <w:p w14:paraId="7DFFC0B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是</w:t>
                  </w:r>
                </w:p>
              </w:tc>
              <w:tc>
                <w:tcPr>
                  <w:tcW w:w="2270" w:type="dxa"/>
                  <w:vAlign w:val="center"/>
                </w:tcPr>
                <w:p w14:paraId="11352567">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r>
            <w:tr w14:paraId="75C2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5" w:type="dxa"/>
                  <w:gridSpan w:val="2"/>
                  <w:vAlign w:val="center"/>
                </w:tcPr>
                <w:p w14:paraId="40126174">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2269" w:type="dxa"/>
                  <w:vAlign w:val="center"/>
                </w:tcPr>
                <w:p w14:paraId="2CE3824C">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0.70</w:t>
                  </w:r>
                </w:p>
              </w:tc>
              <w:tc>
                <w:tcPr>
                  <w:tcW w:w="2270" w:type="dxa"/>
                  <w:vAlign w:val="center"/>
                </w:tcPr>
                <w:p w14:paraId="7476502A">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r>
            <w:tr w14:paraId="6B39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855" w:type="dxa"/>
                  <w:gridSpan w:val="2"/>
                  <w:vAlign w:val="center"/>
                </w:tcPr>
                <w:p w14:paraId="36F9E12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2269" w:type="dxa"/>
                  <w:vAlign w:val="center"/>
                </w:tcPr>
                <w:p w14:paraId="75A8B02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0.0</w:t>
                  </w:r>
                  <w:r>
                    <w:rPr>
                      <w:rFonts w:hint="eastAsia" w:cs="Times New Roman"/>
                      <w:b w:val="0"/>
                      <w:bCs w:val="0"/>
                      <w:color w:val="auto"/>
                      <w:spacing w:val="-10"/>
                      <w:sz w:val="21"/>
                      <w:szCs w:val="21"/>
                      <w:highlight w:val="none"/>
                      <w:vertAlign w:val="baseline"/>
                      <w:lang w:val="en-US" w:eastAsia="zh-CN"/>
                    </w:rPr>
                    <w:t>189</w:t>
                  </w:r>
                </w:p>
              </w:tc>
              <w:tc>
                <w:tcPr>
                  <w:tcW w:w="2270" w:type="dxa"/>
                  <w:vAlign w:val="center"/>
                </w:tcPr>
                <w:p w14:paraId="0FDC31E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0.1418</w:t>
                  </w:r>
                </w:p>
              </w:tc>
            </w:tr>
            <w:tr w14:paraId="73C5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5" w:type="dxa"/>
                  <w:gridSpan w:val="2"/>
                  <w:vAlign w:val="center"/>
                </w:tcPr>
                <w:p w14:paraId="0A21CB45">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2269" w:type="dxa"/>
                  <w:vAlign w:val="center"/>
                </w:tcPr>
                <w:p w14:paraId="59AB309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0.0</w:t>
                  </w:r>
                  <w:r>
                    <w:rPr>
                      <w:rFonts w:hint="eastAsia" w:cs="Times New Roman"/>
                      <w:b w:val="0"/>
                      <w:bCs w:val="0"/>
                      <w:color w:val="auto"/>
                      <w:spacing w:val="-10"/>
                      <w:sz w:val="21"/>
                      <w:szCs w:val="21"/>
                      <w:highlight w:val="none"/>
                      <w:vertAlign w:val="baseline"/>
                      <w:lang w:val="en-US" w:eastAsia="zh-CN"/>
                    </w:rPr>
                    <w:t>680</w:t>
                  </w:r>
                </w:p>
              </w:tc>
              <w:tc>
                <w:tcPr>
                  <w:tcW w:w="2270" w:type="dxa"/>
                  <w:vAlign w:val="center"/>
                </w:tcPr>
                <w:p w14:paraId="265AB325">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0.5103</w:t>
                  </w:r>
                </w:p>
              </w:tc>
            </w:tr>
            <w:tr w14:paraId="033F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Merge w:val="restart"/>
                  <w:vAlign w:val="center"/>
                </w:tcPr>
                <w:p w14:paraId="7281D8E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2944" w:type="dxa"/>
                  <w:vAlign w:val="center"/>
                </w:tcPr>
                <w:p w14:paraId="496AEDE8">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2269" w:type="dxa"/>
                  <w:vAlign w:val="center"/>
                </w:tcPr>
                <w:p w14:paraId="0BD401B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15m</w:t>
                  </w:r>
                </w:p>
              </w:tc>
              <w:tc>
                <w:tcPr>
                  <w:tcW w:w="2270" w:type="dxa"/>
                  <w:vAlign w:val="center"/>
                </w:tcPr>
                <w:p w14:paraId="497EE648">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r>
            <w:tr w14:paraId="51E6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Merge w:val="continue"/>
                  <w:vAlign w:val="center"/>
                </w:tcPr>
                <w:p w14:paraId="72ECD633">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2944" w:type="dxa"/>
                  <w:vAlign w:val="center"/>
                </w:tcPr>
                <w:p w14:paraId="6563EF3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2269" w:type="dxa"/>
                  <w:vAlign w:val="center"/>
                </w:tcPr>
                <w:p w14:paraId="5F1E825D">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0.6m</w:t>
                  </w:r>
                </w:p>
              </w:tc>
              <w:tc>
                <w:tcPr>
                  <w:tcW w:w="2270" w:type="dxa"/>
                  <w:vAlign w:val="center"/>
                </w:tcPr>
                <w:p w14:paraId="577CA661">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r>
            <w:tr w14:paraId="5D8F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Merge w:val="continue"/>
                  <w:vAlign w:val="center"/>
                </w:tcPr>
                <w:p w14:paraId="0033718A">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2944" w:type="dxa"/>
                  <w:vAlign w:val="center"/>
                </w:tcPr>
                <w:p w14:paraId="6352529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2269" w:type="dxa"/>
                  <w:vAlign w:val="center"/>
                </w:tcPr>
                <w:p w14:paraId="56D95367">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25</w:t>
                  </w: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2270" w:type="dxa"/>
                  <w:vAlign w:val="center"/>
                </w:tcPr>
                <w:p w14:paraId="2D35DB9B">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r>
            <w:tr w14:paraId="5EAA0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Merge w:val="continue"/>
                  <w:vAlign w:val="center"/>
                </w:tcPr>
                <w:p w14:paraId="5B95F5DA">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2944" w:type="dxa"/>
                  <w:vAlign w:val="center"/>
                </w:tcPr>
                <w:p w14:paraId="4BE1A09F">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2269" w:type="dxa"/>
                  <w:vAlign w:val="center"/>
                </w:tcPr>
                <w:p w14:paraId="304ACBEF">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DA001</w:t>
                  </w:r>
                </w:p>
              </w:tc>
              <w:tc>
                <w:tcPr>
                  <w:tcW w:w="2270" w:type="dxa"/>
                  <w:vAlign w:val="center"/>
                </w:tcPr>
                <w:p w14:paraId="4399063B">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r>
            <w:tr w14:paraId="08D8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Merge w:val="continue"/>
                  <w:vAlign w:val="center"/>
                </w:tcPr>
                <w:p w14:paraId="1914504C">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2944" w:type="dxa"/>
                  <w:vAlign w:val="center"/>
                </w:tcPr>
                <w:p w14:paraId="0FDE636B">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2269" w:type="dxa"/>
                  <w:vAlign w:val="center"/>
                </w:tcPr>
                <w:p w14:paraId="2C933AFE">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一般排放口</w:t>
                  </w:r>
                </w:p>
              </w:tc>
              <w:tc>
                <w:tcPr>
                  <w:tcW w:w="2270" w:type="dxa"/>
                  <w:vAlign w:val="center"/>
                </w:tcPr>
                <w:p w14:paraId="3D596641">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r>
            <w:tr w14:paraId="5AEE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Merge w:val="continue"/>
                  <w:vAlign w:val="center"/>
                </w:tcPr>
                <w:p w14:paraId="2167AEF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2944" w:type="dxa"/>
                  <w:vAlign w:val="center"/>
                </w:tcPr>
                <w:p w14:paraId="7C7C687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2269" w:type="dxa"/>
                  <w:vAlign w:val="center"/>
                </w:tcPr>
                <w:p w14:paraId="23F679FF">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E：103°12′</w:t>
                  </w:r>
                  <w:r>
                    <w:rPr>
                      <w:rFonts w:hint="eastAsia" w:cs="Times New Roman"/>
                      <w:b w:val="0"/>
                      <w:bCs w:val="0"/>
                      <w:color w:val="auto"/>
                      <w:spacing w:val="-10"/>
                      <w:sz w:val="21"/>
                      <w:szCs w:val="21"/>
                      <w:highlight w:val="none"/>
                      <w:vertAlign w:val="baseline"/>
                      <w:lang w:val="en-US" w:eastAsia="zh-CN"/>
                    </w:rPr>
                    <w:t>45.084</w:t>
                  </w:r>
                  <w:r>
                    <w:rPr>
                      <w:rFonts w:hint="default" w:ascii="Times New Roman" w:hAnsi="Times New Roman" w:eastAsia="宋体" w:cs="Times New Roman"/>
                      <w:b w:val="0"/>
                      <w:bCs w:val="0"/>
                      <w:color w:val="auto"/>
                      <w:spacing w:val="-10"/>
                      <w:sz w:val="21"/>
                      <w:szCs w:val="21"/>
                      <w:highlight w:val="none"/>
                      <w:vertAlign w:val="baseline"/>
                      <w:lang w:val="en-US" w:eastAsia="zh-CN"/>
                    </w:rPr>
                    <w:t>″，N：25°3</w:t>
                  </w:r>
                  <w:r>
                    <w:rPr>
                      <w:rFonts w:hint="eastAsia" w:cs="Times New Roman"/>
                      <w:b w:val="0"/>
                      <w:bCs w:val="0"/>
                      <w:color w:val="auto"/>
                      <w:spacing w:val="-10"/>
                      <w:sz w:val="21"/>
                      <w:szCs w:val="21"/>
                      <w:highlight w:val="none"/>
                      <w:vertAlign w:val="baseline"/>
                      <w:lang w:val="en-US" w:eastAsia="zh-CN"/>
                    </w:rPr>
                    <w:t>4</w:t>
                  </w:r>
                  <w:r>
                    <w:rPr>
                      <w:rFonts w:hint="default" w:ascii="Times New Roman" w:hAnsi="Times New Roman" w:eastAsia="宋体" w:cs="Times New Roman"/>
                      <w:b w:val="0"/>
                      <w:bCs w:val="0"/>
                      <w:color w:val="auto"/>
                      <w:spacing w:val="-10"/>
                      <w:sz w:val="21"/>
                      <w:szCs w:val="21"/>
                      <w:highlight w:val="none"/>
                      <w:vertAlign w:val="baseline"/>
                      <w:lang w:val="en-US" w:eastAsia="zh-CN"/>
                    </w:rPr>
                    <w:t>′</w:t>
                  </w:r>
                  <w:r>
                    <w:rPr>
                      <w:rFonts w:hint="eastAsia" w:cs="Times New Roman"/>
                      <w:b w:val="0"/>
                      <w:bCs w:val="0"/>
                      <w:color w:val="auto"/>
                      <w:spacing w:val="-10"/>
                      <w:sz w:val="21"/>
                      <w:szCs w:val="21"/>
                      <w:highlight w:val="none"/>
                      <w:vertAlign w:val="baseline"/>
                      <w:lang w:val="en-US" w:eastAsia="zh-CN"/>
                    </w:rPr>
                    <w:t>52.561</w:t>
                  </w: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2270" w:type="dxa"/>
                  <w:vAlign w:val="center"/>
                </w:tcPr>
                <w:p w14:paraId="48504242">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r>
            <w:tr w14:paraId="3C96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5" w:type="dxa"/>
                  <w:gridSpan w:val="2"/>
                  <w:vAlign w:val="center"/>
                </w:tcPr>
                <w:p w14:paraId="21592B4D">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4539" w:type="dxa"/>
                  <w:gridSpan w:val="2"/>
                  <w:vAlign w:val="center"/>
                </w:tcPr>
                <w:p w14:paraId="5E35545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DA00</w:t>
                  </w:r>
                  <w:r>
                    <w:rPr>
                      <w:rFonts w:hint="eastAsia" w:cs="Times New Roman"/>
                      <w:i w:val="0"/>
                      <w:iCs w:val="0"/>
                      <w:color w:val="auto"/>
                      <w:kern w:val="0"/>
                      <w:sz w:val="21"/>
                      <w:szCs w:val="21"/>
                      <w:highlight w:val="none"/>
                      <w:u w:val="none"/>
                      <w:lang w:val="en-US" w:eastAsia="zh-CN" w:bidi="ar"/>
                    </w:rPr>
                    <w:t>1</w:t>
                  </w:r>
                  <w:r>
                    <w:rPr>
                      <w:rFonts w:hint="default" w:ascii="Times New Roman" w:hAnsi="Times New Roman" w:eastAsia="宋体" w:cs="Times New Roman"/>
                      <w:i w:val="0"/>
                      <w:iCs w:val="0"/>
                      <w:color w:val="auto"/>
                      <w:kern w:val="0"/>
                      <w:sz w:val="21"/>
                      <w:szCs w:val="21"/>
                      <w:highlight w:val="none"/>
                      <w:u w:val="none"/>
                      <w:lang w:val="en-US" w:eastAsia="zh-CN" w:bidi="ar"/>
                    </w:rPr>
                    <w:t>排气筒</w:t>
                  </w:r>
                  <w:r>
                    <w:rPr>
                      <w:rFonts w:hint="eastAsia" w:cs="Times New Roman"/>
                      <w:i w:val="0"/>
                      <w:iCs w:val="0"/>
                      <w:color w:val="auto"/>
                      <w:kern w:val="0"/>
                      <w:sz w:val="21"/>
                      <w:szCs w:val="21"/>
                      <w:highlight w:val="none"/>
                      <w:u w:val="none"/>
                      <w:lang w:val="en-US" w:eastAsia="zh-CN" w:bidi="ar"/>
                    </w:rPr>
                    <w:t>执行</w:t>
                  </w:r>
                  <w:r>
                    <w:rPr>
                      <w:rFonts w:hint="default" w:ascii="Times New Roman" w:hAnsi="Times New Roman" w:eastAsia="宋体" w:cs="Times New Roman"/>
                      <w:color w:val="auto"/>
                      <w:sz w:val="21"/>
                      <w:szCs w:val="21"/>
                      <w:highlight w:val="none"/>
                      <w:lang w:val="zh-CN"/>
                    </w:rPr>
                    <w:t>《大气污染物综合排放标准》（GB16297-1996）</w:t>
                  </w:r>
                  <w:r>
                    <w:rPr>
                      <w:rFonts w:hint="default" w:ascii="Times New Roman" w:hAnsi="Times New Roman" w:eastAsia="宋体" w:cs="Times New Roman"/>
                      <w:color w:val="auto"/>
                      <w:sz w:val="21"/>
                      <w:szCs w:val="21"/>
                      <w:highlight w:val="none"/>
                    </w:rPr>
                    <w:t>表2中</w:t>
                  </w:r>
                  <w:r>
                    <w:rPr>
                      <w:rFonts w:hint="default" w:ascii="Times New Roman" w:hAnsi="Times New Roman" w:eastAsia="宋体" w:cs="Times New Roman"/>
                      <w:color w:val="auto"/>
                      <w:sz w:val="21"/>
                      <w:szCs w:val="21"/>
                      <w:highlight w:val="none"/>
                      <w:lang w:val="en-US" w:eastAsia="zh-CN"/>
                    </w:rPr>
                    <w:t>二级</w:t>
                  </w:r>
                  <w:r>
                    <w:rPr>
                      <w:rFonts w:hint="default" w:ascii="Times New Roman" w:hAnsi="Times New Roman" w:eastAsia="宋体" w:cs="Times New Roman"/>
                      <w:color w:val="auto"/>
                      <w:sz w:val="21"/>
                      <w:szCs w:val="21"/>
                      <w:highlight w:val="none"/>
                      <w:lang w:eastAsia="zh-CN"/>
                    </w:rPr>
                    <w:t>浓度限值，</w:t>
                  </w:r>
                  <w:r>
                    <w:rPr>
                      <w:rFonts w:hint="default" w:ascii="Times New Roman" w:hAnsi="Times New Roman" w:eastAsia="宋体" w:cs="Times New Roman"/>
                      <w:color w:val="auto"/>
                      <w:sz w:val="21"/>
                      <w:szCs w:val="21"/>
                      <w:highlight w:val="none"/>
                      <w:lang w:val="en-US" w:eastAsia="zh-CN"/>
                    </w:rPr>
                    <w:t>排放速率严格50%执行</w:t>
                  </w:r>
                  <w:r>
                    <w:rPr>
                      <w:rFonts w:hint="eastAsia" w:ascii="Times New Roman" w:hAnsi="Times New Roman" w:eastAsia="宋体" w:cs="Times New Roman"/>
                      <w:color w:val="auto"/>
                      <w:sz w:val="21"/>
                      <w:szCs w:val="21"/>
                      <w:highlight w:val="none"/>
                      <w:lang w:val="en-US" w:eastAsia="zh-CN"/>
                    </w:rPr>
                    <w:t>。</w:t>
                  </w:r>
                </w:p>
              </w:tc>
            </w:tr>
            <w:tr w14:paraId="1DBC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Merge w:val="restart"/>
                  <w:vAlign w:val="center"/>
                </w:tcPr>
                <w:p w14:paraId="55F3C2E5">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2944" w:type="dxa"/>
                  <w:vAlign w:val="center"/>
                </w:tcPr>
                <w:p w14:paraId="5A69DE68">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4539" w:type="dxa"/>
                  <w:gridSpan w:val="2"/>
                  <w:vAlign w:val="center"/>
                </w:tcPr>
                <w:p w14:paraId="07C121D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14:paraId="6B42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Merge w:val="continue"/>
                  <w:vAlign w:val="center"/>
                </w:tcPr>
                <w:p w14:paraId="7AAAB3C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2944" w:type="dxa"/>
                  <w:vAlign w:val="center"/>
                </w:tcPr>
                <w:p w14:paraId="1C3B3829">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4539" w:type="dxa"/>
                  <w:gridSpan w:val="2"/>
                  <w:vAlign w:val="center"/>
                </w:tcPr>
                <w:p w14:paraId="3FC1AE5C">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z w:val="21"/>
                      <w:szCs w:val="21"/>
                      <w:highlight w:val="none"/>
                      <w:lang w:eastAsia="zh-CN"/>
                    </w:rPr>
                    <w:t>颗粒物</w:t>
                  </w:r>
                </w:p>
              </w:tc>
            </w:tr>
            <w:tr w14:paraId="2189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Merge w:val="continue"/>
                  <w:vAlign w:val="center"/>
                </w:tcPr>
                <w:p w14:paraId="7EBD1E2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2944" w:type="dxa"/>
                  <w:vAlign w:val="center"/>
                </w:tcPr>
                <w:p w14:paraId="02C190DF">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4539" w:type="dxa"/>
                  <w:gridSpan w:val="2"/>
                  <w:vAlign w:val="center"/>
                </w:tcPr>
                <w:p w14:paraId="2B324F64">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bidi="ar"/>
                    </w:rPr>
                  </w:pPr>
                  <w:r>
                    <w:rPr>
                      <w:rFonts w:hint="default" w:ascii="Times New Roman" w:hAnsi="Times New Roman" w:eastAsia="宋体" w:cs="Times New Roman"/>
                      <w:b w:val="0"/>
                      <w:bCs w:val="0"/>
                      <w:color w:val="auto"/>
                      <w:sz w:val="21"/>
                      <w:szCs w:val="21"/>
                      <w:highlight w:val="none"/>
                      <w:lang w:val="en-US" w:eastAsia="zh-CN"/>
                    </w:rPr>
                    <w:t>1次/年</w:t>
                  </w:r>
                </w:p>
              </w:tc>
            </w:tr>
          </w:tbl>
          <w:p w14:paraId="75CA698C">
            <w:pPr>
              <w:pStyle w:val="17"/>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ascii="Times New Roman" w:hAnsi="Times New Roman"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lang w:val="en-US" w:eastAsia="zh-CN"/>
              </w:rPr>
              <w:t xml:space="preserve">  项目运营期废气排放源一览表</w:t>
            </w:r>
          </w:p>
          <w:tbl>
            <w:tblPr>
              <w:tblStyle w:val="27"/>
              <w:tblW w:w="8448"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1123"/>
              <w:gridCol w:w="912"/>
              <w:gridCol w:w="913"/>
              <w:gridCol w:w="837"/>
              <w:gridCol w:w="776"/>
              <w:gridCol w:w="781"/>
              <w:gridCol w:w="61"/>
              <w:gridCol w:w="2"/>
              <w:gridCol w:w="845"/>
              <w:gridCol w:w="896"/>
              <w:gridCol w:w="1"/>
              <w:gridCol w:w="19"/>
              <w:gridCol w:w="879"/>
            </w:tblGrid>
            <w:tr w14:paraId="4A0C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gridSpan w:val="2"/>
                  <w:vAlign w:val="center"/>
                </w:tcPr>
                <w:p w14:paraId="5C1A22F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6922" w:type="dxa"/>
                  <w:gridSpan w:val="12"/>
                  <w:vAlign w:val="center"/>
                </w:tcPr>
                <w:p w14:paraId="4373FBA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z w:val="21"/>
                      <w:szCs w:val="21"/>
                      <w:highlight w:val="none"/>
                      <w:lang w:val="en-US" w:eastAsia="zh-CN"/>
                    </w:rPr>
                    <w:t>挤出废气及覆膜废气</w:t>
                  </w:r>
                </w:p>
              </w:tc>
            </w:tr>
            <w:tr w14:paraId="6E97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gridSpan w:val="2"/>
                  <w:vAlign w:val="center"/>
                </w:tcPr>
                <w:p w14:paraId="52F53B94">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1825" w:type="dxa"/>
                  <w:gridSpan w:val="2"/>
                  <w:vAlign w:val="center"/>
                </w:tcPr>
                <w:p w14:paraId="2E5D41DA">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eastAsia="zh-CN"/>
                    </w:rPr>
                    <w:t>非甲烷总烃</w:t>
                  </w:r>
                </w:p>
              </w:tc>
              <w:tc>
                <w:tcPr>
                  <w:tcW w:w="1613" w:type="dxa"/>
                  <w:gridSpan w:val="2"/>
                  <w:vAlign w:val="center"/>
                </w:tcPr>
                <w:p w14:paraId="6E43394A">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氯化氢</w:t>
                  </w:r>
                </w:p>
              </w:tc>
              <w:tc>
                <w:tcPr>
                  <w:tcW w:w="1689" w:type="dxa"/>
                  <w:gridSpan w:val="4"/>
                  <w:vAlign w:val="center"/>
                </w:tcPr>
                <w:p w14:paraId="6ADC5D04">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氯乙烯</w:t>
                  </w:r>
                </w:p>
              </w:tc>
              <w:tc>
                <w:tcPr>
                  <w:tcW w:w="1795" w:type="dxa"/>
                  <w:gridSpan w:val="4"/>
                  <w:vAlign w:val="center"/>
                </w:tcPr>
                <w:p w14:paraId="74B13DC3">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臭气浓度</w:t>
                  </w:r>
                </w:p>
              </w:tc>
            </w:tr>
            <w:tr w14:paraId="2C96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gridSpan w:val="2"/>
                  <w:vAlign w:val="center"/>
                </w:tcPr>
                <w:p w14:paraId="643ECA1B">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912" w:type="dxa"/>
                  <w:vAlign w:val="center"/>
                </w:tcPr>
                <w:p w14:paraId="0D5156A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2.5354</w:t>
                  </w:r>
                </w:p>
              </w:tc>
              <w:tc>
                <w:tcPr>
                  <w:tcW w:w="913" w:type="dxa"/>
                  <w:vAlign w:val="center"/>
                </w:tcPr>
                <w:p w14:paraId="26BAF505">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0.6338</w:t>
                  </w:r>
                </w:p>
              </w:tc>
              <w:tc>
                <w:tcPr>
                  <w:tcW w:w="837" w:type="dxa"/>
                  <w:vAlign w:val="center"/>
                </w:tcPr>
                <w:p w14:paraId="24C664D8">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0.02</w:t>
                  </w:r>
                  <w:r>
                    <w:rPr>
                      <w:rFonts w:hint="eastAsia" w:cs="Times New Roman"/>
                      <w:b w:val="0"/>
                      <w:bCs w:val="0"/>
                      <w:color w:val="auto"/>
                      <w:spacing w:val="-10"/>
                      <w:sz w:val="21"/>
                      <w:szCs w:val="21"/>
                      <w:highlight w:val="none"/>
                      <w:vertAlign w:val="baseline"/>
                      <w:lang w:val="en-US" w:eastAsia="zh-CN"/>
                    </w:rPr>
                    <w:t>50</w:t>
                  </w:r>
                </w:p>
              </w:tc>
              <w:tc>
                <w:tcPr>
                  <w:tcW w:w="776" w:type="dxa"/>
                  <w:vAlign w:val="center"/>
                </w:tcPr>
                <w:p w14:paraId="57CD2F3F">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0.0063</w:t>
                  </w:r>
                </w:p>
              </w:tc>
              <w:tc>
                <w:tcPr>
                  <w:tcW w:w="844" w:type="dxa"/>
                  <w:gridSpan w:val="3"/>
                  <w:vAlign w:val="center"/>
                </w:tcPr>
                <w:p w14:paraId="337EF07C">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0.0306</w:t>
                  </w:r>
                </w:p>
              </w:tc>
              <w:tc>
                <w:tcPr>
                  <w:tcW w:w="845" w:type="dxa"/>
                  <w:vAlign w:val="center"/>
                </w:tcPr>
                <w:p w14:paraId="6AAA537E">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0.0076</w:t>
                  </w:r>
                </w:p>
              </w:tc>
              <w:tc>
                <w:tcPr>
                  <w:tcW w:w="916" w:type="dxa"/>
                  <w:gridSpan w:val="3"/>
                  <w:vAlign w:val="center"/>
                </w:tcPr>
                <w:p w14:paraId="25FD819A">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少量</w:t>
                  </w:r>
                </w:p>
              </w:tc>
              <w:tc>
                <w:tcPr>
                  <w:tcW w:w="879" w:type="dxa"/>
                  <w:vAlign w:val="center"/>
                </w:tcPr>
                <w:p w14:paraId="2100E528">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少量</w:t>
                  </w:r>
                </w:p>
              </w:tc>
            </w:tr>
            <w:tr w14:paraId="694B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Align w:val="center"/>
                </w:tcPr>
                <w:p w14:paraId="7D3D06A3">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912" w:type="dxa"/>
                  <w:vAlign w:val="center"/>
                </w:tcPr>
                <w:p w14:paraId="72A4739D">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27.17</w:t>
                  </w:r>
                </w:p>
              </w:tc>
              <w:tc>
                <w:tcPr>
                  <w:tcW w:w="913" w:type="dxa"/>
                  <w:vAlign w:val="center"/>
                </w:tcPr>
                <w:p w14:paraId="2183A3A3">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837" w:type="dxa"/>
                  <w:vAlign w:val="center"/>
                </w:tcPr>
                <w:p w14:paraId="03EDBA8F">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0.27</w:t>
                  </w:r>
                </w:p>
              </w:tc>
              <w:tc>
                <w:tcPr>
                  <w:tcW w:w="776" w:type="dxa"/>
                  <w:vAlign w:val="center"/>
                </w:tcPr>
                <w:p w14:paraId="19C94538">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44" w:type="dxa"/>
                  <w:gridSpan w:val="3"/>
                  <w:vAlign w:val="center"/>
                </w:tcPr>
                <w:p w14:paraId="71B02D87">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0.33</w:t>
                  </w:r>
                </w:p>
              </w:tc>
              <w:tc>
                <w:tcPr>
                  <w:tcW w:w="845" w:type="dxa"/>
                  <w:vAlign w:val="center"/>
                </w:tcPr>
                <w:p w14:paraId="4A7B14A8">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916" w:type="dxa"/>
                  <w:gridSpan w:val="3"/>
                  <w:vAlign w:val="center"/>
                </w:tcPr>
                <w:p w14:paraId="4AFE9797">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3167</w:t>
                  </w:r>
                  <w:r>
                    <w:rPr>
                      <w:rFonts w:hint="default" w:ascii="Times New Roman" w:hAnsi="Times New Roman" w:eastAsia="宋体" w:cs="Times New Roman"/>
                      <w:b w:val="0"/>
                      <w:bCs w:val="0"/>
                      <w:color w:val="auto"/>
                      <w:spacing w:val="-10"/>
                      <w:sz w:val="21"/>
                      <w:szCs w:val="21"/>
                      <w:highlight w:val="none"/>
                      <w:vertAlign w:val="baseline"/>
                      <w:lang w:val="en-US" w:eastAsia="zh-CN"/>
                    </w:rPr>
                    <w:t>（无量纲）</w:t>
                  </w:r>
                </w:p>
              </w:tc>
              <w:tc>
                <w:tcPr>
                  <w:tcW w:w="879" w:type="dxa"/>
                  <w:vAlign w:val="center"/>
                </w:tcPr>
                <w:p w14:paraId="2E3E63B0">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r>
            <w:tr w14:paraId="21A0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Align w:val="center"/>
                </w:tcPr>
                <w:p w14:paraId="7681C1C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912" w:type="dxa"/>
                  <w:vAlign w:val="center"/>
                </w:tcPr>
                <w:p w14:paraId="397AEC5F">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有</w:t>
                  </w:r>
                  <w:r>
                    <w:rPr>
                      <w:rFonts w:hint="default" w:ascii="Times New Roman" w:hAnsi="Times New Roman" w:eastAsia="宋体" w:cs="Times New Roman"/>
                      <w:b w:val="0"/>
                      <w:bCs w:val="0"/>
                      <w:color w:val="auto"/>
                      <w:spacing w:val="-10"/>
                      <w:sz w:val="21"/>
                      <w:szCs w:val="21"/>
                      <w:highlight w:val="none"/>
                      <w:vertAlign w:val="baseline"/>
                      <w:lang w:val="en-US" w:eastAsia="zh-CN"/>
                    </w:rPr>
                    <w:t>组织</w:t>
                  </w:r>
                </w:p>
              </w:tc>
              <w:tc>
                <w:tcPr>
                  <w:tcW w:w="913" w:type="dxa"/>
                  <w:vAlign w:val="center"/>
                </w:tcPr>
                <w:p w14:paraId="6C7CDA93">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无组织</w:t>
                  </w:r>
                </w:p>
              </w:tc>
              <w:tc>
                <w:tcPr>
                  <w:tcW w:w="837" w:type="dxa"/>
                  <w:vAlign w:val="center"/>
                </w:tcPr>
                <w:p w14:paraId="26D71452">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有</w:t>
                  </w:r>
                  <w:r>
                    <w:rPr>
                      <w:rFonts w:hint="default" w:ascii="Times New Roman" w:hAnsi="Times New Roman" w:eastAsia="宋体" w:cs="Times New Roman"/>
                      <w:b w:val="0"/>
                      <w:bCs w:val="0"/>
                      <w:color w:val="auto"/>
                      <w:spacing w:val="-10"/>
                      <w:sz w:val="21"/>
                      <w:szCs w:val="21"/>
                      <w:highlight w:val="none"/>
                      <w:vertAlign w:val="baseline"/>
                      <w:lang w:val="en-US" w:eastAsia="zh-CN"/>
                    </w:rPr>
                    <w:t>组织</w:t>
                  </w:r>
                </w:p>
              </w:tc>
              <w:tc>
                <w:tcPr>
                  <w:tcW w:w="776" w:type="dxa"/>
                  <w:vAlign w:val="center"/>
                </w:tcPr>
                <w:p w14:paraId="378DF1CB">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无组织</w:t>
                  </w:r>
                </w:p>
              </w:tc>
              <w:tc>
                <w:tcPr>
                  <w:tcW w:w="844" w:type="dxa"/>
                  <w:gridSpan w:val="3"/>
                  <w:vAlign w:val="center"/>
                </w:tcPr>
                <w:p w14:paraId="1ED63A0F">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有</w:t>
                  </w:r>
                  <w:r>
                    <w:rPr>
                      <w:rFonts w:hint="default" w:ascii="Times New Roman" w:hAnsi="Times New Roman" w:eastAsia="宋体" w:cs="Times New Roman"/>
                      <w:b w:val="0"/>
                      <w:bCs w:val="0"/>
                      <w:color w:val="auto"/>
                      <w:spacing w:val="-10"/>
                      <w:sz w:val="21"/>
                      <w:szCs w:val="21"/>
                      <w:highlight w:val="none"/>
                      <w:vertAlign w:val="baseline"/>
                      <w:lang w:val="en-US" w:eastAsia="zh-CN"/>
                    </w:rPr>
                    <w:t>组织</w:t>
                  </w:r>
                </w:p>
              </w:tc>
              <w:tc>
                <w:tcPr>
                  <w:tcW w:w="845" w:type="dxa"/>
                  <w:vAlign w:val="center"/>
                </w:tcPr>
                <w:p w14:paraId="56A3E06F">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无组织</w:t>
                  </w:r>
                </w:p>
              </w:tc>
              <w:tc>
                <w:tcPr>
                  <w:tcW w:w="897" w:type="dxa"/>
                  <w:gridSpan w:val="2"/>
                  <w:vAlign w:val="center"/>
                </w:tcPr>
                <w:p w14:paraId="7768082E">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有</w:t>
                  </w:r>
                  <w:r>
                    <w:rPr>
                      <w:rFonts w:hint="default" w:ascii="Times New Roman" w:hAnsi="Times New Roman" w:eastAsia="宋体" w:cs="Times New Roman"/>
                      <w:b w:val="0"/>
                      <w:bCs w:val="0"/>
                      <w:color w:val="auto"/>
                      <w:spacing w:val="-10"/>
                      <w:sz w:val="21"/>
                      <w:szCs w:val="21"/>
                      <w:highlight w:val="none"/>
                      <w:vertAlign w:val="baseline"/>
                      <w:lang w:val="en-US" w:eastAsia="zh-CN"/>
                    </w:rPr>
                    <w:t>组织</w:t>
                  </w:r>
                </w:p>
              </w:tc>
              <w:tc>
                <w:tcPr>
                  <w:tcW w:w="898" w:type="dxa"/>
                  <w:gridSpan w:val="2"/>
                  <w:vAlign w:val="center"/>
                </w:tcPr>
                <w:p w14:paraId="10315519">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无组织</w:t>
                  </w:r>
                </w:p>
              </w:tc>
            </w:tr>
            <w:tr w14:paraId="3688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vMerge w:val="restart"/>
                  <w:vAlign w:val="center"/>
                </w:tcPr>
                <w:p w14:paraId="19142344">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123" w:type="dxa"/>
                  <w:vAlign w:val="center"/>
                </w:tcPr>
                <w:p w14:paraId="637DB00B">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912" w:type="dxa"/>
                  <w:vAlign w:val="center"/>
                </w:tcPr>
                <w:p w14:paraId="1528F478">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ascii="Times New Roman" w:hAnsi="Times New Roman" w:cs="Times New Roman"/>
                      <w:i w:val="0"/>
                      <w:iCs w:val="0"/>
                      <w:color w:val="auto"/>
                      <w:kern w:val="0"/>
                      <w:sz w:val="21"/>
                      <w:szCs w:val="21"/>
                      <w:u w:val="none"/>
                      <w:lang w:val="en-US" w:eastAsia="zh-CN" w:bidi="ar"/>
                    </w:rPr>
                    <w:t>2</w:t>
                  </w:r>
                  <w:r>
                    <w:rPr>
                      <w:rFonts w:hint="eastAsia" w:cs="Times New Roman"/>
                      <w:i w:val="0"/>
                      <w:iCs w:val="0"/>
                      <w:color w:val="auto"/>
                      <w:kern w:val="0"/>
                      <w:sz w:val="21"/>
                      <w:szCs w:val="21"/>
                      <w:u w:val="none"/>
                      <w:lang w:val="en-US" w:eastAsia="zh-CN" w:bidi="ar"/>
                    </w:rPr>
                    <w:t>5920</w:t>
                  </w:r>
                  <w:r>
                    <w:rPr>
                      <w:rFonts w:hint="default" w:ascii="Times New Roman" w:hAnsi="Times New Roman" w:eastAsia="宋体" w:cs="Times New Roman"/>
                      <w:i w:val="0"/>
                      <w:iCs w:val="0"/>
                      <w:color w:val="auto"/>
                      <w:kern w:val="0"/>
                      <w:sz w:val="21"/>
                      <w:szCs w:val="21"/>
                      <w:u w:val="none"/>
                      <w:lang w:val="en-US" w:eastAsia="zh-CN" w:bidi="ar"/>
                    </w:rPr>
                    <w:t>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/h</w:t>
                  </w:r>
                </w:p>
              </w:tc>
              <w:tc>
                <w:tcPr>
                  <w:tcW w:w="913" w:type="dxa"/>
                  <w:vAlign w:val="center"/>
                </w:tcPr>
                <w:p w14:paraId="6A3F6978">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37" w:type="dxa"/>
                  <w:vAlign w:val="center"/>
                </w:tcPr>
                <w:p w14:paraId="43E04AC9">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i w:val="0"/>
                      <w:iCs w:val="0"/>
                      <w:color w:val="auto"/>
                      <w:kern w:val="0"/>
                      <w:sz w:val="21"/>
                      <w:szCs w:val="21"/>
                      <w:u w:val="none"/>
                      <w:lang w:val="en-US" w:eastAsia="zh-CN" w:bidi="ar"/>
                    </w:rPr>
                    <w:t>2</w:t>
                  </w:r>
                  <w:r>
                    <w:rPr>
                      <w:rFonts w:hint="eastAsia" w:cs="Times New Roman"/>
                      <w:i w:val="0"/>
                      <w:iCs w:val="0"/>
                      <w:color w:val="auto"/>
                      <w:kern w:val="0"/>
                      <w:sz w:val="21"/>
                      <w:szCs w:val="21"/>
                      <w:u w:val="none"/>
                      <w:lang w:val="en-US" w:eastAsia="zh-CN" w:bidi="ar"/>
                    </w:rPr>
                    <w:t>5920</w:t>
                  </w:r>
                  <w:r>
                    <w:rPr>
                      <w:rFonts w:hint="default" w:ascii="Times New Roman" w:hAnsi="Times New Roman" w:eastAsia="宋体" w:cs="Times New Roman"/>
                      <w:i w:val="0"/>
                      <w:iCs w:val="0"/>
                      <w:color w:val="auto"/>
                      <w:kern w:val="0"/>
                      <w:sz w:val="21"/>
                      <w:szCs w:val="21"/>
                      <w:u w:val="none"/>
                      <w:lang w:val="en-US" w:eastAsia="zh-CN" w:bidi="ar"/>
                    </w:rPr>
                    <w:t>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/h</w:t>
                  </w:r>
                </w:p>
              </w:tc>
              <w:tc>
                <w:tcPr>
                  <w:tcW w:w="776" w:type="dxa"/>
                  <w:vAlign w:val="center"/>
                </w:tcPr>
                <w:p w14:paraId="7686FCC3">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z w:val="21"/>
                      <w:szCs w:val="21"/>
                      <w:highlight w:val="yellow"/>
                      <w:lang w:val="en-US" w:eastAsia="zh-CN"/>
                    </w:rPr>
                  </w:pPr>
                  <w:r>
                    <w:rPr>
                      <w:rFonts w:hint="eastAsia" w:cs="Times New Roman"/>
                      <w:b w:val="0"/>
                      <w:bCs w:val="0"/>
                      <w:color w:val="auto"/>
                      <w:spacing w:val="-10"/>
                      <w:sz w:val="21"/>
                      <w:szCs w:val="21"/>
                      <w:highlight w:val="none"/>
                      <w:vertAlign w:val="baseline"/>
                      <w:lang w:val="en-US" w:eastAsia="zh-CN"/>
                    </w:rPr>
                    <w:t>/</w:t>
                  </w:r>
                </w:p>
              </w:tc>
              <w:tc>
                <w:tcPr>
                  <w:tcW w:w="844" w:type="dxa"/>
                  <w:gridSpan w:val="3"/>
                  <w:vAlign w:val="center"/>
                </w:tcPr>
                <w:p w14:paraId="25707235">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z w:val="21"/>
                      <w:szCs w:val="21"/>
                      <w:highlight w:val="yellow"/>
                      <w:lang w:val="en-US" w:eastAsia="zh-CN"/>
                    </w:rPr>
                  </w:pPr>
                  <w:r>
                    <w:rPr>
                      <w:rFonts w:hint="eastAsia" w:ascii="Times New Roman" w:hAnsi="Times New Roman" w:cs="Times New Roman"/>
                      <w:i w:val="0"/>
                      <w:iCs w:val="0"/>
                      <w:color w:val="auto"/>
                      <w:kern w:val="0"/>
                      <w:sz w:val="21"/>
                      <w:szCs w:val="21"/>
                      <w:u w:val="none"/>
                      <w:lang w:val="en-US" w:eastAsia="zh-CN" w:bidi="ar"/>
                    </w:rPr>
                    <w:t>2</w:t>
                  </w:r>
                  <w:r>
                    <w:rPr>
                      <w:rFonts w:hint="eastAsia" w:cs="Times New Roman"/>
                      <w:i w:val="0"/>
                      <w:iCs w:val="0"/>
                      <w:color w:val="auto"/>
                      <w:kern w:val="0"/>
                      <w:sz w:val="21"/>
                      <w:szCs w:val="21"/>
                      <w:u w:val="none"/>
                      <w:lang w:val="en-US" w:eastAsia="zh-CN" w:bidi="ar"/>
                    </w:rPr>
                    <w:t>5920</w:t>
                  </w:r>
                  <w:r>
                    <w:rPr>
                      <w:rFonts w:hint="default" w:ascii="Times New Roman" w:hAnsi="Times New Roman" w:eastAsia="宋体" w:cs="Times New Roman"/>
                      <w:i w:val="0"/>
                      <w:iCs w:val="0"/>
                      <w:color w:val="auto"/>
                      <w:kern w:val="0"/>
                      <w:sz w:val="21"/>
                      <w:szCs w:val="21"/>
                      <w:u w:val="none"/>
                      <w:lang w:val="en-US" w:eastAsia="zh-CN" w:bidi="ar"/>
                    </w:rPr>
                    <w:t>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/h</w:t>
                  </w:r>
                </w:p>
              </w:tc>
              <w:tc>
                <w:tcPr>
                  <w:tcW w:w="845" w:type="dxa"/>
                  <w:vAlign w:val="center"/>
                </w:tcPr>
                <w:p w14:paraId="77B5ECF7">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z w:val="21"/>
                      <w:szCs w:val="21"/>
                      <w:highlight w:val="yellow"/>
                      <w:lang w:val="en-US" w:eastAsia="zh-CN"/>
                    </w:rPr>
                  </w:pPr>
                  <w:r>
                    <w:rPr>
                      <w:rFonts w:hint="eastAsia" w:cs="Times New Roman"/>
                      <w:b w:val="0"/>
                      <w:bCs w:val="0"/>
                      <w:color w:val="auto"/>
                      <w:spacing w:val="-10"/>
                      <w:sz w:val="21"/>
                      <w:szCs w:val="21"/>
                      <w:highlight w:val="none"/>
                      <w:vertAlign w:val="baseline"/>
                      <w:lang w:val="en-US" w:eastAsia="zh-CN"/>
                    </w:rPr>
                    <w:t>/</w:t>
                  </w:r>
                </w:p>
              </w:tc>
              <w:tc>
                <w:tcPr>
                  <w:tcW w:w="897" w:type="dxa"/>
                  <w:gridSpan w:val="2"/>
                  <w:vAlign w:val="center"/>
                </w:tcPr>
                <w:p w14:paraId="58503309">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i w:val="0"/>
                      <w:iCs w:val="0"/>
                      <w:color w:val="auto"/>
                      <w:kern w:val="0"/>
                      <w:sz w:val="21"/>
                      <w:szCs w:val="21"/>
                      <w:u w:val="none"/>
                      <w:lang w:val="en-US" w:eastAsia="zh-CN" w:bidi="ar"/>
                    </w:rPr>
                    <w:t>2</w:t>
                  </w:r>
                  <w:r>
                    <w:rPr>
                      <w:rFonts w:hint="eastAsia" w:cs="Times New Roman"/>
                      <w:i w:val="0"/>
                      <w:iCs w:val="0"/>
                      <w:color w:val="auto"/>
                      <w:kern w:val="0"/>
                      <w:sz w:val="21"/>
                      <w:szCs w:val="21"/>
                      <w:u w:val="none"/>
                      <w:lang w:val="en-US" w:eastAsia="zh-CN" w:bidi="ar"/>
                    </w:rPr>
                    <w:t>5920</w:t>
                  </w:r>
                  <w:r>
                    <w:rPr>
                      <w:rFonts w:hint="default" w:ascii="Times New Roman" w:hAnsi="Times New Roman" w:eastAsia="宋体" w:cs="Times New Roman"/>
                      <w:i w:val="0"/>
                      <w:iCs w:val="0"/>
                      <w:color w:val="auto"/>
                      <w:kern w:val="0"/>
                      <w:sz w:val="21"/>
                      <w:szCs w:val="21"/>
                      <w:u w:val="none"/>
                      <w:lang w:val="en-US" w:eastAsia="zh-CN" w:bidi="ar"/>
                    </w:rPr>
                    <w:t>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/h</w:t>
                  </w:r>
                </w:p>
              </w:tc>
              <w:tc>
                <w:tcPr>
                  <w:tcW w:w="898" w:type="dxa"/>
                  <w:gridSpan w:val="2"/>
                  <w:vAlign w:val="center"/>
                </w:tcPr>
                <w:p w14:paraId="66868349">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eastAsia" w:ascii="Times New Roman" w:hAnsi="Times New Roman" w:cs="Times New Roman"/>
                      <w:i w:val="0"/>
                      <w:iCs w:val="0"/>
                      <w:color w:val="auto"/>
                      <w:kern w:val="0"/>
                      <w:sz w:val="21"/>
                      <w:szCs w:val="21"/>
                      <w:u w:val="none"/>
                      <w:lang w:val="en-US" w:eastAsia="zh-CN" w:bidi="ar"/>
                    </w:rPr>
                  </w:pPr>
                  <w:r>
                    <w:rPr>
                      <w:rFonts w:hint="eastAsia" w:cs="Times New Roman"/>
                      <w:b w:val="0"/>
                      <w:bCs w:val="0"/>
                      <w:color w:val="auto"/>
                      <w:spacing w:val="-10"/>
                      <w:sz w:val="21"/>
                      <w:szCs w:val="21"/>
                      <w:highlight w:val="none"/>
                      <w:vertAlign w:val="baseline"/>
                      <w:lang w:val="en-US" w:eastAsia="zh-CN"/>
                    </w:rPr>
                    <w:t>/</w:t>
                  </w:r>
                </w:p>
              </w:tc>
            </w:tr>
            <w:tr w14:paraId="6A20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vMerge w:val="continue"/>
                  <w:vAlign w:val="center"/>
                </w:tcPr>
                <w:p w14:paraId="67189CCC">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23" w:type="dxa"/>
                  <w:vAlign w:val="center"/>
                </w:tcPr>
                <w:p w14:paraId="167F27D9">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912" w:type="dxa"/>
                  <w:vAlign w:val="center"/>
                </w:tcPr>
                <w:p w14:paraId="3FA23F94">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80%</w:t>
                  </w:r>
                </w:p>
              </w:tc>
              <w:tc>
                <w:tcPr>
                  <w:tcW w:w="913" w:type="dxa"/>
                  <w:vAlign w:val="center"/>
                </w:tcPr>
                <w:p w14:paraId="16AA8243">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37" w:type="dxa"/>
                  <w:vAlign w:val="center"/>
                </w:tcPr>
                <w:p w14:paraId="34C466AE">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80%</w:t>
                  </w:r>
                </w:p>
              </w:tc>
              <w:tc>
                <w:tcPr>
                  <w:tcW w:w="776" w:type="dxa"/>
                  <w:vAlign w:val="center"/>
                </w:tcPr>
                <w:p w14:paraId="1B30C987">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44" w:type="dxa"/>
                  <w:gridSpan w:val="3"/>
                  <w:vAlign w:val="center"/>
                </w:tcPr>
                <w:p w14:paraId="193D3BE9">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80%</w:t>
                  </w:r>
                </w:p>
              </w:tc>
              <w:tc>
                <w:tcPr>
                  <w:tcW w:w="845" w:type="dxa"/>
                  <w:vAlign w:val="center"/>
                </w:tcPr>
                <w:p w14:paraId="378A4E8E">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97" w:type="dxa"/>
                  <w:gridSpan w:val="2"/>
                  <w:vAlign w:val="center"/>
                </w:tcPr>
                <w:p w14:paraId="410CDCAB">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80%</w:t>
                  </w:r>
                </w:p>
              </w:tc>
              <w:tc>
                <w:tcPr>
                  <w:tcW w:w="898" w:type="dxa"/>
                  <w:gridSpan w:val="2"/>
                  <w:vAlign w:val="center"/>
                </w:tcPr>
                <w:p w14:paraId="0B53CAE4">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2977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vMerge w:val="continue"/>
                  <w:vAlign w:val="center"/>
                </w:tcPr>
                <w:p w14:paraId="09A094D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23" w:type="dxa"/>
                  <w:vAlign w:val="center"/>
                </w:tcPr>
                <w:p w14:paraId="2F8324B8">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912" w:type="dxa"/>
                  <w:vAlign w:val="center"/>
                </w:tcPr>
                <w:p w14:paraId="7D60355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三</w:t>
                  </w:r>
                  <w:r>
                    <w:rPr>
                      <w:rFonts w:hint="default" w:ascii="Times New Roman" w:hAnsi="Times New Roman" w:eastAsia="宋体" w:cs="Times New Roman"/>
                      <w:b w:val="0"/>
                      <w:bCs w:val="0"/>
                      <w:color w:val="auto"/>
                      <w:sz w:val="21"/>
                      <w:szCs w:val="21"/>
                      <w:highlight w:val="none"/>
                      <w:lang w:eastAsia="zh-CN"/>
                    </w:rPr>
                    <w:t>级活性炭吸附装置”</w:t>
                  </w:r>
                </w:p>
              </w:tc>
              <w:tc>
                <w:tcPr>
                  <w:tcW w:w="913" w:type="dxa"/>
                  <w:vAlign w:val="center"/>
                </w:tcPr>
                <w:p w14:paraId="62D6C22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自然稀释扩散</w:t>
                  </w:r>
                </w:p>
              </w:tc>
              <w:tc>
                <w:tcPr>
                  <w:tcW w:w="837" w:type="dxa"/>
                  <w:vAlign w:val="center"/>
                </w:tcPr>
                <w:p w14:paraId="04AEBDB2">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三</w:t>
                  </w:r>
                  <w:r>
                    <w:rPr>
                      <w:rFonts w:hint="default" w:ascii="Times New Roman" w:hAnsi="Times New Roman" w:eastAsia="宋体" w:cs="Times New Roman"/>
                      <w:b w:val="0"/>
                      <w:bCs w:val="0"/>
                      <w:color w:val="auto"/>
                      <w:sz w:val="21"/>
                      <w:szCs w:val="21"/>
                      <w:highlight w:val="none"/>
                      <w:lang w:eastAsia="zh-CN"/>
                    </w:rPr>
                    <w:t>级活性炭吸附装置”</w:t>
                  </w:r>
                </w:p>
              </w:tc>
              <w:tc>
                <w:tcPr>
                  <w:tcW w:w="776" w:type="dxa"/>
                  <w:vAlign w:val="center"/>
                </w:tcPr>
                <w:p w14:paraId="5B9D16B1">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自然稀释扩散</w:t>
                  </w:r>
                </w:p>
              </w:tc>
              <w:tc>
                <w:tcPr>
                  <w:tcW w:w="844" w:type="dxa"/>
                  <w:gridSpan w:val="3"/>
                  <w:vAlign w:val="center"/>
                </w:tcPr>
                <w:p w14:paraId="1C3330E6">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三</w:t>
                  </w:r>
                  <w:r>
                    <w:rPr>
                      <w:rFonts w:hint="default" w:ascii="Times New Roman" w:hAnsi="Times New Roman" w:eastAsia="宋体" w:cs="Times New Roman"/>
                      <w:b w:val="0"/>
                      <w:bCs w:val="0"/>
                      <w:color w:val="auto"/>
                      <w:sz w:val="21"/>
                      <w:szCs w:val="21"/>
                      <w:highlight w:val="none"/>
                      <w:lang w:eastAsia="zh-CN"/>
                    </w:rPr>
                    <w:t>级活性炭吸附装置”</w:t>
                  </w:r>
                </w:p>
              </w:tc>
              <w:tc>
                <w:tcPr>
                  <w:tcW w:w="845" w:type="dxa"/>
                  <w:vAlign w:val="center"/>
                </w:tcPr>
                <w:p w14:paraId="1373E3D7">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自然稀释扩散</w:t>
                  </w:r>
                </w:p>
              </w:tc>
              <w:tc>
                <w:tcPr>
                  <w:tcW w:w="897" w:type="dxa"/>
                  <w:gridSpan w:val="2"/>
                  <w:vAlign w:val="center"/>
                </w:tcPr>
                <w:p w14:paraId="7C884536">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三</w:t>
                  </w:r>
                  <w:r>
                    <w:rPr>
                      <w:rFonts w:hint="default" w:ascii="Times New Roman" w:hAnsi="Times New Roman" w:eastAsia="宋体" w:cs="Times New Roman"/>
                      <w:b w:val="0"/>
                      <w:bCs w:val="0"/>
                      <w:color w:val="auto"/>
                      <w:sz w:val="21"/>
                      <w:szCs w:val="21"/>
                      <w:highlight w:val="none"/>
                      <w:lang w:eastAsia="zh-CN"/>
                    </w:rPr>
                    <w:t>级活性炭吸附装置”</w:t>
                  </w:r>
                </w:p>
              </w:tc>
              <w:tc>
                <w:tcPr>
                  <w:tcW w:w="898" w:type="dxa"/>
                  <w:gridSpan w:val="2"/>
                  <w:vAlign w:val="center"/>
                </w:tcPr>
                <w:p w14:paraId="77FCE726">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自然稀释扩散</w:t>
                  </w:r>
                </w:p>
              </w:tc>
            </w:tr>
            <w:tr w14:paraId="31D1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03" w:type="dxa"/>
                  <w:vMerge w:val="continue"/>
                  <w:vAlign w:val="center"/>
                </w:tcPr>
                <w:p w14:paraId="1953E9D3">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23" w:type="dxa"/>
                  <w:vAlign w:val="center"/>
                </w:tcPr>
                <w:p w14:paraId="6627D0E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912" w:type="dxa"/>
                  <w:vAlign w:val="center"/>
                </w:tcPr>
                <w:p w14:paraId="06A14FC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70</w:t>
                  </w: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913" w:type="dxa"/>
                  <w:vAlign w:val="center"/>
                </w:tcPr>
                <w:p w14:paraId="2929AB5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37" w:type="dxa"/>
                  <w:vAlign w:val="center"/>
                </w:tcPr>
                <w:p w14:paraId="23D7B321">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70</w:t>
                  </w: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776" w:type="dxa"/>
                  <w:vAlign w:val="center"/>
                </w:tcPr>
                <w:p w14:paraId="085EC69B">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44" w:type="dxa"/>
                  <w:gridSpan w:val="3"/>
                  <w:vAlign w:val="center"/>
                </w:tcPr>
                <w:p w14:paraId="695C3506">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70</w:t>
                  </w: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845" w:type="dxa"/>
                  <w:vAlign w:val="center"/>
                </w:tcPr>
                <w:p w14:paraId="57E0A5E8">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97" w:type="dxa"/>
                  <w:gridSpan w:val="2"/>
                  <w:vAlign w:val="center"/>
                </w:tcPr>
                <w:p w14:paraId="56CF675F">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70</w:t>
                  </w: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898" w:type="dxa"/>
                  <w:gridSpan w:val="2"/>
                  <w:vAlign w:val="center"/>
                </w:tcPr>
                <w:p w14:paraId="1C8DA83E">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5C2C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vMerge w:val="continue"/>
                  <w:vAlign w:val="center"/>
                </w:tcPr>
                <w:p w14:paraId="7C1B36BC">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23" w:type="dxa"/>
                  <w:vAlign w:val="center"/>
                </w:tcPr>
                <w:p w14:paraId="5A638D25">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912" w:type="dxa"/>
                  <w:vAlign w:val="center"/>
                </w:tcPr>
                <w:p w14:paraId="64757CC9">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是</w:t>
                  </w:r>
                </w:p>
              </w:tc>
              <w:tc>
                <w:tcPr>
                  <w:tcW w:w="913" w:type="dxa"/>
                  <w:vAlign w:val="center"/>
                </w:tcPr>
                <w:p w14:paraId="09CD100F">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37" w:type="dxa"/>
                  <w:vAlign w:val="center"/>
                </w:tcPr>
                <w:p w14:paraId="194F160C">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是</w:t>
                  </w:r>
                </w:p>
              </w:tc>
              <w:tc>
                <w:tcPr>
                  <w:tcW w:w="776" w:type="dxa"/>
                  <w:vAlign w:val="center"/>
                </w:tcPr>
                <w:p w14:paraId="11A86362">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44" w:type="dxa"/>
                  <w:gridSpan w:val="3"/>
                  <w:vAlign w:val="center"/>
                </w:tcPr>
                <w:p w14:paraId="48322FF1">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是</w:t>
                  </w:r>
                </w:p>
              </w:tc>
              <w:tc>
                <w:tcPr>
                  <w:tcW w:w="845" w:type="dxa"/>
                  <w:vAlign w:val="center"/>
                </w:tcPr>
                <w:p w14:paraId="0B348DAE">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97" w:type="dxa"/>
                  <w:gridSpan w:val="2"/>
                  <w:vAlign w:val="center"/>
                </w:tcPr>
                <w:p w14:paraId="6D77C211">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是</w:t>
                  </w:r>
                </w:p>
              </w:tc>
              <w:tc>
                <w:tcPr>
                  <w:tcW w:w="898" w:type="dxa"/>
                  <w:gridSpan w:val="2"/>
                  <w:vAlign w:val="center"/>
                </w:tcPr>
                <w:p w14:paraId="3E1264FA">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5E0C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Align w:val="center"/>
                </w:tcPr>
                <w:p w14:paraId="7BBC890F">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912" w:type="dxa"/>
                  <w:vAlign w:val="center"/>
                </w:tcPr>
                <w:p w14:paraId="7B407EE5">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8.15</w:t>
                  </w:r>
                </w:p>
              </w:tc>
              <w:tc>
                <w:tcPr>
                  <w:tcW w:w="913" w:type="dxa"/>
                  <w:vAlign w:val="center"/>
                </w:tcPr>
                <w:p w14:paraId="110EBCC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837" w:type="dxa"/>
                  <w:vAlign w:val="center"/>
                </w:tcPr>
                <w:p w14:paraId="4243D10B">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0.27</w:t>
                  </w:r>
                </w:p>
              </w:tc>
              <w:tc>
                <w:tcPr>
                  <w:tcW w:w="776" w:type="dxa"/>
                  <w:vAlign w:val="center"/>
                </w:tcPr>
                <w:p w14:paraId="5E62AFF7">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42" w:type="dxa"/>
                  <w:gridSpan w:val="2"/>
                  <w:vAlign w:val="center"/>
                </w:tcPr>
                <w:p w14:paraId="0DCAF1C0">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0.10</w:t>
                  </w:r>
                </w:p>
              </w:tc>
              <w:tc>
                <w:tcPr>
                  <w:tcW w:w="847" w:type="dxa"/>
                  <w:gridSpan w:val="2"/>
                  <w:vAlign w:val="center"/>
                </w:tcPr>
                <w:p w14:paraId="36E20594">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916" w:type="dxa"/>
                  <w:gridSpan w:val="3"/>
                  <w:vAlign w:val="center"/>
                </w:tcPr>
                <w:p w14:paraId="5D31FD6E">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950</w:t>
                  </w:r>
                  <w:r>
                    <w:rPr>
                      <w:rFonts w:hint="default" w:ascii="Times New Roman" w:hAnsi="Times New Roman" w:eastAsia="宋体" w:cs="Times New Roman"/>
                      <w:b w:val="0"/>
                      <w:bCs w:val="0"/>
                      <w:color w:val="auto"/>
                      <w:spacing w:val="-10"/>
                      <w:sz w:val="21"/>
                      <w:szCs w:val="21"/>
                      <w:highlight w:val="none"/>
                      <w:vertAlign w:val="baseline"/>
                      <w:lang w:val="en-US" w:eastAsia="zh-CN"/>
                    </w:rPr>
                    <w:t>（无量纲）</w:t>
                  </w:r>
                </w:p>
              </w:tc>
              <w:tc>
                <w:tcPr>
                  <w:tcW w:w="879" w:type="dxa"/>
                  <w:vAlign w:val="center"/>
                </w:tcPr>
                <w:p w14:paraId="08EAB65D">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r>
            <w:tr w14:paraId="2731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26" w:type="dxa"/>
                  <w:gridSpan w:val="2"/>
                  <w:vAlign w:val="center"/>
                </w:tcPr>
                <w:p w14:paraId="2729F4E8">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912" w:type="dxa"/>
                  <w:vAlign w:val="center"/>
                </w:tcPr>
                <w:p w14:paraId="70253601">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0.</w:t>
                  </w:r>
                  <w:r>
                    <w:rPr>
                      <w:rFonts w:hint="eastAsia" w:cs="Times New Roman"/>
                      <w:b w:val="0"/>
                      <w:bCs w:val="0"/>
                      <w:color w:val="auto"/>
                      <w:spacing w:val="-10"/>
                      <w:sz w:val="21"/>
                      <w:szCs w:val="21"/>
                      <w:highlight w:val="none"/>
                      <w:vertAlign w:val="baseline"/>
                      <w:lang w:val="en-US" w:eastAsia="zh-CN"/>
                    </w:rPr>
                    <w:t>2113</w:t>
                  </w:r>
                </w:p>
              </w:tc>
              <w:tc>
                <w:tcPr>
                  <w:tcW w:w="913" w:type="dxa"/>
                  <w:vAlign w:val="center"/>
                </w:tcPr>
                <w:p w14:paraId="7E361A8C">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0.1761</w:t>
                  </w:r>
                </w:p>
              </w:tc>
              <w:tc>
                <w:tcPr>
                  <w:tcW w:w="837" w:type="dxa"/>
                  <w:vAlign w:val="center"/>
                </w:tcPr>
                <w:p w14:paraId="7E682AC8">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0.0</w:t>
                  </w:r>
                  <w:r>
                    <w:rPr>
                      <w:rFonts w:hint="eastAsia" w:cs="Times New Roman"/>
                      <w:b w:val="0"/>
                      <w:bCs w:val="0"/>
                      <w:color w:val="auto"/>
                      <w:spacing w:val="-10"/>
                      <w:sz w:val="21"/>
                      <w:szCs w:val="21"/>
                      <w:highlight w:val="none"/>
                      <w:vertAlign w:val="baseline"/>
                      <w:lang w:val="en-US" w:eastAsia="zh-CN"/>
                    </w:rPr>
                    <w:t>070</w:t>
                  </w:r>
                </w:p>
              </w:tc>
              <w:tc>
                <w:tcPr>
                  <w:tcW w:w="776" w:type="dxa"/>
                  <w:vAlign w:val="center"/>
                </w:tcPr>
                <w:p w14:paraId="6185642C">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0.0017</w:t>
                  </w:r>
                </w:p>
              </w:tc>
              <w:tc>
                <w:tcPr>
                  <w:tcW w:w="842" w:type="dxa"/>
                  <w:gridSpan w:val="2"/>
                  <w:vAlign w:val="center"/>
                </w:tcPr>
                <w:p w14:paraId="1451AB5E">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0.0026</w:t>
                  </w:r>
                </w:p>
              </w:tc>
              <w:tc>
                <w:tcPr>
                  <w:tcW w:w="847" w:type="dxa"/>
                  <w:gridSpan w:val="2"/>
                  <w:vAlign w:val="center"/>
                </w:tcPr>
                <w:p w14:paraId="7448FFF2">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0.0021</w:t>
                  </w:r>
                </w:p>
              </w:tc>
              <w:tc>
                <w:tcPr>
                  <w:tcW w:w="916" w:type="dxa"/>
                  <w:gridSpan w:val="3"/>
                  <w:vAlign w:val="center"/>
                </w:tcPr>
                <w:p w14:paraId="50925C4F">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79" w:type="dxa"/>
                  <w:vAlign w:val="center"/>
                </w:tcPr>
                <w:p w14:paraId="20A7E94C">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w:t>
                  </w:r>
                </w:p>
              </w:tc>
            </w:tr>
            <w:tr w14:paraId="24F3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Align w:val="center"/>
                </w:tcPr>
                <w:p w14:paraId="0E375F71">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912" w:type="dxa"/>
                  <w:vAlign w:val="center"/>
                </w:tcPr>
                <w:p w14:paraId="7F6E11CE">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0.</w:t>
                  </w:r>
                  <w:r>
                    <w:rPr>
                      <w:rFonts w:hint="eastAsia" w:cs="Times New Roman"/>
                      <w:b w:val="0"/>
                      <w:bCs w:val="0"/>
                      <w:color w:val="auto"/>
                      <w:spacing w:val="-10"/>
                      <w:sz w:val="21"/>
                      <w:szCs w:val="21"/>
                      <w:highlight w:val="none"/>
                      <w:vertAlign w:val="baseline"/>
                      <w:lang w:val="en-US" w:eastAsia="zh-CN"/>
                    </w:rPr>
                    <w:t>7606</w:t>
                  </w:r>
                </w:p>
              </w:tc>
              <w:tc>
                <w:tcPr>
                  <w:tcW w:w="913" w:type="dxa"/>
                  <w:vAlign w:val="center"/>
                </w:tcPr>
                <w:p w14:paraId="69BD562A">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0.6338</w:t>
                  </w:r>
                </w:p>
              </w:tc>
              <w:tc>
                <w:tcPr>
                  <w:tcW w:w="837" w:type="dxa"/>
                  <w:vAlign w:val="center"/>
                </w:tcPr>
                <w:p w14:paraId="32CF3EC5">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0.0</w:t>
                  </w:r>
                  <w:r>
                    <w:rPr>
                      <w:rFonts w:hint="eastAsia" w:cs="Times New Roman"/>
                      <w:b w:val="0"/>
                      <w:bCs w:val="0"/>
                      <w:color w:val="auto"/>
                      <w:spacing w:val="-10"/>
                      <w:sz w:val="21"/>
                      <w:szCs w:val="21"/>
                      <w:highlight w:val="none"/>
                      <w:vertAlign w:val="baseline"/>
                      <w:lang w:val="en-US" w:eastAsia="zh-CN"/>
                    </w:rPr>
                    <w:t>250</w:t>
                  </w:r>
                </w:p>
              </w:tc>
              <w:tc>
                <w:tcPr>
                  <w:tcW w:w="776" w:type="dxa"/>
                  <w:vAlign w:val="center"/>
                </w:tcPr>
                <w:p w14:paraId="18505F5E">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0.0063</w:t>
                  </w:r>
                </w:p>
              </w:tc>
              <w:tc>
                <w:tcPr>
                  <w:tcW w:w="844" w:type="dxa"/>
                  <w:gridSpan w:val="3"/>
                  <w:vAlign w:val="center"/>
                </w:tcPr>
                <w:p w14:paraId="6AD90768">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0.0092</w:t>
                  </w:r>
                </w:p>
              </w:tc>
              <w:tc>
                <w:tcPr>
                  <w:tcW w:w="845" w:type="dxa"/>
                  <w:vAlign w:val="center"/>
                </w:tcPr>
                <w:p w14:paraId="365AD722">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0.0021</w:t>
                  </w:r>
                </w:p>
              </w:tc>
              <w:tc>
                <w:tcPr>
                  <w:tcW w:w="916" w:type="dxa"/>
                  <w:gridSpan w:val="3"/>
                  <w:vAlign w:val="center"/>
                </w:tcPr>
                <w:p w14:paraId="4F031D08">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少量</w:t>
                  </w:r>
                </w:p>
              </w:tc>
              <w:tc>
                <w:tcPr>
                  <w:tcW w:w="879" w:type="dxa"/>
                  <w:vAlign w:val="center"/>
                </w:tcPr>
                <w:p w14:paraId="08D81241">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少量</w:t>
                  </w:r>
                </w:p>
              </w:tc>
            </w:tr>
            <w:tr w14:paraId="5644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vMerge w:val="restart"/>
                  <w:vAlign w:val="center"/>
                </w:tcPr>
                <w:p w14:paraId="6DF0A7E8">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123" w:type="dxa"/>
                  <w:vAlign w:val="center"/>
                </w:tcPr>
                <w:p w14:paraId="7D50A3B4">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912" w:type="dxa"/>
                  <w:vAlign w:val="center"/>
                </w:tcPr>
                <w:p w14:paraId="22A265EE">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15m</w:t>
                  </w:r>
                </w:p>
              </w:tc>
              <w:tc>
                <w:tcPr>
                  <w:tcW w:w="913" w:type="dxa"/>
                  <w:vAlign w:val="center"/>
                </w:tcPr>
                <w:p w14:paraId="642D74A4">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37" w:type="dxa"/>
                  <w:vAlign w:val="center"/>
                </w:tcPr>
                <w:p w14:paraId="502F5DBC">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15m</w:t>
                  </w:r>
                </w:p>
              </w:tc>
              <w:tc>
                <w:tcPr>
                  <w:tcW w:w="776" w:type="dxa"/>
                  <w:vAlign w:val="center"/>
                </w:tcPr>
                <w:p w14:paraId="49A883A6">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44" w:type="dxa"/>
                  <w:gridSpan w:val="3"/>
                  <w:vAlign w:val="center"/>
                </w:tcPr>
                <w:p w14:paraId="0EB5A96E">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15m</w:t>
                  </w:r>
                </w:p>
              </w:tc>
              <w:tc>
                <w:tcPr>
                  <w:tcW w:w="845" w:type="dxa"/>
                  <w:vAlign w:val="center"/>
                </w:tcPr>
                <w:p w14:paraId="2C33A764">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916" w:type="dxa"/>
                  <w:gridSpan w:val="3"/>
                  <w:vAlign w:val="center"/>
                </w:tcPr>
                <w:p w14:paraId="0021E86B">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15m</w:t>
                  </w:r>
                </w:p>
              </w:tc>
              <w:tc>
                <w:tcPr>
                  <w:tcW w:w="879" w:type="dxa"/>
                  <w:vAlign w:val="center"/>
                </w:tcPr>
                <w:p w14:paraId="733902E0">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3A4D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vMerge w:val="continue"/>
                  <w:vAlign w:val="center"/>
                </w:tcPr>
                <w:p w14:paraId="34D1460E">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23" w:type="dxa"/>
                  <w:vAlign w:val="center"/>
                </w:tcPr>
                <w:p w14:paraId="50A088AE">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912" w:type="dxa"/>
                  <w:vAlign w:val="center"/>
                </w:tcPr>
                <w:p w14:paraId="0A34F769">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0.</w:t>
                  </w:r>
                  <w:r>
                    <w:rPr>
                      <w:rFonts w:hint="eastAsia" w:cs="Times New Roman"/>
                      <w:b w:val="0"/>
                      <w:bCs w:val="0"/>
                      <w:color w:val="auto"/>
                      <w:spacing w:val="-10"/>
                      <w:sz w:val="21"/>
                      <w:szCs w:val="21"/>
                      <w:highlight w:val="none"/>
                      <w:vertAlign w:val="baseline"/>
                      <w:lang w:val="en-US" w:eastAsia="zh-CN"/>
                    </w:rPr>
                    <w:t>6</w:t>
                  </w:r>
                  <w:r>
                    <w:rPr>
                      <w:rFonts w:hint="default" w:ascii="Times New Roman" w:hAnsi="Times New Roman" w:eastAsia="宋体" w:cs="Times New Roman"/>
                      <w:b w:val="0"/>
                      <w:bCs w:val="0"/>
                      <w:color w:val="auto"/>
                      <w:spacing w:val="-10"/>
                      <w:sz w:val="21"/>
                      <w:szCs w:val="21"/>
                      <w:highlight w:val="none"/>
                      <w:vertAlign w:val="baseline"/>
                      <w:lang w:val="en-US" w:eastAsia="zh-CN"/>
                    </w:rPr>
                    <w:t>m</w:t>
                  </w:r>
                </w:p>
              </w:tc>
              <w:tc>
                <w:tcPr>
                  <w:tcW w:w="913" w:type="dxa"/>
                  <w:vAlign w:val="center"/>
                </w:tcPr>
                <w:p w14:paraId="7958DE35">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37" w:type="dxa"/>
                  <w:vAlign w:val="center"/>
                </w:tcPr>
                <w:p w14:paraId="63A0613B">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0.</w:t>
                  </w:r>
                  <w:r>
                    <w:rPr>
                      <w:rFonts w:hint="eastAsia" w:cs="Times New Roman"/>
                      <w:b w:val="0"/>
                      <w:bCs w:val="0"/>
                      <w:color w:val="auto"/>
                      <w:spacing w:val="-10"/>
                      <w:sz w:val="21"/>
                      <w:szCs w:val="21"/>
                      <w:highlight w:val="none"/>
                      <w:vertAlign w:val="baseline"/>
                      <w:lang w:val="en-US" w:eastAsia="zh-CN"/>
                    </w:rPr>
                    <w:t>6</w:t>
                  </w:r>
                  <w:r>
                    <w:rPr>
                      <w:rFonts w:hint="default" w:ascii="Times New Roman" w:hAnsi="Times New Roman" w:eastAsia="宋体" w:cs="Times New Roman"/>
                      <w:b w:val="0"/>
                      <w:bCs w:val="0"/>
                      <w:color w:val="auto"/>
                      <w:spacing w:val="-10"/>
                      <w:sz w:val="21"/>
                      <w:szCs w:val="21"/>
                      <w:highlight w:val="none"/>
                      <w:vertAlign w:val="baseline"/>
                      <w:lang w:val="en-US" w:eastAsia="zh-CN"/>
                    </w:rPr>
                    <w:t>m</w:t>
                  </w:r>
                </w:p>
              </w:tc>
              <w:tc>
                <w:tcPr>
                  <w:tcW w:w="776" w:type="dxa"/>
                  <w:vAlign w:val="center"/>
                </w:tcPr>
                <w:p w14:paraId="7F16A8B1">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44" w:type="dxa"/>
                  <w:gridSpan w:val="3"/>
                  <w:vAlign w:val="center"/>
                </w:tcPr>
                <w:p w14:paraId="4A0D5D74">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0.</w:t>
                  </w:r>
                  <w:r>
                    <w:rPr>
                      <w:rFonts w:hint="eastAsia" w:cs="Times New Roman"/>
                      <w:b w:val="0"/>
                      <w:bCs w:val="0"/>
                      <w:color w:val="auto"/>
                      <w:spacing w:val="-10"/>
                      <w:sz w:val="21"/>
                      <w:szCs w:val="21"/>
                      <w:highlight w:val="none"/>
                      <w:vertAlign w:val="baseline"/>
                      <w:lang w:val="en-US" w:eastAsia="zh-CN"/>
                    </w:rPr>
                    <w:t>6</w:t>
                  </w:r>
                  <w:r>
                    <w:rPr>
                      <w:rFonts w:hint="default" w:ascii="Times New Roman" w:hAnsi="Times New Roman" w:eastAsia="宋体" w:cs="Times New Roman"/>
                      <w:b w:val="0"/>
                      <w:bCs w:val="0"/>
                      <w:color w:val="auto"/>
                      <w:spacing w:val="-10"/>
                      <w:sz w:val="21"/>
                      <w:szCs w:val="21"/>
                      <w:highlight w:val="none"/>
                      <w:vertAlign w:val="baseline"/>
                      <w:lang w:val="en-US" w:eastAsia="zh-CN"/>
                    </w:rPr>
                    <w:t>m</w:t>
                  </w:r>
                </w:p>
              </w:tc>
              <w:tc>
                <w:tcPr>
                  <w:tcW w:w="845" w:type="dxa"/>
                  <w:vAlign w:val="center"/>
                </w:tcPr>
                <w:p w14:paraId="04575F64">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916" w:type="dxa"/>
                  <w:gridSpan w:val="3"/>
                  <w:vAlign w:val="center"/>
                </w:tcPr>
                <w:p w14:paraId="74237E6F">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0.</w:t>
                  </w:r>
                  <w:r>
                    <w:rPr>
                      <w:rFonts w:hint="eastAsia" w:cs="Times New Roman"/>
                      <w:b w:val="0"/>
                      <w:bCs w:val="0"/>
                      <w:color w:val="auto"/>
                      <w:spacing w:val="-10"/>
                      <w:sz w:val="21"/>
                      <w:szCs w:val="21"/>
                      <w:highlight w:val="none"/>
                      <w:vertAlign w:val="baseline"/>
                      <w:lang w:val="en-US" w:eastAsia="zh-CN"/>
                    </w:rPr>
                    <w:t>6</w:t>
                  </w:r>
                  <w:r>
                    <w:rPr>
                      <w:rFonts w:hint="default" w:ascii="Times New Roman" w:hAnsi="Times New Roman" w:eastAsia="宋体" w:cs="Times New Roman"/>
                      <w:b w:val="0"/>
                      <w:bCs w:val="0"/>
                      <w:color w:val="auto"/>
                      <w:spacing w:val="-10"/>
                      <w:sz w:val="21"/>
                      <w:szCs w:val="21"/>
                      <w:highlight w:val="none"/>
                      <w:vertAlign w:val="baseline"/>
                      <w:lang w:val="en-US" w:eastAsia="zh-CN"/>
                    </w:rPr>
                    <w:t>m</w:t>
                  </w:r>
                </w:p>
              </w:tc>
              <w:tc>
                <w:tcPr>
                  <w:tcW w:w="879" w:type="dxa"/>
                  <w:vAlign w:val="center"/>
                </w:tcPr>
                <w:p w14:paraId="1AB2A1DF">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2ACA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vMerge w:val="continue"/>
                  <w:vAlign w:val="center"/>
                </w:tcPr>
                <w:p w14:paraId="154A3B2A">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23" w:type="dxa"/>
                  <w:vAlign w:val="center"/>
                </w:tcPr>
                <w:p w14:paraId="604CD2D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912" w:type="dxa"/>
                  <w:vAlign w:val="center"/>
                </w:tcPr>
                <w:p w14:paraId="0ED875BB">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25</w:t>
                  </w: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913" w:type="dxa"/>
                  <w:vAlign w:val="center"/>
                </w:tcPr>
                <w:p w14:paraId="1EBE7DFF">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37" w:type="dxa"/>
                  <w:vAlign w:val="center"/>
                </w:tcPr>
                <w:p w14:paraId="70966C8B">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25</w:t>
                  </w: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776" w:type="dxa"/>
                  <w:vAlign w:val="center"/>
                </w:tcPr>
                <w:p w14:paraId="425CE698">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44" w:type="dxa"/>
                  <w:gridSpan w:val="3"/>
                  <w:vAlign w:val="center"/>
                </w:tcPr>
                <w:p w14:paraId="5F4DB4D5">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25</w:t>
                  </w: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845" w:type="dxa"/>
                  <w:vAlign w:val="center"/>
                </w:tcPr>
                <w:p w14:paraId="6FBA2E91">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916" w:type="dxa"/>
                  <w:gridSpan w:val="3"/>
                  <w:vAlign w:val="center"/>
                </w:tcPr>
                <w:p w14:paraId="097C82C1">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25</w:t>
                  </w: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879" w:type="dxa"/>
                  <w:vAlign w:val="center"/>
                </w:tcPr>
                <w:p w14:paraId="21640612">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0359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vMerge w:val="continue"/>
                  <w:vAlign w:val="center"/>
                </w:tcPr>
                <w:p w14:paraId="2B01F605">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23" w:type="dxa"/>
                  <w:vAlign w:val="center"/>
                </w:tcPr>
                <w:p w14:paraId="7D3455F0">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912" w:type="dxa"/>
                  <w:vAlign w:val="center"/>
                </w:tcPr>
                <w:p w14:paraId="7C73A82F">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2</w:t>
                  </w:r>
                </w:p>
              </w:tc>
              <w:tc>
                <w:tcPr>
                  <w:tcW w:w="913" w:type="dxa"/>
                  <w:vAlign w:val="center"/>
                </w:tcPr>
                <w:p w14:paraId="755D9C5A">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37" w:type="dxa"/>
                  <w:vAlign w:val="center"/>
                </w:tcPr>
                <w:p w14:paraId="3EDB3D4A">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2</w:t>
                  </w:r>
                </w:p>
              </w:tc>
              <w:tc>
                <w:tcPr>
                  <w:tcW w:w="776" w:type="dxa"/>
                  <w:vAlign w:val="center"/>
                </w:tcPr>
                <w:p w14:paraId="5DE8C1D4">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44" w:type="dxa"/>
                  <w:gridSpan w:val="3"/>
                  <w:vAlign w:val="center"/>
                </w:tcPr>
                <w:p w14:paraId="081D96D1">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2</w:t>
                  </w:r>
                </w:p>
              </w:tc>
              <w:tc>
                <w:tcPr>
                  <w:tcW w:w="845" w:type="dxa"/>
                  <w:vAlign w:val="center"/>
                </w:tcPr>
                <w:p w14:paraId="41287A9F">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916" w:type="dxa"/>
                  <w:gridSpan w:val="3"/>
                  <w:vAlign w:val="center"/>
                </w:tcPr>
                <w:p w14:paraId="574BDFEF">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2</w:t>
                  </w:r>
                </w:p>
              </w:tc>
              <w:tc>
                <w:tcPr>
                  <w:tcW w:w="879" w:type="dxa"/>
                  <w:vAlign w:val="center"/>
                </w:tcPr>
                <w:p w14:paraId="694006A3">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42E2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vMerge w:val="continue"/>
                  <w:vAlign w:val="center"/>
                </w:tcPr>
                <w:p w14:paraId="4A92F434">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23" w:type="dxa"/>
                  <w:vAlign w:val="center"/>
                </w:tcPr>
                <w:p w14:paraId="2C5551AD">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912" w:type="dxa"/>
                  <w:vAlign w:val="center"/>
                </w:tcPr>
                <w:p w14:paraId="5F9D7296">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一般排放口</w:t>
                  </w:r>
                </w:p>
              </w:tc>
              <w:tc>
                <w:tcPr>
                  <w:tcW w:w="913" w:type="dxa"/>
                  <w:vAlign w:val="center"/>
                </w:tcPr>
                <w:p w14:paraId="42161E28">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37" w:type="dxa"/>
                  <w:vAlign w:val="center"/>
                </w:tcPr>
                <w:p w14:paraId="133F988B">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一般排放口</w:t>
                  </w:r>
                </w:p>
              </w:tc>
              <w:tc>
                <w:tcPr>
                  <w:tcW w:w="776" w:type="dxa"/>
                  <w:vAlign w:val="center"/>
                </w:tcPr>
                <w:p w14:paraId="0439BFEC">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44" w:type="dxa"/>
                  <w:gridSpan w:val="3"/>
                  <w:vAlign w:val="center"/>
                </w:tcPr>
                <w:p w14:paraId="0DC8178C">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一般排放口</w:t>
                  </w:r>
                </w:p>
              </w:tc>
              <w:tc>
                <w:tcPr>
                  <w:tcW w:w="845" w:type="dxa"/>
                  <w:vAlign w:val="center"/>
                </w:tcPr>
                <w:p w14:paraId="549152CA">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916" w:type="dxa"/>
                  <w:gridSpan w:val="3"/>
                  <w:vAlign w:val="center"/>
                </w:tcPr>
                <w:p w14:paraId="5C1D6915">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一般排放口</w:t>
                  </w:r>
                </w:p>
              </w:tc>
              <w:tc>
                <w:tcPr>
                  <w:tcW w:w="879" w:type="dxa"/>
                  <w:vAlign w:val="center"/>
                </w:tcPr>
                <w:p w14:paraId="77C0E92B">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4BFD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vMerge w:val="continue"/>
                  <w:vAlign w:val="center"/>
                </w:tcPr>
                <w:p w14:paraId="7C5AE139">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23" w:type="dxa"/>
                  <w:vAlign w:val="center"/>
                </w:tcPr>
                <w:p w14:paraId="3C7A60E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912" w:type="dxa"/>
                  <w:vAlign w:val="center"/>
                </w:tcPr>
                <w:p w14:paraId="1CD5E877">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E：103°12′</w:t>
                  </w:r>
                  <w:r>
                    <w:rPr>
                      <w:rFonts w:hint="eastAsia" w:cs="Times New Roman"/>
                      <w:b w:val="0"/>
                      <w:bCs w:val="0"/>
                      <w:color w:val="auto"/>
                      <w:spacing w:val="-10"/>
                      <w:sz w:val="21"/>
                      <w:szCs w:val="21"/>
                      <w:highlight w:val="none"/>
                      <w:vertAlign w:val="baseline"/>
                      <w:lang w:val="en-US" w:eastAsia="zh-CN"/>
                    </w:rPr>
                    <w:t>45.934</w:t>
                  </w:r>
                  <w:r>
                    <w:rPr>
                      <w:rFonts w:hint="default" w:ascii="Times New Roman" w:hAnsi="Times New Roman" w:eastAsia="宋体" w:cs="Times New Roman"/>
                      <w:b w:val="0"/>
                      <w:bCs w:val="0"/>
                      <w:color w:val="auto"/>
                      <w:spacing w:val="-10"/>
                      <w:sz w:val="21"/>
                      <w:szCs w:val="21"/>
                      <w:highlight w:val="none"/>
                      <w:vertAlign w:val="baseline"/>
                      <w:lang w:val="en-US" w:eastAsia="zh-CN"/>
                    </w:rPr>
                    <w:t>″，N：25°3</w:t>
                  </w:r>
                  <w:r>
                    <w:rPr>
                      <w:rFonts w:hint="eastAsia" w:cs="Times New Roman"/>
                      <w:b w:val="0"/>
                      <w:bCs w:val="0"/>
                      <w:color w:val="auto"/>
                      <w:spacing w:val="-10"/>
                      <w:sz w:val="21"/>
                      <w:szCs w:val="21"/>
                      <w:highlight w:val="none"/>
                      <w:vertAlign w:val="baseline"/>
                      <w:lang w:val="en-US" w:eastAsia="zh-CN"/>
                    </w:rPr>
                    <w:t>4</w:t>
                  </w:r>
                  <w:r>
                    <w:rPr>
                      <w:rFonts w:hint="default" w:ascii="Times New Roman" w:hAnsi="Times New Roman" w:eastAsia="宋体" w:cs="Times New Roman"/>
                      <w:b w:val="0"/>
                      <w:bCs w:val="0"/>
                      <w:color w:val="auto"/>
                      <w:spacing w:val="-10"/>
                      <w:sz w:val="21"/>
                      <w:szCs w:val="21"/>
                      <w:highlight w:val="none"/>
                      <w:vertAlign w:val="baseline"/>
                      <w:lang w:val="en-US" w:eastAsia="zh-CN"/>
                    </w:rPr>
                    <w:t>′</w:t>
                  </w:r>
                  <w:r>
                    <w:rPr>
                      <w:rFonts w:hint="eastAsia" w:cs="Times New Roman"/>
                      <w:b w:val="0"/>
                      <w:bCs w:val="0"/>
                      <w:color w:val="auto"/>
                      <w:spacing w:val="-10"/>
                      <w:sz w:val="21"/>
                      <w:szCs w:val="21"/>
                      <w:highlight w:val="none"/>
                      <w:vertAlign w:val="baseline"/>
                      <w:lang w:val="en-US" w:eastAsia="zh-CN"/>
                    </w:rPr>
                    <w:t>52.310</w:t>
                  </w: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913" w:type="dxa"/>
                  <w:vAlign w:val="center"/>
                </w:tcPr>
                <w:p w14:paraId="43234EB0">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37" w:type="dxa"/>
                  <w:vAlign w:val="center"/>
                </w:tcPr>
                <w:p w14:paraId="230B2BA0">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E：103°12′</w:t>
                  </w:r>
                  <w:r>
                    <w:rPr>
                      <w:rFonts w:hint="eastAsia" w:cs="Times New Roman"/>
                      <w:b w:val="0"/>
                      <w:bCs w:val="0"/>
                      <w:color w:val="auto"/>
                      <w:spacing w:val="-10"/>
                      <w:sz w:val="21"/>
                      <w:szCs w:val="21"/>
                      <w:highlight w:val="none"/>
                      <w:vertAlign w:val="baseline"/>
                      <w:lang w:val="en-US" w:eastAsia="zh-CN"/>
                    </w:rPr>
                    <w:t>45.934</w:t>
                  </w:r>
                  <w:r>
                    <w:rPr>
                      <w:rFonts w:hint="default" w:ascii="Times New Roman" w:hAnsi="Times New Roman" w:eastAsia="宋体" w:cs="Times New Roman"/>
                      <w:b w:val="0"/>
                      <w:bCs w:val="0"/>
                      <w:color w:val="auto"/>
                      <w:spacing w:val="-10"/>
                      <w:sz w:val="21"/>
                      <w:szCs w:val="21"/>
                      <w:highlight w:val="none"/>
                      <w:vertAlign w:val="baseline"/>
                      <w:lang w:val="en-US" w:eastAsia="zh-CN"/>
                    </w:rPr>
                    <w:t>″，N：25°3</w:t>
                  </w:r>
                  <w:r>
                    <w:rPr>
                      <w:rFonts w:hint="eastAsia" w:cs="Times New Roman"/>
                      <w:b w:val="0"/>
                      <w:bCs w:val="0"/>
                      <w:color w:val="auto"/>
                      <w:spacing w:val="-10"/>
                      <w:sz w:val="21"/>
                      <w:szCs w:val="21"/>
                      <w:highlight w:val="none"/>
                      <w:vertAlign w:val="baseline"/>
                      <w:lang w:val="en-US" w:eastAsia="zh-CN"/>
                    </w:rPr>
                    <w:t>4</w:t>
                  </w:r>
                  <w:r>
                    <w:rPr>
                      <w:rFonts w:hint="default" w:ascii="Times New Roman" w:hAnsi="Times New Roman" w:eastAsia="宋体" w:cs="Times New Roman"/>
                      <w:b w:val="0"/>
                      <w:bCs w:val="0"/>
                      <w:color w:val="auto"/>
                      <w:spacing w:val="-10"/>
                      <w:sz w:val="21"/>
                      <w:szCs w:val="21"/>
                      <w:highlight w:val="none"/>
                      <w:vertAlign w:val="baseline"/>
                      <w:lang w:val="en-US" w:eastAsia="zh-CN"/>
                    </w:rPr>
                    <w:t>′</w:t>
                  </w:r>
                  <w:r>
                    <w:rPr>
                      <w:rFonts w:hint="eastAsia" w:cs="Times New Roman"/>
                      <w:b w:val="0"/>
                      <w:bCs w:val="0"/>
                      <w:color w:val="auto"/>
                      <w:spacing w:val="-10"/>
                      <w:sz w:val="21"/>
                      <w:szCs w:val="21"/>
                      <w:highlight w:val="none"/>
                      <w:vertAlign w:val="baseline"/>
                      <w:lang w:val="en-US" w:eastAsia="zh-CN"/>
                    </w:rPr>
                    <w:t>52.310</w:t>
                  </w: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776" w:type="dxa"/>
                  <w:vAlign w:val="center"/>
                </w:tcPr>
                <w:p w14:paraId="686D6C04">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844" w:type="dxa"/>
                  <w:gridSpan w:val="3"/>
                  <w:vAlign w:val="center"/>
                </w:tcPr>
                <w:p w14:paraId="4E75D452">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E：103°12′</w:t>
                  </w:r>
                  <w:r>
                    <w:rPr>
                      <w:rFonts w:hint="eastAsia" w:cs="Times New Roman"/>
                      <w:b w:val="0"/>
                      <w:bCs w:val="0"/>
                      <w:color w:val="auto"/>
                      <w:spacing w:val="-10"/>
                      <w:sz w:val="21"/>
                      <w:szCs w:val="21"/>
                      <w:highlight w:val="none"/>
                      <w:vertAlign w:val="baseline"/>
                      <w:lang w:val="en-US" w:eastAsia="zh-CN"/>
                    </w:rPr>
                    <w:t>45.934</w:t>
                  </w:r>
                  <w:r>
                    <w:rPr>
                      <w:rFonts w:hint="default" w:ascii="Times New Roman" w:hAnsi="Times New Roman" w:eastAsia="宋体" w:cs="Times New Roman"/>
                      <w:b w:val="0"/>
                      <w:bCs w:val="0"/>
                      <w:color w:val="auto"/>
                      <w:spacing w:val="-10"/>
                      <w:sz w:val="21"/>
                      <w:szCs w:val="21"/>
                      <w:highlight w:val="none"/>
                      <w:vertAlign w:val="baseline"/>
                      <w:lang w:val="en-US" w:eastAsia="zh-CN"/>
                    </w:rPr>
                    <w:t>″，N：25°3</w:t>
                  </w:r>
                  <w:r>
                    <w:rPr>
                      <w:rFonts w:hint="eastAsia" w:cs="Times New Roman"/>
                      <w:b w:val="0"/>
                      <w:bCs w:val="0"/>
                      <w:color w:val="auto"/>
                      <w:spacing w:val="-10"/>
                      <w:sz w:val="21"/>
                      <w:szCs w:val="21"/>
                      <w:highlight w:val="none"/>
                      <w:vertAlign w:val="baseline"/>
                      <w:lang w:val="en-US" w:eastAsia="zh-CN"/>
                    </w:rPr>
                    <w:t>4</w:t>
                  </w:r>
                  <w:r>
                    <w:rPr>
                      <w:rFonts w:hint="default" w:ascii="Times New Roman" w:hAnsi="Times New Roman" w:eastAsia="宋体" w:cs="Times New Roman"/>
                      <w:b w:val="0"/>
                      <w:bCs w:val="0"/>
                      <w:color w:val="auto"/>
                      <w:spacing w:val="-10"/>
                      <w:sz w:val="21"/>
                      <w:szCs w:val="21"/>
                      <w:highlight w:val="none"/>
                      <w:vertAlign w:val="baseline"/>
                      <w:lang w:val="en-US" w:eastAsia="zh-CN"/>
                    </w:rPr>
                    <w:t>′</w:t>
                  </w:r>
                  <w:r>
                    <w:rPr>
                      <w:rFonts w:hint="eastAsia" w:cs="Times New Roman"/>
                      <w:b w:val="0"/>
                      <w:bCs w:val="0"/>
                      <w:color w:val="auto"/>
                      <w:spacing w:val="-10"/>
                      <w:sz w:val="21"/>
                      <w:szCs w:val="21"/>
                      <w:highlight w:val="none"/>
                      <w:vertAlign w:val="baseline"/>
                      <w:lang w:val="en-US" w:eastAsia="zh-CN"/>
                    </w:rPr>
                    <w:t>52.310</w:t>
                  </w: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845" w:type="dxa"/>
                  <w:vAlign w:val="center"/>
                </w:tcPr>
                <w:p w14:paraId="76051C1A">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c>
                <w:tcPr>
                  <w:tcW w:w="916" w:type="dxa"/>
                  <w:gridSpan w:val="3"/>
                  <w:vAlign w:val="center"/>
                </w:tcPr>
                <w:p w14:paraId="31FFFC99">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E：103°12′</w:t>
                  </w:r>
                  <w:r>
                    <w:rPr>
                      <w:rFonts w:hint="eastAsia" w:cs="Times New Roman"/>
                      <w:b w:val="0"/>
                      <w:bCs w:val="0"/>
                      <w:color w:val="auto"/>
                      <w:spacing w:val="-10"/>
                      <w:sz w:val="21"/>
                      <w:szCs w:val="21"/>
                      <w:highlight w:val="none"/>
                      <w:vertAlign w:val="baseline"/>
                      <w:lang w:val="en-US" w:eastAsia="zh-CN"/>
                    </w:rPr>
                    <w:t>45.934</w:t>
                  </w:r>
                  <w:r>
                    <w:rPr>
                      <w:rFonts w:hint="default" w:ascii="Times New Roman" w:hAnsi="Times New Roman" w:eastAsia="宋体" w:cs="Times New Roman"/>
                      <w:b w:val="0"/>
                      <w:bCs w:val="0"/>
                      <w:color w:val="auto"/>
                      <w:spacing w:val="-10"/>
                      <w:sz w:val="21"/>
                      <w:szCs w:val="21"/>
                      <w:highlight w:val="none"/>
                      <w:vertAlign w:val="baseline"/>
                      <w:lang w:val="en-US" w:eastAsia="zh-CN"/>
                    </w:rPr>
                    <w:t>″，N：25°3</w:t>
                  </w:r>
                  <w:r>
                    <w:rPr>
                      <w:rFonts w:hint="eastAsia" w:cs="Times New Roman"/>
                      <w:b w:val="0"/>
                      <w:bCs w:val="0"/>
                      <w:color w:val="auto"/>
                      <w:spacing w:val="-10"/>
                      <w:sz w:val="21"/>
                      <w:szCs w:val="21"/>
                      <w:highlight w:val="none"/>
                      <w:vertAlign w:val="baseline"/>
                      <w:lang w:val="en-US" w:eastAsia="zh-CN"/>
                    </w:rPr>
                    <w:t>4</w:t>
                  </w:r>
                  <w:r>
                    <w:rPr>
                      <w:rFonts w:hint="default" w:ascii="Times New Roman" w:hAnsi="Times New Roman" w:eastAsia="宋体" w:cs="Times New Roman"/>
                      <w:b w:val="0"/>
                      <w:bCs w:val="0"/>
                      <w:color w:val="auto"/>
                      <w:spacing w:val="-10"/>
                      <w:sz w:val="21"/>
                      <w:szCs w:val="21"/>
                      <w:highlight w:val="none"/>
                      <w:vertAlign w:val="baseline"/>
                      <w:lang w:val="en-US" w:eastAsia="zh-CN"/>
                    </w:rPr>
                    <w:t>′</w:t>
                  </w:r>
                  <w:r>
                    <w:rPr>
                      <w:rFonts w:hint="eastAsia" w:cs="Times New Roman"/>
                      <w:b w:val="0"/>
                      <w:bCs w:val="0"/>
                      <w:color w:val="auto"/>
                      <w:spacing w:val="-10"/>
                      <w:sz w:val="21"/>
                      <w:szCs w:val="21"/>
                      <w:highlight w:val="none"/>
                      <w:vertAlign w:val="baseline"/>
                      <w:lang w:val="en-US" w:eastAsia="zh-CN"/>
                    </w:rPr>
                    <w:t>52.310</w:t>
                  </w:r>
                  <w:r>
                    <w:rPr>
                      <w:rFonts w:hint="default" w:ascii="Times New Roman" w:hAnsi="Times New Roman" w:eastAsia="宋体" w:cs="Times New Roman"/>
                      <w:b w:val="0"/>
                      <w:bCs w:val="0"/>
                      <w:color w:val="auto"/>
                      <w:spacing w:val="-10"/>
                      <w:sz w:val="21"/>
                      <w:szCs w:val="21"/>
                      <w:highlight w:val="none"/>
                      <w:vertAlign w:val="baseline"/>
                      <w:lang w:val="en-US" w:eastAsia="zh-CN"/>
                    </w:rPr>
                    <w:t>″</w:t>
                  </w:r>
                </w:p>
              </w:tc>
              <w:tc>
                <w:tcPr>
                  <w:tcW w:w="879" w:type="dxa"/>
                  <w:vAlign w:val="center"/>
                </w:tcPr>
                <w:p w14:paraId="6B122794">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w:t>
                  </w:r>
                </w:p>
              </w:tc>
            </w:tr>
            <w:tr w14:paraId="1B7B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Align w:val="center"/>
                </w:tcPr>
                <w:p w14:paraId="4D7B8F3E">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6922" w:type="dxa"/>
                  <w:gridSpan w:val="12"/>
                  <w:vAlign w:val="center"/>
                </w:tcPr>
                <w:p w14:paraId="00FAAC77">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DA00</w:t>
                  </w:r>
                  <w:r>
                    <w:rPr>
                      <w:rFonts w:hint="eastAsia"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排气筒</w:t>
                  </w:r>
                  <w:r>
                    <w:rPr>
                      <w:rFonts w:hint="eastAsia" w:cs="Times New Roman"/>
                      <w:i w:val="0"/>
                      <w:iCs w:val="0"/>
                      <w:color w:val="auto"/>
                      <w:kern w:val="0"/>
                      <w:sz w:val="21"/>
                      <w:szCs w:val="21"/>
                      <w:highlight w:val="none"/>
                      <w:u w:val="none"/>
                      <w:lang w:val="en-US" w:eastAsia="zh-CN" w:bidi="ar"/>
                    </w:rPr>
                    <w:t>执行</w:t>
                  </w:r>
                  <w:r>
                    <w:rPr>
                      <w:rFonts w:hint="default" w:ascii="Times New Roman" w:hAnsi="Times New Roman" w:eastAsia="宋体" w:cs="Times New Roman"/>
                      <w:color w:val="auto"/>
                      <w:sz w:val="21"/>
                      <w:szCs w:val="21"/>
                      <w:highlight w:val="none"/>
                      <w:lang w:val="zh-CN"/>
                    </w:rPr>
                    <w:t>《大气污染物综合排放标准》（GB16297-1996）</w:t>
                  </w:r>
                  <w:r>
                    <w:rPr>
                      <w:rFonts w:hint="default" w:ascii="Times New Roman" w:hAnsi="Times New Roman" w:eastAsia="宋体" w:cs="Times New Roman"/>
                      <w:color w:val="auto"/>
                      <w:sz w:val="21"/>
                      <w:szCs w:val="21"/>
                      <w:highlight w:val="none"/>
                    </w:rPr>
                    <w:t>表2中</w:t>
                  </w:r>
                  <w:r>
                    <w:rPr>
                      <w:rFonts w:hint="default" w:ascii="Times New Roman" w:hAnsi="Times New Roman" w:eastAsia="宋体" w:cs="Times New Roman"/>
                      <w:color w:val="auto"/>
                      <w:sz w:val="21"/>
                      <w:szCs w:val="21"/>
                      <w:highlight w:val="none"/>
                      <w:lang w:val="en-US" w:eastAsia="zh-CN"/>
                    </w:rPr>
                    <w:t>二级</w:t>
                  </w:r>
                  <w:r>
                    <w:rPr>
                      <w:rFonts w:hint="default" w:ascii="Times New Roman" w:hAnsi="Times New Roman" w:eastAsia="宋体" w:cs="Times New Roman"/>
                      <w:color w:val="auto"/>
                      <w:sz w:val="21"/>
                      <w:szCs w:val="21"/>
                      <w:highlight w:val="none"/>
                      <w:lang w:eastAsia="zh-CN"/>
                    </w:rPr>
                    <w:t>浓度限值，</w:t>
                  </w:r>
                  <w:r>
                    <w:rPr>
                      <w:rFonts w:hint="default" w:ascii="Times New Roman" w:hAnsi="Times New Roman" w:eastAsia="宋体" w:cs="Times New Roman"/>
                      <w:color w:val="auto"/>
                      <w:sz w:val="21"/>
                      <w:szCs w:val="21"/>
                      <w:highlight w:val="none"/>
                      <w:lang w:val="en-US" w:eastAsia="zh-CN"/>
                    </w:rPr>
                    <w:t>排放速率严格50%执行</w:t>
                  </w:r>
                  <w:r>
                    <w:rPr>
                      <w:rFonts w:hint="default" w:ascii="Times New Roman" w:hAnsi="Times New Roman" w:eastAsia="宋体" w:cs="Times New Roman"/>
                      <w:i w:val="0"/>
                      <w:iCs w:val="0"/>
                      <w:color w:val="auto"/>
                      <w:kern w:val="0"/>
                      <w:sz w:val="21"/>
                      <w:szCs w:val="21"/>
                      <w:highlight w:val="none"/>
                      <w:u w:val="none"/>
                      <w:lang w:val="en-US" w:eastAsia="zh-CN" w:bidi="ar"/>
                    </w:rPr>
                    <w:t>；臭气浓度执行《恶臭污染物排放标准》（GB14554-93）中标准限值要求。</w:t>
                  </w:r>
                </w:p>
              </w:tc>
            </w:tr>
            <w:tr w14:paraId="4876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vMerge w:val="restart"/>
                  <w:vAlign w:val="center"/>
                </w:tcPr>
                <w:p w14:paraId="2A88A69B">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123" w:type="dxa"/>
                  <w:vAlign w:val="center"/>
                </w:tcPr>
                <w:p w14:paraId="4E9C84D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912" w:type="dxa"/>
                  <w:vAlign w:val="center"/>
                </w:tcPr>
                <w:p w14:paraId="6A1D28D2">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w:t>
                  </w:r>
                  <w:r>
                    <w:rPr>
                      <w:rFonts w:hint="eastAsia" w:cs="Times New Roman"/>
                      <w:b w:val="0"/>
                      <w:bCs w:val="0"/>
                      <w:color w:val="auto"/>
                      <w:spacing w:val="-10"/>
                      <w:sz w:val="21"/>
                      <w:szCs w:val="21"/>
                      <w:highlight w:val="none"/>
                      <w:vertAlign w:val="baseline"/>
                      <w:lang w:val="en-US" w:eastAsia="zh-CN"/>
                    </w:rPr>
                    <w:t>02</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913" w:type="dxa"/>
                  <w:vAlign w:val="center"/>
                </w:tcPr>
                <w:p w14:paraId="5672D6E3">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c>
                <w:tcPr>
                  <w:tcW w:w="837" w:type="dxa"/>
                  <w:vAlign w:val="center"/>
                </w:tcPr>
                <w:p w14:paraId="25F1B70F">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w:t>
                  </w:r>
                  <w:r>
                    <w:rPr>
                      <w:rFonts w:hint="eastAsia" w:cs="Times New Roman"/>
                      <w:b w:val="0"/>
                      <w:bCs w:val="0"/>
                      <w:color w:val="auto"/>
                      <w:spacing w:val="-10"/>
                      <w:sz w:val="21"/>
                      <w:szCs w:val="21"/>
                      <w:highlight w:val="none"/>
                      <w:vertAlign w:val="baseline"/>
                      <w:lang w:val="en-US" w:eastAsia="zh-CN"/>
                    </w:rPr>
                    <w:t>02</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776" w:type="dxa"/>
                  <w:vAlign w:val="center"/>
                </w:tcPr>
                <w:p w14:paraId="14D16B81">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c>
                <w:tcPr>
                  <w:tcW w:w="781" w:type="dxa"/>
                  <w:vAlign w:val="center"/>
                </w:tcPr>
                <w:p w14:paraId="4051773B">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2</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908" w:type="dxa"/>
                  <w:gridSpan w:val="3"/>
                  <w:vAlign w:val="center"/>
                </w:tcPr>
                <w:p w14:paraId="3948417B">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c>
                <w:tcPr>
                  <w:tcW w:w="896" w:type="dxa"/>
                  <w:vAlign w:val="center"/>
                </w:tcPr>
                <w:p w14:paraId="0D661993">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w:t>
                  </w:r>
                  <w:r>
                    <w:rPr>
                      <w:rFonts w:hint="eastAsia" w:cs="Times New Roman"/>
                      <w:b w:val="0"/>
                      <w:bCs w:val="0"/>
                      <w:color w:val="auto"/>
                      <w:spacing w:val="-10"/>
                      <w:sz w:val="21"/>
                      <w:szCs w:val="21"/>
                      <w:highlight w:val="none"/>
                      <w:vertAlign w:val="baseline"/>
                      <w:lang w:val="en-US" w:eastAsia="zh-CN"/>
                    </w:rPr>
                    <w:t>2</w:t>
                  </w:r>
                  <w:r>
                    <w:rPr>
                      <w:rFonts w:hint="default" w:ascii="Times New Roman" w:hAnsi="Times New Roman" w:eastAsia="宋体" w:cs="Times New Roman"/>
                      <w:b w:val="0"/>
                      <w:bCs w:val="0"/>
                      <w:color w:val="auto"/>
                      <w:spacing w:val="-10"/>
                      <w:sz w:val="21"/>
                      <w:szCs w:val="21"/>
                      <w:highlight w:val="none"/>
                      <w:vertAlign w:val="baseline"/>
                      <w:lang w:val="en-US" w:eastAsia="zh-CN"/>
                    </w:rPr>
                    <w:t>排气筒出口</w:t>
                  </w:r>
                </w:p>
              </w:tc>
              <w:tc>
                <w:tcPr>
                  <w:tcW w:w="899" w:type="dxa"/>
                  <w:gridSpan w:val="3"/>
                  <w:vAlign w:val="center"/>
                </w:tcPr>
                <w:p w14:paraId="308CF9BF">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14:paraId="2B35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vMerge w:val="continue"/>
                  <w:vAlign w:val="center"/>
                </w:tcPr>
                <w:p w14:paraId="383731B1">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23" w:type="dxa"/>
                  <w:vAlign w:val="center"/>
                </w:tcPr>
                <w:p w14:paraId="1E7B57D2">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1825" w:type="dxa"/>
                  <w:gridSpan w:val="2"/>
                  <w:vAlign w:val="center"/>
                </w:tcPr>
                <w:p w14:paraId="20D0C973">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z w:val="21"/>
                      <w:szCs w:val="21"/>
                      <w:highlight w:val="none"/>
                      <w:lang w:eastAsia="zh-CN"/>
                    </w:rPr>
                    <w:t>非甲烷总烃</w:t>
                  </w:r>
                </w:p>
              </w:tc>
              <w:tc>
                <w:tcPr>
                  <w:tcW w:w="1613" w:type="dxa"/>
                  <w:gridSpan w:val="2"/>
                  <w:vAlign w:val="center"/>
                </w:tcPr>
                <w:p w14:paraId="5189C8D2">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氯化氢</w:t>
                  </w:r>
                </w:p>
              </w:tc>
              <w:tc>
                <w:tcPr>
                  <w:tcW w:w="1689" w:type="dxa"/>
                  <w:gridSpan w:val="4"/>
                  <w:vAlign w:val="center"/>
                </w:tcPr>
                <w:p w14:paraId="137D3FD7">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eastAsia" w:cs="Times New Roman"/>
                      <w:b w:val="0"/>
                      <w:bCs w:val="0"/>
                      <w:color w:val="auto"/>
                      <w:spacing w:val="-10"/>
                      <w:sz w:val="21"/>
                      <w:szCs w:val="21"/>
                      <w:highlight w:val="none"/>
                      <w:vertAlign w:val="baseline"/>
                      <w:lang w:val="en-US" w:eastAsia="zh-CN"/>
                    </w:rPr>
                    <w:t>氯乙烯</w:t>
                  </w:r>
                </w:p>
              </w:tc>
              <w:tc>
                <w:tcPr>
                  <w:tcW w:w="1795" w:type="dxa"/>
                  <w:gridSpan w:val="4"/>
                  <w:vAlign w:val="center"/>
                </w:tcPr>
                <w:p w14:paraId="182C4355">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臭气浓度</w:t>
                  </w:r>
                </w:p>
              </w:tc>
            </w:tr>
            <w:tr w14:paraId="7EE1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vMerge w:val="continue"/>
                  <w:vAlign w:val="center"/>
                </w:tcPr>
                <w:p w14:paraId="16B622A3">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23" w:type="dxa"/>
                  <w:vAlign w:val="center"/>
                </w:tcPr>
                <w:p w14:paraId="7923C3D6">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912" w:type="dxa"/>
                  <w:vAlign w:val="center"/>
                </w:tcPr>
                <w:p w14:paraId="197117E5">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1次/</w:t>
                  </w:r>
                  <w:r>
                    <w:rPr>
                      <w:rFonts w:hint="eastAsia" w:cs="Times New Roman"/>
                      <w:b w:val="0"/>
                      <w:bCs w:val="0"/>
                      <w:color w:val="auto"/>
                      <w:sz w:val="21"/>
                      <w:szCs w:val="21"/>
                      <w:highlight w:val="none"/>
                      <w:lang w:val="en-US" w:eastAsia="zh-CN"/>
                    </w:rPr>
                    <w:t>半</w:t>
                  </w:r>
                  <w:r>
                    <w:rPr>
                      <w:rFonts w:hint="default" w:ascii="Times New Roman" w:hAnsi="Times New Roman" w:eastAsia="宋体" w:cs="Times New Roman"/>
                      <w:b w:val="0"/>
                      <w:bCs w:val="0"/>
                      <w:color w:val="auto"/>
                      <w:sz w:val="21"/>
                      <w:szCs w:val="21"/>
                      <w:highlight w:val="none"/>
                      <w:lang w:val="en-US" w:eastAsia="zh-CN"/>
                    </w:rPr>
                    <w:t>年</w:t>
                  </w:r>
                </w:p>
              </w:tc>
              <w:tc>
                <w:tcPr>
                  <w:tcW w:w="913" w:type="dxa"/>
                  <w:vAlign w:val="center"/>
                </w:tcPr>
                <w:p w14:paraId="751E2281">
                  <w:pPr>
                    <w:keepNext w:val="0"/>
                    <w:keepLines w:val="0"/>
                    <w:pageBreakBefore w:val="0"/>
                    <w:widowControl w:val="0"/>
                    <w:numPr>
                      <w:ilvl w:val="0"/>
                      <w:numId w:val="0"/>
                    </w:numPr>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1次/年</w:t>
                  </w:r>
                </w:p>
              </w:tc>
              <w:tc>
                <w:tcPr>
                  <w:tcW w:w="5097" w:type="dxa"/>
                  <w:gridSpan w:val="10"/>
                  <w:vAlign w:val="center"/>
                </w:tcPr>
                <w:p w14:paraId="3F40E641">
                  <w:pPr>
                    <w:keepNext w:val="0"/>
                    <w:keepLines w:val="0"/>
                    <w:pageBreakBefore w:val="0"/>
                    <w:widowControl w:val="0"/>
                    <w:numPr>
                      <w:ilvl w:val="0"/>
                      <w:numId w:val="0"/>
                    </w:numPr>
                    <w:shd w:val="clea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1次/年</w:t>
                  </w:r>
                </w:p>
              </w:tc>
            </w:tr>
          </w:tbl>
          <w:p w14:paraId="3A40608B">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①</w:t>
            </w:r>
            <w:r>
              <w:rPr>
                <w:rFonts w:hint="eastAsia" w:ascii="Times New Roman" w:hAnsi="Times New Roman" w:cs="Times New Roman"/>
                <w:b/>
                <w:bCs/>
                <w:color w:val="auto"/>
                <w:sz w:val="24"/>
                <w:szCs w:val="24"/>
                <w:highlight w:val="none"/>
                <w:lang w:val="en-US" w:eastAsia="zh-CN"/>
              </w:rPr>
              <w:t>混料</w:t>
            </w:r>
            <w:r>
              <w:rPr>
                <w:rFonts w:hint="default" w:ascii="Times New Roman" w:hAnsi="Times New Roman" w:eastAsia="宋体" w:cs="Times New Roman"/>
                <w:b/>
                <w:bCs/>
                <w:color w:val="auto"/>
                <w:sz w:val="24"/>
                <w:szCs w:val="24"/>
                <w:highlight w:val="none"/>
                <w:lang w:val="en-US" w:eastAsia="zh-CN"/>
              </w:rPr>
              <w:t>粉尘</w:t>
            </w:r>
          </w:p>
          <w:p w14:paraId="5AA6532B">
            <w:pPr>
              <w:pStyle w:val="2"/>
              <w:spacing w:after="0" w:line="360" w:lineRule="auto"/>
              <w:ind w:left="0" w:leftChars="0" w:firstLine="496"/>
              <w:jc w:val="left"/>
              <w:rPr>
                <w:rFonts w:hint="eastAsia"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lang w:eastAsia="zh-CN"/>
              </w:rPr>
              <w:t>原辅料混料过程中产生混料粉尘</w:t>
            </w:r>
            <w:r>
              <w:rPr>
                <w:rFonts w:hint="eastAsia" w:cs="Times New Roman"/>
                <w:color w:val="auto"/>
                <w:sz w:val="24"/>
                <w:szCs w:val="24"/>
                <w:lang w:eastAsia="zh-CN"/>
              </w:rPr>
              <w:t>，</w:t>
            </w:r>
            <w:r>
              <w:rPr>
                <w:rFonts w:hint="default" w:ascii="Times New Roman" w:hAnsi="Times New Roman" w:eastAsia="宋体" w:cs="Times New Roman"/>
                <w:color w:val="auto"/>
                <w:sz w:val="24"/>
                <w:szCs w:val="24"/>
                <w:highlight w:val="none"/>
                <w:lang w:val="en-US" w:eastAsia="zh-CN"/>
              </w:rPr>
              <w:t>此过程</w:t>
            </w:r>
            <w:r>
              <w:rPr>
                <w:rFonts w:hint="eastAsia" w:cs="Times New Roman"/>
                <w:color w:val="auto"/>
                <w:sz w:val="24"/>
                <w:szCs w:val="24"/>
                <w:highlight w:val="none"/>
                <w:lang w:val="en-US" w:eastAsia="zh-CN"/>
              </w:rPr>
              <w:t>粉尘</w:t>
            </w:r>
            <w:r>
              <w:rPr>
                <w:rFonts w:hint="default" w:ascii="Times New Roman" w:hAnsi="Times New Roman" w:eastAsia="宋体" w:cs="Times New Roman"/>
                <w:color w:val="auto"/>
                <w:kern w:val="2"/>
                <w:sz w:val="24"/>
                <w:szCs w:val="24"/>
                <w:highlight w:val="none"/>
                <w:lang w:val="en-US" w:eastAsia="zh-CN" w:bidi="ar-SA"/>
              </w:rPr>
              <w:t>产生量</w:t>
            </w:r>
            <w:r>
              <w:rPr>
                <w:rFonts w:hint="default" w:ascii="Times New Roman" w:hAnsi="Times New Roman" w:eastAsia="宋体" w:cs="Times New Roman"/>
                <w:color w:val="auto"/>
                <w:sz w:val="24"/>
                <w:szCs w:val="24"/>
                <w:highlight w:val="none"/>
              </w:rPr>
              <w:t>参照</w:t>
            </w:r>
            <w:r>
              <w:rPr>
                <w:rFonts w:hint="default" w:ascii="Times New Roman" w:hAnsi="Times New Roman" w:eastAsia="宋体" w:cs="Times New Roman"/>
                <w:color w:val="auto"/>
                <w:sz w:val="24"/>
                <w:szCs w:val="24"/>
                <w:highlight w:val="none"/>
                <w:lang w:val="en-US" w:eastAsia="zh-CN"/>
              </w:rPr>
              <w:t>中华人民共和国生态环境部2021年6月11日发布的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排放源统计调查产排污核算方法和系数手册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的公告（公告2021年第24号）</w:t>
            </w:r>
            <w:r>
              <w:rPr>
                <w:rFonts w:hint="default" w:ascii="Times New Roman" w:hAnsi="Times New Roman" w:eastAsia="宋体" w:cs="Times New Roman"/>
                <w:color w:val="auto"/>
                <w:sz w:val="24"/>
                <w:szCs w:val="24"/>
                <w:highlight w:val="none"/>
              </w:rPr>
              <w:t>中《</w:t>
            </w:r>
            <w:r>
              <w:rPr>
                <w:rFonts w:hint="eastAsia" w:cs="Times New Roman"/>
                <w:color w:val="auto"/>
                <w:sz w:val="24"/>
                <w:szCs w:val="24"/>
                <w:highlight w:val="none"/>
                <w:lang w:val="en-US" w:eastAsia="zh-CN"/>
              </w:rPr>
              <w:t>292塑料</w:t>
            </w:r>
            <w:r>
              <w:rPr>
                <w:rFonts w:hint="default" w:ascii="Times New Roman" w:hAnsi="Times New Roman" w:eastAsia="宋体" w:cs="Times New Roman"/>
                <w:color w:val="auto"/>
                <w:sz w:val="24"/>
                <w:szCs w:val="24"/>
                <w:highlight w:val="none"/>
                <w:lang w:val="en-US" w:eastAsia="zh-CN"/>
              </w:rPr>
              <w:t>制品业行业系数手册》</w:t>
            </w:r>
            <w:r>
              <w:rPr>
                <w:rFonts w:hint="eastAsia" w:cs="Times New Roman"/>
                <w:color w:val="auto"/>
                <w:sz w:val="24"/>
                <w:szCs w:val="24"/>
                <w:highlight w:val="none"/>
                <w:lang w:val="en-US" w:eastAsia="zh-CN"/>
              </w:rPr>
              <w:t>2922塑料板、管、型材制造行业系数</w:t>
            </w:r>
            <w:r>
              <w:rPr>
                <w:rFonts w:hint="default" w:ascii="Times New Roman" w:hAnsi="Times New Roman" w:eastAsia="宋体" w:cs="Times New Roman"/>
                <w:color w:val="auto"/>
                <w:sz w:val="24"/>
                <w:szCs w:val="24"/>
                <w:highlight w:val="none"/>
                <w:lang w:val="en-US" w:eastAsia="zh-CN"/>
              </w:rPr>
              <w:t>表中的产排</w:t>
            </w:r>
            <w:r>
              <w:rPr>
                <w:rFonts w:hint="default" w:ascii="Times New Roman" w:hAnsi="Times New Roman" w:eastAsia="宋体" w:cs="Times New Roman"/>
                <w:color w:val="auto"/>
                <w:sz w:val="24"/>
                <w:szCs w:val="24"/>
                <w:highlight w:val="none"/>
              </w:rPr>
              <w:t>污系数进行计算</w:t>
            </w:r>
            <w:r>
              <w:rPr>
                <w:rFonts w:hint="eastAsia" w:cs="Times New Roman"/>
                <w:color w:val="auto"/>
                <w:sz w:val="24"/>
                <w:szCs w:val="24"/>
                <w:highlight w:val="none"/>
                <w:lang w:eastAsia="zh-CN"/>
              </w:rPr>
              <w:t>。</w:t>
            </w:r>
            <w:r>
              <w:rPr>
                <w:bCs/>
                <w:color w:val="auto"/>
                <w:spacing w:val="6"/>
                <w:sz w:val="24"/>
              </w:rPr>
              <w:t>产排污系数见</w:t>
            </w:r>
            <w:r>
              <w:rPr>
                <w:color w:val="auto"/>
                <w:sz w:val="24"/>
                <w:szCs w:val="24"/>
              </w:rPr>
              <w:t>表4-</w:t>
            </w:r>
            <w:r>
              <w:rPr>
                <w:rFonts w:hint="eastAsia"/>
                <w:color w:val="auto"/>
                <w:sz w:val="24"/>
                <w:szCs w:val="24"/>
                <w:lang w:val="en-US" w:eastAsia="zh-CN"/>
              </w:rPr>
              <w:t>3</w:t>
            </w:r>
            <w:r>
              <w:rPr>
                <w:color w:val="auto"/>
                <w:sz w:val="24"/>
                <w:szCs w:val="24"/>
              </w:rPr>
              <w:t>。</w:t>
            </w:r>
          </w:p>
          <w:p w14:paraId="676BE9F2">
            <w:pPr>
              <w:snapToGrid w:val="0"/>
              <w:ind w:firstLine="422" w:firstLineChars="200"/>
              <w:jc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表4-</w:t>
            </w:r>
            <w:r>
              <w:rPr>
                <w:rFonts w:hint="eastAsia" w:cs="Times New Roman"/>
                <w:b/>
                <w:bCs/>
                <w:color w:val="auto"/>
                <w:kern w:val="2"/>
                <w:sz w:val="21"/>
                <w:szCs w:val="21"/>
                <w:lang w:val="en-US" w:eastAsia="zh-CN" w:bidi="ar-SA"/>
              </w:rPr>
              <w:t>3</w:t>
            </w:r>
            <w:r>
              <w:rPr>
                <w:rFonts w:hint="eastAsia" w:ascii="Times New Roman" w:hAnsi="Times New Roman" w:eastAsia="宋体" w:cs="Times New Roman"/>
                <w:b/>
                <w:bCs/>
                <w:color w:val="auto"/>
                <w:kern w:val="2"/>
                <w:sz w:val="21"/>
                <w:szCs w:val="21"/>
                <w:lang w:val="en-US" w:eastAsia="zh-CN" w:bidi="ar-SA"/>
              </w:rPr>
              <w:t xml:space="preserve">  塑料板、管、型材制造行业系数</w:t>
            </w:r>
            <w:r>
              <w:rPr>
                <w:rFonts w:hint="default" w:ascii="Times New Roman" w:hAnsi="Times New Roman" w:eastAsia="宋体" w:cs="Times New Roman"/>
                <w:b/>
                <w:bCs/>
                <w:color w:val="auto"/>
                <w:kern w:val="2"/>
                <w:sz w:val="21"/>
                <w:szCs w:val="21"/>
                <w:lang w:val="en-US" w:eastAsia="zh-CN" w:bidi="ar-SA"/>
              </w:rPr>
              <w:t>表</w:t>
            </w:r>
          </w:p>
          <w:tbl>
            <w:tblPr>
              <w:tblStyle w:val="26"/>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58"/>
              <w:gridCol w:w="1109"/>
              <w:gridCol w:w="1072"/>
              <w:gridCol w:w="727"/>
              <w:gridCol w:w="936"/>
              <w:gridCol w:w="1379"/>
              <w:gridCol w:w="1152"/>
            </w:tblGrid>
            <w:tr w14:paraId="2C80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20D8D487">
                  <w:pPr>
                    <w:pStyle w:val="6"/>
                    <w:tabs>
                      <w:tab w:val="left" w:pos="0"/>
                      <w:tab w:val="left" w:pos="1260"/>
                    </w:tabs>
                    <w:snapToGrid w:val="0"/>
                    <w:spacing w:after="0"/>
                    <w:jc w:val="center"/>
                    <w:rPr>
                      <w:rFonts w:eastAsia="宋体"/>
                      <w:b/>
                      <w:bCs/>
                      <w:iCs/>
                      <w:color w:val="auto"/>
                      <w:szCs w:val="21"/>
                    </w:rPr>
                  </w:pPr>
                  <w:r>
                    <w:rPr>
                      <w:rFonts w:hint="eastAsia" w:eastAsia="宋体"/>
                      <w:b/>
                      <w:bCs/>
                      <w:iCs/>
                      <w:color w:val="auto"/>
                      <w:szCs w:val="21"/>
                    </w:rPr>
                    <w:t>产品</w:t>
                  </w:r>
                  <w:r>
                    <w:rPr>
                      <w:rFonts w:eastAsia="宋体"/>
                      <w:b/>
                      <w:bCs/>
                      <w:iCs/>
                      <w:color w:val="auto"/>
                      <w:szCs w:val="21"/>
                    </w:rPr>
                    <w:t>名称</w:t>
                  </w:r>
                </w:p>
              </w:tc>
              <w:tc>
                <w:tcPr>
                  <w:tcW w:w="1058" w:type="dxa"/>
                  <w:noWrap w:val="0"/>
                  <w:vAlign w:val="center"/>
                </w:tcPr>
                <w:p w14:paraId="234A0DCB">
                  <w:pPr>
                    <w:pStyle w:val="6"/>
                    <w:tabs>
                      <w:tab w:val="left" w:pos="0"/>
                      <w:tab w:val="left" w:pos="1260"/>
                    </w:tabs>
                    <w:snapToGrid w:val="0"/>
                    <w:spacing w:after="0"/>
                    <w:jc w:val="center"/>
                    <w:rPr>
                      <w:rFonts w:eastAsia="宋体"/>
                      <w:b/>
                      <w:bCs/>
                      <w:iCs/>
                      <w:color w:val="auto"/>
                      <w:szCs w:val="21"/>
                    </w:rPr>
                  </w:pPr>
                  <w:r>
                    <w:rPr>
                      <w:rFonts w:hint="eastAsia" w:eastAsia="宋体"/>
                      <w:b/>
                      <w:bCs/>
                      <w:iCs/>
                      <w:color w:val="auto"/>
                      <w:szCs w:val="21"/>
                    </w:rPr>
                    <w:t>原料</w:t>
                  </w:r>
                  <w:r>
                    <w:rPr>
                      <w:rFonts w:eastAsia="宋体"/>
                      <w:b/>
                      <w:bCs/>
                      <w:iCs/>
                      <w:color w:val="auto"/>
                      <w:szCs w:val="21"/>
                    </w:rPr>
                    <w:t>名称</w:t>
                  </w:r>
                </w:p>
              </w:tc>
              <w:tc>
                <w:tcPr>
                  <w:tcW w:w="1109" w:type="dxa"/>
                  <w:noWrap w:val="0"/>
                  <w:vAlign w:val="center"/>
                </w:tcPr>
                <w:p w14:paraId="23D19566">
                  <w:pPr>
                    <w:pStyle w:val="6"/>
                    <w:tabs>
                      <w:tab w:val="left" w:pos="0"/>
                      <w:tab w:val="left" w:pos="1260"/>
                    </w:tabs>
                    <w:snapToGrid w:val="0"/>
                    <w:spacing w:after="0"/>
                    <w:jc w:val="center"/>
                    <w:rPr>
                      <w:rFonts w:hint="eastAsia" w:eastAsia="宋体"/>
                      <w:b/>
                      <w:bCs/>
                      <w:iCs/>
                      <w:color w:val="auto"/>
                      <w:szCs w:val="21"/>
                    </w:rPr>
                  </w:pPr>
                  <w:r>
                    <w:rPr>
                      <w:rFonts w:hint="eastAsia" w:eastAsia="宋体"/>
                      <w:b/>
                      <w:bCs/>
                      <w:iCs/>
                      <w:color w:val="auto"/>
                      <w:szCs w:val="21"/>
                    </w:rPr>
                    <w:t>工艺名称</w:t>
                  </w:r>
                </w:p>
              </w:tc>
              <w:tc>
                <w:tcPr>
                  <w:tcW w:w="1072" w:type="dxa"/>
                  <w:noWrap w:val="0"/>
                  <w:vAlign w:val="center"/>
                </w:tcPr>
                <w:p w14:paraId="4E0C3C43">
                  <w:pPr>
                    <w:pStyle w:val="6"/>
                    <w:tabs>
                      <w:tab w:val="left" w:pos="0"/>
                      <w:tab w:val="left" w:pos="1260"/>
                    </w:tabs>
                    <w:snapToGrid w:val="0"/>
                    <w:spacing w:after="0"/>
                    <w:jc w:val="center"/>
                    <w:rPr>
                      <w:rFonts w:hint="eastAsia" w:eastAsia="宋体"/>
                      <w:b/>
                      <w:bCs/>
                      <w:iCs/>
                      <w:color w:val="auto"/>
                      <w:szCs w:val="21"/>
                    </w:rPr>
                  </w:pPr>
                  <w:r>
                    <w:rPr>
                      <w:rFonts w:hint="eastAsia" w:eastAsia="宋体"/>
                      <w:b/>
                      <w:bCs/>
                      <w:iCs/>
                      <w:color w:val="auto"/>
                      <w:szCs w:val="21"/>
                    </w:rPr>
                    <w:t>规模等级</w:t>
                  </w:r>
                </w:p>
              </w:tc>
              <w:tc>
                <w:tcPr>
                  <w:tcW w:w="1663" w:type="dxa"/>
                  <w:gridSpan w:val="2"/>
                  <w:noWrap w:val="0"/>
                  <w:vAlign w:val="center"/>
                </w:tcPr>
                <w:p w14:paraId="316A183F">
                  <w:pPr>
                    <w:pStyle w:val="6"/>
                    <w:tabs>
                      <w:tab w:val="left" w:pos="0"/>
                      <w:tab w:val="left" w:pos="1260"/>
                    </w:tabs>
                    <w:snapToGrid w:val="0"/>
                    <w:spacing w:after="0"/>
                    <w:jc w:val="center"/>
                    <w:rPr>
                      <w:rFonts w:hint="eastAsia" w:eastAsia="宋体"/>
                      <w:b/>
                      <w:bCs/>
                      <w:iCs/>
                      <w:color w:val="auto"/>
                      <w:szCs w:val="21"/>
                    </w:rPr>
                  </w:pPr>
                  <w:r>
                    <w:rPr>
                      <w:rFonts w:hint="eastAsia" w:eastAsia="宋体"/>
                      <w:b/>
                      <w:bCs/>
                      <w:iCs/>
                      <w:color w:val="auto"/>
                      <w:szCs w:val="21"/>
                    </w:rPr>
                    <w:t>污染物指标</w:t>
                  </w:r>
                </w:p>
              </w:tc>
              <w:tc>
                <w:tcPr>
                  <w:tcW w:w="1379" w:type="dxa"/>
                  <w:noWrap w:val="0"/>
                  <w:vAlign w:val="center"/>
                </w:tcPr>
                <w:p w14:paraId="49FE9E02">
                  <w:pPr>
                    <w:pStyle w:val="6"/>
                    <w:tabs>
                      <w:tab w:val="left" w:pos="0"/>
                      <w:tab w:val="left" w:pos="1260"/>
                    </w:tabs>
                    <w:snapToGrid w:val="0"/>
                    <w:spacing w:after="0"/>
                    <w:jc w:val="center"/>
                    <w:rPr>
                      <w:rFonts w:hint="eastAsia" w:eastAsia="宋体"/>
                      <w:b/>
                      <w:bCs/>
                      <w:iCs/>
                      <w:color w:val="auto"/>
                      <w:szCs w:val="21"/>
                    </w:rPr>
                  </w:pPr>
                  <w:r>
                    <w:rPr>
                      <w:rFonts w:hint="eastAsia" w:eastAsia="宋体"/>
                      <w:b/>
                      <w:bCs/>
                      <w:iCs/>
                      <w:color w:val="auto"/>
                      <w:szCs w:val="21"/>
                    </w:rPr>
                    <w:t>单位</w:t>
                  </w:r>
                </w:p>
              </w:tc>
              <w:tc>
                <w:tcPr>
                  <w:tcW w:w="1152" w:type="dxa"/>
                  <w:noWrap w:val="0"/>
                  <w:vAlign w:val="center"/>
                </w:tcPr>
                <w:p w14:paraId="7F1AB313">
                  <w:pPr>
                    <w:pStyle w:val="6"/>
                    <w:tabs>
                      <w:tab w:val="left" w:pos="0"/>
                      <w:tab w:val="left" w:pos="1260"/>
                    </w:tabs>
                    <w:snapToGrid w:val="0"/>
                    <w:spacing w:after="0"/>
                    <w:jc w:val="center"/>
                    <w:rPr>
                      <w:rFonts w:eastAsia="宋体"/>
                      <w:b/>
                      <w:bCs/>
                      <w:iCs/>
                      <w:color w:val="auto"/>
                      <w:szCs w:val="21"/>
                    </w:rPr>
                  </w:pPr>
                  <w:r>
                    <w:rPr>
                      <w:rFonts w:hint="eastAsia" w:eastAsia="宋体"/>
                      <w:b/>
                      <w:bCs/>
                      <w:iCs/>
                      <w:color w:val="auto"/>
                      <w:szCs w:val="21"/>
                    </w:rPr>
                    <w:t>产污</w:t>
                  </w:r>
                  <w:r>
                    <w:rPr>
                      <w:rFonts w:eastAsia="宋体"/>
                      <w:b/>
                      <w:bCs/>
                      <w:iCs/>
                      <w:color w:val="auto"/>
                      <w:szCs w:val="21"/>
                    </w:rPr>
                    <w:t>系数</w:t>
                  </w:r>
                </w:p>
              </w:tc>
            </w:tr>
            <w:tr w14:paraId="653F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59" w:type="dxa"/>
                  <w:vMerge w:val="restart"/>
                  <w:noWrap w:val="0"/>
                  <w:vAlign w:val="center"/>
                </w:tcPr>
                <w:p w14:paraId="5A0FADE7">
                  <w:pPr>
                    <w:pStyle w:val="6"/>
                    <w:tabs>
                      <w:tab w:val="left" w:pos="0"/>
                      <w:tab w:val="left" w:pos="1260"/>
                    </w:tabs>
                    <w:snapToGrid w:val="0"/>
                    <w:spacing w:after="0"/>
                    <w:jc w:val="center"/>
                    <w:rPr>
                      <w:rFonts w:eastAsia="宋体"/>
                      <w:iCs/>
                      <w:color w:val="auto"/>
                      <w:szCs w:val="21"/>
                    </w:rPr>
                  </w:pPr>
                  <w:r>
                    <w:rPr>
                      <w:rFonts w:hint="eastAsia" w:ascii="Times New Roman" w:hAnsi="Times New Roman" w:eastAsia="宋体" w:cs="Times New Roman"/>
                      <w:iCs/>
                      <w:color w:val="auto"/>
                      <w:szCs w:val="21"/>
                      <w:lang w:val="en-US" w:eastAsia="zh-CN"/>
                    </w:rPr>
                    <w:t>塑料板、管、型材</w:t>
                  </w:r>
                </w:p>
              </w:tc>
              <w:tc>
                <w:tcPr>
                  <w:tcW w:w="1058" w:type="dxa"/>
                  <w:vMerge w:val="restart"/>
                  <w:noWrap w:val="0"/>
                  <w:vAlign w:val="center"/>
                </w:tcPr>
                <w:p w14:paraId="7001C216">
                  <w:pPr>
                    <w:pStyle w:val="6"/>
                    <w:tabs>
                      <w:tab w:val="left" w:pos="0"/>
                      <w:tab w:val="left" w:pos="1260"/>
                    </w:tabs>
                    <w:snapToGrid w:val="0"/>
                    <w:spacing w:after="0"/>
                    <w:jc w:val="center"/>
                    <w:rPr>
                      <w:rFonts w:hint="eastAsia" w:eastAsia="宋体"/>
                      <w:iCs/>
                      <w:color w:val="auto"/>
                      <w:szCs w:val="21"/>
                      <w:lang w:eastAsia="zh-CN"/>
                    </w:rPr>
                  </w:pPr>
                  <w:r>
                    <w:rPr>
                      <w:rFonts w:hint="eastAsia" w:eastAsia="宋体"/>
                      <w:iCs/>
                      <w:color w:val="auto"/>
                      <w:szCs w:val="21"/>
                      <w:lang w:eastAsia="zh-CN"/>
                    </w:rPr>
                    <w:t>树脂、助剂</w:t>
                  </w:r>
                </w:p>
              </w:tc>
              <w:tc>
                <w:tcPr>
                  <w:tcW w:w="1109" w:type="dxa"/>
                  <w:vMerge w:val="restart"/>
                  <w:noWrap w:val="0"/>
                  <w:vAlign w:val="center"/>
                </w:tcPr>
                <w:p w14:paraId="79709692">
                  <w:pPr>
                    <w:pStyle w:val="6"/>
                    <w:tabs>
                      <w:tab w:val="left" w:pos="0"/>
                      <w:tab w:val="left" w:pos="1260"/>
                    </w:tabs>
                    <w:snapToGrid w:val="0"/>
                    <w:spacing w:after="0"/>
                    <w:jc w:val="center"/>
                    <w:rPr>
                      <w:rFonts w:hint="default" w:eastAsia="宋体"/>
                      <w:iCs/>
                      <w:color w:val="auto"/>
                      <w:szCs w:val="21"/>
                      <w:lang w:val="en-US" w:eastAsia="zh-CN"/>
                    </w:rPr>
                  </w:pPr>
                  <w:r>
                    <w:rPr>
                      <w:rFonts w:hint="eastAsia" w:eastAsia="宋体"/>
                      <w:iCs/>
                      <w:color w:val="auto"/>
                      <w:szCs w:val="21"/>
                      <w:lang w:eastAsia="zh-CN"/>
                    </w:rPr>
                    <w:t>配料</w:t>
                  </w:r>
                  <w:r>
                    <w:rPr>
                      <w:rFonts w:hint="eastAsia" w:eastAsia="宋体"/>
                      <w:iCs/>
                      <w:color w:val="auto"/>
                      <w:szCs w:val="21"/>
                      <w:lang w:val="en-US" w:eastAsia="zh-CN"/>
                    </w:rPr>
                    <w:t>-混合-挤出</w:t>
                  </w:r>
                </w:p>
              </w:tc>
              <w:tc>
                <w:tcPr>
                  <w:tcW w:w="1072" w:type="dxa"/>
                  <w:vMerge w:val="restart"/>
                  <w:noWrap w:val="0"/>
                  <w:vAlign w:val="top"/>
                </w:tcPr>
                <w:p w14:paraId="09237FC6">
                  <w:pPr>
                    <w:pStyle w:val="6"/>
                    <w:tabs>
                      <w:tab w:val="left" w:pos="0"/>
                      <w:tab w:val="left" w:pos="1260"/>
                    </w:tabs>
                    <w:snapToGrid w:val="0"/>
                    <w:spacing w:after="0"/>
                    <w:jc w:val="center"/>
                    <w:rPr>
                      <w:rFonts w:hint="eastAsia" w:eastAsia="宋体"/>
                      <w:iCs/>
                      <w:color w:val="auto"/>
                      <w:szCs w:val="21"/>
                    </w:rPr>
                  </w:pPr>
                </w:p>
                <w:p w14:paraId="44A0D56B">
                  <w:pPr>
                    <w:pStyle w:val="6"/>
                    <w:tabs>
                      <w:tab w:val="left" w:pos="0"/>
                      <w:tab w:val="left" w:pos="1260"/>
                    </w:tabs>
                    <w:snapToGrid w:val="0"/>
                    <w:spacing w:after="0"/>
                    <w:jc w:val="both"/>
                    <w:rPr>
                      <w:rFonts w:hint="eastAsia" w:eastAsia="宋体"/>
                      <w:iCs/>
                      <w:color w:val="auto"/>
                      <w:szCs w:val="21"/>
                    </w:rPr>
                  </w:pPr>
                  <w:r>
                    <w:rPr>
                      <w:rFonts w:hint="eastAsia" w:eastAsia="宋体"/>
                      <w:iCs/>
                      <w:color w:val="auto"/>
                      <w:szCs w:val="21"/>
                    </w:rPr>
                    <w:t>所有规模</w:t>
                  </w:r>
                </w:p>
              </w:tc>
              <w:tc>
                <w:tcPr>
                  <w:tcW w:w="727" w:type="dxa"/>
                  <w:vMerge w:val="restart"/>
                  <w:noWrap w:val="0"/>
                  <w:vAlign w:val="center"/>
                </w:tcPr>
                <w:p w14:paraId="5C7098D7">
                  <w:pPr>
                    <w:pStyle w:val="6"/>
                    <w:tabs>
                      <w:tab w:val="left" w:pos="0"/>
                      <w:tab w:val="left" w:pos="1260"/>
                    </w:tabs>
                    <w:snapToGrid w:val="0"/>
                    <w:spacing w:after="0"/>
                    <w:jc w:val="center"/>
                    <w:rPr>
                      <w:rFonts w:hint="eastAsia" w:eastAsia="宋体"/>
                      <w:iCs/>
                      <w:color w:val="auto"/>
                      <w:szCs w:val="21"/>
                    </w:rPr>
                  </w:pPr>
                  <w:r>
                    <w:rPr>
                      <w:rFonts w:hint="eastAsia" w:eastAsia="宋体"/>
                      <w:iCs/>
                      <w:color w:val="auto"/>
                      <w:szCs w:val="21"/>
                    </w:rPr>
                    <w:t>废气</w:t>
                  </w:r>
                </w:p>
              </w:tc>
              <w:tc>
                <w:tcPr>
                  <w:tcW w:w="936" w:type="dxa"/>
                  <w:noWrap w:val="0"/>
                  <w:vAlign w:val="center"/>
                </w:tcPr>
                <w:p w14:paraId="0E2B60EA">
                  <w:pPr>
                    <w:pStyle w:val="6"/>
                    <w:tabs>
                      <w:tab w:val="left" w:pos="0"/>
                      <w:tab w:val="left" w:pos="1260"/>
                    </w:tabs>
                    <w:snapToGrid w:val="0"/>
                    <w:spacing w:after="0"/>
                    <w:jc w:val="center"/>
                    <w:rPr>
                      <w:rFonts w:hint="eastAsia" w:eastAsia="宋体"/>
                      <w:iCs/>
                      <w:color w:val="auto"/>
                      <w:szCs w:val="21"/>
                      <w:lang w:eastAsia="zh-CN"/>
                    </w:rPr>
                  </w:pPr>
                  <w:r>
                    <w:rPr>
                      <w:rFonts w:hint="eastAsia" w:eastAsia="宋体"/>
                      <w:iCs/>
                      <w:color w:val="auto"/>
                      <w:szCs w:val="21"/>
                      <w:lang w:eastAsia="zh-CN"/>
                    </w:rPr>
                    <w:t>工业废气量</w:t>
                  </w:r>
                </w:p>
              </w:tc>
              <w:tc>
                <w:tcPr>
                  <w:tcW w:w="1379" w:type="dxa"/>
                  <w:noWrap w:val="0"/>
                  <w:vAlign w:val="center"/>
                </w:tcPr>
                <w:p w14:paraId="4DDDCB7D">
                  <w:pPr>
                    <w:pStyle w:val="6"/>
                    <w:tabs>
                      <w:tab w:val="left" w:pos="0"/>
                      <w:tab w:val="left" w:pos="1260"/>
                    </w:tabs>
                    <w:snapToGrid w:val="0"/>
                    <w:spacing w:after="0"/>
                    <w:jc w:val="center"/>
                    <w:rPr>
                      <w:rFonts w:hint="default" w:eastAsia="宋体"/>
                      <w:iCs/>
                      <w:color w:val="auto"/>
                      <w:szCs w:val="21"/>
                      <w:lang w:val="en-US" w:eastAsia="zh-CN"/>
                    </w:rPr>
                  </w:pPr>
                  <w:r>
                    <w:rPr>
                      <w:rFonts w:hint="eastAsia" w:eastAsia="宋体"/>
                      <w:iCs/>
                      <w:color w:val="auto"/>
                      <w:szCs w:val="21"/>
                      <w:lang w:eastAsia="zh-CN"/>
                    </w:rPr>
                    <w:t>标立方米</w:t>
                  </w:r>
                  <w:r>
                    <w:rPr>
                      <w:rFonts w:hint="eastAsia" w:eastAsia="宋体"/>
                      <w:iCs/>
                      <w:color w:val="auto"/>
                      <w:szCs w:val="21"/>
                      <w:lang w:val="en-US" w:eastAsia="zh-CN"/>
                    </w:rPr>
                    <w:t>/吨-产品</w:t>
                  </w:r>
                </w:p>
              </w:tc>
              <w:tc>
                <w:tcPr>
                  <w:tcW w:w="1152" w:type="dxa"/>
                  <w:noWrap w:val="0"/>
                  <w:vAlign w:val="center"/>
                </w:tcPr>
                <w:p w14:paraId="18ABF28B">
                  <w:pPr>
                    <w:pStyle w:val="6"/>
                    <w:tabs>
                      <w:tab w:val="left" w:pos="0"/>
                      <w:tab w:val="left" w:pos="1260"/>
                    </w:tabs>
                    <w:snapToGrid w:val="0"/>
                    <w:spacing w:after="0"/>
                    <w:jc w:val="center"/>
                    <w:rPr>
                      <w:rFonts w:hint="default" w:eastAsia="宋体"/>
                      <w:iCs/>
                      <w:color w:val="auto"/>
                      <w:szCs w:val="21"/>
                      <w:vertAlign w:val="superscript"/>
                      <w:lang w:val="en-US" w:eastAsia="zh-CN"/>
                    </w:rPr>
                  </w:pPr>
                  <w:r>
                    <w:rPr>
                      <w:rFonts w:hint="eastAsia" w:eastAsia="宋体"/>
                      <w:iCs/>
                      <w:color w:val="auto"/>
                      <w:szCs w:val="21"/>
                      <w:lang w:val="en-US" w:eastAsia="zh-CN"/>
                    </w:rPr>
                    <w:t>7.00×10</w:t>
                  </w:r>
                  <w:r>
                    <w:rPr>
                      <w:rFonts w:hint="eastAsia" w:eastAsia="宋体"/>
                      <w:iCs/>
                      <w:color w:val="auto"/>
                      <w:szCs w:val="21"/>
                      <w:vertAlign w:val="superscript"/>
                      <w:lang w:val="en-US" w:eastAsia="zh-CN"/>
                    </w:rPr>
                    <w:t>4</w:t>
                  </w:r>
                </w:p>
              </w:tc>
            </w:tr>
            <w:tr w14:paraId="37C3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59" w:type="dxa"/>
                  <w:vMerge w:val="continue"/>
                  <w:noWrap w:val="0"/>
                  <w:vAlign w:val="center"/>
                </w:tcPr>
                <w:p w14:paraId="62853FB6">
                  <w:pPr>
                    <w:pStyle w:val="6"/>
                    <w:tabs>
                      <w:tab w:val="left" w:pos="0"/>
                      <w:tab w:val="left" w:pos="1260"/>
                    </w:tabs>
                    <w:snapToGrid w:val="0"/>
                    <w:spacing w:after="0"/>
                    <w:jc w:val="center"/>
                    <w:rPr>
                      <w:color w:val="auto"/>
                    </w:rPr>
                  </w:pPr>
                </w:p>
              </w:tc>
              <w:tc>
                <w:tcPr>
                  <w:tcW w:w="1058" w:type="dxa"/>
                  <w:vMerge w:val="continue"/>
                  <w:noWrap w:val="0"/>
                  <w:vAlign w:val="center"/>
                </w:tcPr>
                <w:p w14:paraId="6A7B6225">
                  <w:pPr>
                    <w:pStyle w:val="6"/>
                    <w:tabs>
                      <w:tab w:val="left" w:pos="0"/>
                      <w:tab w:val="left" w:pos="1260"/>
                    </w:tabs>
                    <w:snapToGrid w:val="0"/>
                    <w:spacing w:after="0"/>
                    <w:jc w:val="center"/>
                    <w:rPr>
                      <w:color w:val="auto"/>
                    </w:rPr>
                  </w:pPr>
                </w:p>
              </w:tc>
              <w:tc>
                <w:tcPr>
                  <w:tcW w:w="1109" w:type="dxa"/>
                  <w:vMerge w:val="continue"/>
                  <w:noWrap w:val="0"/>
                  <w:vAlign w:val="center"/>
                </w:tcPr>
                <w:p w14:paraId="77C91CB3">
                  <w:pPr>
                    <w:pStyle w:val="6"/>
                    <w:tabs>
                      <w:tab w:val="left" w:pos="0"/>
                      <w:tab w:val="left" w:pos="1260"/>
                    </w:tabs>
                    <w:snapToGrid w:val="0"/>
                    <w:spacing w:after="0"/>
                    <w:jc w:val="center"/>
                    <w:rPr>
                      <w:color w:val="auto"/>
                    </w:rPr>
                  </w:pPr>
                </w:p>
              </w:tc>
              <w:tc>
                <w:tcPr>
                  <w:tcW w:w="1072" w:type="dxa"/>
                  <w:vMerge w:val="continue"/>
                  <w:noWrap w:val="0"/>
                  <w:vAlign w:val="top"/>
                </w:tcPr>
                <w:p w14:paraId="4089CAD9">
                  <w:pPr>
                    <w:pStyle w:val="6"/>
                    <w:tabs>
                      <w:tab w:val="left" w:pos="0"/>
                      <w:tab w:val="left" w:pos="1260"/>
                    </w:tabs>
                    <w:snapToGrid w:val="0"/>
                    <w:spacing w:after="0"/>
                    <w:jc w:val="center"/>
                    <w:rPr>
                      <w:color w:val="auto"/>
                    </w:rPr>
                  </w:pPr>
                </w:p>
              </w:tc>
              <w:tc>
                <w:tcPr>
                  <w:tcW w:w="727" w:type="dxa"/>
                  <w:vMerge w:val="continue"/>
                  <w:noWrap w:val="0"/>
                  <w:vAlign w:val="center"/>
                </w:tcPr>
                <w:p w14:paraId="7692CD20">
                  <w:pPr>
                    <w:pStyle w:val="6"/>
                    <w:tabs>
                      <w:tab w:val="left" w:pos="0"/>
                      <w:tab w:val="left" w:pos="1260"/>
                    </w:tabs>
                    <w:snapToGrid w:val="0"/>
                    <w:spacing w:after="0"/>
                    <w:jc w:val="center"/>
                    <w:rPr>
                      <w:color w:val="auto"/>
                    </w:rPr>
                  </w:pPr>
                </w:p>
              </w:tc>
              <w:tc>
                <w:tcPr>
                  <w:tcW w:w="936" w:type="dxa"/>
                  <w:noWrap w:val="0"/>
                  <w:vAlign w:val="center"/>
                </w:tcPr>
                <w:p w14:paraId="68D6C71A">
                  <w:pPr>
                    <w:pStyle w:val="6"/>
                    <w:tabs>
                      <w:tab w:val="left" w:pos="0"/>
                      <w:tab w:val="left" w:pos="1260"/>
                    </w:tabs>
                    <w:snapToGrid w:val="0"/>
                    <w:spacing w:after="0"/>
                    <w:jc w:val="center"/>
                    <w:rPr>
                      <w:rFonts w:hint="eastAsia" w:eastAsia="宋体"/>
                      <w:iCs/>
                      <w:color w:val="auto"/>
                      <w:szCs w:val="21"/>
                    </w:rPr>
                  </w:pPr>
                  <w:r>
                    <w:rPr>
                      <w:rFonts w:hint="eastAsia" w:eastAsia="宋体"/>
                      <w:iCs/>
                      <w:color w:val="auto"/>
                      <w:szCs w:val="21"/>
                    </w:rPr>
                    <w:t>颗粒物</w:t>
                  </w:r>
                </w:p>
              </w:tc>
              <w:tc>
                <w:tcPr>
                  <w:tcW w:w="1379" w:type="dxa"/>
                  <w:noWrap w:val="0"/>
                  <w:vAlign w:val="center"/>
                </w:tcPr>
                <w:p w14:paraId="1DFAF02D">
                  <w:pPr>
                    <w:pStyle w:val="6"/>
                    <w:tabs>
                      <w:tab w:val="left" w:pos="0"/>
                      <w:tab w:val="left" w:pos="1260"/>
                    </w:tabs>
                    <w:snapToGrid w:val="0"/>
                    <w:spacing w:after="0"/>
                    <w:jc w:val="center"/>
                    <w:rPr>
                      <w:rFonts w:hint="eastAsia" w:eastAsia="宋体"/>
                      <w:iCs/>
                      <w:color w:val="auto"/>
                      <w:szCs w:val="21"/>
                      <w:lang w:eastAsia="zh-CN"/>
                    </w:rPr>
                  </w:pPr>
                  <w:r>
                    <w:rPr>
                      <w:rFonts w:hint="eastAsia" w:eastAsia="宋体"/>
                      <w:iCs/>
                      <w:color w:val="auto"/>
                      <w:szCs w:val="21"/>
                      <w:lang w:eastAsia="zh-CN"/>
                    </w:rPr>
                    <w:t>千</w:t>
                  </w:r>
                  <w:r>
                    <w:rPr>
                      <w:rFonts w:hint="eastAsia" w:eastAsia="宋体"/>
                      <w:iCs/>
                      <w:color w:val="auto"/>
                      <w:szCs w:val="21"/>
                    </w:rPr>
                    <w:t>克/吨-</w:t>
                  </w:r>
                  <w:r>
                    <w:rPr>
                      <w:rFonts w:hint="eastAsia" w:eastAsia="宋体"/>
                      <w:iCs/>
                      <w:color w:val="auto"/>
                      <w:szCs w:val="21"/>
                      <w:lang w:eastAsia="zh-CN"/>
                    </w:rPr>
                    <w:t>产品</w:t>
                  </w:r>
                </w:p>
              </w:tc>
              <w:tc>
                <w:tcPr>
                  <w:tcW w:w="1152" w:type="dxa"/>
                  <w:noWrap w:val="0"/>
                  <w:vAlign w:val="center"/>
                </w:tcPr>
                <w:p w14:paraId="33E092B4">
                  <w:pPr>
                    <w:pStyle w:val="6"/>
                    <w:tabs>
                      <w:tab w:val="left" w:pos="0"/>
                      <w:tab w:val="left" w:pos="1260"/>
                    </w:tabs>
                    <w:snapToGrid w:val="0"/>
                    <w:spacing w:after="0"/>
                    <w:jc w:val="center"/>
                    <w:rPr>
                      <w:rFonts w:hint="default" w:eastAsia="宋体"/>
                      <w:iCs/>
                      <w:color w:val="auto"/>
                      <w:szCs w:val="21"/>
                      <w:lang w:val="en-US" w:eastAsia="zh-CN"/>
                    </w:rPr>
                  </w:pPr>
                  <w:r>
                    <w:rPr>
                      <w:rFonts w:hint="eastAsia" w:eastAsia="宋体"/>
                      <w:iCs/>
                      <w:color w:val="auto"/>
                      <w:szCs w:val="21"/>
                      <w:lang w:val="en-US" w:eastAsia="zh-CN"/>
                    </w:rPr>
                    <w:t>6.0</w:t>
                  </w:r>
                </w:p>
              </w:tc>
            </w:tr>
          </w:tbl>
          <w:p w14:paraId="31FF8F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lang w:eastAsia="zh-CN"/>
              </w:rPr>
            </w:pP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lang w:eastAsia="zh-CN"/>
              </w:rPr>
              <w:t>建成后年产</w:t>
            </w:r>
            <w:r>
              <w:rPr>
                <w:rFonts w:hint="eastAsia" w:cs="Times New Roman"/>
                <w:color w:val="auto"/>
                <w:sz w:val="24"/>
                <w:szCs w:val="24"/>
                <w:highlight w:val="none"/>
                <w:lang w:val="en-US" w:eastAsia="zh-CN"/>
              </w:rPr>
              <w:t>30万m</w:t>
            </w:r>
            <w:r>
              <w:rPr>
                <w:rFonts w:hint="eastAsia"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的</w:t>
            </w:r>
            <w:r>
              <w:rPr>
                <w:rFonts w:hint="eastAsia" w:cs="Times New Roman"/>
                <w:color w:val="auto"/>
                <w:sz w:val="24"/>
                <w:szCs w:val="24"/>
                <w:highlight w:val="none"/>
                <w:lang w:val="en-US" w:eastAsia="zh-CN"/>
              </w:rPr>
              <w:t>竹木纤维集成墙板及扣板，其中竹木纤维集成墙板年产15万m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vertAlign w:val="baseline"/>
                <w:lang w:val="en-US" w:eastAsia="zh-CN"/>
              </w:rPr>
              <w:t>（750t/a）</w:t>
            </w:r>
            <w:r>
              <w:rPr>
                <w:rFonts w:hint="eastAsia" w:cs="Times New Roman"/>
                <w:color w:val="auto"/>
                <w:sz w:val="24"/>
                <w:szCs w:val="24"/>
                <w:highlight w:val="none"/>
                <w:lang w:val="en-US" w:eastAsia="zh-CN"/>
              </w:rPr>
              <w:t>、扣板15万m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vertAlign w:val="baseline"/>
                <w:lang w:val="en-US" w:eastAsia="zh-CN"/>
              </w:rPr>
              <w:t>（600t/a）</w:t>
            </w:r>
            <w:r>
              <w:rPr>
                <w:rFonts w:hint="eastAsia"/>
                <w:color w:val="auto"/>
                <w:sz w:val="24"/>
              </w:rPr>
              <w:t>，则</w:t>
            </w:r>
            <w:r>
              <w:rPr>
                <w:rFonts w:hint="eastAsia"/>
                <w:color w:val="auto"/>
                <w:sz w:val="24"/>
                <w:lang w:eastAsia="zh-CN"/>
              </w:rPr>
              <w:t>混料</w:t>
            </w:r>
            <w:r>
              <w:rPr>
                <w:rFonts w:hint="eastAsia"/>
                <w:color w:val="auto"/>
                <w:sz w:val="24"/>
              </w:rPr>
              <w:t>过程</w:t>
            </w:r>
            <w:r>
              <w:rPr>
                <w:rFonts w:hint="eastAsia"/>
                <w:color w:val="auto"/>
                <w:sz w:val="24"/>
                <w:lang w:eastAsia="zh-CN"/>
              </w:rPr>
              <w:t>废气量为</w:t>
            </w:r>
            <w:r>
              <w:rPr>
                <w:rFonts w:hint="eastAsia"/>
                <w:color w:val="auto"/>
                <w:sz w:val="24"/>
                <w:lang w:val="en-US" w:eastAsia="zh-CN"/>
              </w:rPr>
              <w:t>9450万m</w:t>
            </w:r>
            <w:r>
              <w:rPr>
                <w:rFonts w:hint="eastAsia"/>
                <w:color w:val="auto"/>
                <w:sz w:val="24"/>
                <w:vertAlign w:val="superscript"/>
                <w:lang w:val="en-US" w:eastAsia="zh-CN"/>
              </w:rPr>
              <w:t>3</w:t>
            </w:r>
            <w:r>
              <w:rPr>
                <w:rFonts w:hint="eastAsia"/>
                <w:color w:val="auto"/>
                <w:sz w:val="24"/>
                <w:lang w:val="en-US" w:eastAsia="zh-CN"/>
              </w:rPr>
              <w:t>/a，</w:t>
            </w:r>
            <w:r>
              <w:rPr>
                <w:rFonts w:hint="eastAsia"/>
                <w:color w:val="auto"/>
                <w:sz w:val="24"/>
              </w:rPr>
              <w:t>粉尘产生量为</w:t>
            </w:r>
            <w:r>
              <w:rPr>
                <w:rFonts w:hint="eastAsia"/>
                <w:color w:val="auto"/>
                <w:sz w:val="24"/>
                <w:lang w:val="en-US" w:eastAsia="zh-CN"/>
              </w:rPr>
              <w:t>8.1</w:t>
            </w:r>
            <w:r>
              <w:rPr>
                <w:rFonts w:hint="eastAsia"/>
                <w:color w:val="auto"/>
                <w:sz w:val="24"/>
              </w:rPr>
              <w:t>t/a，产生速率为</w:t>
            </w:r>
            <w:r>
              <w:rPr>
                <w:rFonts w:hint="eastAsia"/>
                <w:color w:val="auto"/>
                <w:sz w:val="24"/>
                <w:lang w:val="en-US" w:eastAsia="zh-CN"/>
              </w:rPr>
              <w:t>2.25</w:t>
            </w:r>
            <w:r>
              <w:rPr>
                <w:rFonts w:hint="eastAsia"/>
                <w:color w:val="auto"/>
                <w:sz w:val="24"/>
              </w:rPr>
              <w:t>7kg/h，本项目设置</w:t>
            </w:r>
            <w:r>
              <w:rPr>
                <w:rFonts w:hint="eastAsia"/>
                <w:color w:val="auto"/>
                <w:sz w:val="24"/>
                <w:lang w:val="en-US" w:eastAsia="zh-CN"/>
              </w:rPr>
              <w:t>10</w:t>
            </w:r>
            <w:r>
              <w:rPr>
                <w:rFonts w:hint="eastAsia"/>
                <w:color w:val="auto"/>
                <w:sz w:val="24"/>
              </w:rPr>
              <w:t>台</w:t>
            </w:r>
            <w:r>
              <w:rPr>
                <w:rFonts w:hint="eastAsia"/>
                <w:color w:val="auto"/>
                <w:sz w:val="24"/>
                <w:lang w:eastAsia="zh-CN"/>
              </w:rPr>
              <w:t>搅拌机用于混料</w:t>
            </w:r>
            <w:r>
              <w:rPr>
                <w:rFonts w:hint="eastAsia"/>
                <w:color w:val="auto"/>
                <w:sz w:val="24"/>
              </w:rPr>
              <w:t>，本环评提出在</w:t>
            </w:r>
            <w:r>
              <w:rPr>
                <w:rFonts w:hint="eastAsia"/>
                <w:color w:val="auto"/>
                <w:sz w:val="24"/>
                <w:lang w:eastAsia="zh-CN"/>
              </w:rPr>
              <w:t>搅拌机</w:t>
            </w:r>
            <w:r>
              <w:rPr>
                <w:rFonts w:hint="eastAsia"/>
                <w:color w:val="auto"/>
                <w:sz w:val="24"/>
              </w:rPr>
              <w:t>上方分别</w:t>
            </w:r>
            <w:r>
              <w:rPr>
                <w:rFonts w:hint="eastAsia"/>
                <w:color w:val="auto"/>
                <w:sz w:val="24"/>
                <w:lang w:eastAsia="zh-CN"/>
              </w:rPr>
              <w:t>安装</w:t>
            </w:r>
            <w:r>
              <w:rPr>
                <w:rFonts w:hint="eastAsia"/>
                <w:color w:val="auto"/>
                <w:sz w:val="24"/>
              </w:rPr>
              <w:t>1个集气罩</w:t>
            </w:r>
            <w:r>
              <w:rPr>
                <w:rFonts w:hint="eastAsia"/>
                <w:color w:val="auto"/>
                <w:sz w:val="24"/>
                <w:lang w:eastAsia="zh-CN"/>
              </w:rPr>
              <w:t>（总共</w:t>
            </w:r>
            <w:r>
              <w:rPr>
                <w:rFonts w:hint="eastAsia"/>
                <w:color w:val="auto"/>
                <w:sz w:val="24"/>
                <w:lang w:val="en-US" w:eastAsia="zh-CN"/>
              </w:rPr>
              <w:t>10个集气罩</w:t>
            </w:r>
            <w:r>
              <w:rPr>
                <w:rFonts w:hint="eastAsia"/>
                <w:color w:val="auto"/>
                <w:sz w:val="24"/>
                <w:lang w:eastAsia="zh-CN"/>
              </w:rPr>
              <w:t>）</w:t>
            </w:r>
            <w:r>
              <w:rPr>
                <w:rFonts w:hint="eastAsia"/>
                <w:color w:val="auto"/>
                <w:sz w:val="24"/>
              </w:rPr>
              <w:t>，收集后经布袋除尘器处理后经1根15m高排气筒（DA00</w:t>
            </w:r>
            <w:r>
              <w:rPr>
                <w:rFonts w:hint="eastAsia"/>
                <w:color w:val="auto"/>
                <w:sz w:val="24"/>
                <w:lang w:val="en-US" w:eastAsia="zh-CN"/>
              </w:rPr>
              <w:t>1</w:t>
            </w:r>
            <w:r>
              <w:rPr>
                <w:rFonts w:hint="eastAsia"/>
                <w:color w:val="auto"/>
                <w:sz w:val="24"/>
              </w:rPr>
              <w:t>）排放</w:t>
            </w:r>
            <w:r>
              <w:rPr>
                <w:color w:val="auto"/>
                <w:sz w:val="24"/>
              </w:rPr>
              <w:t>，</w:t>
            </w:r>
            <w:r>
              <w:rPr>
                <w:rFonts w:hint="eastAsia"/>
                <w:color w:val="auto"/>
                <w:sz w:val="24"/>
              </w:rPr>
              <w:t>集气罩收集效率约</w:t>
            </w:r>
            <w:r>
              <w:rPr>
                <w:rFonts w:hint="eastAsia"/>
                <w:color w:val="auto"/>
                <w:sz w:val="24"/>
                <w:lang w:val="en-US" w:eastAsia="zh-CN"/>
              </w:rPr>
              <w:t>8</w:t>
            </w:r>
            <w:r>
              <w:rPr>
                <w:rFonts w:hint="eastAsia"/>
                <w:color w:val="auto"/>
                <w:sz w:val="24"/>
              </w:rPr>
              <w:t>0%，布袋除尘效率约为99%，风机风量为</w:t>
            </w:r>
            <w:r>
              <w:rPr>
                <w:rFonts w:hint="eastAsia"/>
                <w:color w:val="auto"/>
                <w:sz w:val="24"/>
                <w:lang w:val="en-US" w:eastAsia="zh-CN"/>
              </w:rPr>
              <w:t>26250</w:t>
            </w:r>
            <w:r>
              <w:rPr>
                <w:rFonts w:hint="eastAsia"/>
                <w:color w:val="auto"/>
                <w:sz w:val="24"/>
              </w:rPr>
              <w:t>m</w:t>
            </w:r>
            <w:r>
              <w:rPr>
                <w:rFonts w:hint="eastAsia"/>
                <w:color w:val="auto"/>
                <w:sz w:val="24"/>
                <w:vertAlign w:val="superscript"/>
              </w:rPr>
              <w:t>3</w:t>
            </w:r>
            <w:r>
              <w:rPr>
                <w:rFonts w:hint="eastAsia"/>
                <w:color w:val="auto"/>
                <w:sz w:val="24"/>
              </w:rPr>
              <w:t>/h</w:t>
            </w:r>
            <w:r>
              <w:rPr>
                <w:rFonts w:hint="eastAsia"/>
                <w:color w:val="auto"/>
                <w:sz w:val="24"/>
                <w:lang w:eastAsia="zh-CN"/>
              </w:rPr>
              <w:t>（单台风机</w:t>
            </w:r>
            <w:r>
              <w:rPr>
                <w:rFonts w:hint="eastAsia"/>
                <w:color w:val="auto"/>
                <w:sz w:val="24"/>
                <w:lang w:val="en-US" w:eastAsia="zh-CN"/>
              </w:rPr>
              <w:t>2625m</w:t>
            </w:r>
            <w:r>
              <w:rPr>
                <w:rFonts w:hint="eastAsia"/>
                <w:color w:val="auto"/>
                <w:sz w:val="24"/>
                <w:vertAlign w:val="superscript"/>
                <w:lang w:val="en-US" w:eastAsia="zh-CN"/>
              </w:rPr>
              <w:t>3</w:t>
            </w:r>
            <w:r>
              <w:rPr>
                <w:rFonts w:hint="eastAsia"/>
                <w:color w:val="auto"/>
                <w:sz w:val="24"/>
                <w:lang w:val="en-US" w:eastAsia="zh-CN"/>
              </w:rPr>
              <w:t>/h</w:t>
            </w:r>
            <w:r>
              <w:rPr>
                <w:rFonts w:hint="eastAsia"/>
                <w:color w:val="auto"/>
                <w:sz w:val="24"/>
                <w:lang w:eastAsia="zh-CN"/>
              </w:rPr>
              <w:t>）</w:t>
            </w:r>
            <w:r>
              <w:rPr>
                <w:rFonts w:hint="eastAsia"/>
                <w:color w:val="auto"/>
                <w:sz w:val="24"/>
              </w:rPr>
              <w:t>，则粉尘有组织产生量为</w:t>
            </w:r>
            <w:r>
              <w:rPr>
                <w:rFonts w:hint="eastAsia"/>
                <w:color w:val="auto"/>
                <w:sz w:val="24"/>
                <w:lang w:val="en-US" w:eastAsia="zh-CN"/>
              </w:rPr>
              <w:t>6.48</w:t>
            </w:r>
            <w:r>
              <w:rPr>
                <w:rFonts w:hint="eastAsia"/>
                <w:color w:val="auto"/>
                <w:sz w:val="24"/>
              </w:rPr>
              <w:t>t/a，产生速率为</w:t>
            </w:r>
            <w:r>
              <w:rPr>
                <w:rFonts w:hint="eastAsia"/>
                <w:color w:val="auto"/>
                <w:sz w:val="24"/>
                <w:lang w:val="en-US" w:eastAsia="zh-CN"/>
              </w:rPr>
              <w:t>1.8</w:t>
            </w:r>
            <w:r>
              <w:rPr>
                <w:rFonts w:hint="eastAsia"/>
                <w:color w:val="auto"/>
                <w:sz w:val="24"/>
              </w:rPr>
              <w:t>kg/h</w:t>
            </w:r>
            <w:r>
              <w:rPr>
                <w:rFonts w:hint="eastAsia"/>
                <w:color w:val="auto"/>
                <w:sz w:val="24"/>
                <w:lang w:eastAsia="zh-CN"/>
              </w:rPr>
              <w:t>，</w:t>
            </w:r>
            <w:r>
              <w:rPr>
                <w:rFonts w:hint="eastAsia"/>
                <w:color w:val="auto"/>
                <w:sz w:val="24"/>
              </w:rPr>
              <w:t>产生浓度为</w:t>
            </w:r>
            <w:r>
              <w:rPr>
                <w:rFonts w:hint="eastAsia"/>
                <w:color w:val="auto"/>
                <w:sz w:val="24"/>
                <w:lang w:val="en-US" w:eastAsia="zh-CN"/>
              </w:rPr>
              <w:t>68.57</w:t>
            </w:r>
            <w:r>
              <w:rPr>
                <w:color w:val="auto"/>
                <w:sz w:val="24"/>
              </w:rPr>
              <w:t>mg/m</w:t>
            </w:r>
            <w:r>
              <w:rPr>
                <w:color w:val="auto"/>
                <w:sz w:val="24"/>
                <w:vertAlign w:val="superscript"/>
              </w:rPr>
              <w:t>3</w:t>
            </w:r>
            <w:r>
              <w:rPr>
                <w:rFonts w:hint="eastAsia"/>
                <w:color w:val="auto"/>
                <w:sz w:val="24"/>
              </w:rPr>
              <w:t>，排放量为0.0</w:t>
            </w:r>
            <w:r>
              <w:rPr>
                <w:rFonts w:hint="eastAsia"/>
                <w:color w:val="auto"/>
                <w:sz w:val="24"/>
                <w:lang w:val="en-US" w:eastAsia="zh-CN"/>
              </w:rPr>
              <w:t>648</w:t>
            </w:r>
            <w:r>
              <w:rPr>
                <w:rFonts w:hint="eastAsia"/>
                <w:color w:val="auto"/>
                <w:sz w:val="24"/>
              </w:rPr>
              <w:t>t/a，排放速率为0.0</w:t>
            </w:r>
            <w:r>
              <w:rPr>
                <w:rFonts w:hint="eastAsia"/>
                <w:color w:val="auto"/>
                <w:sz w:val="24"/>
                <w:lang w:val="en-US" w:eastAsia="zh-CN"/>
              </w:rPr>
              <w:t>18</w:t>
            </w:r>
            <w:r>
              <w:rPr>
                <w:rFonts w:hint="eastAsia"/>
                <w:color w:val="auto"/>
                <w:sz w:val="24"/>
              </w:rPr>
              <w:t>kg/h，排放浓度为</w:t>
            </w:r>
            <w:r>
              <w:rPr>
                <w:rFonts w:hint="eastAsia"/>
                <w:color w:val="auto"/>
                <w:sz w:val="24"/>
                <w:lang w:val="en-US" w:eastAsia="zh-CN"/>
              </w:rPr>
              <w:t>0.69</w:t>
            </w:r>
            <w:r>
              <w:rPr>
                <w:color w:val="auto"/>
                <w:sz w:val="24"/>
              </w:rPr>
              <w:t>mg/m</w:t>
            </w:r>
            <w:r>
              <w:rPr>
                <w:color w:val="auto"/>
                <w:sz w:val="24"/>
                <w:vertAlign w:val="superscript"/>
              </w:rPr>
              <w:t>3</w:t>
            </w:r>
            <w:r>
              <w:rPr>
                <w:rFonts w:hint="eastAsia"/>
                <w:color w:val="auto"/>
                <w:sz w:val="24"/>
              </w:rPr>
              <w:t>，无组织产生量为</w:t>
            </w:r>
            <w:r>
              <w:rPr>
                <w:rFonts w:hint="eastAsia"/>
                <w:color w:val="auto"/>
                <w:sz w:val="24"/>
                <w:lang w:val="en-US" w:eastAsia="zh-CN"/>
              </w:rPr>
              <w:t>1.62</w:t>
            </w:r>
            <w:r>
              <w:rPr>
                <w:rFonts w:hint="eastAsia"/>
                <w:color w:val="auto"/>
                <w:sz w:val="24"/>
              </w:rPr>
              <w:t>t/a，产生速率为</w:t>
            </w:r>
            <w:r>
              <w:rPr>
                <w:rFonts w:hint="eastAsia"/>
                <w:color w:val="auto"/>
                <w:sz w:val="24"/>
                <w:lang w:val="en-US" w:eastAsia="zh-CN"/>
              </w:rPr>
              <w:t>0.45</w:t>
            </w:r>
            <w:r>
              <w:rPr>
                <w:rFonts w:hint="eastAsia"/>
                <w:color w:val="auto"/>
                <w:sz w:val="24"/>
              </w:rPr>
              <w:t>kg/h</w:t>
            </w:r>
            <w:r>
              <w:rPr>
                <w:rFonts w:hint="eastAsia"/>
                <w:color w:val="auto"/>
                <w:sz w:val="24"/>
                <w:lang w:eastAsia="zh-CN"/>
              </w:rPr>
              <w:t>。</w:t>
            </w:r>
          </w:p>
          <w:p w14:paraId="2D8007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lang w:eastAsia="zh-CN"/>
              </w:rPr>
            </w:pPr>
            <w:r>
              <w:rPr>
                <w:rFonts w:hint="eastAsia"/>
                <w:color w:val="auto"/>
                <w:sz w:val="24"/>
              </w:rPr>
              <w:t>项目粉尘</w:t>
            </w:r>
            <w:r>
              <w:rPr>
                <w:rFonts w:hint="eastAsia"/>
                <w:color w:val="auto"/>
                <w:sz w:val="24"/>
                <w:lang w:eastAsia="zh-CN"/>
              </w:rPr>
              <w:t>生产厂房</w:t>
            </w:r>
            <w:r>
              <w:rPr>
                <w:rFonts w:hint="eastAsia"/>
                <w:color w:val="auto"/>
                <w:sz w:val="24"/>
              </w:rPr>
              <w:t>经阻隔后，大部分在</w:t>
            </w:r>
            <w:r>
              <w:rPr>
                <w:rFonts w:hint="eastAsia"/>
                <w:color w:val="auto"/>
                <w:sz w:val="24"/>
                <w:lang w:eastAsia="zh-CN"/>
              </w:rPr>
              <w:t>厂房内</w:t>
            </w:r>
            <w:r>
              <w:rPr>
                <w:rFonts w:hint="eastAsia"/>
                <w:color w:val="auto"/>
                <w:sz w:val="24"/>
              </w:rPr>
              <w:t>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7</w:t>
            </w:r>
            <w:r>
              <w:rPr>
                <w:rFonts w:hint="eastAsia"/>
                <w:color w:val="auto"/>
                <w:sz w:val="24"/>
              </w:rPr>
              <w:t>0%，则无组织粉尘排放量为</w:t>
            </w:r>
            <w:r>
              <w:rPr>
                <w:rFonts w:hint="eastAsia"/>
                <w:color w:val="auto"/>
                <w:sz w:val="24"/>
                <w:lang w:val="en-US" w:eastAsia="zh-CN"/>
              </w:rPr>
              <w:t>0.486</w:t>
            </w:r>
            <w:r>
              <w:rPr>
                <w:rFonts w:hint="eastAsia"/>
                <w:color w:val="auto"/>
                <w:sz w:val="24"/>
              </w:rPr>
              <w:t>t/a，排放速率为</w:t>
            </w:r>
            <w:r>
              <w:rPr>
                <w:rFonts w:hint="eastAsia"/>
                <w:color w:val="auto"/>
                <w:sz w:val="24"/>
                <w:lang w:val="en-US" w:eastAsia="zh-CN"/>
              </w:rPr>
              <w:t>0.1350</w:t>
            </w:r>
            <w:r>
              <w:rPr>
                <w:rFonts w:hint="eastAsia"/>
                <w:color w:val="auto"/>
                <w:sz w:val="24"/>
              </w:rPr>
              <w:t>kg/h。</w:t>
            </w:r>
          </w:p>
          <w:p w14:paraId="53A4BC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rPr>
            </w:pPr>
            <w:r>
              <w:rPr>
                <w:rFonts w:hint="eastAsia"/>
                <w:color w:val="auto"/>
                <w:sz w:val="24"/>
              </w:rPr>
              <w:t>颗粒物</w:t>
            </w:r>
            <w:r>
              <w:rPr>
                <w:color w:val="auto"/>
                <w:sz w:val="24"/>
              </w:rPr>
              <w:t>排放浓度均符合</w:t>
            </w:r>
            <w:r>
              <w:rPr>
                <w:rFonts w:hint="default" w:ascii="Times New Roman" w:hAnsi="Times New Roman" w:eastAsia="宋体" w:cs="Times New Roman"/>
                <w:color w:val="auto"/>
                <w:sz w:val="24"/>
                <w:szCs w:val="24"/>
                <w:highlight w:val="none"/>
                <w:lang w:val="zh-CN"/>
              </w:rPr>
              <w:t>《大气污染物综合排放标准》（GB16297-1996）</w:t>
            </w:r>
            <w:r>
              <w:rPr>
                <w:rFonts w:hint="default" w:ascii="Times New Roman" w:hAnsi="Times New Roman" w:eastAsia="宋体" w:cs="Times New Roman"/>
                <w:color w:val="auto"/>
                <w:sz w:val="24"/>
                <w:szCs w:val="24"/>
                <w:highlight w:val="none"/>
              </w:rPr>
              <w:t>表2中</w:t>
            </w:r>
            <w:r>
              <w:rPr>
                <w:rFonts w:hint="default" w:ascii="Times New Roman" w:hAnsi="Times New Roman" w:eastAsia="宋体" w:cs="Times New Roman"/>
                <w:color w:val="auto"/>
                <w:sz w:val="24"/>
                <w:szCs w:val="24"/>
                <w:highlight w:val="none"/>
                <w:lang w:val="en-US" w:eastAsia="zh-CN"/>
              </w:rPr>
              <w:t>二级</w:t>
            </w:r>
            <w:r>
              <w:rPr>
                <w:rFonts w:hint="default" w:ascii="Times New Roman" w:hAnsi="Times New Roman" w:eastAsia="宋体" w:cs="Times New Roman"/>
                <w:color w:val="auto"/>
                <w:sz w:val="24"/>
                <w:szCs w:val="24"/>
                <w:highlight w:val="none"/>
                <w:lang w:eastAsia="zh-CN"/>
              </w:rPr>
              <w:t>浓度限值</w:t>
            </w:r>
            <w:r>
              <w:rPr>
                <w:rFonts w:hint="default" w:ascii="Times New Roman" w:hAnsi="Times New Roman" w:eastAsia="宋体" w:cs="Times New Roman"/>
                <w:color w:val="auto"/>
                <w:sz w:val="24"/>
                <w:szCs w:val="24"/>
                <w:highlight w:val="none"/>
                <w:lang w:val="en-US" w:eastAsia="zh-CN"/>
              </w:rPr>
              <w:t>要求</w:t>
            </w:r>
            <w:r>
              <w:rPr>
                <w:color w:val="auto"/>
                <w:spacing w:val="-6"/>
                <w:sz w:val="24"/>
              </w:rPr>
              <w:t>，能够达标排放。</w:t>
            </w:r>
          </w:p>
          <w:p w14:paraId="572C3138">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②</w:t>
            </w:r>
            <w:r>
              <w:rPr>
                <w:rFonts w:hint="eastAsia" w:ascii="Times New Roman" w:hAnsi="Times New Roman" w:cs="Times New Roman"/>
                <w:b/>
                <w:bCs/>
                <w:color w:val="auto"/>
                <w:sz w:val="24"/>
                <w:szCs w:val="24"/>
                <w:highlight w:val="none"/>
                <w:lang w:val="en-US" w:eastAsia="zh-CN"/>
              </w:rPr>
              <w:t>破碎、磨粉粉尘</w:t>
            </w:r>
          </w:p>
          <w:p w14:paraId="1880BC11">
            <w:pPr>
              <w:pStyle w:val="2"/>
              <w:spacing w:after="0" w:line="360" w:lineRule="auto"/>
              <w:ind w:left="0" w:leftChars="0" w:firstLine="496"/>
              <w:jc w:val="left"/>
              <w:rPr>
                <w:rFonts w:hint="eastAsia" w:ascii="Times New Roman" w:hAnsi="Times New Roman" w:eastAsia="宋体" w:cs="Times New Roman"/>
                <w:b/>
                <w:bCs/>
                <w:color w:val="auto"/>
                <w:kern w:val="2"/>
                <w:sz w:val="21"/>
                <w:szCs w:val="21"/>
                <w:lang w:val="en-US" w:eastAsia="zh-CN" w:bidi="ar-SA"/>
              </w:rPr>
            </w:pPr>
            <w:r>
              <w:rPr>
                <w:rFonts w:hint="eastAsia" w:ascii="宋体" w:hAnsi="宋体" w:eastAsia="宋体" w:cs="宋体"/>
                <w:color w:val="000000"/>
                <w:kern w:val="0"/>
                <w:sz w:val="24"/>
                <w:szCs w:val="24"/>
                <w:lang w:val="en-US" w:eastAsia="zh-CN" w:bidi="ar"/>
              </w:rPr>
              <w:t>因产品质量要求，原辅料直接混合生产出来的产品韧性满足不了质量要求，因此本项目共建设</w:t>
            </w:r>
            <w:r>
              <w:rPr>
                <w:rFonts w:hint="default" w:ascii="Times New Roman" w:hAnsi="Times New Roman" w:eastAsia="宋体" w:cs="Times New Roman"/>
                <w:color w:val="000000"/>
                <w:kern w:val="0"/>
                <w:sz w:val="24"/>
                <w:szCs w:val="24"/>
                <w:lang w:val="en-US" w:eastAsia="zh-CN" w:bidi="ar"/>
              </w:rPr>
              <w:t>10条生产线，其中2条生产线生产半产品，即原辅料混料后挤出冷却后进入破碎、磨粉工序，磨粉后的物料作为原料与其他原辅料混合</w:t>
            </w:r>
            <w:r>
              <w:rPr>
                <w:rFonts w:hint="eastAsia" w:ascii="Times New Roman" w:hAnsi="Times New Roman" w:eastAsia="宋体" w:cs="Times New Roman"/>
                <w:color w:val="000000"/>
                <w:kern w:val="0"/>
                <w:sz w:val="24"/>
                <w:szCs w:val="24"/>
                <w:lang w:val="en-US" w:eastAsia="zh-CN" w:bidi="ar"/>
              </w:rPr>
              <w:t>。项目破碎、磨粉过程中产生粉尘，</w:t>
            </w:r>
            <w:r>
              <w:rPr>
                <w:rFonts w:hint="default" w:ascii="Times New Roman" w:hAnsi="Times New Roman" w:eastAsia="宋体" w:cs="Times New Roman"/>
                <w:color w:val="auto"/>
                <w:sz w:val="24"/>
                <w:szCs w:val="24"/>
                <w:highlight w:val="none"/>
                <w:lang w:val="en-US" w:eastAsia="zh-CN"/>
              </w:rPr>
              <w:t>此过程</w:t>
            </w:r>
            <w:r>
              <w:rPr>
                <w:rFonts w:hint="eastAsia" w:cs="Times New Roman"/>
                <w:color w:val="auto"/>
                <w:sz w:val="24"/>
                <w:szCs w:val="24"/>
                <w:highlight w:val="none"/>
                <w:lang w:val="en-US" w:eastAsia="zh-CN"/>
              </w:rPr>
              <w:t>粉尘</w:t>
            </w:r>
            <w:r>
              <w:rPr>
                <w:rFonts w:hint="default" w:ascii="Times New Roman" w:hAnsi="Times New Roman" w:eastAsia="宋体" w:cs="Times New Roman"/>
                <w:color w:val="auto"/>
                <w:kern w:val="2"/>
                <w:sz w:val="24"/>
                <w:szCs w:val="24"/>
                <w:highlight w:val="none"/>
                <w:lang w:val="en-US" w:eastAsia="zh-CN" w:bidi="ar-SA"/>
              </w:rPr>
              <w:t>产生量</w:t>
            </w:r>
            <w:r>
              <w:rPr>
                <w:rFonts w:hint="default" w:ascii="Times New Roman" w:hAnsi="Times New Roman" w:eastAsia="宋体" w:cs="Times New Roman"/>
                <w:color w:val="auto"/>
                <w:sz w:val="24"/>
                <w:szCs w:val="24"/>
                <w:highlight w:val="none"/>
              </w:rPr>
              <w:t>参照</w:t>
            </w:r>
            <w:r>
              <w:rPr>
                <w:rFonts w:hint="default" w:ascii="Times New Roman" w:hAnsi="Times New Roman" w:eastAsia="宋体" w:cs="Times New Roman"/>
                <w:color w:val="auto"/>
                <w:sz w:val="24"/>
                <w:szCs w:val="24"/>
                <w:highlight w:val="none"/>
                <w:lang w:val="en-US" w:eastAsia="zh-CN"/>
              </w:rPr>
              <w:t>中华人民共和国生态环境部2021年6月11日发布的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排放源统计调查产排污核算方法和系数手册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的公告（公告2021年第24号）</w:t>
            </w:r>
            <w:r>
              <w:rPr>
                <w:rFonts w:hint="default" w:ascii="Times New Roman" w:hAnsi="Times New Roman" w:eastAsia="宋体" w:cs="Times New Roman"/>
                <w:color w:val="auto"/>
                <w:sz w:val="24"/>
                <w:szCs w:val="24"/>
                <w:highlight w:val="none"/>
              </w:rPr>
              <w:t>中《</w:t>
            </w:r>
            <w:r>
              <w:rPr>
                <w:rFonts w:hint="eastAsia" w:cs="Times New Roman"/>
                <w:color w:val="auto"/>
                <w:sz w:val="24"/>
                <w:szCs w:val="24"/>
                <w:highlight w:val="none"/>
                <w:lang w:val="en-US" w:eastAsia="zh-CN"/>
              </w:rPr>
              <w:t>42废弃资源综合利用</w:t>
            </w:r>
            <w:r>
              <w:rPr>
                <w:rFonts w:hint="default" w:ascii="Times New Roman" w:hAnsi="Times New Roman" w:eastAsia="宋体" w:cs="Times New Roman"/>
                <w:color w:val="auto"/>
                <w:sz w:val="24"/>
                <w:szCs w:val="24"/>
                <w:highlight w:val="none"/>
                <w:lang w:val="en-US" w:eastAsia="zh-CN"/>
              </w:rPr>
              <w:t>系数手册》4220非金属废料和碎屑加工处理行业系数表中的产排</w:t>
            </w:r>
            <w:r>
              <w:rPr>
                <w:rFonts w:hint="default" w:ascii="Times New Roman" w:hAnsi="Times New Roman" w:eastAsia="宋体" w:cs="Times New Roman"/>
                <w:color w:val="auto"/>
                <w:sz w:val="24"/>
                <w:szCs w:val="24"/>
                <w:highlight w:val="none"/>
              </w:rPr>
              <w:t>污系数进行计算</w:t>
            </w:r>
            <w:r>
              <w:rPr>
                <w:rFonts w:hint="eastAsia" w:cs="Times New Roman"/>
                <w:color w:val="auto"/>
                <w:sz w:val="24"/>
                <w:szCs w:val="24"/>
                <w:highlight w:val="none"/>
                <w:lang w:eastAsia="zh-CN"/>
              </w:rPr>
              <w:t>。</w:t>
            </w:r>
            <w:r>
              <w:rPr>
                <w:bCs/>
                <w:color w:val="auto"/>
                <w:spacing w:val="6"/>
                <w:sz w:val="24"/>
              </w:rPr>
              <w:t>产排污系数见</w:t>
            </w:r>
            <w:r>
              <w:rPr>
                <w:color w:val="auto"/>
                <w:sz w:val="24"/>
                <w:szCs w:val="24"/>
              </w:rPr>
              <w:t>表4-</w:t>
            </w:r>
            <w:r>
              <w:rPr>
                <w:rFonts w:hint="eastAsia"/>
                <w:color w:val="auto"/>
                <w:sz w:val="24"/>
                <w:szCs w:val="24"/>
                <w:lang w:val="en-US" w:eastAsia="zh-CN"/>
              </w:rPr>
              <w:t>4</w:t>
            </w:r>
            <w:r>
              <w:rPr>
                <w:color w:val="auto"/>
                <w:sz w:val="24"/>
                <w:szCs w:val="24"/>
              </w:rPr>
              <w:t>。</w:t>
            </w:r>
          </w:p>
          <w:p w14:paraId="5477A5D5">
            <w:pPr>
              <w:snapToGrid w:val="0"/>
              <w:ind w:firstLine="422" w:firstLineChars="200"/>
              <w:jc w:val="center"/>
              <w:rPr>
                <w:b/>
                <w:bCs/>
                <w:color w:val="auto"/>
                <w:szCs w:val="21"/>
              </w:rPr>
            </w:pPr>
            <w:r>
              <w:rPr>
                <w:rFonts w:hint="eastAsia" w:ascii="Times New Roman" w:hAnsi="Times New Roman" w:eastAsia="宋体" w:cs="Times New Roman"/>
                <w:b/>
                <w:bCs/>
                <w:color w:val="auto"/>
                <w:kern w:val="2"/>
                <w:sz w:val="21"/>
                <w:szCs w:val="21"/>
                <w:lang w:val="en-US" w:eastAsia="zh-CN" w:bidi="ar-SA"/>
              </w:rPr>
              <w:t>表4-</w:t>
            </w:r>
            <w:r>
              <w:rPr>
                <w:rFonts w:hint="eastAsia" w:cs="Times New Roman"/>
                <w:b/>
                <w:bCs/>
                <w:color w:val="auto"/>
                <w:kern w:val="2"/>
                <w:sz w:val="21"/>
                <w:szCs w:val="21"/>
                <w:lang w:val="en-US" w:eastAsia="zh-CN" w:bidi="ar-SA"/>
              </w:rPr>
              <w:t>4</w:t>
            </w:r>
            <w:r>
              <w:rPr>
                <w:rFonts w:hint="eastAsia" w:ascii="Times New Roman" w:hAnsi="Times New Roman" w:eastAsia="宋体" w:cs="Times New Roman"/>
                <w:b/>
                <w:bCs/>
                <w:color w:val="auto"/>
                <w:kern w:val="2"/>
                <w:sz w:val="21"/>
                <w:szCs w:val="21"/>
                <w:lang w:val="en-US" w:eastAsia="zh-CN" w:bidi="ar-SA"/>
              </w:rPr>
              <w:t xml:space="preserve">  </w:t>
            </w:r>
            <w:r>
              <w:rPr>
                <w:rFonts w:hint="eastAsia"/>
                <w:b/>
                <w:bCs/>
                <w:color w:val="auto"/>
                <w:szCs w:val="21"/>
              </w:rPr>
              <w:t>非金属废料和碎屑加工处理行业系数表</w:t>
            </w:r>
          </w:p>
          <w:tbl>
            <w:tblPr>
              <w:tblStyle w:val="26"/>
              <w:tblW w:w="85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075"/>
              <w:gridCol w:w="1125"/>
              <w:gridCol w:w="1087"/>
              <w:gridCol w:w="738"/>
              <w:gridCol w:w="950"/>
              <w:gridCol w:w="1400"/>
              <w:gridCol w:w="1170"/>
            </w:tblGrid>
            <w:tr w14:paraId="3D77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noWrap w:val="0"/>
                  <w:vAlign w:val="center"/>
                </w:tcPr>
                <w:p w14:paraId="2BFA0CDC">
                  <w:pPr>
                    <w:pStyle w:val="6"/>
                    <w:tabs>
                      <w:tab w:val="left" w:pos="0"/>
                      <w:tab w:val="left" w:pos="1260"/>
                    </w:tabs>
                    <w:snapToGrid w:val="0"/>
                    <w:spacing w:after="0"/>
                    <w:jc w:val="center"/>
                    <w:rPr>
                      <w:rFonts w:eastAsia="宋体"/>
                      <w:b/>
                      <w:bCs/>
                      <w:iCs/>
                      <w:color w:val="auto"/>
                      <w:szCs w:val="21"/>
                    </w:rPr>
                  </w:pPr>
                  <w:r>
                    <w:rPr>
                      <w:rFonts w:hint="eastAsia" w:eastAsia="宋体"/>
                      <w:b/>
                      <w:bCs/>
                      <w:iCs/>
                      <w:color w:val="auto"/>
                      <w:szCs w:val="21"/>
                    </w:rPr>
                    <w:t>产品</w:t>
                  </w:r>
                  <w:r>
                    <w:rPr>
                      <w:rFonts w:eastAsia="宋体"/>
                      <w:b/>
                      <w:bCs/>
                      <w:iCs/>
                      <w:color w:val="auto"/>
                      <w:szCs w:val="21"/>
                    </w:rPr>
                    <w:t>名称</w:t>
                  </w:r>
                </w:p>
              </w:tc>
              <w:tc>
                <w:tcPr>
                  <w:tcW w:w="1075" w:type="dxa"/>
                  <w:noWrap w:val="0"/>
                  <w:vAlign w:val="center"/>
                </w:tcPr>
                <w:p w14:paraId="67F56669">
                  <w:pPr>
                    <w:pStyle w:val="6"/>
                    <w:tabs>
                      <w:tab w:val="left" w:pos="0"/>
                      <w:tab w:val="left" w:pos="1260"/>
                    </w:tabs>
                    <w:snapToGrid w:val="0"/>
                    <w:spacing w:after="0"/>
                    <w:jc w:val="center"/>
                    <w:rPr>
                      <w:rFonts w:eastAsia="宋体"/>
                      <w:b/>
                      <w:bCs/>
                      <w:iCs/>
                      <w:color w:val="auto"/>
                      <w:szCs w:val="21"/>
                    </w:rPr>
                  </w:pPr>
                  <w:r>
                    <w:rPr>
                      <w:rFonts w:hint="eastAsia" w:eastAsia="宋体"/>
                      <w:b/>
                      <w:bCs/>
                      <w:iCs/>
                      <w:color w:val="auto"/>
                      <w:szCs w:val="21"/>
                    </w:rPr>
                    <w:t>原料</w:t>
                  </w:r>
                  <w:r>
                    <w:rPr>
                      <w:rFonts w:eastAsia="宋体"/>
                      <w:b/>
                      <w:bCs/>
                      <w:iCs/>
                      <w:color w:val="auto"/>
                      <w:szCs w:val="21"/>
                    </w:rPr>
                    <w:t>名称</w:t>
                  </w:r>
                </w:p>
              </w:tc>
              <w:tc>
                <w:tcPr>
                  <w:tcW w:w="1125" w:type="dxa"/>
                  <w:noWrap w:val="0"/>
                  <w:vAlign w:val="center"/>
                </w:tcPr>
                <w:p w14:paraId="52EFC310">
                  <w:pPr>
                    <w:pStyle w:val="6"/>
                    <w:tabs>
                      <w:tab w:val="left" w:pos="0"/>
                      <w:tab w:val="left" w:pos="1260"/>
                    </w:tabs>
                    <w:snapToGrid w:val="0"/>
                    <w:spacing w:after="0"/>
                    <w:jc w:val="center"/>
                    <w:rPr>
                      <w:rFonts w:hint="eastAsia" w:eastAsia="宋体"/>
                      <w:b/>
                      <w:bCs/>
                      <w:iCs/>
                      <w:color w:val="auto"/>
                      <w:szCs w:val="21"/>
                    </w:rPr>
                  </w:pPr>
                  <w:r>
                    <w:rPr>
                      <w:rFonts w:hint="eastAsia" w:eastAsia="宋体"/>
                      <w:b/>
                      <w:bCs/>
                      <w:iCs/>
                      <w:color w:val="auto"/>
                      <w:szCs w:val="21"/>
                    </w:rPr>
                    <w:t>工艺名称</w:t>
                  </w:r>
                </w:p>
              </w:tc>
              <w:tc>
                <w:tcPr>
                  <w:tcW w:w="1087" w:type="dxa"/>
                  <w:noWrap w:val="0"/>
                  <w:vAlign w:val="center"/>
                </w:tcPr>
                <w:p w14:paraId="2EACA08A">
                  <w:pPr>
                    <w:pStyle w:val="6"/>
                    <w:tabs>
                      <w:tab w:val="left" w:pos="0"/>
                      <w:tab w:val="left" w:pos="1260"/>
                    </w:tabs>
                    <w:snapToGrid w:val="0"/>
                    <w:spacing w:after="0"/>
                    <w:jc w:val="center"/>
                    <w:rPr>
                      <w:rFonts w:hint="eastAsia" w:eastAsia="宋体"/>
                      <w:b/>
                      <w:bCs/>
                      <w:iCs/>
                      <w:color w:val="auto"/>
                      <w:szCs w:val="21"/>
                    </w:rPr>
                  </w:pPr>
                  <w:r>
                    <w:rPr>
                      <w:rFonts w:hint="eastAsia" w:eastAsia="宋体"/>
                      <w:b/>
                      <w:bCs/>
                      <w:iCs/>
                      <w:color w:val="auto"/>
                      <w:szCs w:val="21"/>
                    </w:rPr>
                    <w:t>规模等级</w:t>
                  </w:r>
                </w:p>
              </w:tc>
              <w:tc>
                <w:tcPr>
                  <w:tcW w:w="1688" w:type="dxa"/>
                  <w:gridSpan w:val="2"/>
                  <w:noWrap w:val="0"/>
                  <w:vAlign w:val="center"/>
                </w:tcPr>
                <w:p w14:paraId="12D351F0">
                  <w:pPr>
                    <w:pStyle w:val="6"/>
                    <w:tabs>
                      <w:tab w:val="left" w:pos="0"/>
                      <w:tab w:val="left" w:pos="1260"/>
                    </w:tabs>
                    <w:snapToGrid w:val="0"/>
                    <w:spacing w:after="0"/>
                    <w:jc w:val="center"/>
                    <w:rPr>
                      <w:rFonts w:hint="eastAsia" w:eastAsia="宋体"/>
                      <w:b/>
                      <w:bCs/>
                      <w:iCs/>
                      <w:color w:val="auto"/>
                      <w:szCs w:val="21"/>
                    </w:rPr>
                  </w:pPr>
                  <w:r>
                    <w:rPr>
                      <w:rFonts w:hint="eastAsia" w:eastAsia="宋体"/>
                      <w:b/>
                      <w:bCs/>
                      <w:iCs/>
                      <w:color w:val="auto"/>
                      <w:szCs w:val="21"/>
                    </w:rPr>
                    <w:t>污染物指标</w:t>
                  </w:r>
                </w:p>
              </w:tc>
              <w:tc>
                <w:tcPr>
                  <w:tcW w:w="1400" w:type="dxa"/>
                  <w:noWrap w:val="0"/>
                  <w:vAlign w:val="center"/>
                </w:tcPr>
                <w:p w14:paraId="3CE4E7FA">
                  <w:pPr>
                    <w:pStyle w:val="6"/>
                    <w:tabs>
                      <w:tab w:val="left" w:pos="0"/>
                      <w:tab w:val="left" w:pos="1260"/>
                    </w:tabs>
                    <w:snapToGrid w:val="0"/>
                    <w:spacing w:after="0"/>
                    <w:jc w:val="center"/>
                    <w:rPr>
                      <w:rFonts w:hint="eastAsia" w:eastAsia="宋体"/>
                      <w:b/>
                      <w:bCs/>
                      <w:iCs/>
                      <w:color w:val="auto"/>
                      <w:szCs w:val="21"/>
                    </w:rPr>
                  </w:pPr>
                  <w:r>
                    <w:rPr>
                      <w:rFonts w:hint="eastAsia" w:eastAsia="宋体"/>
                      <w:b/>
                      <w:bCs/>
                      <w:iCs/>
                      <w:color w:val="auto"/>
                      <w:szCs w:val="21"/>
                    </w:rPr>
                    <w:t>单位</w:t>
                  </w:r>
                </w:p>
              </w:tc>
              <w:tc>
                <w:tcPr>
                  <w:tcW w:w="1170" w:type="dxa"/>
                  <w:noWrap w:val="0"/>
                  <w:vAlign w:val="center"/>
                </w:tcPr>
                <w:p w14:paraId="38123F88">
                  <w:pPr>
                    <w:pStyle w:val="6"/>
                    <w:tabs>
                      <w:tab w:val="left" w:pos="0"/>
                      <w:tab w:val="left" w:pos="1260"/>
                    </w:tabs>
                    <w:snapToGrid w:val="0"/>
                    <w:spacing w:after="0"/>
                    <w:jc w:val="center"/>
                    <w:rPr>
                      <w:rFonts w:eastAsia="宋体"/>
                      <w:b/>
                      <w:bCs/>
                      <w:iCs/>
                      <w:color w:val="auto"/>
                      <w:szCs w:val="21"/>
                    </w:rPr>
                  </w:pPr>
                  <w:r>
                    <w:rPr>
                      <w:rFonts w:hint="eastAsia" w:eastAsia="宋体"/>
                      <w:b/>
                      <w:bCs/>
                      <w:iCs/>
                      <w:color w:val="auto"/>
                      <w:szCs w:val="21"/>
                    </w:rPr>
                    <w:t>产污</w:t>
                  </w:r>
                  <w:r>
                    <w:rPr>
                      <w:rFonts w:eastAsia="宋体"/>
                      <w:b/>
                      <w:bCs/>
                      <w:iCs/>
                      <w:color w:val="auto"/>
                      <w:szCs w:val="21"/>
                    </w:rPr>
                    <w:t>系数</w:t>
                  </w:r>
                </w:p>
              </w:tc>
            </w:tr>
            <w:tr w14:paraId="228F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74" w:type="dxa"/>
                  <w:vMerge w:val="restart"/>
                  <w:noWrap w:val="0"/>
                  <w:vAlign w:val="center"/>
                </w:tcPr>
                <w:p w14:paraId="39455E49">
                  <w:pPr>
                    <w:pStyle w:val="6"/>
                    <w:tabs>
                      <w:tab w:val="left" w:pos="0"/>
                      <w:tab w:val="left" w:pos="1260"/>
                    </w:tabs>
                    <w:snapToGrid w:val="0"/>
                    <w:spacing w:after="0"/>
                    <w:jc w:val="center"/>
                    <w:rPr>
                      <w:rFonts w:eastAsia="宋体"/>
                      <w:iCs/>
                      <w:color w:val="auto"/>
                      <w:szCs w:val="21"/>
                    </w:rPr>
                  </w:pPr>
                  <w:r>
                    <w:rPr>
                      <w:rFonts w:hint="eastAsia" w:eastAsia="宋体"/>
                      <w:iCs/>
                      <w:color w:val="auto"/>
                      <w:szCs w:val="21"/>
                    </w:rPr>
                    <w:t>再生塑料粒子</w:t>
                  </w:r>
                </w:p>
              </w:tc>
              <w:tc>
                <w:tcPr>
                  <w:tcW w:w="1075" w:type="dxa"/>
                  <w:vMerge w:val="restart"/>
                  <w:noWrap w:val="0"/>
                  <w:vAlign w:val="center"/>
                </w:tcPr>
                <w:p w14:paraId="69AD098E">
                  <w:pPr>
                    <w:pStyle w:val="6"/>
                    <w:tabs>
                      <w:tab w:val="left" w:pos="0"/>
                      <w:tab w:val="left" w:pos="1260"/>
                    </w:tabs>
                    <w:snapToGrid w:val="0"/>
                    <w:spacing w:after="0"/>
                    <w:jc w:val="center"/>
                    <w:rPr>
                      <w:rFonts w:eastAsia="宋体"/>
                      <w:iCs/>
                      <w:color w:val="auto"/>
                      <w:szCs w:val="21"/>
                    </w:rPr>
                  </w:pPr>
                  <w:r>
                    <w:rPr>
                      <w:rFonts w:hint="eastAsia" w:eastAsia="宋体"/>
                      <w:iCs/>
                      <w:color w:val="auto"/>
                      <w:szCs w:val="21"/>
                    </w:rPr>
                    <w:t>废pvc</w:t>
                  </w:r>
                </w:p>
              </w:tc>
              <w:tc>
                <w:tcPr>
                  <w:tcW w:w="1125" w:type="dxa"/>
                  <w:vMerge w:val="restart"/>
                  <w:noWrap w:val="0"/>
                  <w:vAlign w:val="center"/>
                </w:tcPr>
                <w:p w14:paraId="0CDE69EF">
                  <w:pPr>
                    <w:pStyle w:val="6"/>
                    <w:tabs>
                      <w:tab w:val="left" w:pos="0"/>
                      <w:tab w:val="left" w:pos="1260"/>
                    </w:tabs>
                    <w:snapToGrid w:val="0"/>
                    <w:spacing w:after="0"/>
                    <w:jc w:val="center"/>
                    <w:rPr>
                      <w:rFonts w:hint="eastAsia" w:eastAsia="宋体"/>
                      <w:iCs/>
                      <w:color w:val="auto"/>
                      <w:szCs w:val="21"/>
                    </w:rPr>
                  </w:pPr>
                  <w:r>
                    <w:rPr>
                      <w:rFonts w:hint="eastAsia" w:eastAsia="宋体"/>
                      <w:iCs/>
                      <w:color w:val="auto"/>
                      <w:szCs w:val="21"/>
                    </w:rPr>
                    <w:t>干法破碎</w:t>
                  </w:r>
                </w:p>
              </w:tc>
              <w:tc>
                <w:tcPr>
                  <w:tcW w:w="1087" w:type="dxa"/>
                  <w:vMerge w:val="restart"/>
                  <w:noWrap w:val="0"/>
                  <w:vAlign w:val="top"/>
                </w:tcPr>
                <w:p w14:paraId="356DB5C0">
                  <w:pPr>
                    <w:pStyle w:val="6"/>
                    <w:tabs>
                      <w:tab w:val="left" w:pos="0"/>
                      <w:tab w:val="left" w:pos="1260"/>
                    </w:tabs>
                    <w:snapToGrid w:val="0"/>
                    <w:spacing w:after="0"/>
                    <w:jc w:val="center"/>
                    <w:rPr>
                      <w:rFonts w:hint="eastAsia" w:eastAsia="宋体"/>
                      <w:iCs/>
                      <w:color w:val="auto"/>
                      <w:szCs w:val="21"/>
                    </w:rPr>
                  </w:pPr>
                </w:p>
                <w:p w14:paraId="023D7837">
                  <w:pPr>
                    <w:pStyle w:val="6"/>
                    <w:tabs>
                      <w:tab w:val="left" w:pos="0"/>
                      <w:tab w:val="left" w:pos="1260"/>
                    </w:tabs>
                    <w:snapToGrid w:val="0"/>
                    <w:spacing w:after="0"/>
                    <w:jc w:val="both"/>
                    <w:rPr>
                      <w:rFonts w:hint="eastAsia" w:eastAsia="宋体"/>
                      <w:iCs/>
                      <w:color w:val="auto"/>
                      <w:szCs w:val="21"/>
                    </w:rPr>
                  </w:pPr>
                  <w:r>
                    <w:rPr>
                      <w:rFonts w:hint="eastAsia" w:eastAsia="宋体"/>
                      <w:iCs/>
                      <w:color w:val="auto"/>
                      <w:szCs w:val="21"/>
                    </w:rPr>
                    <w:t>所有规模</w:t>
                  </w:r>
                </w:p>
              </w:tc>
              <w:tc>
                <w:tcPr>
                  <w:tcW w:w="738" w:type="dxa"/>
                  <w:vMerge w:val="restart"/>
                  <w:noWrap w:val="0"/>
                  <w:vAlign w:val="center"/>
                </w:tcPr>
                <w:p w14:paraId="65B6AE8A">
                  <w:pPr>
                    <w:pStyle w:val="6"/>
                    <w:tabs>
                      <w:tab w:val="left" w:pos="0"/>
                      <w:tab w:val="left" w:pos="1260"/>
                    </w:tabs>
                    <w:snapToGrid w:val="0"/>
                    <w:spacing w:after="0"/>
                    <w:jc w:val="center"/>
                    <w:rPr>
                      <w:rFonts w:hint="eastAsia" w:eastAsia="宋体"/>
                      <w:iCs/>
                      <w:color w:val="auto"/>
                      <w:szCs w:val="21"/>
                    </w:rPr>
                  </w:pPr>
                  <w:r>
                    <w:rPr>
                      <w:rFonts w:hint="eastAsia" w:eastAsia="宋体"/>
                      <w:iCs/>
                      <w:color w:val="auto"/>
                      <w:szCs w:val="21"/>
                    </w:rPr>
                    <w:t>废气</w:t>
                  </w:r>
                </w:p>
              </w:tc>
              <w:tc>
                <w:tcPr>
                  <w:tcW w:w="950" w:type="dxa"/>
                  <w:noWrap w:val="0"/>
                  <w:vAlign w:val="center"/>
                </w:tcPr>
                <w:p w14:paraId="68B58AB1">
                  <w:pPr>
                    <w:pStyle w:val="6"/>
                    <w:tabs>
                      <w:tab w:val="left" w:pos="0"/>
                      <w:tab w:val="left" w:pos="1260"/>
                    </w:tabs>
                    <w:snapToGrid w:val="0"/>
                    <w:spacing w:after="0"/>
                    <w:jc w:val="center"/>
                    <w:rPr>
                      <w:rFonts w:hint="eastAsia" w:eastAsia="宋体"/>
                      <w:iCs/>
                      <w:color w:val="auto"/>
                      <w:szCs w:val="21"/>
                      <w:lang w:eastAsia="zh-CN"/>
                    </w:rPr>
                  </w:pPr>
                  <w:r>
                    <w:rPr>
                      <w:rFonts w:hint="eastAsia" w:eastAsia="宋体"/>
                      <w:iCs/>
                      <w:color w:val="auto"/>
                      <w:szCs w:val="21"/>
                      <w:lang w:eastAsia="zh-CN"/>
                    </w:rPr>
                    <w:t>工业废气量</w:t>
                  </w:r>
                </w:p>
              </w:tc>
              <w:tc>
                <w:tcPr>
                  <w:tcW w:w="1400" w:type="dxa"/>
                  <w:noWrap w:val="0"/>
                  <w:vAlign w:val="center"/>
                </w:tcPr>
                <w:p w14:paraId="1DF2B040">
                  <w:pPr>
                    <w:pStyle w:val="6"/>
                    <w:tabs>
                      <w:tab w:val="left" w:pos="0"/>
                      <w:tab w:val="left" w:pos="1260"/>
                    </w:tabs>
                    <w:snapToGrid w:val="0"/>
                    <w:spacing w:after="0"/>
                    <w:jc w:val="center"/>
                    <w:rPr>
                      <w:rFonts w:hint="default" w:eastAsia="宋体"/>
                      <w:iCs/>
                      <w:color w:val="auto"/>
                      <w:szCs w:val="21"/>
                      <w:lang w:val="en-US" w:eastAsia="zh-CN"/>
                    </w:rPr>
                  </w:pPr>
                  <w:r>
                    <w:rPr>
                      <w:rFonts w:hint="eastAsia" w:eastAsia="宋体"/>
                      <w:iCs/>
                      <w:color w:val="auto"/>
                      <w:szCs w:val="21"/>
                      <w:lang w:eastAsia="zh-CN"/>
                    </w:rPr>
                    <w:t>标立方米</w:t>
                  </w:r>
                  <w:r>
                    <w:rPr>
                      <w:rFonts w:hint="eastAsia" w:eastAsia="宋体"/>
                      <w:iCs/>
                      <w:color w:val="auto"/>
                      <w:szCs w:val="21"/>
                      <w:lang w:val="en-US" w:eastAsia="zh-CN"/>
                    </w:rPr>
                    <w:t>/吨-原料</w:t>
                  </w:r>
                </w:p>
              </w:tc>
              <w:tc>
                <w:tcPr>
                  <w:tcW w:w="1170" w:type="dxa"/>
                  <w:noWrap w:val="0"/>
                  <w:vAlign w:val="center"/>
                </w:tcPr>
                <w:p w14:paraId="77C46D02">
                  <w:pPr>
                    <w:pStyle w:val="6"/>
                    <w:tabs>
                      <w:tab w:val="left" w:pos="0"/>
                      <w:tab w:val="left" w:pos="1260"/>
                    </w:tabs>
                    <w:snapToGrid w:val="0"/>
                    <w:spacing w:after="0"/>
                    <w:jc w:val="center"/>
                    <w:rPr>
                      <w:rFonts w:hint="default" w:eastAsia="宋体"/>
                      <w:iCs/>
                      <w:color w:val="auto"/>
                      <w:szCs w:val="21"/>
                      <w:lang w:val="en-US" w:eastAsia="zh-CN"/>
                    </w:rPr>
                  </w:pPr>
                  <w:r>
                    <w:rPr>
                      <w:rFonts w:hint="eastAsia" w:eastAsia="宋体"/>
                      <w:iCs/>
                      <w:color w:val="auto"/>
                      <w:szCs w:val="21"/>
                      <w:lang w:val="en-US" w:eastAsia="zh-CN"/>
                    </w:rPr>
                    <w:t>2500</w:t>
                  </w:r>
                </w:p>
              </w:tc>
            </w:tr>
            <w:tr w14:paraId="5746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74" w:type="dxa"/>
                  <w:vMerge w:val="continue"/>
                  <w:noWrap w:val="0"/>
                  <w:vAlign w:val="center"/>
                </w:tcPr>
                <w:p w14:paraId="7A39F90C">
                  <w:pPr>
                    <w:pStyle w:val="6"/>
                    <w:tabs>
                      <w:tab w:val="left" w:pos="0"/>
                      <w:tab w:val="left" w:pos="1260"/>
                    </w:tabs>
                    <w:snapToGrid w:val="0"/>
                    <w:spacing w:after="0"/>
                    <w:jc w:val="center"/>
                    <w:rPr>
                      <w:color w:val="auto"/>
                    </w:rPr>
                  </w:pPr>
                </w:p>
              </w:tc>
              <w:tc>
                <w:tcPr>
                  <w:tcW w:w="1075" w:type="dxa"/>
                  <w:vMerge w:val="continue"/>
                  <w:noWrap w:val="0"/>
                  <w:vAlign w:val="center"/>
                </w:tcPr>
                <w:p w14:paraId="3E896869">
                  <w:pPr>
                    <w:pStyle w:val="6"/>
                    <w:tabs>
                      <w:tab w:val="left" w:pos="0"/>
                      <w:tab w:val="left" w:pos="1260"/>
                    </w:tabs>
                    <w:snapToGrid w:val="0"/>
                    <w:spacing w:after="0"/>
                    <w:jc w:val="center"/>
                    <w:rPr>
                      <w:color w:val="auto"/>
                    </w:rPr>
                  </w:pPr>
                </w:p>
              </w:tc>
              <w:tc>
                <w:tcPr>
                  <w:tcW w:w="1125" w:type="dxa"/>
                  <w:vMerge w:val="continue"/>
                  <w:noWrap w:val="0"/>
                  <w:vAlign w:val="center"/>
                </w:tcPr>
                <w:p w14:paraId="169A0E27">
                  <w:pPr>
                    <w:pStyle w:val="6"/>
                    <w:tabs>
                      <w:tab w:val="left" w:pos="0"/>
                      <w:tab w:val="left" w:pos="1260"/>
                    </w:tabs>
                    <w:snapToGrid w:val="0"/>
                    <w:spacing w:after="0"/>
                    <w:jc w:val="center"/>
                    <w:rPr>
                      <w:color w:val="auto"/>
                    </w:rPr>
                  </w:pPr>
                </w:p>
              </w:tc>
              <w:tc>
                <w:tcPr>
                  <w:tcW w:w="1087" w:type="dxa"/>
                  <w:vMerge w:val="continue"/>
                  <w:noWrap w:val="0"/>
                  <w:vAlign w:val="top"/>
                </w:tcPr>
                <w:p w14:paraId="2251CB31">
                  <w:pPr>
                    <w:pStyle w:val="6"/>
                    <w:tabs>
                      <w:tab w:val="left" w:pos="0"/>
                      <w:tab w:val="left" w:pos="1260"/>
                    </w:tabs>
                    <w:snapToGrid w:val="0"/>
                    <w:spacing w:after="0"/>
                    <w:jc w:val="center"/>
                    <w:rPr>
                      <w:color w:val="auto"/>
                    </w:rPr>
                  </w:pPr>
                </w:p>
              </w:tc>
              <w:tc>
                <w:tcPr>
                  <w:tcW w:w="738" w:type="dxa"/>
                  <w:vMerge w:val="continue"/>
                  <w:noWrap w:val="0"/>
                  <w:vAlign w:val="center"/>
                </w:tcPr>
                <w:p w14:paraId="7E971C6F">
                  <w:pPr>
                    <w:pStyle w:val="6"/>
                    <w:tabs>
                      <w:tab w:val="left" w:pos="0"/>
                      <w:tab w:val="left" w:pos="1260"/>
                    </w:tabs>
                    <w:snapToGrid w:val="0"/>
                    <w:spacing w:after="0"/>
                    <w:jc w:val="center"/>
                    <w:rPr>
                      <w:color w:val="auto"/>
                    </w:rPr>
                  </w:pPr>
                </w:p>
              </w:tc>
              <w:tc>
                <w:tcPr>
                  <w:tcW w:w="950" w:type="dxa"/>
                  <w:noWrap w:val="0"/>
                  <w:vAlign w:val="center"/>
                </w:tcPr>
                <w:p w14:paraId="233F6E99">
                  <w:pPr>
                    <w:pStyle w:val="6"/>
                    <w:tabs>
                      <w:tab w:val="left" w:pos="0"/>
                      <w:tab w:val="left" w:pos="1260"/>
                    </w:tabs>
                    <w:snapToGrid w:val="0"/>
                    <w:spacing w:after="0"/>
                    <w:jc w:val="center"/>
                    <w:rPr>
                      <w:rFonts w:hint="eastAsia" w:eastAsia="宋体"/>
                      <w:iCs/>
                      <w:color w:val="auto"/>
                      <w:szCs w:val="21"/>
                    </w:rPr>
                  </w:pPr>
                  <w:r>
                    <w:rPr>
                      <w:rFonts w:hint="eastAsia" w:eastAsia="宋体"/>
                      <w:iCs/>
                      <w:color w:val="auto"/>
                      <w:szCs w:val="21"/>
                    </w:rPr>
                    <w:t>颗粒物</w:t>
                  </w:r>
                </w:p>
              </w:tc>
              <w:tc>
                <w:tcPr>
                  <w:tcW w:w="1400" w:type="dxa"/>
                  <w:noWrap w:val="0"/>
                  <w:vAlign w:val="center"/>
                </w:tcPr>
                <w:p w14:paraId="36D8CEDB">
                  <w:pPr>
                    <w:pStyle w:val="6"/>
                    <w:tabs>
                      <w:tab w:val="left" w:pos="0"/>
                      <w:tab w:val="left" w:pos="1260"/>
                    </w:tabs>
                    <w:snapToGrid w:val="0"/>
                    <w:spacing w:after="0"/>
                    <w:jc w:val="center"/>
                    <w:rPr>
                      <w:rFonts w:hint="eastAsia" w:eastAsia="宋体"/>
                      <w:iCs/>
                      <w:color w:val="auto"/>
                      <w:szCs w:val="21"/>
                    </w:rPr>
                  </w:pPr>
                  <w:r>
                    <w:rPr>
                      <w:rFonts w:hint="eastAsia" w:eastAsia="宋体"/>
                      <w:iCs/>
                      <w:color w:val="auto"/>
                      <w:szCs w:val="21"/>
                    </w:rPr>
                    <w:t>克/吨-原料</w:t>
                  </w:r>
                </w:p>
              </w:tc>
              <w:tc>
                <w:tcPr>
                  <w:tcW w:w="1170" w:type="dxa"/>
                  <w:noWrap w:val="0"/>
                  <w:vAlign w:val="center"/>
                </w:tcPr>
                <w:p w14:paraId="385AA5C9">
                  <w:pPr>
                    <w:pStyle w:val="6"/>
                    <w:tabs>
                      <w:tab w:val="left" w:pos="0"/>
                      <w:tab w:val="left" w:pos="1260"/>
                    </w:tabs>
                    <w:snapToGrid w:val="0"/>
                    <w:spacing w:after="0"/>
                    <w:jc w:val="center"/>
                    <w:rPr>
                      <w:rFonts w:hint="eastAsia" w:eastAsia="宋体"/>
                      <w:iCs/>
                      <w:color w:val="auto"/>
                      <w:szCs w:val="21"/>
                    </w:rPr>
                  </w:pPr>
                  <w:r>
                    <w:rPr>
                      <w:rFonts w:hint="eastAsia" w:eastAsia="宋体"/>
                      <w:iCs/>
                      <w:color w:val="auto"/>
                      <w:szCs w:val="21"/>
                    </w:rPr>
                    <w:t>450</w:t>
                  </w:r>
                </w:p>
              </w:tc>
            </w:tr>
          </w:tbl>
          <w:p w14:paraId="50ADB1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lang w:eastAsia="zh-CN"/>
              </w:rPr>
            </w:pPr>
            <w:r>
              <w:rPr>
                <w:rFonts w:hint="eastAsia" w:ascii="Times New Roman" w:hAnsi="Times New Roman" w:eastAsia="宋体" w:cs="Times New Roman"/>
                <w:color w:val="000000"/>
                <w:kern w:val="0"/>
                <w:sz w:val="24"/>
                <w:szCs w:val="24"/>
                <w:lang w:val="en-US" w:eastAsia="zh-CN" w:bidi="ar"/>
              </w:rPr>
              <w:t>根据建设单位提供的工艺参数，</w:t>
            </w:r>
            <w:r>
              <w:rPr>
                <w:rFonts w:hint="default" w:ascii="Times New Roman" w:hAnsi="Times New Roman" w:eastAsia="宋体" w:cs="Times New Roman"/>
                <w:color w:val="000000"/>
                <w:kern w:val="0"/>
                <w:sz w:val="24"/>
                <w:szCs w:val="24"/>
                <w:lang w:val="en-US" w:eastAsia="zh-CN" w:bidi="ar"/>
              </w:rPr>
              <w:t>磨粉后的物料与其他原辅料混料比例为1:2</w:t>
            </w:r>
            <w:r>
              <w:rPr>
                <w:rFonts w:hint="eastAsia" w:ascii="Times New Roman" w:hAnsi="Times New Roman" w:eastAsia="宋体" w:cs="Times New Roman"/>
                <w:color w:val="000000"/>
                <w:kern w:val="0"/>
                <w:sz w:val="24"/>
                <w:szCs w:val="24"/>
                <w:lang w:val="en-US" w:eastAsia="zh-CN" w:bidi="ar"/>
              </w:rPr>
              <w:t>，则需要破碎、磨粉的半成品量为10万m</w:t>
            </w:r>
            <w:r>
              <w:rPr>
                <w:rFonts w:hint="eastAsia" w:ascii="Times New Roman" w:hAnsi="Times New Roman" w:eastAsia="宋体" w:cs="Times New Roman"/>
                <w:color w:val="000000"/>
                <w:kern w:val="0"/>
                <w:sz w:val="24"/>
                <w:szCs w:val="24"/>
                <w:vertAlign w:val="superscript"/>
                <w:lang w:val="en-US" w:eastAsia="zh-CN" w:bidi="ar"/>
              </w:rPr>
              <w:t>2</w:t>
            </w:r>
            <w:r>
              <w:rPr>
                <w:rFonts w:hint="eastAsia" w:ascii="Times New Roman" w:hAnsi="Times New Roman" w:eastAsia="宋体" w:cs="Times New Roman"/>
                <w:color w:val="000000"/>
                <w:kern w:val="0"/>
                <w:sz w:val="24"/>
                <w:szCs w:val="24"/>
                <w:lang w:val="en-US" w:eastAsia="zh-CN" w:bidi="ar"/>
              </w:rPr>
              <w:t>/a（450t/a）。</w:t>
            </w:r>
            <w:r>
              <w:rPr>
                <w:rFonts w:hint="eastAsia"/>
                <w:color w:val="auto"/>
                <w:sz w:val="24"/>
                <w:lang w:eastAsia="zh-CN"/>
              </w:rPr>
              <w:t>破碎、磨粉</w:t>
            </w:r>
            <w:r>
              <w:rPr>
                <w:rFonts w:hint="eastAsia"/>
                <w:color w:val="auto"/>
                <w:sz w:val="24"/>
              </w:rPr>
              <w:t>过程</w:t>
            </w:r>
            <w:r>
              <w:rPr>
                <w:rFonts w:hint="eastAsia"/>
                <w:color w:val="auto"/>
                <w:sz w:val="24"/>
                <w:lang w:eastAsia="zh-CN"/>
              </w:rPr>
              <w:t>废气量为</w:t>
            </w:r>
            <w:r>
              <w:rPr>
                <w:rFonts w:hint="eastAsia"/>
                <w:color w:val="auto"/>
                <w:sz w:val="24"/>
                <w:lang w:val="en-US" w:eastAsia="zh-CN"/>
              </w:rPr>
              <w:t>225万m</w:t>
            </w:r>
            <w:r>
              <w:rPr>
                <w:rFonts w:hint="eastAsia"/>
                <w:color w:val="auto"/>
                <w:sz w:val="24"/>
                <w:vertAlign w:val="superscript"/>
                <w:lang w:val="en-US" w:eastAsia="zh-CN"/>
              </w:rPr>
              <w:t>3</w:t>
            </w:r>
            <w:r>
              <w:rPr>
                <w:rFonts w:hint="eastAsia"/>
                <w:color w:val="auto"/>
                <w:sz w:val="24"/>
                <w:lang w:val="en-US" w:eastAsia="zh-CN"/>
              </w:rPr>
              <w:t>/a，</w:t>
            </w:r>
            <w:r>
              <w:rPr>
                <w:rFonts w:hint="eastAsia"/>
                <w:color w:val="auto"/>
                <w:sz w:val="24"/>
              </w:rPr>
              <w:t>粉尘产生量为</w:t>
            </w:r>
            <w:r>
              <w:rPr>
                <w:rFonts w:hint="eastAsia"/>
                <w:color w:val="auto"/>
                <w:sz w:val="24"/>
                <w:lang w:val="en-US" w:eastAsia="zh-CN"/>
              </w:rPr>
              <w:t>0.405</w:t>
            </w:r>
            <w:r>
              <w:rPr>
                <w:rFonts w:hint="eastAsia"/>
                <w:color w:val="auto"/>
                <w:sz w:val="24"/>
              </w:rPr>
              <w:t>t/a，产生速率为</w:t>
            </w:r>
            <w:r>
              <w:rPr>
                <w:rFonts w:hint="eastAsia"/>
                <w:color w:val="auto"/>
                <w:sz w:val="24"/>
                <w:lang w:val="en-US" w:eastAsia="zh-CN"/>
              </w:rPr>
              <w:t>0.1125</w:t>
            </w:r>
            <w:r>
              <w:rPr>
                <w:rFonts w:hint="eastAsia"/>
                <w:color w:val="auto"/>
                <w:sz w:val="24"/>
              </w:rPr>
              <w:t>kg/h，本项目设置</w:t>
            </w:r>
            <w:r>
              <w:rPr>
                <w:rFonts w:hint="eastAsia"/>
                <w:color w:val="auto"/>
                <w:sz w:val="24"/>
                <w:lang w:val="en-US" w:eastAsia="zh-CN"/>
              </w:rPr>
              <w:t>2</w:t>
            </w:r>
            <w:r>
              <w:rPr>
                <w:rFonts w:hint="eastAsia"/>
                <w:color w:val="auto"/>
                <w:sz w:val="24"/>
              </w:rPr>
              <w:t>台</w:t>
            </w:r>
            <w:r>
              <w:rPr>
                <w:rFonts w:hint="eastAsia"/>
                <w:color w:val="auto"/>
                <w:sz w:val="24"/>
                <w:lang w:eastAsia="zh-CN"/>
              </w:rPr>
              <w:t>破碎机和</w:t>
            </w:r>
            <w:r>
              <w:rPr>
                <w:rFonts w:hint="eastAsia"/>
                <w:color w:val="auto"/>
                <w:sz w:val="24"/>
                <w:lang w:val="en-US" w:eastAsia="zh-CN"/>
              </w:rPr>
              <w:t>2台磨粉机</w:t>
            </w:r>
            <w:r>
              <w:rPr>
                <w:rFonts w:hint="eastAsia"/>
                <w:color w:val="auto"/>
                <w:sz w:val="24"/>
                <w:lang w:eastAsia="zh-CN"/>
              </w:rPr>
              <w:t>用于半成品破碎、磨粉</w:t>
            </w:r>
            <w:r>
              <w:rPr>
                <w:rFonts w:hint="eastAsia"/>
                <w:color w:val="auto"/>
                <w:sz w:val="24"/>
              </w:rPr>
              <w:t>，本环评提出在</w:t>
            </w:r>
            <w:r>
              <w:rPr>
                <w:rFonts w:hint="eastAsia"/>
                <w:color w:val="auto"/>
                <w:sz w:val="24"/>
                <w:lang w:eastAsia="zh-CN"/>
              </w:rPr>
              <w:t>破碎机和磨粉机</w:t>
            </w:r>
            <w:r>
              <w:rPr>
                <w:rFonts w:hint="eastAsia"/>
                <w:color w:val="auto"/>
                <w:sz w:val="24"/>
              </w:rPr>
              <w:t>上方分别</w:t>
            </w:r>
            <w:r>
              <w:rPr>
                <w:rFonts w:hint="eastAsia"/>
                <w:color w:val="auto"/>
                <w:sz w:val="24"/>
                <w:lang w:eastAsia="zh-CN"/>
              </w:rPr>
              <w:t>安装</w:t>
            </w:r>
            <w:r>
              <w:rPr>
                <w:rFonts w:hint="eastAsia"/>
                <w:color w:val="auto"/>
                <w:sz w:val="24"/>
              </w:rPr>
              <w:t>1个集气罩</w:t>
            </w:r>
            <w:r>
              <w:rPr>
                <w:rFonts w:hint="eastAsia"/>
                <w:color w:val="auto"/>
                <w:sz w:val="24"/>
                <w:lang w:eastAsia="zh-CN"/>
              </w:rPr>
              <w:t>（总共</w:t>
            </w:r>
            <w:r>
              <w:rPr>
                <w:rFonts w:hint="eastAsia"/>
                <w:color w:val="auto"/>
                <w:sz w:val="24"/>
                <w:lang w:val="en-US" w:eastAsia="zh-CN"/>
              </w:rPr>
              <w:t>4个集气罩</w:t>
            </w:r>
            <w:r>
              <w:rPr>
                <w:rFonts w:hint="eastAsia"/>
                <w:color w:val="auto"/>
                <w:sz w:val="24"/>
                <w:lang w:eastAsia="zh-CN"/>
              </w:rPr>
              <w:t>）</w:t>
            </w:r>
            <w:r>
              <w:rPr>
                <w:rFonts w:hint="eastAsia"/>
                <w:color w:val="auto"/>
                <w:sz w:val="24"/>
              </w:rPr>
              <w:t>，收集后经布袋除尘器处理后经1根15m高排气筒（DA00</w:t>
            </w:r>
            <w:r>
              <w:rPr>
                <w:rFonts w:hint="eastAsia"/>
                <w:color w:val="auto"/>
                <w:sz w:val="24"/>
                <w:lang w:val="en-US" w:eastAsia="zh-CN"/>
              </w:rPr>
              <w:t>1</w:t>
            </w:r>
            <w:r>
              <w:rPr>
                <w:rFonts w:hint="eastAsia"/>
                <w:color w:val="auto"/>
                <w:sz w:val="24"/>
              </w:rPr>
              <w:t>）排放</w:t>
            </w:r>
            <w:r>
              <w:rPr>
                <w:color w:val="auto"/>
                <w:sz w:val="24"/>
              </w:rPr>
              <w:t>，</w:t>
            </w:r>
            <w:r>
              <w:rPr>
                <w:rFonts w:hint="eastAsia"/>
                <w:color w:val="auto"/>
                <w:sz w:val="24"/>
              </w:rPr>
              <w:t>集气罩收集效率约</w:t>
            </w:r>
            <w:r>
              <w:rPr>
                <w:rFonts w:hint="eastAsia"/>
                <w:color w:val="auto"/>
                <w:sz w:val="24"/>
                <w:lang w:val="en-US" w:eastAsia="zh-CN"/>
              </w:rPr>
              <w:t>8</w:t>
            </w:r>
            <w:r>
              <w:rPr>
                <w:rFonts w:hint="eastAsia"/>
                <w:color w:val="auto"/>
                <w:sz w:val="24"/>
              </w:rPr>
              <w:t>0%，布袋除尘效率约为99%，风机风量为</w:t>
            </w:r>
            <w:r>
              <w:rPr>
                <w:rFonts w:hint="eastAsia"/>
                <w:color w:val="auto"/>
                <w:sz w:val="24"/>
                <w:lang w:val="en-US" w:eastAsia="zh-CN"/>
              </w:rPr>
              <w:t>625</w:t>
            </w:r>
            <w:r>
              <w:rPr>
                <w:rFonts w:hint="eastAsia"/>
                <w:color w:val="auto"/>
                <w:sz w:val="24"/>
              </w:rPr>
              <w:t>m</w:t>
            </w:r>
            <w:r>
              <w:rPr>
                <w:rFonts w:hint="eastAsia"/>
                <w:color w:val="auto"/>
                <w:sz w:val="24"/>
                <w:vertAlign w:val="superscript"/>
              </w:rPr>
              <w:t>3</w:t>
            </w:r>
            <w:r>
              <w:rPr>
                <w:rFonts w:hint="eastAsia"/>
                <w:color w:val="auto"/>
                <w:sz w:val="24"/>
              </w:rPr>
              <w:t>/h</w:t>
            </w:r>
            <w:r>
              <w:rPr>
                <w:rFonts w:hint="eastAsia"/>
                <w:color w:val="auto"/>
                <w:sz w:val="24"/>
                <w:lang w:eastAsia="zh-CN"/>
              </w:rPr>
              <w:t>（单台风机</w:t>
            </w:r>
            <w:r>
              <w:rPr>
                <w:rFonts w:hint="eastAsia"/>
                <w:color w:val="auto"/>
                <w:sz w:val="24"/>
                <w:lang w:val="en-US" w:eastAsia="zh-CN"/>
              </w:rPr>
              <w:t>156.25m</w:t>
            </w:r>
            <w:r>
              <w:rPr>
                <w:rFonts w:hint="eastAsia"/>
                <w:color w:val="auto"/>
                <w:sz w:val="24"/>
                <w:vertAlign w:val="superscript"/>
                <w:lang w:val="en-US" w:eastAsia="zh-CN"/>
              </w:rPr>
              <w:t>3</w:t>
            </w:r>
            <w:r>
              <w:rPr>
                <w:rFonts w:hint="eastAsia"/>
                <w:color w:val="auto"/>
                <w:sz w:val="24"/>
                <w:lang w:val="en-US" w:eastAsia="zh-CN"/>
              </w:rPr>
              <w:t>/h</w:t>
            </w:r>
            <w:r>
              <w:rPr>
                <w:rFonts w:hint="eastAsia"/>
                <w:color w:val="auto"/>
                <w:sz w:val="24"/>
                <w:lang w:eastAsia="zh-CN"/>
              </w:rPr>
              <w:t>）</w:t>
            </w:r>
            <w:r>
              <w:rPr>
                <w:rFonts w:hint="eastAsia"/>
                <w:color w:val="auto"/>
                <w:sz w:val="24"/>
              </w:rPr>
              <w:t>，则粉尘有组织产生量为</w:t>
            </w:r>
            <w:r>
              <w:rPr>
                <w:rFonts w:hint="eastAsia"/>
                <w:color w:val="auto"/>
                <w:sz w:val="24"/>
                <w:lang w:val="en-US" w:eastAsia="zh-CN"/>
              </w:rPr>
              <w:t>0.324</w:t>
            </w:r>
            <w:r>
              <w:rPr>
                <w:rFonts w:hint="eastAsia"/>
                <w:color w:val="auto"/>
                <w:sz w:val="24"/>
              </w:rPr>
              <w:t>t/a，产生速率为</w:t>
            </w:r>
            <w:r>
              <w:rPr>
                <w:rFonts w:hint="eastAsia"/>
                <w:color w:val="auto"/>
                <w:sz w:val="24"/>
                <w:lang w:val="en-US" w:eastAsia="zh-CN"/>
              </w:rPr>
              <w:t>0.09</w:t>
            </w:r>
            <w:r>
              <w:rPr>
                <w:rFonts w:hint="eastAsia"/>
                <w:color w:val="auto"/>
                <w:sz w:val="24"/>
              </w:rPr>
              <w:t>kg/h</w:t>
            </w:r>
            <w:r>
              <w:rPr>
                <w:rFonts w:hint="eastAsia"/>
                <w:color w:val="auto"/>
                <w:sz w:val="24"/>
                <w:lang w:eastAsia="zh-CN"/>
              </w:rPr>
              <w:t>，</w:t>
            </w:r>
            <w:r>
              <w:rPr>
                <w:rFonts w:hint="eastAsia"/>
                <w:color w:val="auto"/>
                <w:sz w:val="24"/>
              </w:rPr>
              <w:t>产生浓度为</w:t>
            </w:r>
            <w:r>
              <w:rPr>
                <w:rFonts w:hint="eastAsia"/>
                <w:color w:val="auto"/>
                <w:sz w:val="24"/>
                <w:lang w:val="en-US" w:eastAsia="zh-CN"/>
              </w:rPr>
              <w:t>144</w:t>
            </w:r>
            <w:r>
              <w:rPr>
                <w:color w:val="auto"/>
                <w:sz w:val="24"/>
              </w:rPr>
              <w:t>mg/m</w:t>
            </w:r>
            <w:r>
              <w:rPr>
                <w:color w:val="auto"/>
                <w:sz w:val="24"/>
                <w:vertAlign w:val="superscript"/>
              </w:rPr>
              <w:t>3</w:t>
            </w:r>
            <w:r>
              <w:rPr>
                <w:rFonts w:hint="eastAsia"/>
                <w:color w:val="auto"/>
                <w:sz w:val="24"/>
              </w:rPr>
              <w:t>，排放量为0.0</w:t>
            </w:r>
            <w:r>
              <w:rPr>
                <w:rFonts w:hint="eastAsia"/>
                <w:color w:val="auto"/>
                <w:sz w:val="24"/>
                <w:lang w:val="en-US" w:eastAsia="zh-CN"/>
              </w:rPr>
              <w:t>032</w:t>
            </w:r>
            <w:r>
              <w:rPr>
                <w:rFonts w:hint="eastAsia"/>
                <w:color w:val="auto"/>
                <w:sz w:val="24"/>
              </w:rPr>
              <w:t>t/a，排放速率为0.</w:t>
            </w:r>
            <w:r>
              <w:rPr>
                <w:rFonts w:hint="eastAsia"/>
                <w:color w:val="auto"/>
                <w:sz w:val="24"/>
                <w:lang w:val="en-US" w:eastAsia="zh-CN"/>
              </w:rPr>
              <w:t>0009</w:t>
            </w:r>
            <w:r>
              <w:rPr>
                <w:rFonts w:hint="eastAsia"/>
                <w:color w:val="auto"/>
                <w:sz w:val="24"/>
              </w:rPr>
              <w:t>kg/h，排放浓度为</w:t>
            </w:r>
            <w:r>
              <w:rPr>
                <w:rFonts w:hint="eastAsia"/>
                <w:color w:val="auto"/>
                <w:sz w:val="24"/>
                <w:lang w:val="en-US" w:eastAsia="zh-CN"/>
              </w:rPr>
              <w:t>1.44</w:t>
            </w:r>
            <w:r>
              <w:rPr>
                <w:color w:val="auto"/>
                <w:sz w:val="24"/>
              </w:rPr>
              <w:t>mg/m</w:t>
            </w:r>
            <w:r>
              <w:rPr>
                <w:color w:val="auto"/>
                <w:sz w:val="24"/>
                <w:vertAlign w:val="superscript"/>
              </w:rPr>
              <w:t>3</w:t>
            </w:r>
            <w:r>
              <w:rPr>
                <w:rFonts w:hint="eastAsia"/>
                <w:color w:val="auto"/>
                <w:sz w:val="24"/>
              </w:rPr>
              <w:t>，无组织产生量为</w:t>
            </w:r>
            <w:r>
              <w:rPr>
                <w:rFonts w:hint="eastAsia"/>
                <w:color w:val="auto"/>
                <w:sz w:val="24"/>
                <w:lang w:val="en-US" w:eastAsia="zh-CN"/>
              </w:rPr>
              <w:t>0.0810</w:t>
            </w:r>
            <w:r>
              <w:rPr>
                <w:rFonts w:hint="eastAsia"/>
                <w:color w:val="auto"/>
                <w:sz w:val="24"/>
              </w:rPr>
              <w:t>t/a，产生速率为</w:t>
            </w:r>
            <w:r>
              <w:rPr>
                <w:rFonts w:hint="eastAsia"/>
                <w:color w:val="auto"/>
                <w:sz w:val="24"/>
                <w:lang w:val="en-US" w:eastAsia="zh-CN"/>
              </w:rPr>
              <w:t>0.0225</w:t>
            </w:r>
            <w:r>
              <w:rPr>
                <w:rFonts w:hint="eastAsia"/>
                <w:color w:val="auto"/>
                <w:sz w:val="24"/>
              </w:rPr>
              <w:t>kg/h</w:t>
            </w:r>
            <w:r>
              <w:rPr>
                <w:rFonts w:hint="eastAsia"/>
                <w:color w:val="auto"/>
                <w:sz w:val="24"/>
                <w:lang w:eastAsia="zh-CN"/>
              </w:rPr>
              <w:t>。</w:t>
            </w:r>
          </w:p>
          <w:p w14:paraId="7FD3A1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lang w:eastAsia="zh-CN"/>
              </w:rPr>
            </w:pPr>
            <w:r>
              <w:rPr>
                <w:rFonts w:hint="eastAsia"/>
                <w:color w:val="auto"/>
                <w:sz w:val="24"/>
              </w:rPr>
              <w:t>项目粉尘</w:t>
            </w:r>
            <w:r>
              <w:rPr>
                <w:rFonts w:hint="eastAsia"/>
                <w:color w:val="auto"/>
                <w:sz w:val="24"/>
                <w:lang w:eastAsia="zh-CN"/>
              </w:rPr>
              <w:t>生产厂房</w:t>
            </w:r>
            <w:r>
              <w:rPr>
                <w:rFonts w:hint="eastAsia"/>
                <w:color w:val="auto"/>
                <w:sz w:val="24"/>
              </w:rPr>
              <w:t>经阻隔后，大部分在</w:t>
            </w:r>
            <w:r>
              <w:rPr>
                <w:rFonts w:hint="eastAsia"/>
                <w:color w:val="auto"/>
                <w:sz w:val="24"/>
                <w:lang w:eastAsia="zh-CN"/>
              </w:rPr>
              <w:t>厂房内</w:t>
            </w:r>
            <w:r>
              <w:rPr>
                <w:rFonts w:hint="eastAsia"/>
                <w:color w:val="auto"/>
                <w:sz w:val="24"/>
              </w:rPr>
              <w:t>沉降，少部分</w:t>
            </w:r>
            <w:r>
              <w:rPr>
                <w:rFonts w:hint="eastAsia"/>
                <w:color w:val="auto"/>
                <w:sz w:val="24"/>
                <w:lang w:eastAsia="zh-CN"/>
              </w:rPr>
              <w:t>溢出，</w:t>
            </w:r>
            <w:r>
              <w:rPr>
                <w:rFonts w:hint="eastAsia"/>
                <w:color w:val="auto"/>
                <w:sz w:val="24"/>
              </w:rPr>
              <w:t>阻隔降尘效率约</w:t>
            </w:r>
            <w:r>
              <w:rPr>
                <w:rFonts w:hint="eastAsia"/>
                <w:color w:val="auto"/>
                <w:sz w:val="24"/>
                <w:lang w:val="en-US" w:eastAsia="zh-CN"/>
              </w:rPr>
              <w:t>7</w:t>
            </w:r>
            <w:r>
              <w:rPr>
                <w:rFonts w:hint="eastAsia"/>
                <w:color w:val="auto"/>
                <w:sz w:val="24"/>
              </w:rPr>
              <w:t>0%，则无组织粉尘排放量为</w:t>
            </w:r>
            <w:r>
              <w:rPr>
                <w:rFonts w:hint="eastAsia"/>
                <w:color w:val="auto"/>
                <w:sz w:val="24"/>
                <w:lang w:val="en-US" w:eastAsia="zh-CN"/>
              </w:rPr>
              <w:t>0.0243</w:t>
            </w:r>
            <w:r>
              <w:rPr>
                <w:rFonts w:hint="eastAsia"/>
                <w:color w:val="auto"/>
                <w:sz w:val="24"/>
              </w:rPr>
              <w:t>t/a，排放速率为</w:t>
            </w:r>
            <w:r>
              <w:rPr>
                <w:rFonts w:hint="eastAsia"/>
                <w:color w:val="auto"/>
                <w:sz w:val="24"/>
                <w:lang w:val="en-US" w:eastAsia="zh-CN"/>
              </w:rPr>
              <w:t>0.0068</w:t>
            </w:r>
            <w:r>
              <w:rPr>
                <w:rFonts w:hint="eastAsia"/>
                <w:color w:val="auto"/>
                <w:sz w:val="24"/>
              </w:rPr>
              <w:t>kg/h。</w:t>
            </w:r>
          </w:p>
          <w:p w14:paraId="1F0868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olor w:val="auto"/>
                <w:sz w:val="24"/>
              </w:rPr>
              <w:t>颗粒物</w:t>
            </w:r>
            <w:r>
              <w:rPr>
                <w:color w:val="auto"/>
                <w:sz w:val="24"/>
              </w:rPr>
              <w:t>排放浓度均符合</w:t>
            </w:r>
            <w:r>
              <w:rPr>
                <w:rFonts w:hint="default" w:ascii="Times New Roman" w:hAnsi="Times New Roman" w:eastAsia="宋体" w:cs="Times New Roman"/>
                <w:color w:val="auto"/>
                <w:sz w:val="24"/>
                <w:szCs w:val="24"/>
                <w:highlight w:val="none"/>
                <w:lang w:val="zh-CN"/>
              </w:rPr>
              <w:t>《大气污染物综合排放标准》（GB16297-1996）</w:t>
            </w:r>
            <w:r>
              <w:rPr>
                <w:rFonts w:hint="default" w:ascii="Times New Roman" w:hAnsi="Times New Roman" w:eastAsia="宋体" w:cs="Times New Roman"/>
                <w:color w:val="auto"/>
                <w:sz w:val="24"/>
                <w:szCs w:val="24"/>
                <w:highlight w:val="none"/>
              </w:rPr>
              <w:t>表2中</w:t>
            </w:r>
            <w:r>
              <w:rPr>
                <w:rFonts w:hint="default" w:ascii="Times New Roman" w:hAnsi="Times New Roman" w:eastAsia="宋体" w:cs="Times New Roman"/>
                <w:color w:val="auto"/>
                <w:sz w:val="24"/>
                <w:szCs w:val="24"/>
                <w:highlight w:val="none"/>
                <w:lang w:val="en-US" w:eastAsia="zh-CN"/>
              </w:rPr>
              <w:t>二级</w:t>
            </w:r>
            <w:r>
              <w:rPr>
                <w:rFonts w:hint="default" w:ascii="Times New Roman" w:hAnsi="Times New Roman" w:eastAsia="宋体" w:cs="Times New Roman"/>
                <w:color w:val="auto"/>
                <w:sz w:val="24"/>
                <w:szCs w:val="24"/>
                <w:highlight w:val="none"/>
                <w:lang w:eastAsia="zh-CN"/>
              </w:rPr>
              <w:t>浓度限值</w:t>
            </w:r>
            <w:r>
              <w:rPr>
                <w:rFonts w:hint="default" w:ascii="Times New Roman" w:hAnsi="Times New Roman" w:eastAsia="宋体" w:cs="Times New Roman"/>
                <w:color w:val="auto"/>
                <w:sz w:val="24"/>
                <w:szCs w:val="24"/>
                <w:highlight w:val="none"/>
                <w:lang w:val="en-US" w:eastAsia="zh-CN"/>
              </w:rPr>
              <w:t>要求</w:t>
            </w:r>
            <w:r>
              <w:rPr>
                <w:color w:val="auto"/>
                <w:spacing w:val="-6"/>
                <w:sz w:val="24"/>
              </w:rPr>
              <w:t>，能够达标排放。</w:t>
            </w:r>
          </w:p>
          <w:p w14:paraId="17F677C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bCs/>
                <w:color w:val="auto"/>
              </w:rPr>
            </w:pPr>
            <w:r>
              <w:rPr>
                <w:rFonts w:hint="default" w:ascii="Times New Roman" w:hAnsi="Times New Roman" w:eastAsia="宋体" w:cs="Times New Roman"/>
                <w:color w:val="auto"/>
                <w:kern w:val="0"/>
                <w:sz w:val="24"/>
                <w:szCs w:val="24"/>
                <w:highlight w:val="none"/>
                <w:lang w:val="en-US" w:eastAsia="zh-CN" w:bidi="ar-SA"/>
              </w:rPr>
              <w:t>根据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大气污染治理工程技术导则</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HJ2000-2010</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中5.3.5排气筒的出口直径应根据出口流速确定，流速宜取15m/s左右。当采用钢管烟囱且高度较高时或烟气量较大时，可适当提高出口流速至20~25m/s。本项目DA001排气筒废气量为</w:t>
            </w:r>
            <w:r>
              <w:rPr>
                <w:rFonts w:hint="eastAsia" w:ascii="Times New Roman" w:hAnsi="Times New Roman" w:cs="Times New Roman"/>
                <w:color w:val="auto"/>
                <w:sz w:val="24"/>
                <w:szCs w:val="24"/>
                <w:highlight w:val="none"/>
                <w:lang w:val="en-US" w:eastAsia="zh-CN"/>
              </w:rPr>
              <w:t>26875</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/h，内径取0.</w:t>
            </w:r>
            <w:r>
              <w:rPr>
                <w:rFonts w:hint="eastAsia" w:ascii="Times New Roman" w:hAnsi="Times New Roman"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m，此时对应的烟气流速为</w:t>
            </w:r>
            <w:r>
              <w:rPr>
                <w:rFonts w:hint="eastAsia" w:ascii="Times New Roman" w:hAnsi="Times New Roman" w:cs="Times New Roman"/>
                <w:color w:val="auto"/>
                <w:sz w:val="24"/>
                <w:szCs w:val="24"/>
                <w:highlight w:val="none"/>
                <w:lang w:val="en-US" w:eastAsia="zh-CN"/>
              </w:rPr>
              <w:t>26.40</w:t>
            </w:r>
            <w:r>
              <w:rPr>
                <w:rFonts w:hint="default" w:ascii="Times New Roman" w:hAnsi="Times New Roman" w:eastAsia="宋体" w:cs="Times New Roman"/>
                <w:color w:val="auto"/>
                <w:sz w:val="24"/>
                <w:szCs w:val="24"/>
                <w:highlight w:val="none"/>
                <w:lang w:val="en-US" w:eastAsia="zh-CN"/>
              </w:rPr>
              <w:t>m/s，能够符合导则要求。</w:t>
            </w:r>
          </w:p>
          <w:p w14:paraId="72528D26">
            <w:pPr>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表4-</w:t>
            </w:r>
            <w:r>
              <w:rPr>
                <w:rFonts w:hint="eastAsia" w:cs="Times New Roman"/>
                <w:b/>
                <w:bCs/>
                <w:color w:val="auto"/>
                <w:lang w:val="en-US" w:eastAsia="zh-CN"/>
              </w:rPr>
              <w:t>5</w:t>
            </w:r>
            <w:r>
              <w:rPr>
                <w:rFonts w:hint="default" w:ascii="Times New Roman" w:hAnsi="Times New Roman" w:eastAsia="宋体" w:cs="Times New Roman"/>
                <w:b/>
                <w:bCs/>
                <w:color w:val="auto"/>
              </w:rPr>
              <w:t xml:space="preserve">  项目</w:t>
            </w:r>
            <w:r>
              <w:rPr>
                <w:rFonts w:hint="eastAsia" w:ascii="Times New Roman" w:hAnsi="Times New Roman" w:cs="Times New Roman"/>
                <w:b/>
                <w:bCs/>
                <w:color w:val="auto"/>
                <w:lang w:val="en-US" w:eastAsia="zh-CN"/>
              </w:rPr>
              <w:t>DA001排气筒</w:t>
            </w:r>
            <w:r>
              <w:rPr>
                <w:rFonts w:hint="default" w:ascii="Times New Roman" w:hAnsi="Times New Roman" w:eastAsia="宋体" w:cs="Times New Roman"/>
                <w:b/>
                <w:bCs/>
                <w:color w:val="auto"/>
              </w:rPr>
              <w:t>废气产排情况一览表</w:t>
            </w:r>
          </w:p>
          <w:tbl>
            <w:tblPr>
              <w:tblStyle w:val="26"/>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413"/>
              <w:gridCol w:w="590"/>
              <w:gridCol w:w="826"/>
              <w:gridCol w:w="28"/>
              <w:gridCol w:w="951"/>
              <w:gridCol w:w="6"/>
              <w:gridCol w:w="1145"/>
              <w:gridCol w:w="966"/>
              <w:gridCol w:w="826"/>
              <w:gridCol w:w="223"/>
              <w:gridCol w:w="759"/>
              <w:gridCol w:w="25"/>
              <w:gridCol w:w="1126"/>
            </w:tblGrid>
            <w:tr w14:paraId="1A7D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noWrap w:val="0"/>
                  <w:vAlign w:val="center"/>
                </w:tcPr>
                <w:p w14:paraId="6B5278DE">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污染源</w:t>
                  </w:r>
                </w:p>
              </w:tc>
              <w:tc>
                <w:tcPr>
                  <w:tcW w:w="413" w:type="dxa"/>
                  <w:noWrap w:val="0"/>
                  <w:vAlign w:val="center"/>
                </w:tcPr>
                <w:p w14:paraId="250C193D">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排放方式</w:t>
                  </w:r>
                </w:p>
              </w:tc>
              <w:tc>
                <w:tcPr>
                  <w:tcW w:w="590" w:type="dxa"/>
                  <w:noWrap w:val="0"/>
                  <w:vAlign w:val="center"/>
                </w:tcPr>
                <w:p w14:paraId="4012E862">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污染物</w:t>
                  </w:r>
                </w:p>
              </w:tc>
              <w:tc>
                <w:tcPr>
                  <w:tcW w:w="826" w:type="dxa"/>
                  <w:noWrap w:val="0"/>
                  <w:vAlign w:val="center"/>
                </w:tcPr>
                <w:p w14:paraId="0290CB37">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产生总量（t/a）</w:t>
                  </w:r>
                </w:p>
              </w:tc>
              <w:tc>
                <w:tcPr>
                  <w:tcW w:w="979" w:type="dxa"/>
                  <w:gridSpan w:val="2"/>
                  <w:noWrap w:val="0"/>
                  <w:vAlign w:val="center"/>
                </w:tcPr>
                <w:p w14:paraId="3C0E7E09">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产生速率（kg/h）</w:t>
                  </w:r>
                </w:p>
              </w:tc>
              <w:tc>
                <w:tcPr>
                  <w:tcW w:w="1151" w:type="dxa"/>
                  <w:gridSpan w:val="2"/>
                  <w:noWrap w:val="0"/>
                  <w:vAlign w:val="center"/>
                </w:tcPr>
                <w:p w14:paraId="1B5EF659">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产生浓度（mg/m</w:t>
                  </w:r>
                  <w:r>
                    <w:rPr>
                      <w:rFonts w:hint="default" w:ascii="Times New Roman" w:hAnsi="Times New Roman" w:eastAsia="宋体" w:cs="Times New Roman"/>
                      <w:b/>
                      <w:bCs/>
                      <w:color w:val="auto"/>
                      <w:szCs w:val="21"/>
                      <w:vertAlign w:val="superscript"/>
                    </w:rPr>
                    <w:t>3</w:t>
                  </w:r>
                  <w:r>
                    <w:rPr>
                      <w:rFonts w:hint="default" w:ascii="Times New Roman" w:hAnsi="Times New Roman" w:eastAsia="宋体" w:cs="Times New Roman"/>
                      <w:b/>
                      <w:bCs/>
                      <w:color w:val="auto"/>
                      <w:szCs w:val="21"/>
                    </w:rPr>
                    <w:t>）</w:t>
                  </w:r>
                </w:p>
              </w:tc>
              <w:tc>
                <w:tcPr>
                  <w:tcW w:w="966" w:type="dxa"/>
                  <w:noWrap w:val="0"/>
                  <w:vAlign w:val="center"/>
                </w:tcPr>
                <w:p w14:paraId="6EB2F903">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处理方式</w:t>
                  </w:r>
                </w:p>
              </w:tc>
              <w:tc>
                <w:tcPr>
                  <w:tcW w:w="826" w:type="dxa"/>
                  <w:noWrap w:val="0"/>
                  <w:vAlign w:val="center"/>
                </w:tcPr>
                <w:p w14:paraId="0E30B9B7">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排放量（t/a）</w:t>
                  </w:r>
                </w:p>
              </w:tc>
              <w:tc>
                <w:tcPr>
                  <w:tcW w:w="982" w:type="dxa"/>
                  <w:gridSpan w:val="2"/>
                  <w:noWrap w:val="0"/>
                  <w:vAlign w:val="center"/>
                </w:tcPr>
                <w:p w14:paraId="2B376E82">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排放速率（kg/h）</w:t>
                  </w:r>
                </w:p>
              </w:tc>
              <w:tc>
                <w:tcPr>
                  <w:tcW w:w="1151" w:type="dxa"/>
                  <w:gridSpan w:val="2"/>
                  <w:noWrap w:val="0"/>
                  <w:vAlign w:val="center"/>
                </w:tcPr>
                <w:p w14:paraId="0DE9D17F">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排放浓度（mg/m</w:t>
                  </w:r>
                  <w:r>
                    <w:rPr>
                      <w:rFonts w:hint="default" w:ascii="Times New Roman" w:hAnsi="Times New Roman" w:eastAsia="宋体" w:cs="Times New Roman"/>
                      <w:b/>
                      <w:bCs/>
                      <w:color w:val="auto"/>
                      <w:szCs w:val="21"/>
                      <w:vertAlign w:val="superscript"/>
                    </w:rPr>
                    <w:t>3</w:t>
                  </w:r>
                  <w:r>
                    <w:rPr>
                      <w:rFonts w:hint="default" w:ascii="Times New Roman" w:hAnsi="Times New Roman" w:eastAsia="宋体" w:cs="Times New Roman"/>
                      <w:b/>
                      <w:bCs/>
                      <w:color w:val="auto"/>
                      <w:szCs w:val="21"/>
                    </w:rPr>
                    <w:t>）</w:t>
                  </w:r>
                </w:p>
              </w:tc>
            </w:tr>
            <w:tr w14:paraId="47EA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restart"/>
                  <w:noWrap w:val="0"/>
                  <w:vAlign w:val="center"/>
                </w:tcPr>
                <w:p w14:paraId="7DF0A174">
                  <w:pPr>
                    <w:adjustRightInd w:val="0"/>
                    <w:snapToGrid w:val="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混料、破碎、磨粉工序</w:t>
                  </w:r>
                </w:p>
              </w:tc>
              <w:tc>
                <w:tcPr>
                  <w:tcW w:w="413" w:type="dxa"/>
                  <w:vMerge w:val="restart"/>
                  <w:noWrap w:val="0"/>
                  <w:vAlign w:val="center"/>
                </w:tcPr>
                <w:p w14:paraId="165F25C1">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有组织</w:t>
                  </w:r>
                </w:p>
              </w:tc>
              <w:tc>
                <w:tcPr>
                  <w:tcW w:w="590" w:type="dxa"/>
                  <w:noWrap w:val="0"/>
                  <w:vAlign w:val="center"/>
                </w:tcPr>
                <w:p w14:paraId="5A50E93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废气量</w:t>
                  </w:r>
                </w:p>
              </w:tc>
              <w:tc>
                <w:tcPr>
                  <w:tcW w:w="2956" w:type="dxa"/>
                  <w:gridSpan w:val="5"/>
                  <w:noWrap w:val="0"/>
                  <w:vAlign w:val="center"/>
                </w:tcPr>
                <w:p w14:paraId="7428B27D">
                  <w:pPr>
                    <w:keepNext w:val="0"/>
                    <w:keepLines w:val="0"/>
                    <w:widowControl/>
                    <w:suppressLineNumbers w:val="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cs="Times New Roman"/>
                      <w:color w:val="auto"/>
                      <w:sz w:val="21"/>
                      <w:szCs w:val="21"/>
                      <w:highlight w:val="none"/>
                      <w:lang w:val="en-US" w:eastAsia="zh-CN"/>
                    </w:rPr>
                    <w:t>26875</w:t>
                  </w:r>
                  <w:r>
                    <w:rPr>
                      <w:rFonts w:hint="default" w:ascii="Times New Roman" w:hAnsi="Times New Roman" w:eastAsia="宋体" w:cs="Times New Roman"/>
                      <w:i w:val="0"/>
                      <w:iCs w:val="0"/>
                      <w:color w:val="auto"/>
                      <w:kern w:val="0"/>
                      <w:sz w:val="21"/>
                      <w:szCs w:val="21"/>
                      <w:u w:val="none"/>
                      <w:lang w:val="en-US" w:eastAsia="zh-CN" w:bidi="ar"/>
                    </w:rPr>
                    <w:t>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/h，</w:t>
                  </w:r>
                  <w:r>
                    <w:rPr>
                      <w:rFonts w:hint="eastAsia" w:ascii="Times New Roman" w:hAnsi="Times New Roman" w:cs="Times New Roman"/>
                      <w:i w:val="0"/>
                      <w:iCs w:val="0"/>
                      <w:color w:val="auto"/>
                      <w:kern w:val="0"/>
                      <w:sz w:val="21"/>
                      <w:szCs w:val="21"/>
                      <w:u w:val="none"/>
                      <w:lang w:val="en-US" w:eastAsia="zh-CN" w:bidi="ar"/>
                    </w:rPr>
                    <w:t>10075</w:t>
                  </w:r>
                  <w:r>
                    <w:rPr>
                      <w:rFonts w:hint="default" w:ascii="Times New Roman" w:hAnsi="Times New Roman" w:eastAsia="宋体" w:cs="Times New Roman"/>
                      <w:i w:val="0"/>
                      <w:iCs w:val="0"/>
                      <w:color w:val="auto"/>
                      <w:kern w:val="0"/>
                      <w:sz w:val="21"/>
                      <w:szCs w:val="21"/>
                      <w:u w:val="none"/>
                      <w:lang w:val="en-US" w:eastAsia="zh-CN" w:bidi="ar"/>
                    </w:rPr>
                    <w:t>万m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/a</w:t>
                  </w:r>
                </w:p>
              </w:tc>
              <w:tc>
                <w:tcPr>
                  <w:tcW w:w="966" w:type="dxa"/>
                  <w:vMerge w:val="restart"/>
                  <w:noWrap w:val="0"/>
                  <w:vAlign w:val="center"/>
                </w:tcPr>
                <w:p w14:paraId="52B082D5">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集气罩收集（</w:t>
                  </w:r>
                  <w:r>
                    <w:rPr>
                      <w:rFonts w:hint="eastAsia" w:ascii="Times New Roman" w:hAnsi="Times New Roman" w:cs="Times New Roman"/>
                      <w:i w:val="0"/>
                      <w:iCs w:val="0"/>
                      <w:color w:val="auto"/>
                      <w:kern w:val="0"/>
                      <w:sz w:val="21"/>
                      <w:szCs w:val="21"/>
                      <w:u w:val="none"/>
                      <w:lang w:val="en-US" w:eastAsia="zh-CN" w:bidi="ar"/>
                    </w:rPr>
                    <w:t>80</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cs="Times New Roman"/>
                      <w:i w:val="0"/>
                      <w:iCs w:val="0"/>
                      <w:color w:val="auto"/>
                      <w:kern w:val="0"/>
                      <w:sz w:val="21"/>
                      <w:szCs w:val="21"/>
                      <w:u w:val="none"/>
                      <w:lang w:val="en-US" w:eastAsia="zh-CN" w:bidi="ar"/>
                    </w:rPr>
                    <w:t>布袋除尘器</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cs="Times New Roman"/>
                      <w:i w:val="0"/>
                      <w:iCs w:val="0"/>
                      <w:color w:val="auto"/>
                      <w:kern w:val="0"/>
                      <w:sz w:val="21"/>
                      <w:szCs w:val="21"/>
                      <w:u w:val="none"/>
                      <w:lang w:val="en-US" w:eastAsia="zh-CN" w:bidi="ar"/>
                    </w:rPr>
                    <w:t>99</w:t>
                  </w:r>
                  <w:r>
                    <w:rPr>
                      <w:rFonts w:hint="default" w:ascii="Times New Roman" w:hAnsi="Times New Roman" w:eastAsia="宋体" w:cs="Times New Roman"/>
                      <w:i w:val="0"/>
                      <w:iCs w:val="0"/>
                      <w:color w:val="auto"/>
                      <w:kern w:val="0"/>
                      <w:sz w:val="21"/>
                      <w:szCs w:val="21"/>
                      <w:u w:val="none"/>
                      <w:lang w:val="en-US" w:eastAsia="zh-CN" w:bidi="ar"/>
                    </w:rPr>
                    <w:t>%）</w:t>
                  </w:r>
                </w:p>
              </w:tc>
              <w:tc>
                <w:tcPr>
                  <w:tcW w:w="2959" w:type="dxa"/>
                  <w:gridSpan w:val="5"/>
                  <w:noWrap w:val="0"/>
                  <w:vAlign w:val="center"/>
                </w:tcPr>
                <w:p w14:paraId="0889B461">
                  <w:pPr>
                    <w:keepNext w:val="0"/>
                    <w:keepLines w:val="0"/>
                    <w:widowControl/>
                    <w:suppressLineNumbers w:val="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cs="Times New Roman"/>
                      <w:color w:val="auto"/>
                      <w:sz w:val="21"/>
                      <w:szCs w:val="21"/>
                      <w:highlight w:val="none"/>
                      <w:lang w:val="en-US" w:eastAsia="zh-CN"/>
                    </w:rPr>
                    <w:t>26875</w:t>
                  </w:r>
                  <w:r>
                    <w:rPr>
                      <w:rFonts w:hint="default" w:ascii="Times New Roman" w:hAnsi="Times New Roman" w:eastAsia="宋体" w:cs="Times New Roman"/>
                      <w:i w:val="0"/>
                      <w:iCs w:val="0"/>
                      <w:color w:val="auto"/>
                      <w:kern w:val="0"/>
                      <w:sz w:val="21"/>
                      <w:szCs w:val="21"/>
                      <w:u w:val="none"/>
                      <w:lang w:val="en-US" w:eastAsia="zh-CN" w:bidi="ar"/>
                    </w:rPr>
                    <w:t>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/h，</w:t>
                  </w:r>
                  <w:r>
                    <w:rPr>
                      <w:rFonts w:hint="eastAsia" w:ascii="Times New Roman" w:hAnsi="Times New Roman" w:cs="Times New Roman"/>
                      <w:i w:val="0"/>
                      <w:iCs w:val="0"/>
                      <w:color w:val="auto"/>
                      <w:kern w:val="0"/>
                      <w:sz w:val="21"/>
                      <w:szCs w:val="21"/>
                      <w:u w:val="none"/>
                      <w:lang w:val="en-US" w:eastAsia="zh-CN" w:bidi="ar"/>
                    </w:rPr>
                    <w:t>10075</w:t>
                  </w:r>
                  <w:r>
                    <w:rPr>
                      <w:rFonts w:hint="default" w:ascii="Times New Roman" w:hAnsi="Times New Roman" w:eastAsia="宋体" w:cs="Times New Roman"/>
                      <w:i w:val="0"/>
                      <w:iCs w:val="0"/>
                      <w:color w:val="auto"/>
                      <w:kern w:val="0"/>
                      <w:sz w:val="21"/>
                      <w:szCs w:val="21"/>
                      <w:u w:val="none"/>
                      <w:lang w:val="en-US" w:eastAsia="zh-CN" w:bidi="ar"/>
                    </w:rPr>
                    <w:t>万m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/a</w:t>
                  </w:r>
                </w:p>
              </w:tc>
            </w:tr>
            <w:tr w14:paraId="27B6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continue"/>
                  <w:noWrap w:val="0"/>
                  <w:vAlign w:val="center"/>
                </w:tcPr>
                <w:p w14:paraId="5C6D4665">
                  <w:pPr>
                    <w:adjustRightInd w:val="0"/>
                    <w:snapToGrid w:val="0"/>
                    <w:jc w:val="center"/>
                    <w:rPr>
                      <w:rFonts w:hint="default" w:ascii="Times New Roman" w:hAnsi="Times New Roman" w:eastAsia="宋体" w:cs="Times New Roman"/>
                      <w:color w:val="auto"/>
                      <w:szCs w:val="21"/>
                    </w:rPr>
                  </w:pPr>
                </w:p>
              </w:tc>
              <w:tc>
                <w:tcPr>
                  <w:tcW w:w="413" w:type="dxa"/>
                  <w:vMerge w:val="continue"/>
                  <w:noWrap w:val="0"/>
                  <w:vAlign w:val="center"/>
                </w:tcPr>
                <w:p w14:paraId="3C757CB7">
                  <w:pPr>
                    <w:jc w:val="center"/>
                    <w:rPr>
                      <w:rFonts w:hint="default" w:ascii="Times New Roman" w:hAnsi="Times New Roman" w:eastAsia="宋体" w:cs="Times New Roman"/>
                      <w:color w:val="auto"/>
                      <w:szCs w:val="21"/>
                    </w:rPr>
                  </w:pPr>
                </w:p>
              </w:tc>
              <w:tc>
                <w:tcPr>
                  <w:tcW w:w="590" w:type="dxa"/>
                  <w:noWrap w:val="0"/>
                  <w:vAlign w:val="center"/>
                </w:tcPr>
                <w:p w14:paraId="4A7B61CD">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854" w:type="dxa"/>
                  <w:gridSpan w:val="2"/>
                  <w:noWrap w:val="0"/>
                  <w:vAlign w:val="center"/>
                </w:tcPr>
                <w:p w14:paraId="47FB8466">
                  <w:pPr>
                    <w:keepNext w:val="0"/>
                    <w:keepLines w:val="0"/>
                    <w:widowControl/>
                    <w:suppressLineNumbers w:val="0"/>
                    <w:jc w:val="center"/>
                    <w:textAlignment w:val="center"/>
                    <w:rPr>
                      <w:rFonts w:hint="default" w:ascii="Times New Roman" w:hAnsi="Times New Roman" w:eastAsia="宋体" w:cs="Times New Roman"/>
                      <w:color w:val="auto"/>
                      <w:szCs w:val="21"/>
                      <w:lang w:val="en-US"/>
                    </w:rPr>
                  </w:pPr>
                  <w:r>
                    <w:rPr>
                      <w:rFonts w:hint="eastAsia" w:ascii="Times New Roman" w:hAnsi="Times New Roman" w:cs="Times New Roman"/>
                      <w:i w:val="0"/>
                      <w:iCs w:val="0"/>
                      <w:color w:val="auto"/>
                      <w:kern w:val="0"/>
                      <w:sz w:val="21"/>
                      <w:szCs w:val="21"/>
                      <w:u w:val="none"/>
                      <w:lang w:val="en-US" w:eastAsia="zh-CN" w:bidi="ar"/>
                    </w:rPr>
                    <w:t>6.804</w:t>
                  </w:r>
                </w:p>
              </w:tc>
              <w:tc>
                <w:tcPr>
                  <w:tcW w:w="957" w:type="dxa"/>
                  <w:gridSpan w:val="2"/>
                  <w:noWrap w:val="0"/>
                  <w:vAlign w:val="center"/>
                </w:tcPr>
                <w:p w14:paraId="1C7A78DE">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1.8900</w:t>
                  </w:r>
                </w:p>
              </w:tc>
              <w:tc>
                <w:tcPr>
                  <w:tcW w:w="1145" w:type="dxa"/>
                  <w:noWrap w:val="0"/>
                  <w:vAlign w:val="center"/>
                </w:tcPr>
                <w:p w14:paraId="529D0E1F">
                  <w:pPr>
                    <w:keepNext w:val="0"/>
                    <w:keepLines w:val="0"/>
                    <w:widowControl/>
                    <w:suppressLineNumbers w:val="0"/>
                    <w:jc w:val="center"/>
                    <w:textAlignment w:val="center"/>
                    <w:rPr>
                      <w:rFonts w:hint="default" w:ascii="Times New Roman" w:hAnsi="Times New Roman" w:eastAsia="宋体" w:cs="Times New Roman"/>
                      <w:color w:val="auto"/>
                      <w:szCs w:val="21"/>
                      <w:lang w:val="en-US"/>
                    </w:rPr>
                  </w:pPr>
                  <w:r>
                    <w:rPr>
                      <w:rFonts w:hint="eastAsia" w:ascii="Times New Roman" w:hAnsi="Times New Roman" w:cs="Times New Roman"/>
                      <w:i w:val="0"/>
                      <w:iCs w:val="0"/>
                      <w:color w:val="auto"/>
                      <w:kern w:val="0"/>
                      <w:sz w:val="21"/>
                      <w:szCs w:val="21"/>
                      <w:u w:val="none"/>
                      <w:lang w:val="en-US" w:eastAsia="zh-CN" w:bidi="ar"/>
                    </w:rPr>
                    <w:t>70.33</w:t>
                  </w:r>
                </w:p>
              </w:tc>
              <w:tc>
                <w:tcPr>
                  <w:tcW w:w="966" w:type="dxa"/>
                  <w:vMerge w:val="continue"/>
                  <w:noWrap w:val="0"/>
                  <w:vAlign w:val="center"/>
                </w:tcPr>
                <w:p w14:paraId="0CC5B406">
                  <w:pPr>
                    <w:jc w:val="center"/>
                    <w:rPr>
                      <w:rFonts w:hint="default" w:ascii="Times New Roman" w:hAnsi="Times New Roman" w:eastAsia="宋体" w:cs="Times New Roman"/>
                      <w:color w:val="auto"/>
                      <w:szCs w:val="21"/>
                    </w:rPr>
                  </w:pPr>
                </w:p>
              </w:tc>
              <w:tc>
                <w:tcPr>
                  <w:tcW w:w="1049" w:type="dxa"/>
                  <w:gridSpan w:val="2"/>
                  <w:noWrap w:val="0"/>
                  <w:vAlign w:val="center"/>
                </w:tcPr>
                <w:p w14:paraId="48593E3E">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680</w:t>
                  </w:r>
                </w:p>
              </w:tc>
              <w:tc>
                <w:tcPr>
                  <w:tcW w:w="784" w:type="dxa"/>
                  <w:gridSpan w:val="2"/>
                  <w:noWrap w:val="0"/>
                  <w:vAlign w:val="center"/>
                </w:tcPr>
                <w:p w14:paraId="357F3361">
                  <w:pPr>
                    <w:keepNext w:val="0"/>
                    <w:keepLines w:val="0"/>
                    <w:widowControl/>
                    <w:suppressLineNumbers w:val="0"/>
                    <w:jc w:val="center"/>
                    <w:textAlignment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189</w:t>
                  </w:r>
                </w:p>
              </w:tc>
              <w:tc>
                <w:tcPr>
                  <w:tcW w:w="1126" w:type="dxa"/>
                  <w:noWrap w:val="0"/>
                  <w:vAlign w:val="center"/>
                </w:tcPr>
                <w:p w14:paraId="4BCA6E32">
                  <w:pPr>
                    <w:keepNext w:val="0"/>
                    <w:keepLines w:val="0"/>
                    <w:widowControl/>
                    <w:suppressLineNumbers w:val="0"/>
                    <w:jc w:val="center"/>
                    <w:textAlignment w:val="center"/>
                    <w:rPr>
                      <w:rFonts w:hint="default" w:ascii="Times New Roman" w:hAnsi="Times New Roman" w:eastAsia="宋体" w:cs="Times New Roman"/>
                      <w:color w:val="auto"/>
                      <w:szCs w:val="21"/>
                      <w:lang w:val="en-US"/>
                    </w:rPr>
                  </w:pPr>
                  <w:r>
                    <w:rPr>
                      <w:rFonts w:hint="eastAsia" w:ascii="Times New Roman" w:hAnsi="Times New Roman" w:cs="Times New Roman"/>
                      <w:i w:val="0"/>
                      <w:iCs w:val="0"/>
                      <w:color w:val="auto"/>
                      <w:kern w:val="0"/>
                      <w:sz w:val="21"/>
                      <w:szCs w:val="21"/>
                      <w:u w:val="none"/>
                      <w:lang w:val="en-US" w:eastAsia="zh-CN" w:bidi="ar"/>
                    </w:rPr>
                    <w:t>0.70</w:t>
                  </w:r>
                </w:p>
              </w:tc>
            </w:tr>
            <w:tr w14:paraId="3AC1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vMerge w:val="continue"/>
                  <w:noWrap w:val="0"/>
                  <w:vAlign w:val="center"/>
                </w:tcPr>
                <w:p w14:paraId="7A55025A">
                  <w:pPr>
                    <w:adjustRightInd w:val="0"/>
                    <w:snapToGrid w:val="0"/>
                    <w:jc w:val="center"/>
                    <w:rPr>
                      <w:rFonts w:hint="default" w:ascii="Times New Roman" w:hAnsi="Times New Roman" w:eastAsia="宋体" w:cs="Times New Roman"/>
                      <w:color w:val="auto"/>
                      <w:szCs w:val="21"/>
                    </w:rPr>
                  </w:pPr>
                </w:p>
              </w:tc>
              <w:tc>
                <w:tcPr>
                  <w:tcW w:w="413" w:type="dxa"/>
                  <w:noWrap w:val="0"/>
                  <w:vAlign w:val="center"/>
                </w:tcPr>
                <w:p w14:paraId="19A24F7D">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无组织</w:t>
                  </w:r>
                </w:p>
              </w:tc>
              <w:tc>
                <w:tcPr>
                  <w:tcW w:w="590" w:type="dxa"/>
                  <w:noWrap w:val="0"/>
                  <w:vAlign w:val="center"/>
                </w:tcPr>
                <w:p w14:paraId="4F5E2791">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854" w:type="dxa"/>
                  <w:gridSpan w:val="2"/>
                  <w:noWrap w:val="0"/>
                  <w:vAlign w:val="center"/>
                </w:tcPr>
                <w:p w14:paraId="69D4FEA8">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eastAsia" w:ascii="Times New Roman" w:hAnsi="Times New Roman" w:cs="Times New Roman"/>
                      <w:i w:val="0"/>
                      <w:iCs w:val="0"/>
                      <w:color w:val="auto"/>
                      <w:kern w:val="0"/>
                      <w:sz w:val="21"/>
                      <w:szCs w:val="21"/>
                      <w:u w:val="none"/>
                      <w:lang w:val="en-US" w:eastAsia="zh-CN" w:bidi="ar"/>
                    </w:rPr>
                    <w:t>1.7010</w:t>
                  </w:r>
                </w:p>
              </w:tc>
              <w:tc>
                <w:tcPr>
                  <w:tcW w:w="957" w:type="dxa"/>
                  <w:gridSpan w:val="2"/>
                  <w:noWrap w:val="0"/>
                  <w:vAlign w:val="center"/>
                </w:tcPr>
                <w:p w14:paraId="008582C0">
                  <w:pPr>
                    <w:keepNext w:val="0"/>
                    <w:keepLines w:val="0"/>
                    <w:widowControl/>
                    <w:suppressLineNumbers w:val="0"/>
                    <w:jc w:val="center"/>
                    <w:textAlignment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4725</w:t>
                  </w:r>
                </w:p>
              </w:tc>
              <w:tc>
                <w:tcPr>
                  <w:tcW w:w="1145" w:type="dxa"/>
                  <w:noWrap w:val="0"/>
                  <w:vAlign w:val="center"/>
                </w:tcPr>
                <w:p w14:paraId="6D17E5A9">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966" w:type="dxa"/>
                  <w:noWrap w:val="0"/>
                  <w:vAlign w:val="center"/>
                </w:tcPr>
                <w:p w14:paraId="6FDCF0D7">
                  <w:pPr>
                    <w:keepNext w:val="0"/>
                    <w:keepLines w:val="0"/>
                    <w:widowControl/>
                    <w:suppressLineNumbers w:val="0"/>
                    <w:jc w:val="center"/>
                    <w:textAlignment w:val="center"/>
                    <w:rPr>
                      <w:rFonts w:hint="default" w:ascii="Times New Roman" w:hAnsi="Times New Roman" w:eastAsia="宋体" w:cs="Times New Roman"/>
                      <w:color w:val="auto"/>
                      <w:szCs w:val="21"/>
                      <w:lang w:val="en-US"/>
                    </w:rPr>
                  </w:pPr>
                  <w:r>
                    <w:rPr>
                      <w:rFonts w:hint="eastAsia" w:ascii="Times New Roman" w:hAnsi="Times New Roman" w:cs="Times New Roman"/>
                      <w:i w:val="0"/>
                      <w:iCs w:val="0"/>
                      <w:color w:val="auto"/>
                      <w:kern w:val="0"/>
                      <w:sz w:val="21"/>
                      <w:szCs w:val="21"/>
                      <w:u w:val="none"/>
                      <w:lang w:val="en-US" w:eastAsia="zh-CN" w:bidi="ar"/>
                    </w:rPr>
                    <w:t>厂房阻隔沉降，处理效率70%</w:t>
                  </w:r>
                </w:p>
              </w:tc>
              <w:tc>
                <w:tcPr>
                  <w:tcW w:w="1049" w:type="dxa"/>
                  <w:gridSpan w:val="2"/>
                  <w:noWrap w:val="0"/>
                  <w:vAlign w:val="center"/>
                </w:tcPr>
                <w:p w14:paraId="7E25A797">
                  <w:pPr>
                    <w:keepNext w:val="0"/>
                    <w:keepLines w:val="0"/>
                    <w:widowControl/>
                    <w:suppressLineNumbers w:val="0"/>
                    <w:jc w:val="center"/>
                    <w:textAlignment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5103</w:t>
                  </w:r>
                </w:p>
              </w:tc>
              <w:tc>
                <w:tcPr>
                  <w:tcW w:w="784" w:type="dxa"/>
                  <w:gridSpan w:val="2"/>
                  <w:noWrap w:val="0"/>
                  <w:vAlign w:val="center"/>
                </w:tcPr>
                <w:p w14:paraId="51261035">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1418</w:t>
                  </w:r>
                </w:p>
              </w:tc>
              <w:tc>
                <w:tcPr>
                  <w:tcW w:w="1126" w:type="dxa"/>
                  <w:noWrap w:val="0"/>
                  <w:vAlign w:val="center"/>
                </w:tcPr>
                <w:p w14:paraId="0FA503F9">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w:t>
                  </w:r>
                </w:p>
              </w:tc>
            </w:tr>
            <w:tr w14:paraId="36E2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1" w:type="dxa"/>
                  <w:gridSpan w:val="14"/>
                  <w:noWrap w:val="0"/>
                  <w:vAlign w:val="center"/>
                </w:tcPr>
                <w:p w14:paraId="0CA7FE19">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备注：①项目年运行时间为</w:t>
                  </w:r>
                  <w:r>
                    <w:rPr>
                      <w:rFonts w:hint="eastAsia" w:ascii="Times New Roman" w:hAnsi="Times New Roman" w:cs="Times New Roman"/>
                      <w:i w:val="0"/>
                      <w:iCs w:val="0"/>
                      <w:color w:val="auto"/>
                      <w:kern w:val="0"/>
                      <w:sz w:val="21"/>
                      <w:szCs w:val="21"/>
                      <w:highlight w:val="none"/>
                      <w:u w:val="none"/>
                      <w:lang w:val="en-US" w:eastAsia="zh-CN" w:bidi="ar"/>
                    </w:rPr>
                    <w:t>36</w:t>
                  </w:r>
                  <w:r>
                    <w:rPr>
                      <w:rFonts w:hint="default" w:ascii="Times New Roman" w:hAnsi="Times New Roman" w:eastAsia="宋体" w:cs="Times New Roman"/>
                      <w:i w:val="0"/>
                      <w:iCs w:val="0"/>
                      <w:color w:val="auto"/>
                      <w:kern w:val="0"/>
                      <w:sz w:val="21"/>
                      <w:szCs w:val="21"/>
                      <w:highlight w:val="none"/>
                      <w:u w:val="none"/>
                      <w:lang w:val="en-US" w:eastAsia="zh-CN" w:bidi="ar"/>
                    </w:rPr>
                    <w:t>00h；</w:t>
                  </w:r>
                </w:p>
                <w:p w14:paraId="3224147B">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②DA00</w:t>
                  </w:r>
                  <w:r>
                    <w:rPr>
                      <w:rFonts w:hint="eastAsia" w:ascii="Times New Roman" w:hAnsi="Times New Roman" w:cs="Times New Roman"/>
                      <w:i w:val="0"/>
                      <w:iCs w:val="0"/>
                      <w:color w:val="auto"/>
                      <w:kern w:val="0"/>
                      <w:sz w:val="21"/>
                      <w:szCs w:val="21"/>
                      <w:highlight w:val="none"/>
                      <w:u w:val="none"/>
                      <w:lang w:val="en-US" w:eastAsia="zh-CN" w:bidi="ar"/>
                    </w:rPr>
                    <w:t>1</w:t>
                  </w:r>
                  <w:r>
                    <w:rPr>
                      <w:rFonts w:hint="default" w:ascii="Times New Roman" w:hAnsi="Times New Roman" w:eastAsia="宋体" w:cs="Times New Roman"/>
                      <w:i w:val="0"/>
                      <w:iCs w:val="0"/>
                      <w:color w:val="auto"/>
                      <w:kern w:val="0"/>
                      <w:sz w:val="21"/>
                      <w:szCs w:val="21"/>
                      <w:highlight w:val="none"/>
                      <w:u w:val="none"/>
                      <w:lang w:val="en-US" w:eastAsia="zh-CN" w:bidi="ar"/>
                    </w:rPr>
                    <w:t>排气筒风机风量为</w:t>
                  </w:r>
                  <w:r>
                    <w:rPr>
                      <w:rFonts w:hint="eastAsia" w:ascii="Times New Roman" w:hAnsi="Times New Roman" w:cs="Times New Roman"/>
                      <w:color w:val="auto"/>
                      <w:sz w:val="21"/>
                      <w:szCs w:val="21"/>
                      <w:highlight w:val="none"/>
                      <w:lang w:val="en-US" w:eastAsia="zh-CN"/>
                    </w:rPr>
                    <w:t>26875</w:t>
                  </w:r>
                  <w:r>
                    <w:rPr>
                      <w:rFonts w:hint="default" w:ascii="Times New Roman" w:hAnsi="Times New Roman" w:eastAsia="宋体" w:cs="Times New Roman"/>
                      <w:i w:val="0"/>
                      <w:iCs w:val="0"/>
                      <w:color w:val="auto"/>
                      <w:kern w:val="0"/>
                      <w:sz w:val="21"/>
                      <w:szCs w:val="21"/>
                      <w:u w:val="none"/>
                      <w:lang w:val="en-US" w:eastAsia="zh-CN" w:bidi="ar"/>
                    </w:rPr>
                    <w:t>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/h，</w:t>
                  </w:r>
                  <w:r>
                    <w:rPr>
                      <w:rFonts w:hint="eastAsia" w:ascii="Times New Roman" w:hAnsi="Times New Roman" w:cs="Times New Roman"/>
                      <w:i w:val="0"/>
                      <w:iCs w:val="0"/>
                      <w:color w:val="auto"/>
                      <w:kern w:val="0"/>
                      <w:sz w:val="21"/>
                      <w:szCs w:val="21"/>
                      <w:u w:val="none"/>
                      <w:lang w:val="en-US" w:eastAsia="zh-CN" w:bidi="ar"/>
                    </w:rPr>
                    <w:t>10075</w:t>
                  </w:r>
                  <w:r>
                    <w:rPr>
                      <w:rFonts w:hint="default" w:ascii="Times New Roman" w:hAnsi="Times New Roman" w:eastAsia="宋体" w:cs="Times New Roman"/>
                      <w:i w:val="0"/>
                      <w:iCs w:val="0"/>
                      <w:color w:val="auto"/>
                      <w:kern w:val="0"/>
                      <w:sz w:val="21"/>
                      <w:szCs w:val="21"/>
                      <w:u w:val="none"/>
                      <w:lang w:val="en-US" w:eastAsia="zh-CN" w:bidi="ar"/>
                    </w:rPr>
                    <w:t>万m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/a</w:t>
                  </w:r>
                  <w:r>
                    <w:rPr>
                      <w:rFonts w:hint="default" w:ascii="Times New Roman" w:hAnsi="Times New Roman" w:eastAsia="宋体" w:cs="Times New Roman"/>
                      <w:i w:val="0"/>
                      <w:iCs w:val="0"/>
                      <w:color w:val="auto"/>
                      <w:kern w:val="0"/>
                      <w:sz w:val="21"/>
                      <w:szCs w:val="21"/>
                      <w:highlight w:val="none"/>
                      <w:u w:val="none"/>
                      <w:lang w:val="en-US" w:eastAsia="zh-CN" w:bidi="ar"/>
                    </w:rPr>
                    <w:t>；</w:t>
                  </w:r>
                </w:p>
                <w:p w14:paraId="21643982">
                  <w:pPr>
                    <w:adjustRightInd w:val="0"/>
                    <w:snapToGrid w:val="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③DA00</w:t>
                  </w:r>
                  <w:r>
                    <w:rPr>
                      <w:rFonts w:hint="eastAsia" w:ascii="Times New Roman" w:hAnsi="Times New Roman" w:cs="Times New Roman"/>
                      <w:i w:val="0"/>
                      <w:iCs w:val="0"/>
                      <w:color w:val="auto"/>
                      <w:kern w:val="0"/>
                      <w:sz w:val="21"/>
                      <w:szCs w:val="21"/>
                      <w:highlight w:val="none"/>
                      <w:u w:val="none"/>
                      <w:lang w:val="en-US" w:eastAsia="zh-CN" w:bidi="ar"/>
                    </w:rPr>
                    <w:t>1</w:t>
                  </w:r>
                  <w:r>
                    <w:rPr>
                      <w:rFonts w:hint="default" w:ascii="Times New Roman" w:hAnsi="Times New Roman" w:eastAsia="宋体" w:cs="Times New Roman"/>
                      <w:i w:val="0"/>
                      <w:iCs w:val="0"/>
                      <w:color w:val="auto"/>
                      <w:kern w:val="0"/>
                      <w:sz w:val="21"/>
                      <w:szCs w:val="21"/>
                      <w:highlight w:val="none"/>
                      <w:u w:val="none"/>
                      <w:lang w:val="en-US" w:eastAsia="zh-CN" w:bidi="ar"/>
                    </w:rPr>
                    <w:t>排气筒执行</w:t>
                  </w:r>
                  <w:r>
                    <w:rPr>
                      <w:rFonts w:hint="default" w:ascii="Times New Roman" w:hAnsi="Times New Roman" w:eastAsia="宋体" w:cs="Times New Roman"/>
                      <w:color w:val="auto"/>
                      <w:sz w:val="21"/>
                      <w:szCs w:val="21"/>
                      <w:highlight w:val="none"/>
                      <w:lang w:val="zh-CN"/>
                    </w:rPr>
                    <w:t>《大气污染物综合排放标准》（GB16297-1996）</w:t>
                  </w:r>
                  <w:r>
                    <w:rPr>
                      <w:rFonts w:hint="default" w:ascii="Times New Roman" w:hAnsi="Times New Roman" w:eastAsia="宋体" w:cs="Times New Roman"/>
                      <w:color w:val="auto"/>
                      <w:sz w:val="21"/>
                      <w:szCs w:val="21"/>
                      <w:highlight w:val="none"/>
                    </w:rPr>
                    <w:t>表2中</w:t>
                  </w:r>
                  <w:r>
                    <w:rPr>
                      <w:rFonts w:hint="default" w:ascii="Times New Roman" w:hAnsi="Times New Roman" w:eastAsia="宋体" w:cs="Times New Roman"/>
                      <w:color w:val="auto"/>
                      <w:sz w:val="21"/>
                      <w:szCs w:val="21"/>
                      <w:highlight w:val="none"/>
                      <w:lang w:val="en-US" w:eastAsia="zh-CN"/>
                    </w:rPr>
                    <w:t>二级</w:t>
                  </w:r>
                  <w:r>
                    <w:rPr>
                      <w:rFonts w:hint="default" w:ascii="Times New Roman" w:hAnsi="Times New Roman" w:eastAsia="宋体" w:cs="Times New Roman"/>
                      <w:color w:val="auto"/>
                      <w:sz w:val="21"/>
                      <w:szCs w:val="21"/>
                      <w:highlight w:val="none"/>
                      <w:lang w:eastAsia="zh-CN"/>
                    </w:rPr>
                    <w:t>浓度限值，</w:t>
                  </w:r>
                  <w:r>
                    <w:rPr>
                      <w:rFonts w:hint="default" w:ascii="Times New Roman" w:hAnsi="Times New Roman" w:eastAsia="宋体" w:cs="Times New Roman"/>
                      <w:color w:val="auto"/>
                      <w:sz w:val="21"/>
                      <w:szCs w:val="21"/>
                      <w:highlight w:val="none"/>
                      <w:lang w:val="en-US" w:eastAsia="zh-CN"/>
                    </w:rPr>
                    <w:t>排放速率严格50%执行。</w:t>
                  </w:r>
                </w:p>
              </w:tc>
            </w:tr>
          </w:tbl>
          <w:p w14:paraId="6A53B9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lang w:val="en-US" w:eastAsia="zh-CN"/>
              </w:rPr>
              <w:t>DA001排气筒</w:t>
            </w:r>
            <w:r>
              <w:rPr>
                <w:rFonts w:hint="eastAsia"/>
                <w:color w:val="auto"/>
                <w:sz w:val="24"/>
              </w:rPr>
              <w:t>颗粒物</w:t>
            </w:r>
            <w:r>
              <w:rPr>
                <w:color w:val="auto"/>
                <w:sz w:val="24"/>
              </w:rPr>
              <w:t>排放浓度</w:t>
            </w:r>
            <w:r>
              <w:rPr>
                <w:rFonts w:hint="eastAsia"/>
                <w:color w:val="auto"/>
                <w:sz w:val="24"/>
                <w:lang w:eastAsia="zh-CN"/>
              </w:rPr>
              <w:t>和排放速率</w:t>
            </w:r>
            <w:r>
              <w:rPr>
                <w:color w:val="auto"/>
                <w:sz w:val="24"/>
              </w:rPr>
              <w:t>均符合</w:t>
            </w:r>
            <w:r>
              <w:rPr>
                <w:rFonts w:hint="default" w:ascii="Times New Roman" w:hAnsi="Times New Roman" w:eastAsia="宋体" w:cs="Times New Roman"/>
                <w:color w:val="auto"/>
                <w:sz w:val="24"/>
                <w:szCs w:val="24"/>
                <w:highlight w:val="none"/>
                <w:lang w:val="zh-CN"/>
              </w:rPr>
              <w:t>《大气污染物综合排放标准》（GB16297-1996）</w:t>
            </w:r>
            <w:r>
              <w:rPr>
                <w:rFonts w:hint="default" w:ascii="Times New Roman" w:hAnsi="Times New Roman" w:eastAsia="宋体" w:cs="Times New Roman"/>
                <w:color w:val="auto"/>
                <w:sz w:val="24"/>
                <w:szCs w:val="24"/>
                <w:highlight w:val="none"/>
              </w:rPr>
              <w:t>表2中</w:t>
            </w:r>
            <w:r>
              <w:rPr>
                <w:rFonts w:hint="default" w:ascii="Times New Roman" w:hAnsi="Times New Roman" w:eastAsia="宋体" w:cs="Times New Roman"/>
                <w:color w:val="auto"/>
                <w:sz w:val="24"/>
                <w:szCs w:val="24"/>
                <w:highlight w:val="none"/>
                <w:lang w:val="en-US" w:eastAsia="zh-CN"/>
              </w:rPr>
              <w:t>二级</w:t>
            </w:r>
            <w:r>
              <w:rPr>
                <w:rFonts w:hint="default" w:ascii="Times New Roman" w:hAnsi="Times New Roman" w:eastAsia="宋体" w:cs="Times New Roman"/>
                <w:color w:val="auto"/>
                <w:sz w:val="24"/>
                <w:szCs w:val="24"/>
                <w:highlight w:val="none"/>
                <w:lang w:eastAsia="zh-CN"/>
              </w:rPr>
              <w:t>浓度限值</w:t>
            </w:r>
            <w:r>
              <w:rPr>
                <w:rFonts w:hint="default" w:ascii="Times New Roman" w:hAnsi="Times New Roman" w:eastAsia="宋体" w:cs="Times New Roman"/>
                <w:color w:val="auto"/>
                <w:sz w:val="24"/>
                <w:szCs w:val="24"/>
                <w:highlight w:val="none"/>
                <w:lang w:val="en-US" w:eastAsia="zh-CN"/>
              </w:rPr>
              <w:t>要求</w:t>
            </w:r>
            <w:r>
              <w:rPr>
                <w:color w:val="auto"/>
                <w:spacing w:val="-6"/>
                <w:sz w:val="24"/>
              </w:rPr>
              <w:t>，能够达标排放。</w:t>
            </w:r>
          </w:p>
          <w:p w14:paraId="71355A31">
            <w:pPr>
              <w:adjustRightInd w:val="0"/>
              <w:snapToGrid w:val="0"/>
              <w:spacing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③</w:t>
            </w:r>
            <w:r>
              <w:rPr>
                <w:rFonts w:hint="eastAsia" w:cs="Times New Roman"/>
                <w:b/>
                <w:bCs/>
                <w:color w:val="auto"/>
                <w:sz w:val="24"/>
                <w:szCs w:val="24"/>
                <w:highlight w:val="none"/>
                <w:lang w:val="en-US" w:eastAsia="zh-CN"/>
              </w:rPr>
              <w:t>挤出废气及</w:t>
            </w:r>
            <w:r>
              <w:rPr>
                <w:rFonts w:hint="eastAsia" w:ascii="Times New Roman" w:hAnsi="Times New Roman" w:eastAsia="宋体" w:cs="Times New Roman"/>
                <w:b/>
                <w:bCs/>
                <w:color w:val="auto"/>
                <w:sz w:val="24"/>
                <w:lang w:val="en-US" w:eastAsia="zh-CN"/>
              </w:rPr>
              <w:t>覆膜废气</w:t>
            </w:r>
          </w:p>
          <w:p w14:paraId="7A762A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本项目挤出工序温度约</w:t>
            </w:r>
            <w:r>
              <w:rPr>
                <w:rFonts w:hint="default" w:ascii="Times New Roman" w:hAnsi="Times New Roman" w:eastAsia="宋体" w:cs="Times New Roman"/>
                <w:color w:val="auto"/>
                <w:sz w:val="24"/>
                <w:lang w:val="en-US" w:eastAsia="zh-CN"/>
              </w:rPr>
              <w:t>130</w:t>
            </w:r>
            <w:r>
              <w:rPr>
                <w:rFonts w:hint="eastAsia" w:ascii="Times New Roman" w:hAnsi="Times New Roman" w:eastAsia="宋体" w:cs="Times New Roman"/>
                <w:color w:val="auto"/>
                <w:sz w:val="24"/>
                <w:lang w:val="en-US" w:eastAsia="zh-CN"/>
              </w:rPr>
              <w:t>º</w:t>
            </w:r>
            <w:r>
              <w:rPr>
                <w:rFonts w:hint="default" w:ascii="Times New Roman" w:hAnsi="Times New Roman" w:eastAsia="宋体" w:cs="Times New Roman"/>
                <w:color w:val="auto"/>
                <w:sz w:val="24"/>
                <w:lang w:val="en-US" w:eastAsia="zh-CN"/>
              </w:rPr>
              <w:t>C~180</w:t>
            </w:r>
            <w:r>
              <w:rPr>
                <w:rFonts w:hint="eastAsia" w:ascii="Times New Roman" w:hAnsi="Times New Roman" w:eastAsia="宋体" w:cs="Times New Roman"/>
                <w:color w:val="auto"/>
                <w:sz w:val="24"/>
                <w:lang w:val="en-US" w:eastAsia="zh-CN"/>
              </w:rPr>
              <w:t>℃，挤出过程会产生一定量有机废气（以非甲烷总烃计）、氯化氢</w:t>
            </w:r>
            <w:r>
              <w:rPr>
                <w:rFonts w:hint="eastAsia" w:cs="Times New Roman"/>
                <w:color w:val="auto"/>
                <w:sz w:val="24"/>
                <w:lang w:val="en-US" w:eastAsia="zh-CN"/>
              </w:rPr>
              <w:t>、氯乙烯</w:t>
            </w:r>
            <w:r>
              <w:rPr>
                <w:rFonts w:hint="eastAsia" w:ascii="Times New Roman" w:hAnsi="Times New Roman" w:eastAsia="宋体" w:cs="Times New Roman"/>
                <w:color w:val="auto"/>
                <w:sz w:val="24"/>
                <w:lang w:val="en-US" w:eastAsia="zh-CN"/>
              </w:rPr>
              <w:t>以及臭气浓度。</w:t>
            </w:r>
          </w:p>
          <w:p w14:paraId="3D81CB8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A、非甲烷总烃</w:t>
            </w:r>
            <w:r>
              <w:rPr>
                <w:rFonts w:hint="eastAsia" w:cs="Times New Roman"/>
                <w:b/>
                <w:bCs/>
                <w:color w:val="auto"/>
                <w:sz w:val="24"/>
                <w:szCs w:val="24"/>
                <w:highlight w:val="none"/>
                <w:lang w:val="en-US" w:eastAsia="zh-CN"/>
              </w:rPr>
              <w:t>（挤出废气）</w:t>
            </w:r>
          </w:p>
          <w:p w14:paraId="302EBB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Times New Roman" w:hAnsi="Times New Roman" w:eastAsia="宋体" w:cs="Times New Roman"/>
                <w:b/>
                <w:bCs/>
                <w:color w:val="auto"/>
                <w:kern w:val="2"/>
                <w:sz w:val="21"/>
                <w:szCs w:val="21"/>
                <w:lang w:val="en-US" w:eastAsia="zh-CN" w:bidi="ar-SA"/>
              </w:rPr>
            </w:pPr>
            <w:r>
              <w:rPr>
                <w:rFonts w:hint="eastAsia" w:cs="Times New Roman"/>
                <w:color w:val="auto"/>
                <w:sz w:val="24"/>
                <w:szCs w:val="24"/>
                <w:highlight w:val="none"/>
                <w:lang w:val="en-US" w:eastAsia="zh-CN"/>
              </w:rPr>
              <w:t>挤出</w:t>
            </w:r>
            <w:r>
              <w:rPr>
                <w:rFonts w:hint="default" w:ascii="Times New Roman" w:hAnsi="Times New Roman" w:eastAsia="宋体" w:cs="Times New Roman"/>
                <w:color w:val="auto"/>
                <w:sz w:val="24"/>
                <w:szCs w:val="24"/>
                <w:highlight w:val="none"/>
                <w:lang w:val="en-US" w:eastAsia="zh-CN"/>
              </w:rPr>
              <w:t>过程</w:t>
            </w:r>
            <w:r>
              <w:rPr>
                <w:rFonts w:hint="eastAsia" w:cs="Times New Roman"/>
                <w:color w:val="auto"/>
                <w:sz w:val="24"/>
                <w:szCs w:val="24"/>
                <w:highlight w:val="none"/>
                <w:lang w:val="en-US" w:eastAsia="zh-CN"/>
              </w:rPr>
              <w:t>非甲烷总烃</w:t>
            </w:r>
            <w:r>
              <w:rPr>
                <w:rFonts w:hint="default" w:ascii="Times New Roman" w:hAnsi="Times New Roman" w:eastAsia="宋体" w:cs="Times New Roman"/>
                <w:color w:val="auto"/>
                <w:kern w:val="2"/>
                <w:sz w:val="24"/>
                <w:szCs w:val="24"/>
                <w:highlight w:val="none"/>
                <w:lang w:val="en-US" w:eastAsia="zh-CN" w:bidi="ar-SA"/>
              </w:rPr>
              <w:t>产生量</w:t>
            </w:r>
            <w:r>
              <w:rPr>
                <w:rFonts w:hint="default" w:ascii="Times New Roman" w:hAnsi="Times New Roman" w:eastAsia="宋体" w:cs="Times New Roman"/>
                <w:color w:val="auto"/>
                <w:sz w:val="24"/>
                <w:szCs w:val="24"/>
                <w:highlight w:val="none"/>
              </w:rPr>
              <w:t>参照</w:t>
            </w:r>
            <w:r>
              <w:rPr>
                <w:rFonts w:hint="default" w:ascii="Times New Roman" w:hAnsi="Times New Roman" w:eastAsia="宋体" w:cs="Times New Roman"/>
                <w:color w:val="auto"/>
                <w:sz w:val="24"/>
                <w:szCs w:val="24"/>
                <w:highlight w:val="none"/>
                <w:lang w:val="en-US" w:eastAsia="zh-CN"/>
              </w:rPr>
              <w:t>中华人民共和国生态环境部2021年6月11日发布的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排放源统计调查产排污核算方法和系数手册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的公告（公告2021年第24号）</w:t>
            </w:r>
            <w:r>
              <w:rPr>
                <w:rFonts w:hint="default" w:ascii="Times New Roman" w:hAnsi="Times New Roman" w:eastAsia="宋体" w:cs="Times New Roman"/>
                <w:color w:val="auto"/>
                <w:sz w:val="24"/>
                <w:szCs w:val="24"/>
                <w:highlight w:val="none"/>
              </w:rPr>
              <w:t>中《</w:t>
            </w:r>
            <w:r>
              <w:rPr>
                <w:rFonts w:hint="eastAsia" w:cs="Times New Roman"/>
                <w:color w:val="auto"/>
                <w:sz w:val="24"/>
                <w:szCs w:val="24"/>
                <w:highlight w:val="none"/>
                <w:lang w:val="en-US" w:eastAsia="zh-CN"/>
              </w:rPr>
              <w:t>292塑料</w:t>
            </w:r>
            <w:r>
              <w:rPr>
                <w:rFonts w:hint="default" w:ascii="Times New Roman" w:hAnsi="Times New Roman" w:eastAsia="宋体" w:cs="Times New Roman"/>
                <w:color w:val="auto"/>
                <w:sz w:val="24"/>
                <w:szCs w:val="24"/>
                <w:highlight w:val="none"/>
                <w:lang w:val="en-US" w:eastAsia="zh-CN"/>
              </w:rPr>
              <w:t>制品业行业系数手册》</w:t>
            </w:r>
            <w:r>
              <w:rPr>
                <w:rFonts w:hint="eastAsia" w:cs="Times New Roman"/>
                <w:color w:val="auto"/>
                <w:sz w:val="24"/>
                <w:szCs w:val="24"/>
                <w:highlight w:val="none"/>
                <w:lang w:val="en-US" w:eastAsia="zh-CN"/>
              </w:rPr>
              <w:t>2922塑料板、管、型材制造行业系数</w:t>
            </w:r>
            <w:r>
              <w:rPr>
                <w:rFonts w:hint="default" w:ascii="Times New Roman" w:hAnsi="Times New Roman" w:eastAsia="宋体" w:cs="Times New Roman"/>
                <w:color w:val="auto"/>
                <w:sz w:val="24"/>
                <w:szCs w:val="24"/>
                <w:highlight w:val="none"/>
                <w:lang w:val="en-US" w:eastAsia="zh-CN"/>
              </w:rPr>
              <w:t>表中的产排</w:t>
            </w:r>
            <w:r>
              <w:rPr>
                <w:rFonts w:hint="default" w:ascii="Times New Roman" w:hAnsi="Times New Roman" w:eastAsia="宋体" w:cs="Times New Roman"/>
                <w:color w:val="auto"/>
                <w:sz w:val="24"/>
                <w:szCs w:val="24"/>
                <w:highlight w:val="none"/>
              </w:rPr>
              <w:t>污系数进行计算</w:t>
            </w:r>
            <w:r>
              <w:rPr>
                <w:rFonts w:hint="eastAsia" w:cs="Times New Roman"/>
                <w:color w:val="auto"/>
                <w:sz w:val="24"/>
                <w:szCs w:val="24"/>
                <w:highlight w:val="none"/>
                <w:lang w:eastAsia="zh-CN"/>
              </w:rPr>
              <w:t>。</w:t>
            </w:r>
            <w:r>
              <w:rPr>
                <w:bCs/>
                <w:color w:val="auto"/>
                <w:spacing w:val="6"/>
                <w:sz w:val="24"/>
              </w:rPr>
              <w:t>产排污系数见</w:t>
            </w:r>
            <w:r>
              <w:rPr>
                <w:color w:val="auto"/>
                <w:sz w:val="24"/>
                <w:szCs w:val="24"/>
              </w:rPr>
              <w:t>表4-</w:t>
            </w:r>
            <w:r>
              <w:rPr>
                <w:rFonts w:hint="eastAsia"/>
                <w:color w:val="auto"/>
                <w:sz w:val="24"/>
                <w:szCs w:val="24"/>
                <w:lang w:val="en-US" w:eastAsia="zh-CN"/>
              </w:rPr>
              <w:t>6</w:t>
            </w:r>
            <w:r>
              <w:rPr>
                <w:color w:val="auto"/>
                <w:sz w:val="24"/>
                <w:szCs w:val="24"/>
              </w:rPr>
              <w:t>。</w:t>
            </w:r>
          </w:p>
          <w:p w14:paraId="58E31D36">
            <w:pPr>
              <w:snapToGrid w:val="0"/>
              <w:ind w:firstLine="422" w:firstLineChars="200"/>
              <w:jc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表4-</w:t>
            </w:r>
            <w:r>
              <w:rPr>
                <w:rFonts w:hint="eastAsia" w:cs="Times New Roman"/>
                <w:b/>
                <w:bCs/>
                <w:color w:val="auto"/>
                <w:kern w:val="2"/>
                <w:sz w:val="21"/>
                <w:szCs w:val="21"/>
                <w:lang w:val="en-US" w:eastAsia="zh-CN" w:bidi="ar-SA"/>
              </w:rPr>
              <w:t>6</w:t>
            </w:r>
            <w:r>
              <w:rPr>
                <w:rFonts w:hint="eastAsia" w:ascii="Times New Roman" w:hAnsi="Times New Roman" w:eastAsia="宋体" w:cs="Times New Roman"/>
                <w:b/>
                <w:bCs/>
                <w:color w:val="auto"/>
                <w:kern w:val="2"/>
                <w:sz w:val="21"/>
                <w:szCs w:val="21"/>
                <w:lang w:val="en-US" w:eastAsia="zh-CN" w:bidi="ar-SA"/>
              </w:rPr>
              <w:t xml:space="preserve">  塑料板、管、型材制造行业系数</w:t>
            </w:r>
            <w:r>
              <w:rPr>
                <w:rFonts w:hint="default" w:ascii="Times New Roman" w:hAnsi="Times New Roman" w:eastAsia="宋体" w:cs="Times New Roman"/>
                <w:b/>
                <w:bCs/>
                <w:color w:val="auto"/>
                <w:kern w:val="2"/>
                <w:sz w:val="21"/>
                <w:szCs w:val="21"/>
                <w:lang w:val="en-US" w:eastAsia="zh-CN" w:bidi="ar-SA"/>
              </w:rPr>
              <w:t>表</w:t>
            </w:r>
          </w:p>
          <w:tbl>
            <w:tblPr>
              <w:tblStyle w:val="26"/>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58"/>
              <w:gridCol w:w="1109"/>
              <w:gridCol w:w="1072"/>
              <w:gridCol w:w="727"/>
              <w:gridCol w:w="936"/>
              <w:gridCol w:w="1379"/>
              <w:gridCol w:w="1152"/>
            </w:tblGrid>
            <w:tr w14:paraId="5B65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14:paraId="2199CBAF">
                  <w:pPr>
                    <w:pStyle w:val="6"/>
                    <w:tabs>
                      <w:tab w:val="left" w:pos="0"/>
                      <w:tab w:val="left" w:pos="1260"/>
                    </w:tabs>
                    <w:snapToGrid w:val="0"/>
                    <w:spacing w:after="0"/>
                    <w:jc w:val="center"/>
                    <w:rPr>
                      <w:rFonts w:eastAsia="宋体"/>
                      <w:b/>
                      <w:bCs/>
                      <w:iCs/>
                      <w:color w:val="auto"/>
                      <w:szCs w:val="21"/>
                    </w:rPr>
                  </w:pPr>
                  <w:r>
                    <w:rPr>
                      <w:rFonts w:hint="eastAsia" w:eastAsia="宋体"/>
                      <w:b/>
                      <w:bCs/>
                      <w:iCs/>
                      <w:color w:val="auto"/>
                      <w:szCs w:val="21"/>
                    </w:rPr>
                    <w:t>产品</w:t>
                  </w:r>
                  <w:r>
                    <w:rPr>
                      <w:rFonts w:eastAsia="宋体"/>
                      <w:b/>
                      <w:bCs/>
                      <w:iCs/>
                      <w:color w:val="auto"/>
                      <w:szCs w:val="21"/>
                    </w:rPr>
                    <w:t>名称</w:t>
                  </w:r>
                </w:p>
              </w:tc>
              <w:tc>
                <w:tcPr>
                  <w:tcW w:w="1058" w:type="dxa"/>
                  <w:noWrap w:val="0"/>
                  <w:vAlign w:val="center"/>
                </w:tcPr>
                <w:p w14:paraId="482B6FF9">
                  <w:pPr>
                    <w:pStyle w:val="6"/>
                    <w:tabs>
                      <w:tab w:val="left" w:pos="0"/>
                      <w:tab w:val="left" w:pos="1260"/>
                    </w:tabs>
                    <w:snapToGrid w:val="0"/>
                    <w:spacing w:after="0"/>
                    <w:jc w:val="center"/>
                    <w:rPr>
                      <w:rFonts w:eastAsia="宋体"/>
                      <w:b/>
                      <w:bCs/>
                      <w:iCs/>
                      <w:color w:val="auto"/>
                      <w:szCs w:val="21"/>
                    </w:rPr>
                  </w:pPr>
                  <w:r>
                    <w:rPr>
                      <w:rFonts w:hint="eastAsia" w:eastAsia="宋体"/>
                      <w:b/>
                      <w:bCs/>
                      <w:iCs/>
                      <w:color w:val="auto"/>
                      <w:szCs w:val="21"/>
                    </w:rPr>
                    <w:t>原料</w:t>
                  </w:r>
                  <w:r>
                    <w:rPr>
                      <w:rFonts w:eastAsia="宋体"/>
                      <w:b/>
                      <w:bCs/>
                      <w:iCs/>
                      <w:color w:val="auto"/>
                      <w:szCs w:val="21"/>
                    </w:rPr>
                    <w:t>名称</w:t>
                  </w:r>
                </w:p>
              </w:tc>
              <w:tc>
                <w:tcPr>
                  <w:tcW w:w="1109" w:type="dxa"/>
                  <w:noWrap w:val="0"/>
                  <w:vAlign w:val="center"/>
                </w:tcPr>
                <w:p w14:paraId="7BE861F3">
                  <w:pPr>
                    <w:pStyle w:val="6"/>
                    <w:tabs>
                      <w:tab w:val="left" w:pos="0"/>
                      <w:tab w:val="left" w:pos="1260"/>
                    </w:tabs>
                    <w:snapToGrid w:val="0"/>
                    <w:spacing w:after="0"/>
                    <w:jc w:val="center"/>
                    <w:rPr>
                      <w:rFonts w:hint="eastAsia" w:eastAsia="宋体"/>
                      <w:b/>
                      <w:bCs/>
                      <w:iCs/>
                      <w:color w:val="auto"/>
                      <w:szCs w:val="21"/>
                    </w:rPr>
                  </w:pPr>
                  <w:r>
                    <w:rPr>
                      <w:rFonts w:hint="eastAsia" w:eastAsia="宋体"/>
                      <w:b/>
                      <w:bCs/>
                      <w:iCs/>
                      <w:color w:val="auto"/>
                      <w:szCs w:val="21"/>
                    </w:rPr>
                    <w:t>工艺名称</w:t>
                  </w:r>
                </w:p>
              </w:tc>
              <w:tc>
                <w:tcPr>
                  <w:tcW w:w="1072" w:type="dxa"/>
                  <w:noWrap w:val="0"/>
                  <w:vAlign w:val="center"/>
                </w:tcPr>
                <w:p w14:paraId="2EF2D8A4">
                  <w:pPr>
                    <w:pStyle w:val="6"/>
                    <w:tabs>
                      <w:tab w:val="left" w:pos="0"/>
                      <w:tab w:val="left" w:pos="1260"/>
                    </w:tabs>
                    <w:snapToGrid w:val="0"/>
                    <w:spacing w:after="0"/>
                    <w:jc w:val="center"/>
                    <w:rPr>
                      <w:rFonts w:hint="eastAsia" w:eastAsia="宋体"/>
                      <w:b/>
                      <w:bCs/>
                      <w:iCs/>
                      <w:color w:val="auto"/>
                      <w:szCs w:val="21"/>
                    </w:rPr>
                  </w:pPr>
                  <w:r>
                    <w:rPr>
                      <w:rFonts w:hint="eastAsia" w:eastAsia="宋体"/>
                      <w:b/>
                      <w:bCs/>
                      <w:iCs/>
                      <w:color w:val="auto"/>
                      <w:szCs w:val="21"/>
                    </w:rPr>
                    <w:t>规模等级</w:t>
                  </w:r>
                </w:p>
              </w:tc>
              <w:tc>
                <w:tcPr>
                  <w:tcW w:w="1663" w:type="dxa"/>
                  <w:gridSpan w:val="2"/>
                  <w:noWrap w:val="0"/>
                  <w:vAlign w:val="center"/>
                </w:tcPr>
                <w:p w14:paraId="78A28859">
                  <w:pPr>
                    <w:pStyle w:val="6"/>
                    <w:tabs>
                      <w:tab w:val="left" w:pos="0"/>
                      <w:tab w:val="left" w:pos="1260"/>
                    </w:tabs>
                    <w:snapToGrid w:val="0"/>
                    <w:spacing w:after="0"/>
                    <w:jc w:val="center"/>
                    <w:rPr>
                      <w:rFonts w:hint="eastAsia" w:eastAsia="宋体"/>
                      <w:b/>
                      <w:bCs/>
                      <w:iCs/>
                      <w:color w:val="auto"/>
                      <w:szCs w:val="21"/>
                    </w:rPr>
                  </w:pPr>
                  <w:r>
                    <w:rPr>
                      <w:rFonts w:hint="eastAsia" w:eastAsia="宋体"/>
                      <w:b/>
                      <w:bCs/>
                      <w:iCs/>
                      <w:color w:val="auto"/>
                      <w:szCs w:val="21"/>
                    </w:rPr>
                    <w:t>污染物指标</w:t>
                  </w:r>
                </w:p>
              </w:tc>
              <w:tc>
                <w:tcPr>
                  <w:tcW w:w="1379" w:type="dxa"/>
                  <w:noWrap w:val="0"/>
                  <w:vAlign w:val="center"/>
                </w:tcPr>
                <w:p w14:paraId="3AA18ACB">
                  <w:pPr>
                    <w:pStyle w:val="6"/>
                    <w:tabs>
                      <w:tab w:val="left" w:pos="0"/>
                      <w:tab w:val="left" w:pos="1260"/>
                    </w:tabs>
                    <w:snapToGrid w:val="0"/>
                    <w:spacing w:after="0"/>
                    <w:jc w:val="center"/>
                    <w:rPr>
                      <w:rFonts w:hint="eastAsia" w:eastAsia="宋体"/>
                      <w:b/>
                      <w:bCs/>
                      <w:iCs/>
                      <w:color w:val="auto"/>
                      <w:szCs w:val="21"/>
                    </w:rPr>
                  </w:pPr>
                  <w:r>
                    <w:rPr>
                      <w:rFonts w:hint="eastAsia" w:eastAsia="宋体"/>
                      <w:b/>
                      <w:bCs/>
                      <w:iCs/>
                      <w:color w:val="auto"/>
                      <w:szCs w:val="21"/>
                    </w:rPr>
                    <w:t>单位</w:t>
                  </w:r>
                </w:p>
              </w:tc>
              <w:tc>
                <w:tcPr>
                  <w:tcW w:w="1152" w:type="dxa"/>
                  <w:noWrap w:val="0"/>
                  <w:vAlign w:val="center"/>
                </w:tcPr>
                <w:p w14:paraId="5DF9EA93">
                  <w:pPr>
                    <w:pStyle w:val="6"/>
                    <w:tabs>
                      <w:tab w:val="left" w:pos="0"/>
                      <w:tab w:val="left" w:pos="1260"/>
                    </w:tabs>
                    <w:snapToGrid w:val="0"/>
                    <w:spacing w:after="0"/>
                    <w:jc w:val="center"/>
                    <w:rPr>
                      <w:rFonts w:eastAsia="宋体"/>
                      <w:b/>
                      <w:bCs/>
                      <w:iCs/>
                      <w:color w:val="auto"/>
                      <w:szCs w:val="21"/>
                    </w:rPr>
                  </w:pPr>
                  <w:r>
                    <w:rPr>
                      <w:rFonts w:hint="eastAsia" w:eastAsia="宋体"/>
                      <w:b/>
                      <w:bCs/>
                      <w:iCs/>
                      <w:color w:val="auto"/>
                      <w:szCs w:val="21"/>
                    </w:rPr>
                    <w:t>产污</w:t>
                  </w:r>
                  <w:r>
                    <w:rPr>
                      <w:rFonts w:eastAsia="宋体"/>
                      <w:b/>
                      <w:bCs/>
                      <w:iCs/>
                      <w:color w:val="auto"/>
                      <w:szCs w:val="21"/>
                    </w:rPr>
                    <w:t>系数</w:t>
                  </w:r>
                </w:p>
              </w:tc>
            </w:tr>
            <w:tr w14:paraId="0D92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59" w:type="dxa"/>
                  <w:noWrap w:val="0"/>
                  <w:vAlign w:val="center"/>
                </w:tcPr>
                <w:p w14:paraId="0918AAE7">
                  <w:pPr>
                    <w:pStyle w:val="6"/>
                    <w:tabs>
                      <w:tab w:val="left" w:pos="0"/>
                      <w:tab w:val="left" w:pos="1260"/>
                    </w:tabs>
                    <w:snapToGrid w:val="0"/>
                    <w:spacing w:after="0"/>
                    <w:jc w:val="center"/>
                    <w:rPr>
                      <w:rFonts w:eastAsia="宋体"/>
                      <w:iCs/>
                      <w:color w:val="auto"/>
                      <w:szCs w:val="21"/>
                    </w:rPr>
                  </w:pPr>
                  <w:r>
                    <w:rPr>
                      <w:rFonts w:hint="eastAsia" w:ascii="Times New Roman" w:hAnsi="Times New Roman" w:eastAsia="宋体" w:cs="Times New Roman"/>
                      <w:iCs/>
                      <w:color w:val="auto"/>
                      <w:szCs w:val="21"/>
                      <w:lang w:val="en-US" w:eastAsia="zh-CN"/>
                    </w:rPr>
                    <w:t>塑料板、管、型材</w:t>
                  </w:r>
                </w:p>
              </w:tc>
              <w:tc>
                <w:tcPr>
                  <w:tcW w:w="1058" w:type="dxa"/>
                  <w:noWrap w:val="0"/>
                  <w:vAlign w:val="center"/>
                </w:tcPr>
                <w:p w14:paraId="5BEFDE3F">
                  <w:pPr>
                    <w:pStyle w:val="6"/>
                    <w:tabs>
                      <w:tab w:val="left" w:pos="0"/>
                      <w:tab w:val="left" w:pos="1260"/>
                    </w:tabs>
                    <w:snapToGrid w:val="0"/>
                    <w:spacing w:after="0"/>
                    <w:jc w:val="center"/>
                    <w:rPr>
                      <w:rFonts w:hint="eastAsia" w:eastAsia="宋体"/>
                      <w:iCs/>
                      <w:color w:val="auto"/>
                      <w:szCs w:val="21"/>
                      <w:lang w:eastAsia="zh-CN"/>
                    </w:rPr>
                  </w:pPr>
                  <w:r>
                    <w:rPr>
                      <w:rFonts w:hint="eastAsia" w:eastAsia="宋体"/>
                      <w:iCs/>
                      <w:color w:val="auto"/>
                      <w:szCs w:val="21"/>
                      <w:lang w:eastAsia="zh-CN"/>
                    </w:rPr>
                    <w:t>树脂、助剂</w:t>
                  </w:r>
                </w:p>
              </w:tc>
              <w:tc>
                <w:tcPr>
                  <w:tcW w:w="1109" w:type="dxa"/>
                  <w:noWrap w:val="0"/>
                  <w:vAlign w:val="center"/>
                </w:tcPr>
                <w:p w14:paraId="59346D87">
                  <w:pPr>
                    <w:pStyle w:val="6"/>
                    <w:tabs>
                      <w:tab w:val="left" w:pos="0"/>
                      <w:tab w:val="left" w:pos="1260"/>
                    </w:tabs>
                    <w:snapToGrid w:val="0"/>
                    <w:spacing w:after="0"/>
                    <w:jc w:val="center"/>
                    <w:rPr>
                      <w:rFonts w:hint="default" w:eastAsia="宋体"/>
                      <w:iCs/>
                      <w:color w:val="auto"/>
                      <w:szCs w:val="21"/>
                      <w:lang w:val="en-US" w:eastAsia="zh-CN"/>
                    </w:rPr>
                  </w:pPr>
                  <w:r>
                    <w:rPr>
                      <w:rFonts w:hint="eastAsia" w:eastAsia="宋体"/>
                      <w:iCs/>
                      <w:color w:val="auto"/>
                      <w:szCs w:val="21"/>
                      <w:lang w:eastAsia="zh-CN"/>
                    </w:rPr>
                    <w:t>配料</w:t>
                  </w:r>
                  <w:r>
                    <w:rPr>
                      <w:rFonts w:hint="eastAsia" w:eastAsia="宋体"/>
                      <w:iCs/>
                      <w:color w:val="auto"/>
                      <w:szCs w:val="21"/>
                      <w:lang w:val="en-US" w:eastAsia="zh-CN"/>
                    </w:rPr>
                    <w:t>-混合-挤出</w:t>
                  </w:r>
                </w:p>
              </w:tc>
              <w:tc>
                <w:tcPr>
                  <w:tcW w:w="1072" w:type="dxa"/>
                  <w:noWrap w:val="0"/>
                  <w:vAlign w:val="top"/>
                </w:tcPr>
                <w:p w14:paraId="028B95DF">
                  <w:pPr>
                    <w:pStyle w:val="6"/>
                    <w:tabs>
                      <w:tab w:val="left" w:pos="0"/>
                      <w:tab w:val="left" w:pos="1260"/>
                    </w:tabs>
                    <w:snapToGrid w:val="0"/>
                    <w:spacing w:after="0"/>
                    <w:jc w:val="center"/>
                    <w:rPr>
                      <w:rFonts w:hint="eastAsia" w:eastAsia="宋体"/>
                      <w:iCs/>
                      <w:color w:val="auto"/>
                      <w:szCs w:val="21"/>
                    </w:rPr>
                  </w:pPr>
                </w:p>
                <w:p w14:paraId="32089051">
                  <w:pPr>
                    <w:pStyle w:val="6"/>
                    <w:tabs>
                      <w:tab w:val="left" w:pos="0"/>
                      <w:tab w:val="left" w:pos="1260"/>
                    </w:tabs>
                    <w:snapToGrid w:val="0"/>
                    <w:spacing w:after="0"/>
                    <w:jc w:val="both"/>
                    <w:rPr>
                      <w:rFonts w:hint="eastAsia" w:eastAsia="宋体"/>
                      <w:iCs/>
                      <w:color w:val="auto"/>
                      <w:szCs w:val="21"/>
                    </w:rPr>
                  </w:pPr>
                  <w:r>
                    <w:rPr>
                      <w:rFonts w:hint="eastAsia" w:eastAsia="宋体"/>
                      <w:iCs/>
                      <w:color w:val="auto"/>
                      <w:szCs w:val="21"/>
                    </w:rPr>
                    <w:t>所有规模</w:t>
                  </w:r>
                </w:p>
              </w:tc>
              <w:tc>
                <w:tcPr>
                  <w:tcW w:w="727" w:type="dxa"/>
                  <w:noWrap w:val="0"/>
                  <w:vAlign w:val="center"/>
                </w:tcPr>
                <w:p w14:paraId="6B54CCF4">
                  <w:pPr>
                    <w:pStyle w:val="6"/>
                    <w:tabs>
                      <w:tab w:val="left" w:pos="0"/>
                      <w:tab w:val="left" w:pos="1260"/>
                    </w:tabs>
                    <w:snapToGrid w:val="0"/>
                    <w:spacing w:after="0"/>
                    <w:jc w:val="center"/>
                    <w:rPr>
                      <w:rFonts w:hint="eastAsia" w:eastAsia="宋体"/>
                      <w:iCs/>
                      <w:color w:val="auto"/>
                      <w:szCs w:val="21"/>
                    </w:rPr>
                  </w:pPr>
                  <w:r>
                    <w:rPr>
                      <w:rFonts w:hint="eastAsia" w:eastAsia="宋体"/>
                      <w:iCs/>
                      <w:color w:val="auto"/>
                      <w:szCs w:val="21"/>
                    </w:rPr>
                    <w:t>废气</w:t>
                  </w:r>
                </w:p>
              </w:tc>
              <w:tc>
                <w:tcPr>
                  <w:tcW w:w="936" w:type="dxa"/>
                  <w:noWrap w:val="0"/>
                  <w:vAlign w:val="center"/>
                </w:tcPr>
                <w:p w14:paraId="1B002A36">
                  <w:pPr>
                    <w:pStyle w:val="6"/>
                    <w:tabs>
                      <w:tab w:val="left" w:pos="0"/>
                      <w:tab w:val="left" w:pos="1260"/>
                    </w:tabs>
                    <w:snapToGrid w:val="0"/>
                    <w:spacing w:after="0"/>
                    <w:jc w:val="center"/>
                    <w:rPr>
                      <w:rFonts w:hint="eastAsia" w:eastAsia="宋体"/>
                      <w:iCs/>
                      <w:color w:val="auto"/>
                      <w:szCs w:val="21"/>
                      <w:lang w:eastAsia="zh-CN"/>
                    </w:rPr>
                  </w:pPr>
                  <w:r>
                    <w:rPr>
                      <w:rFonts w:hint="eastAsia"/>
                      <w:iCs/>
                      <w:color w:val="auto"/>
                      <w:szCs w:val="21"/>
                      <w:lang w:eastAsia="zh-CN"/>
                    </w:rPr>
                    <w:t>非甲烷总烃</w:t>
                  </w:r>
                </w:p>
              </w:tc>
              <w:tc>
                <w:tcPr>
                  <w:tcW w:w="1379" w:type="dxa"/>
                  <w:noWrap w:val="0"/>
                  <w:vAlign w:val="center"/>
                </w:tcPr>
                <w:p w14:paraId="02A9E4FF">
                  <w:pPr>
                    <w:pStyle w:val="6"/>
                    <w:tabs>
                      <w:tab w:val="left" w:pos="0"/>
                      <w:tab w:val="left" w:pos="1260"/>
                    </w:tabs>
                    <w:snapToGrid w:val="0"/>
                    <w:spacing w:after="0"/>
                    <w:jc w:val="center"/>
                    <w:rPr>
                      <w:rFonts w:hint="eastAsia" w:eastAsia="宋体"/>
                      <w:iCs/>
                      <w:color w:val="auto"/>
                      <w:szCs w:val="21"/>
                      <w:lang w:eastAsia="zh-CN"/>
                    </w:rPr>
                  </w:pPr>
                  <w:r>
                    <w:rPr>
                      <w:rFonts w:hint="eastAsia" w:eastAsia="宋体"/>
                      <w:iCs/>
                      <w:color w:val="auto"/>
                      <w:szCs w:val="21"/>
                      <w:lang w:eastAsia="zh-CN"/>
                    </w:rPr>
                    <w:t>千</w:t>
                  </w:r>
                  <w:r>
                    <w:rPr>
                      <w:rFonts w:hint="eastAsia" w:eastAsia="宋体"/>
                      <w:iCs/>
                      <w:color w:val="auto"/>
                      <w:szCs w:val="21"/>
                    </w:rPr>
                    <w:t>克/吨-</w:t>
                  </w:r>
                  <w:r>
                    <w:rPr>
                      <w:rFonts w:hint="eastAsia" w:eastAsia="宋体"/>
                      <w:iCs/>
                      <w:color w:val="auto"/>
                      <w:szCs w:val="21"/>
                      <w:lang w:eastAsia="zh-CN"/>
                    </w:rPr>
                    <w:t>产品</w:t>
                  </w:r>
                </w:p>
              </w:tc>
              <w:tc>
                <w:tcPr>
                  <w:tcW w:w="1152" w:type="dxa"/>
                  <w:noWrap w:val="0"/>
                  <w:vAlign w:val="center"/>
                </w:tcPr>
                <w:p w14:paraId="447BFA97">
                  <w:pPr>
                    <w:pStyle w:val="6"/>
                    <w:tabs>
                      <w:tab w:val="left" w:pos="0"/>
                      <w:tab w:val="left" w:pos="1260"/>
                    </w:tabs>
                    <w:snapToGrid w:val="0"/>
                    <w:spacing w:after="0"/>
                    <w:jc w:val="center"/>
                    <w:rPr>
                      <w:rFonts w:hint="default" w:eastAsia="宋体"/>
                      <w:iCs/>
                      <w:color w:val="auto"/>
                      <w:szCs w:val="21"/>
                      <w:lang w:val="en-US" w:eastAsia="zh-CN"/>
                    </w:rPr>
                  </w:pPr>
                  <w:r>
                    <w:rPr>
                      <w:rFonts w:hint="eastAsia"/>
                      <w:iCs/>
                      <w:color w:val="auto"/>
                      <w:szCs w:val="21"/>
                      <w:lang w:val="en-US" w:eastAsia="zh-CN"/>
                    </w:rPr>
                    <w:t>1.5</w:t>
                  </w:r>
                </w:p>
              </w:tc>
            </w:tr>
          </w:tbl>
          <w:p w14:paraId="19F99FCE">
            <w:pPr>
              <w:adjustRightInd w:val="0"/>
              <w:snapToGrid w:val="0"/>
              <w:spacing w:line="360" w:lineRule="auto"/>
              <w:ind w:firstLine="360" w:firstLineChars="150"/>
              <w:rPr>
                <w:rFonts w:hint="eastAsia" w:eastAsia="宋体"/>
                <w:b/>
                <w:bCs/>
                <w:color w:val="auto"/>
                <w:sz w:val="24"/>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lang w:eastAsia="zh-CN"/>
              </w:rPr>
              <w:t>建成后年产</w:t>
            </w:r>
            <w:r>
              <w:rPr>
                <w:rFonts w:hint="eastAsia" w:cs="Times New Roman"/>
                <w:color w:val="auto"/>
                <w:sz w:val="24"/>
                <w:szCs w:val="24"/>
                <w:highlight w:val="none"/>
                <w:lang w:val="en-US" w:eastAsia="zh-CN"/>
              </w:rPr>
              <w:t>30万m</w:t>
            </w:r>
            <w:r>
              <w:rPr>
                <w:rFonts w:hint="eastAsia"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的</w:t>
            </w:r>
            <w:r>
              <w:rPr>
                <w:rFonts w:hint="eastAsia" w:cs="Times New Roman"/>
                <w:color w:val="auto"/>
                <w:sz w:val="24"/>
                <w:szCs w:val="24"/>
                <w:highlight w:val="none"/>
                <w:lang w:val="en-US" w:eastAsia="zh-CN"/>
              </w:rPr>
              <w:t>竹木纤维集成墙板及扣板，其中竹木纤维集成墙板年产15万m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vertAlign w:val="baseline"/>
                <w:lang w:val="en-US" w:eastAsia="zh-CN"/>
              </w:rPr>
              <w:t>（750t/a）</w:t>
            </w:r>
            <w:r>
              <w:rPr>
                <w:rFonts w:hint="eastAsia" w:cs="Times New Roman"/>
                <w:color w:val="auto"/>
                <w:sz w:val="24"/>
                <w:szCs w:val="24"/>
                <w:highlight w:val="none"/>
                <w:lang w:val="en-US" w:eastAsia="zh-CN"/>
              </w:rPr>
              <w:t>、扣板15万m</w:t>
            </w:r>
            <w:r>
              <w:rPr>
                <w:rFonts w:hint="eastAsia" w:cs="Times New Roman"/>
                <w:color w:val="auto"/>
                <w:sz w:val="24"/>
                <w:szCs w:val="24"/>
                <w:highlight w:val="none"/>
                <w:vertAlign w:val="superscript"/>
                <w:lang w:val="en-US" w:eastAsia="zh-CN"/>
              </w:rPr>
              <w:t>2</w:t>
            </w:r>
            <w:r>
              <w:rPr>
                <w:rFonts w:hint="eastAsia" w:cs="Times New Roman"/>
                <w:color w:val="auto"/>
                <w:sz w:val="24"/>
                <w:szCs w:val="24"/>
                <w:highlight w:val="none"/>
                <w:vertAlign w:val="baseline"/>
                <w:lang w:val="en-US" w:eastAsia="zh-CN"/>
              </w:rPr>
              <w:t>（600t/a）</w:t>
            </w:r>
            <w:r>
              <w:rPr>
                <w:rFonts w:hint="eastAsia"/>
                <w:color w:val="auto"/>
                <w:sz w:val="24"/>
              </w:rPr>
              <w:t>，则</w:t>
            </w:r>
            <w:r>
              <w:rPr>
                <w:rFonts w:hint="eastAsia"/>
                <w:color w:val="auto"/>
                <w:sz w:val="24"/>
                <w:lang w:eastAsia="zh-CN"/>
              </w:rPr>
              <w:t>挤出</w:t>
            </w:r>
            <w:r>
              <w:rPr>
                <w:rFonts w:hint="eastAsia"/>
                <w:color w:val="auto"/>
                <w:sz w:val="24"/>
              </w:rPr>
              <w:t>过程</w:t>
            </w:r>
            <w:r>
              <w:rPr>
                <w:rFonts w:hint="eastAsia"/>
                <w:color w:val="auto"/>
                <w:sz w:val="24"/>
                <w:lang w:eastAsia="zh-CN"/>
              </w:rPr>
              <w:t>非甲烷总烃</w:t>
            </w:r>
            <w:r>
              <w:rPr>
                <w:rFonts w:hint="eastAsia"/>
                <w:color w:val="auto"/>
                <w:sz w:val="24"/>
              </w:rPr>
              <w:t>产生量为</w:t>
            </w:r>
            <w:r>
              <w:rPr>
                <w:rFonts w:hint="eastAsia"/>
                <w:color w:val="auto"/>
                <w:sz w:val="24"/>
                <w:lang w:val="en-US" w:eastAsia="zh-CN"/>
              </w:rPr>
              <w:t>2.025</w:t>
            </w:r>
            <w:r>
              <w:rPr>
                <w:rFonts w:hint="eastAsia"/>
                <w:color w:val="auto"/>
                <w:sz w:val="24"/>
              </w:rPr>
              <w:t>t/a，产生速率为</w:t>
            </w:r>
            <w:r>
              <w:rPr>
                <w:rFonts w:hint="eastAsia"/>
                <w:color w:val="auto"/>
                <w:sz w:val="24"/>
                <w:lang w:val="en-US" w:eastAsia="zh-CN"/>
              </w:rPr>
              <w:t>0.5625</w:t>
            </w:r>
            <w:r>
              <w:rPr>
                <w:rFonts w:hint="eastAsia"/>
                <w:color w:val="auto"/>
                <w:sz w:val="24"/>
              </w:rPr>
              <w:t>kg/h</w:t>
            </w:r>
            <w:r>
              <w:rPr>
                <w:rFonts w:hint="eastAsia"/>
                <w:color w:val="auto"/>
                <w:sz w:val="24"/>
                <w:lang w:eastAsia="zh-CN"/>
              </w:rPr>
              <w:t>。</w:t>
            </w:r>
          </w:p>
          <w:p w14:paraId="54B8BB51">
            <w:pPr>
              <w:adjustRightInd w:val="0"/>
              <w:snapToGrid w:val="0"/>
              <w:spacing w:line="360" w:lineRule="auto"/>
              <w:ind w:firstLine="361" w:firstLineChars="150"/>
              <w:rPr>
                <w:rFonts w:hint="default" w:eastAsia="宋体"/>
                <w:b/>
                <w:bCs/>
                <w:color w:val="auto"/>
                <w:sz w:val="24"/>
                <w:lang w:val="en-US" w:eastAsia="zh-CN"/>
              </w:rPr>
            </w:pPr>
            <w:r>
              <w:rPr>
                <w:rFonts w:hint="eastAsia"/>
                <w:b/>
                <w:bCs/>
                <w:color w:val="auto"/>
                <w:sz w:val="24"/>
                <w:lang w:val="en-US" w:eastAsia="zh-CN"/>
              </w:rPr>
              <w:t>B、氯乙烯、氯化氢（挤出废气）</w:t>
            </w:r>
          </w:p>
          <w:p w14:paraId="05E28E0D">
            <w:pPr>
              <w:adjustRightInd w:val="0"/>
              <w:snapToGrid w:val="0"/>
              <w:spacing w:line="360" w:lineRule="auto"/>
              <w:ind w:firstLine="360" w:firstLineChars="150"/>
              <w:rPr>
                <w:b/>
                <w:bCs/>
                <w:color w:val="auto"/>
                <w:spacing w:val="6"/>
                <w:szCs w:val="21"/>
              </w:rPr>
            </w:pPr>
            <w:r>
              <w:rPr>
                <w:color w:val="auto"/>
                <w:sz w:val="24"/>
              </w:rPr>
              <w:t>根据林华影、张伟、张琼，林瑶（气相色谱-质谱法分析聚氯乙烯加热分解产物）【J】，中国卫生检验杂志，2008年4月第18卷第4期研究结果可知，聚氯乙烯在不同温度的加工使用条件下所释放于工作场所空气中的毒害物质的种类、数量，具体数据详见表</w:t>
            </w:r>
            <w:r>
              <w:rPr>
                <w:rFonts w:hint="eastAsia"/>
                <w:color w:val="auto"/>
                <w:sz w:val="24"/>
              </w:rPr>
              <w:t>4-</w:t>
            </w:r>
            <w:r>
              <w:rPr>
                <w:rFonts w:hint="eastAsia"/>
                <w:color w:val="auto"/>
                <w:sz w:val="24"/>
                <w:lang w:val="en-US" w:eastAsia="zh-CN"/>
              </w:rPr>
              <w:t>7</w:t>
            </w:r>
            <w:r>
              <w:rPr>
                <w:color w:val="auto"/>
                <w:sz w:val="24"/>
              </w:rPr>
              <w:t>所示。</w:t>
            </w:r>
          </w:p>
          <w:p w14:paraId="5F70BC3F">
            <w:pPr>
              <w:ind w:firstLine="446"/>
              <w:jc w:val="center"/>
              <w:rPr>
                <w:b/>
                <w:bCs/>
                <w:color w:val="auto"/>
                <w:spacing w:val="6"/>
                <w:szCs w:val="21"/>
              </w:rPr>
            </w:pPr>
            <w:r>
              <w:rPr>
                <w:b/>
                <w:bCs/>
                <w:color w:val="auto"/>
                <w:spacing w:val="6"/>
                <w:szCs w:val="21"/>
              </w:rPr>
              <w:t>表</w:t>
            </w:r>
            <w:r>
              <w:rPr>
                <w:rFonts w:hint="eastAsia"/>
                <w:b/>
                <w:bCs/>
                <w:color w:val="auto"/>
                <w:spacing w:val="6"/>
                <w:szCs w:val="21"/>
              </w:rPr>
              <w:t>4-</w:t>
            </w:r>
            <w:r>
              <w:rPr>
                <w:rFonts w:hint="eastAsia"/>
                <w:b/>
                <w:bCs/>
                <w:color w:val="auto"/>
                <w:spacing w:val="6"/>
                <w:szCs w:val="21"/>
                <w:lang w:val="en-US" w:eastAsia="zh-CN"/>
              </w:rPr>
              <w:t>7</w:t>
            </w:r>
            <w:r>
              <w:rPr>
                <w:b/>
                <w:bCs/>
                <w:color w:val="auto"/>
                <w:spacing w:val="6"/>
                <w:szCs w:val="21"/>
              </w:rPr>
              <w:t xml:space="preserve">  </w:t>
            </w:r>
            <w:r>
              <w:rPr>
                <w:b/>
                <w:bCs/>
                <w:color w:val="auto"/>
                <w:szCs w:val="21"/>
              </w:rPr>
              <w:t>不同温度条件下PVC的加热分解产物种类和浓度   单位：mg/m</w:t>
            </w:r>
            <w:r>
              <w:rPr>
                <w:b/>
                <w:bCs/>
                <w:color w:val="auto"/>
                <w:szCs w:val="21"/>
                <w:vertAlign w:val="superscript"/>
              </w:rPr>
              <w:t>3</w:t>
            </w:r>
          </w:p>
          <w:tbl>
            <w:tblPr>
              <w:tblStyle w:val="26"/>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1369"/>
              <w:gridCol w:w="1423"/>
              <w:gridCol w:w="1565"/>
              <w:gridCol w:w="2148"/>
            </w:tblGrid>
            <w:tr w14:paraId="6F11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51" w:type="dxa"/>
                  <w:vMerge w:val="restart"/>
                  <w:noWrap w:val="0"/>
                  <w:vAlign w:val="center"/>
                </w:tcPr>
                <w:p w14:paraId="5748110A">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b/>
                      <w:bCs/>
                      <w:color w:val="auto"/>
                      <w:szCs w:val="21"/>
                    </w:rPr>
                  </w:pPr>
                  <w:r>
                    <w:rPr>
                      <w:rFonts w:eastAsia="宋体"/>
                      <w:b/>
                      <w:bCs/>
                      <w:color w:val="auto"/>
                      <w:szCs w:val="21"/>
                    </w:rPr>
                    <w:t>加热分</w:t>
                  </w:r>
                </w:p>
                <w:p w14:paraId="07CBFA30">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b/>
                      <w:bCs/>
                      <w:color w:val="auto"/>
                      <w:szCs w:val="21"/>
                    </w:rPr>
                  </w:pPr>
                  <w:r>
                    <w:rPr>
                      <w:rFonts w:eastAsia="宋体"/>
                      <w:b/>
                      <w:bCs/>
                      <w:color w:val="auto"/>
                      <w:szCs w:val="21"/>
                    </w:rPr>
                    <w:t>解产物</w:t>
                  </w:r>
                </w:p>
              </w:tc>
              <w:tc>
                <w:tcPr>
                  <w:tcW w:w="6505" w:type="dxa"/>
                  <w:gridSpan w:val="4"/>
                  <w:noWrap w:val="0"/>
                  <w:vAlign w:val="center"/>
                </w:tcPr>
                <w:p w14:paraId="0F34EA7B">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b/>
                      <w:bCs/>
                      <w:color w:val="auto"/>
                      <w:szCs w:val="21"/>
                    </w:rPr>
                  </w:pPr>
                  <w:r>
                    <w:rPr>
                      <w:rFonts w:eastAsia="宋体"/>
                      <w:b/>
                      <w:bCs/>
                      <w:color w:val="auto"/>
                      <w:szCs w:val="21"/>
                    </w:rPr>
                    <w:t>温度（℃）</w:t>
                  </w:r>
                </w:p>
              </w:tc>
            </w:tr>
            <w:tr w14:paraId="2934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51" w:type="dxa"/>
                  <w:vMerge w:val="continue"/>
                  <w:noWrap w:val="0"/>
                  <w:vAlign w:val="center"/>
                </w:tcPr>
                <w:p w14:paraId="17EF1B75">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b/>
                      <w:bCs/>
                      <w:color w:val="auto"/>
                      <w:szCs w:val="21"/>
                    </w:rPr>
                  </w:pPr>
                </w:p>
              </w:tc>
              <w:tc>
                <w:tcPr>
                  <w:tcW w:w="1369" w:type="dxa"/>
                  <w:noWrap w:val="0"/>
                  <w:vAlign w:val="center"/>
                </w:tcPr>
                <w:p w14:paraId="26E001EC">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b/>
                      <w:bCs/>
                      <w:color w:val="auto"/>
                      <w:szCs w:val="21"/>
                    </w:rPr>
                  </w:pPr>
                  <w:r>
                    <w:rPr>
                      <w:rFonts w:eastAsia="宋体"/>
                      <w:b/>
                      <w:bCs/>
                      <w:color w:val="auto"/>
                      <w:szCs w:val="21"/>
                    </w:rPr>
                    <w:t>90</w:t>
                  </w:r>
                </w:p>
              </w:tc>
              <w:tc>
                <w:tcPr>
                  <w:tcW w:w="1423" w:type="dxa"/>
                  <w:noWrap w:val="0"/>
                  <w:vAlign w:val="center"/>
                </w:tcPr>
                <w:p w14:paraId="2E4CB29B">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b/>
                      <w:bCs/>
                      <w:color w:val="auto"/>
                      <w:szCs w:val="21"/>
                    </w:rPr>
                  </w:pPr>
                  <w:r>
                    <w:rPr>
                      <w:rFonts w:eastAsia="宋体"/>
                      <w:b/>
                      <w:bCs/>
                      <w:color w:val="auto"/>
                      <w:szCs w:val="21"/>
                    </w:rPr>
                    <w:t>110</w:t>
                  </w:r>
                </w:p>
              </w:tc>
              <w:tc>
                <w:tcPr>
                  <w:tcW w:w="1565" w:type="dxa"/>
                  <w:noWrap w:val="0"/>
                  <w:vAlign w:val="center"/>
                </w:tcPr>
                <w:p w14:paraId="424AFF3E">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b/>
                      <w:bCs/>
                      <w:color w:val="auto"/>
                      <w:szCs w:val="21"/>
                    </w:rPr>
                  </w:pPr>
                  <w:r>
                    <w:rPr>
                      <w:rFonts w:eastAsia="宋体"/>
                      <w:b/>
                      <w:bCs/>
                      <w:color w:val="auto"/>
                      <w:szCs w:val="21"/>
                    </w:rPr>
                    <w:t>130</w:t>
                  </w:r>
                </w:p>
              </w:tc>
              <w:tc>
                <w:tcPr>
                  <w:tcW w:w="2148" w:type="dxa"/>
                  <w:noWrap w:val="0"/>
                  <w:vAlign w:val="center"/>
                </w:tcPr>
                <w:p w14:paraId="6FCF1BEF">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b/>
                      <w:bCs/>
                      <w:color w:val="auto"/>
                      <w:szCs w:val="21"/>
                    </w:rPr>
                  </w:pPr>
                  <w:r>
                    <w:rPr>
                      <w:rFonts w:eastAsia="宋体"/>
                      <w:b/>
                      <w:bCs/>
                      <w:color w:val="auto"/>
                      <w:szCs w:val="21"/>
                    </w:rPr>
                    <w:t>150</w:t>
                  </w:r>
                </w:p>
              </w:tc>
            </w:tr>
            <w:tr w14:paraId="3569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51" w:type="dxa"/>
                  <w:noWrap w:val="0"/>
                  <w:vAlign w:val="center"/>
                </w:tcPr>
                <w:p w14:paraId="03B8A101">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乙烯</w:t>
                  </w:r>
                </w:p>
              </w:tc>
              <w:tc>
                <w:tcPr>
                  <w:tcW w:w="1369" w:type="dxa"/>
                  <w:noWrap w:val="0"/>
                  <w:vAlign w:val="center"/>
                </w:tcPr>
                <w:p w14:paraId="0ADEA6FA">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1423" w:type="dxa"/>
                  <w:noWrap w:val="0"/>
                  <w:vAlign w:val="center"/>
                </w:tcPr>
                <w:p w14:paraId="13F6BE6F">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0.68</w:t>
                  </w:r>
                </w:p>
              </w:tc>
              <w:tc>
                <w:tcPr>
                  <w:tcW w:w="1565" w:type="dxa"/>
                  <w:noWrap w:val="0"/>
                  <w:vAlign w:val="center"/>
                </w:tcPr>
                <w:p w14:paraId="7FC16309">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1.98</w:t>
                  </w:r>
                </w:p>
              </w:tc>
              <w:tc>
                <w:tcPr>
                  <w:tcW w:w="2148" w:type="dxa"/>
                  <w:noWrap w:val="0"/>
                  <w:vAlign w:val="center"/>
                </w:tcPr>
                <w:p w14:paraId="4DECEAA4">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3.54</w:t>
                  </w:r>
                </w:p>
              </w:tc>
            </w:tr>
            <w:tr w14:paraId="732A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51" w:type="dxa"/>
                  <w:noWrap w:val="0"/>
                  <w:vAlign w:val="center"/>
                </w:tcPr>
                <w:p w14:paraId="473DA656">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b/>
                      <w:bCs/>
                      <w:color w:val="auto"/>
                      <w:szCs w:val="21"/>
                    </w:rPr>
                  </w:pPr>
                  <w:r>
                    <w:rPr>
                      <w:rFonts w:eastAsia="宋体"/>
                      <w:b/>
                      <w:bCs/>
                      <w:color w:val="auto"/>
                      <w:szCs w:val="21"/>
                    </w:rPr>
                    <w:t>氯化氢</w:t>
                  </w:r>
                </w:p>
              </w:tc>
              <w:tc>
                <w:tcPr>
                  <w:tcW w:w="1369" w:type="dxa"/>
                  <w:noWrap w:val="0"/>
                  <w:vAlign w:val="center"/>
                </w:tcPr>
                <w:p w14:paraId="2B0E3211">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b/>
                      <w:bCs/>
                      <w:color w:val="auto"/>
                      <w:szCs w:val="21"/>
                    </w:rPr>
                  </w:pPr>
                  <w:r>
                    <w:rPr>
                      <w:rFonts w:eastAsia="宋体"/>
                      <w:b/>
                      <w:bCs/>
                      <w:color w:val="auto"/>
                      <w:szCs w:val="21"/>
                    </w:rPr>
                    <w:t>0.95</w:t>
                  </w:r>
                </w:p>
              </w:tc>
              <w:tc>
                <w:tcPr>
                  <w:tcW w:w="1423" w:type="dxa"/>
                  <w:noWrap w:val="0"/>
                  <w:vAlign w:val="center"/>
                </w:tcPr>
                <w:p w14:paraId="14A4042F">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b/>
                      <w:bCs/>
                      <w:color w:val="auto"/>
                      <w:szCs w:val="21"/>
                    </w:rPr>
                  </w:pPr>
                  <w:r>
                    <w:rPr>
                      <w:rFonts w:eastAsia="宋体"/>
                      <w:b/>
                      <w:bCs/>
                      <w:color w:val="auto"/>
                      <w:szCs w:val="21"/>
                    </w:rPr>
                    <w:t>5.86</w:t>
                  </w:r>
                </w:p>
              </w:tc>
              <w:tc>
                <w:tcPr>
                  <w:tcW w:w="1565" w:type="dxa"/>
                  <w:noWrap w:val="0"/>
                  <w:vAlign w:val="center"/>
                </w:tcPr>
                <w:p w14:paraId="1767998B">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b/>
                      <w:bCs/>
                      <w:color w:val="auto"/>
                      <w:szCs w:val="21"/>
                    </w:rPr>
                  </w:pPr>
                  <w:r>
                    <w:rPr>
                      <w:rFonts w:eastAsia="宋体"/>
                      <w:b/>
                      <w:bCs/>
                      <w:color w:val="auto"/>
                      <w:szCs w:val="21"/>
                    </w:rPr>
                    <w:t>7.52</w:t>
                  </w:r>
                </w:p>
              </w:tc>
              <w:tc>
                <w:tcPr>
                  <w:tcW w:w="2148" w:type="dxa"/>
                  <w:noWrap w:val="0"/>
                  <w:vAlign w:val="center"/>
                </w:tcPr>
                <w:p w14:paraId="78592762">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b/>
                      <w:bCs/>
                      <w:color w:val="auto"/>
                      <w:szCs w:val="21"/>
                    </w:rPr>
                  </w:pPr>
                  <w:r>
                    <w:rPr>
                      <w:rFonts w:eastAsia="宋体"/>
                      <w:b/>
                      <w:bCs/>
                      <w:color w:val="auto"/>
                      <w:szCs w:val="21"/>
                    </w:rPr>
                    <w:t>9.48</w:t>
                  </w:r>
                </w:p>
              </w:tc>
            </w:tr>
            <w:tr w14:paraId="6BA2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51" w:type="dxa"/>
                  <w:noWrap w:val="0"/>
                  <w:vAlign w:val="center"/>
                </w:tcPr>
                <w:p w14:paraId="2B1C136A">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一氯甲烷</w:t>
                  </w:r>
                </w:p>
              </w:tc>
              <w:tc>
                <w:tcPr>
                  <w:tcW w:w="1369" w:type="dxa"/>
                  <w:noWrap w:val="0"/>
                  <w:vAlign w:val="center"/>
                </w:tcPr>
                <w:p w14:paraId="0739BEFF">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1423" w:type="dxa"/>
                  <w:noWrap w:val="0"/>
                  <w:vAlign w:val="center"/>
                </w:tcPr>
                <w:p w14:paraId="5053E382">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1565" w:type="dxa"/>
                  <w:noWrap w:val="0"/>
                  <w:vAlign w:val="center"/>
                </w:tcPr>
                <w:p w14:paraId="1D13FACB">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2148" w:type="dxa"/>
                  <w:noWrap w:val="0"/>
                  <w:vAlign w:val="center"/>
                </w:tcPr>
                <w:p w14:paraId="6467A011">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0.26</w:t>
                  </w:r>
                </w:p>
              </w:tc>
            </w:tr>
            <w:tr w14:paraId="2E67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51" w:type="dxa"/>
                  <w:noWrap w:val="0"/>
                  <w:vAlign w:val="center"/>
                </w:tcPr>
                <w:p w14:paraId="5ED2144D">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b/>
                      <w:bCs/>
                      <w:color w:val="auto"/>
                      <w:szCs w:val="21"/>
                    </w:rPr>
                  </w:pPr>
                  <w:r>
                    <w:rPr>
                      <w:rFonts w:eastAsia="宋体"/>
                      <w:b/>
                      <w:bCs/>
                      <w:color w:val="auto"/>
                      <w:szCs w:val="21"/>
                    </w:rPr>
                    <w:t>氯乙烯</w:t>
                  </w:r>
                </w:p>
              </w:tc>
              <w:tc>
                <w:tcPr>
                  <w:tcW w:w="1369" w:type="dxa"/>
                  <w:noWrap w:val="0"/>
                  <w:vAlign w:val="center"/>
                </w:tcPr>
                <w:p w14:paraId="54147983">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b/>
                      <w:bCs/>
                      <w:color w:val="auto"/>
                      <w:szCs w:val="21"/>
                    </w:rPr>
                  </w:pPr>
                  <w:r>
                    <w:rPr>
                      <w:rFonts w:eastAsia="宋体"/>
                      <w:b/>
                      <w:bCs/>
                      <w:color w:val="auto"/>
                      <w:szCs w:val="21"/>
                    </w:rPr>
                    <w:t>1.03</w:t>
                  </w:r>
                </w:p>
              </w:tc>
              <w:tc>
                <w:tcPr>
                  <w:tcW w:w="1423" w:type="dxa"/>
                  <w:noWrap w:val="0"/>
                  <w:vAlign w:val="center"/>
                </w:tcPr>
                <w:p w14:paraId="19D8D8D0">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b/>
                      <w:bCs/>
                      <w:color w:val="auto"/>
                      <w:szCs w:val="21"/>
                    </w:rPr>
                  </w:pPr>
                  <w:r>
                    <w:rPr>
                      <w:rFonts w:eastAsia="宋体"/>
                      <w:b/>
                      <w:bCs/>
                      <w:color w:val="auto"/>
                      <w:szCs w:val="21"/>
                    </w:rPr>
                    <w:t>4.08</w:t>
                  </w:r>
                </w:p>
              </w:tc>
              <w:tc>
                <w:tcPr>
                  <w:tcW w:w="1565" w:type="dxa"/>
                  <w:noWrap w:val="0"/>
                  <w:vAlign w:val="center"/>
                </w:tcPr>
                <w:p w14:paraId="4C875554">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b/>
                      <w:bCs/>
                      <w:color w:val="auto"/>
                      <w:szCs w:val="21"/>
                    </w:rPr>
                  </w:pPr>
                  <w:r>
                    <w:rPr>
                      <w:rFonts w:eastAsia="宋体"/>
                      <w:b/>
                      <w:bCs/>
                      <w:color w:val="auto"/>
                      <w:szCs w:val="21"/>
                    </w:rPr>
                    <w:t>7.85</w:t>
                  </w:r>
                </w:p>
              </w:tc>
              <w:tc>
                <w:tcPr>
                  <w:tcW w:w="2148" w:type="dxa"/>
                  <w:noWrap w:val="0"/>
                  <w:vAlign w:val="center"/>
                </w:tcPr>
                <w:p w14:paraId="240CBA8E">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b/>
                      <w:bCs/>
                      <w:color w:val="auto"/>
                      <w:szCs w:val="21"/>
                    </w:rPr>
                  </w:pPr>
                  <w:r>
                    <w:rPr>
                      <w:rFonts w:eastAsia="宋体"/>
                      <w:b/>
                      <w:bCs/>
                      <w:color w:val="auto"/>
                      <w:szCs w:val="21"/>
                    </w:rPr>
                    <w:t>11.57</w:t>
                  </w:r>
                </w:p>
              </w:tc>
            </w:tr>
            <w:tr w14:paraId="5A3E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51" w:type="dxa"/>
                  <w:noWrap w:val="0"/>
                  <w:vAlign w:val="center"/>
                </w:tcPr>
                <w:p w14:paraId="516519FF">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二氯乙烯</w:t>
                  </w:r>
                </w:p>
              </w:tc>
              <w:tc>
                <w:tcPr>
                  <w:tcW w:w="1369" w:type="dxa"/>
                  <w:noWrap w:val="0"/>
                  <w:vAlign w:val="center"/>
                </w:tcPr>
                <w:p w14:paraId="3A718211">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1423" w:type="dxa"/>
                  <w:noWrap w:val="0"/>
                  <w:vAlign w:val="center"/>
                </w:tcPr>
                <w:p w14:paraId="49AF6B3D">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0.53</w:t>
                  </w:r>
                </w:p>
              </w:tc>
              <w:tc>
                <w:tcPr>
                  <w:tcW w:w="1565" w:type="dxa"/>
                  <w:noWrap w:val="0"/>
                  <w:vAlign w:val="center"/>
                </w:tcPr>
                <w:p w14:paraId="41DB5C38">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1.25</w:t>
                  </w:r>
                </w:p>
              </w:tc>
              <w:tc>
                <w:tcPr>
                  <w:tcW w:w="2148" w:type="dxa"/>
                  <w:noWrap w:val="0"/>
                  <w:vAlign w:val="center"/>
                </w:tcPr>
                <w:p w14:paraId="6CD63874">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3.48</w:t>
                  </w:r>
                </w:p>
              </w:tc>
            </w:tr>
            <w:tr w14:paraId="3408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51" w:type="dxa"/>
                  <w:noWrap w:val="0"/>
                  <w:vAlign w:val="center"/>
                </w:tcPr>
                <w:p w14:paraId="0A4A2815">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二氯甲烷</w:t>
                  </w:r>
                </w:p>
              </w:tc>
              <w:tc>
                <w:tcPr>
                  <w:tcW w:w="1369" w:type="dxa"/>
                  <w:noWrap w:val="0"/>
                  <w:vAlign w:val="center"/>
                </w:tcPr>
                <w:p w14:paraId="5E7B3073">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1423" w:type="dxa"/>
                  <w:noWrap w:val="0"/>
                  <w:vAlign w:val="center"/>
                </w:tcPr>
                <w:p w14:paraId="3E48287E">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1565" w:type="dxa"/>
                  <w:noWrap w:val="0"/>
                  <w:vAlign w:val="center"/>
                </w:tcPr>
                <w:p w14:paraId="08276BC2">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2148" w:type="dxa"/>
                  <w:noWrap w:val="0"/>
                  <w:vAlign w:val="center"/>
                </w:tcPr>
                <w:p w14:paraId="3C604AB9">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0.41</w:t>
                  </w:r>
                </w:p>
              </w:tc>
            </w:tr>
            <w:tr w14:paraId="4FC9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51" w:type="dxa"/>
                  <w:noWrap w:val="0"/>
                  <w:vAlign w:val="center"/>
                </w:tcPr>
                <w:p w14:paraId="54009585">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四氯化碳</w:t>
                  </w:r>
                </w:p>
              </w:tc>
              <w:tc>
                <w:tcPr>
                  <w:tcW w:w="1369" w:type="dxa"/>
                  <w:noWrap w:val="0"/>
                  <w:vAlign w:val="center"/>
                </w:tcPr>
                <w:p w14:paraId="63D520E4">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1423" w:type="dxa"/>
                  <w:noWrap w:val="0"/>
                  <w:vAlign w:val="center"/>
                </w:tcPr>
                <w:p w14:paraId="1DE33A54">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0.51</w:t>
                  </w:r>
                </w:p>
              </w:tc>
              <w:tc>
                <w:tcPr>
                  <w:tcW w:w="1565" w:type="dxa"/>
                  <w:noWrap w:val="0"/>
                  <w:vAlign w:val="center"/>
                </w:tcPr>
                <w:p w14:paraId="346CF2D6">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1.02</w:t>
                  </w:r>
                </w:p>
              </w:tc>
              <w:tc>
                <w:tcPr>
                  <w:tcW w:w="2148" w:type="dxa"/>
                  <w:noWrap w:val="0"/>
                  <w:vAlign w:val="center"/>
                </w:tcPr>
                <w:p w14:paraId="55456228">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3.78</w:t>
                  </w:r>
                </w:p>
              </w:tc>
            </w:tr>
            <w:tr w14:paraId="30871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51" w:type="dxa"/>
                  <w:noWrap w:val="0"/>
                  <w:vAlign w:val="center"/>
                </w:tcPr>
                <w:p w14:paraId="09095115">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三氯甲烷</w:t>
                  </w:r>
                </w:p>
              </w:tc>
              <w:tc>
                <w:tcPr>
                  <w:tcW w:w="1369" w:type="dxa"/>
                  <w:noWrap w:val="0"/>
                  <w:vAlign w:val="center"/>
                </w:tcPr>
                <w:p w14:paraId="1FACA822">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1423" w:type="dxa"/>
                  <w:noWrap w:val="0"/>
                  <w:vAlign w:val="center"/>
                </w:tcPr>
                <w:p w14:paraId="5825FF32">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1565" w:type="dxa"/>
                  <w:noWrap w:val="0"/>
                  <w:vAlign w:val="center"/>
                </w:tcPr>
                <w:p w14:paraId="4429835A">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2148" w:type="dxa"/>
                  <w:noWrap w:val="0"/>
                  <w:vAlign w:val="center"/>
                </w:tcPr>
                <w:p w14:paraId="650FEFCF">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0.26</w:t>
                  </w:r>
                </w:p>
              </w:tc>
            </w:tr>
            <w:tr w14:paraId="1DBC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51" w:type="dxa"/>
                  <w:noWrap w:val="0"/>
                  <w:vAlign w:val="center"/>
                </w:tcPr>
                <w:p w14:paraId="7BF0DC16">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二氯乙烷</w:t>
                  </w:r>
                </w:p>
              </w:tc>
              <w:tc>
                <w:tcPr>
                  <w:tcW w:w="1369" w:type="dxa"/>
                  <w:noWrap w:val="0"/>
                  <w:vAlign w:val="center"/>
                </w:tcPr>
                <w:p w14:paraId="6D495A60">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1423" w:type="dxa"/>
                  <w:noWrap w:val="0"/>
                  <w:vAlign w:val="center"/>
                </w:tcPr>
                <w:p w14:paraId="32F1A44A">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1565" w:type="dxa"/>
                  <w:noWrap w:val="0"/>
                  <w:vAlign w:val="center"/>
                </w:tcPr>
                <w:p w14:paraId="290A59B5">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2148" w:type="dxa"/>
                  <w:noWrap w:val="0"/>
                  <w:vAlign w:val="center"/>
                </w:tcPr>
                <w:p w14:paraId="074879F0">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0.24</w:t>
                  </w:r>
                </w:p>
              </w:tc>
            </w:tr>
            <w:tr w14:paraId="0AFD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51" w:type="dxa"/>
                  <w:noWrap w:val="0"/>
                  <w:vAlign w:val="center"/>
                </w:tcPr>
                <w:p w14:paraId="22303F20">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苯</w:t>
                  </w:r>
                </w:p>
              </w:tc>
              <w:tc>
                <w:tcPr>
                  <w:tcW w:w="1369" w:type="dxa"/>
                  <w:noWrap w:val="0"/>
                  <w:vAlign w:val="center"/>
                </w:tcPr>
                <w:p w14:paraId="78038CAD">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1423" w:type="dxa"/>
                  <w:noWrap w:val="0"/>
                  <w:vAlign w:val="center"/>
                </w:tcPr>
                <w:p w14:paraId="2B59E03D">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1565" w:type="dxa"/>
                  <w:noWrap w:val="0"/>
                  <w:vAlign w:val="center"/>
                </w:tcPr>
                <w:p w14:paraId="607BCCA7">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2148" w:type="dxa"/>
                  <w:noWrap w:val="0"/>
                  <w:vAlign w:val="center"/>
                </w:tcPr>
                <w:p w14:paraId="4052CC0E">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r>
            <w:tr w14:paraId="1DCD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51" w:type="dxa"/>
                  <w:noWrap w:val="0"/>
                  <w:vAlign w:val="center"/>
                </w:tcPr>
                <w:p w14:paraId="43301E71">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三氯乙烯</w:t>
                  </w:r>
                </w:p>
              </w:tc>
              <w:tc>
                <w:tcPr>
                  <w:tcW w:w="1369" w:type="dxa"/>
                  <w:noWrap w:val="0"/>
                  <w:vAlign w:val="center"/>
                </w:tcPr>
                <w:p w14:paraId="28316885">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1423" w:type="dxa"/>
                  <w:noWrap w:val="0"/>
                  <w:vAlign w:val="center"/>
                </w:tcPr>
                <w:p w14:paraId="7B105AD6">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0.91</w:t>
                  </w:r>
                </w:p>
              </w:tc>
              <w:tc>
                <w:tcPr>
                  <w:tcW w:w="1565" w:type="dxa"/>
                  <w:noWrap w:val="0"/>
                  <w:vAlign w:val="center"/>
                </w:tcPr>
                <w:p w14:paraId="51DE4B3C">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1.67</w:t>
                  </w:r>
                </w:p>
              </w:tc>
              <w:tc>
                <w:tcPr>
                  <w:tcW w:w="2148" w:type="dxa"/>
                  <w:noWrap w:val="0"/>
                  <w:vAlign w:val="center"/>
                </w:tcPr>
                <w:p w14:paraId="05D0A63A">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3.56</w:t>
                  </w:r>
                </w:p>
              </w:tc>
            </w:tr>
            <w:tr w14:paraId="03BD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51" w:type="dxa"/>
                  <w:noWrap w:val="0"/>
                  <w:vAlign w:val="center"/>
                </w:tcPr>
                <w:p w14:paraId="09A7ED62">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甲苯</w:t>
                  </w:r>
                </w:p>
              </w:tc>
              <w:tc>
                <w:tcPr>
                  <w:tcW w:w="1369" w:type="dxa"/>
                  <w:noWrap w:val="0"/>
                  <w:vAlign w:val="center"/>
                </w:tcPr>
                <w:p w14:paraId="713D9149">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1423" w:type="dxa"/>
                  <w:noWrap w:val="0"/>
                  <w:vAlign w:val="center"/>
                </w:tcPr>
                <w:p w14:paraId="3A414A88">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1565" w:type="dxa"/>
                  <w:noWrap w:val="0"/>
                  <w:vAlign w:val="center"/>
                </w:tcPr>
                <w:p w14:paraId="251F610A">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2148" w:type="dxa"/>
                  <w:noWrap w:val="0"/>
                  <w:vAlign w:val="center"/>
                </w:tcPr>
                <w:p w14:paraId="59C64087">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r>
            <w:tr w14:paraId="047D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51" w:type="dxa"/>
                  <w:noWrap w:val="0"/>
                  <w:vAlign w:val="center"/>
                </w:tcPr>
                <w:p w14:paraId="51DED1D4">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四氯乙烯</w:t>
                  </w:r>
                </w:p>
              </w:tc>
              <w:tc>
                <w:tcPr>
                  <w:tcW w:w="1369" w:type="dxa"/>
                  <w:noWrap w:val="0"/>
                  <w:vAlign w:val="center"/>
                </w:tcPr>
                <w:p w14:paraId="34F057FD">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1423" w:type="dxa"/>
                  <w:noWrap w:val="0"/>
                  <w:vAlign w:val="center"/>
                </w:tcPr>
                <w:p w14:paraId="001FC126">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1565" w:type="dxa"/>
                  <w:noWrap w:val="0"/>
                  <w:vAlign w:val="center"/>
                </w:tcPr>
                <w:p w14:paraId="2F806101">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0.43</w:t>
                  </w:r>
                </w:p>
              </w:tc>
              <w:tc>
                <w:tcPr>
                  <w:tcW w:w="2148" w:type="dxa"/>
                  <w:noWrap w:val="0"/>
                  <w:vAlign w:val="center"/>
                </w:tcPr>
                <w:p w14:paraId="4656EE25">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0.96</w:t>
                  </w:r>
                </w:p>
              </w:tc>
            </w:tr>
            <w:tr w14:paraId="0747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51" w:type="dxa"/>
                  <w:noWrap w:val="0"/>
                  <w:vAlign w:val="center"/>
                </w:tcPr>
                <w:p w14:paraId="38564D34">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苯乙烯</w:t>
                  </w:r>
                </w:p>
              </w:tc>
              <w:tc>
                <w:tcPr>
                  <w:tcW w:w="1369" w:type="dxa"/>
                  <w:noWrap w:val="0"/>
                  <w:vAlign w:val="center"/>
                </w:tcPr>
                <w:p w14:paraId="4008AE41">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1423" w:type="dxa"/>
                  <w:noWrap w:val="0"/>
                  <w:vAlign w:val="center"/>
                </w:tcPr>
                <w:p w14:paraId="3A9026E2">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1565" w:type="dxa"/>
                  <w:noWrap w:val="0"/>
                  <w:vAlign w:val="center"/>
                </w:tcPr>
                <w:p w14:paraId="26FBF59E">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c>
                <w:tcPr>
                  <w:tcW w:w="2148" w:type="dxa"/>
                  <w:noWrap w:val="0"/>
                  <w:vAlign w:val="center"/>
                </w:tcPr>
                <w:p w14:paraId="268E0A19">
                  <w:pPr>
                    <w:keepNext w:val="0"/>
                    <w:keepLines w:val="0"/>
                    <w:pageBreakBefore w:val="0"/>
                    <w:widowControl w:val="0"/>
                    <w:kinsoku/>
                    <w:wordWrap/>
                    <w:overflowPunct/>
                    <w:topLinePunct w:val="0"/>
                    <w:autoSpaceDE/>
                    <w:autoSpaceDN/>
                    <w:bidi w:val="0"/>
                    <w:adjustRightInd w:val="0"/>
                    <w:snapToGrid w:val="0"/>
                    <w:ind w:firstLine="0"/>
                    <w:jc w:val="center"/>
                    <w:textAlignment w:val="auto"/>
                    <w:rPr>
                      <w:rFonts w:eastAsia="宋体"/>
                      <w:color w:val="auto"/>
                      <w:szCs w:val="21"/>
                    </w:rPr>
                  </w:pPr>
                  <w:r>
                    <w:rPr>
                      <w:rFonts w:eastAsia="宋体"/>
                      <w:color w:val="auto"/>
                      <w:szCs w:val="21"/>
                    </w:rPr>
                    <w:t>未检出</w:t>
                  </w:r>
                </w:p>
              </w:tc>
            </w:tr>
          </w:tbl>
          <w:p w14:paraId="3C6EBD76">
            <w:pPr>
              <w:pStyle w:val="6"/>
              <w:keepNext w:val="0"/>
              <w:keepLines w:val="0"/>
              <w:pageBreakBefore w:val="0"/>
              <w:widowControl w:val="0"/>
              <w:kinsoku w:val="0"/>
              <w:wordWrap/>
              <w:overflowPunct w:val="0"/>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bCs/>
                <w:color w:val="auto"/>
                <w:spacing w:val="6"/>
                <w:sz w:val="24"/>
                <w:highlight w:val="none"/>
                <w:lang w:val="en-US" w:eastAsia="zh-CN"/>
              </w:rPr>
            </w:pPr>
            <w:r>
              <w:rPr>
                <w:color w:val="auto"/>
                <w:sz w:val="24"/>
              </w:rPr>
              <w:t>由上可知，聚氯乙烯在90℃的加热条件下即可分解产生氯乙烯、氯化氢及非甲烷总烃，不同的加热温度条件下产物不同，温度越高，分解产物的种类越多，浓度越大。本项目生产挤塑时最高温度为150℃，选取在150℃加热情况下的各污染物进行核算。根据（气相色谱-质谱法分析聚苯乙烯加热分解产物）论文中内容介绍，该论文实验时称取25g的聚氯乙烯粉末在250mL的量瓶中进行加热，因此可对应计算出在150℃时各污染物的产生情况如下：氯化氢的产生量约为0.0948kg/t聚氯乙烯，氯乙烯的产生量为0.1157kg/t聚氯乙烯。项目聚氯乙烯的使用量为</w:t>
            </w:r>
            <w:r>
              <w:rPr>
                <w:rFonts w:hint="eastAsia"/>
                <w:color w:val="auto"/>
                <w:sz w:val="24"/>
                <w:lang w:val="en-US" w:eastAsia="zh-CN"/>
              </w:rPr>
              <w:t>33</w:t>
            </w:r>
            <w:r>
              <w:rPr>
                <w:color w:val="auto"/>
                <w:sz w:val="24"/>
              </w:rPr>
              <w:t>0t，每年生产3</w:t>
            </w:r>
            <w:r>
              <w:rPr>
                <w:rFonts w:hint="eastAsia"/>
                <w:color w:val="auto"/>
                <w:sz w:val="24"/>
              </w:rPr>
              <w:t>00</w:t>
            </w:r>
            <w:r>
              <w:rPr>
                <w:color w:val="auto"/>
                <w:sz w:val="24"/>
              </w:rPr>
              <w:t>天，每天生产</w:t>
            </w:r>
            <w:r>
              <w:rPr>
                <w:rFonts w:hint="eastAsia"/>
                <w:color w:val="auto"/>
                <w:sz w:val="24"/>
                <w:lang w:val="en-US" w:eastAsia="zh-CN"/>
              </w:rPr>
              <w:t>12</w:t>
            </w:r>
            <w:r>
              <w:rPr>
                <w:color w:val="auto"/>
                <w:sz w:val="24"/>
              </w:rPr>
              <w:t>个小时</w:t>
            </w:r>
            <w:r>
              <w:rPr>
                <w:rFonts w:hint="eastAsia"/>
                <w:color w:val="auto"/>
                <w:sz w:val="24"/>
                <w:lang w:eastAsia="zh-CN"/>
              </w:rPr>
              <w:t>。</w:t>
            </w:r>
            <w:r>
              <w:rPr>
                <w:color w:val="auto"/>
                <w:sz w:val="24"/>
              </w:rPr>
              <w:t>则项目生产过程中氯化氢的产生量为0.</w:t>
            </w:r>
            <w:r>
              <w:rPr>
                <w:rFonts w:hint="eastAsia"/>
                <w:color w:val="auto"/>
                <w:sz w:val="24"/>
                <w:lang w:val="en-US" w:eastAsia="zh-CN"/>
              </w:rPr>
              <w:t>0313</w:t>
            </w:r>
            <w:r>
              <w:rPr>
                <w:color w:val="auto"/>
                <w:sz w:val="24"/>
              </w:rPr>
              <w:t>t/a</w:t>
            </w:r>
            <w:r>
              <w:rPr>
                <w:rFonts w:hint="eastAsia"/>
                <w:color w:val="auto"/>
                <w:sz w:val="24"/>
                <w:lang w:eastAsia="zh-CN"/>
              </w:rPr>
              <w:t>，产生速率为</w:t>
            </w:r>
            <w:r>
              <w:rPr>
                <w:rFonts w:hint="eastAsia"/>
                <w:color w:val="auto"/>
                <w:sz w:val="24"/>
                <w:lang w:val="en-US" w:eastAsia="zh-CN"/>
              </w:rPr>
              <w:t>0.0087kg/h</w:t>
            </w:r>
            <w:r>
              <w:rPr>
                <w:color w:val="auto"/>
                <w:sz w:val="24"/>
              </w:rPr>
              <w:t>；氯乙烯的产生量为0.</w:t>
            </w:r>
            <w:r>
              <w:rPr>
                <w:rFonts w:hint="eastAsia"/>
                <w:color w:val="auto"/>
                <w:sz w:val="24"/>
                <w:lang w:val="en-US" w:eastAsia="zh-CN"/>
              </w:rPr>
              <w:t>0382</w:t>
            </w:r>
            <w:r>
              <w:rPr>
                <w:color w:val="auto"/>
                <w:sz w:val="24"/>
              </w:rPr>
              <w:t>t/a</w:t>
            </w:r>
            <w:r>
              <w:rPr>
                <w:rFonts w:hint="eastAsia"/>
                <w:color w:val="auto"/>
                <w:sz w:val="24"/>
                <w:lang w:eastAsia="zh-CN"/>
              </w:rPr>
              <w:t>，产生速率为</w:t>
            </w:r>
            <w:r>
              <w:rPr>
                <w:rFonts w:hint="eastAsia"/>
                <w:color w:val="auto"/>
                <w:sz w:val="24"/>
                <w:lang w:val="en-US" w:eastAsia="zh-CN"/>
              </w:rPr>
              <w:t>0.0106kg/h</w:t>
            </w:r>
            <w:r>
              <w:rPr>
                <w:rFonts w:hint="eastAsia"/>
                <w:color w:val="auto"/>
                <w:sz w:val="24"/>
                <w:lang w:eastAsia="zh-CN"/>
              </w:rPr>
              <w:t>。</w:t>
            </w:r>
          </w:p>
          <w:p w14:paraId="1F2389A3">
            <w:pPr>
              <w:adjustRightInd w:val="0"/>
              <w:snapToGrid w:val="0"/>
              <w:spacing w:line="360" w:lineRule="auto"/>
              <w:ind w:firstLine="482" w:firstLineChars="200"/>
              <w:rPr>
                <w:rFonts w:hint="default" w:ascii="Times New Roman" w:hAnsi="Times New Roman" w:eastAsia="宋体" w:cs="Times New Roman"/>
                <w:b/>
                <w:bCs/>
                <w:color w:val="auto"/>
                <w:sz w:val="24"/>
                <w:lang w:val="en-US" w:eastAsia="zh-CN"/>
              </w:rPr>
            </w:pPr>
            <w:r>
              <w:rPr>
                <w:rFonts w:hint="eastAsia" w:cs="Times New Roman"/>
                <w:b/>
                <w:bCs/>
                <w:color w:val="auto"/>
                <w:sz w:val="24"/>
                <w:lang w:val="en-US" w:eastAsia="zh-CN"/>
              </w:rPr>
              <w:t>C、</w:t>
            </w:r>
            <w:r>
              <w:rPr>
                <w:rFonts w:hint="eastAsia" w:ascii="Times New Roman" w:hAnsi="Times New Roman" w:eastAsia="宋体" w:cs="Times New Roman"/>
                <w:b/>
                <w:bCs/>
                <w:color w:val="auto"/>
                <w:sz w:val="24"/>
                <w:lang w:val="en-US" w:eastAsia="zh-CN"/>
              </w:rPr>
              <w:t>覆膜废气</w:t>
            </w:r>
          </w:p>
          <w:p w14:paraId="77AF535C">
            <w:pPr>
              <w:adjustRightInd w:val="0"/>
              <w:snapToGrid w:val="0"/>
              <w:spacing w:line="360" w:lineRule="auto"/>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本项目所用的胶水为外购成品胶水，无需自行调胶。根据建设单位提供的检测报告，</w:t>
            </w:r>
            <w:r>
              <w:rPr>
                <w:rFonts w:hint="default" w:ascii="Times New Roman" w:hAnsi="Times New Roman" w:eastAsia="宋体" w:cs="Times New Roman"/>
                <w:color w:val="auto"/>
                <w:sz w:val="24"/>
                <w:lang w:val="en-US" w:eastAsia="zh-CN"/>
              </w:rPr>
              <w:t>VOCs</w:t>
            </w:r>
            <w:r>
              <w:rPr>
                <w:rFonts w:hint="eastAsia" w:ascii="Times New Roman" w:hAnsi="Times New Roman" w:eastAsia="宋体" w:cs="Times New Roman"/>
                <w:color w:val="auto"/>
                <w:sz w:val="24"/>
                <w:lang w:val="en-US" w:eastAsia="zh-CN"/>
              </w:rPr>
              <w:t>含量为</w:t>
            </w:r>
            <w:r>
              <w:rPr>
                <w:rFonts w:hint="eastAsia" w:ascii="Times New Roman" w:hAnsi="Times New Roman" w:cs="Times New Roman"/>
                <w:color w:val="auto"/>
                <w:sz w:val="24"/>
                <w:lang w:val="en-US" w:eastAsia="zh-CN"/>
              </w:rPr>
              <w:t>385.2</w:t>
            </w:r>
            <w:r>
              <w:rPr>
                <w:rFonts w:hint="default" w:ascii="Times New Roman" w:hAnsi="Times New Roman" w:eastAsia="宋体" w:cs="Times New Roman"/>
                <w:color w:val="auto"/>
                <w:sz w:val="24"/>
                <w:lang w:val="en-US" w:eastAsia="zh-CN"/>
              </w:rPr>
              <w:t>g/L</w:t>
            </w:r>
            <w:r>
              <w:rPr>
                <w:rFonts w:hint="eastAsia" w:ascii="Times New Roman" w:hAnsi="Times New Roman" w:eastAsia="宋体" w:cs="Times New Roman"/>
                <w:color w:val="auto"/>
                <w:sz w:val="24"/>
                <w:lang w:val="en-US" w:eastAsia="zh-CN"/>
              </w:rPr>
              <w:t>，符合</w:t>
            </w:r>
            <w:r>
              <w:rPr>
                <w:rFonts w:hint="default" w:ascii="Times New Roman" w:hAnsi="Times New Roman" w:eastAsia="宋体" w:cs="Times New Roman"/>
                <w:color w:val="auto"/>
                <w:sz w:val="24"/>
                <w:lang w:val="en-US" w:eastAsia="zh-CN"/>
              </w:rPr>
              <w:t>GB33372-2020</w:t>
            </w:r>
            <w:r>
              <w:rPr>
                <w:rFonts w:hint="eastAsia" w:ascii="Times New Roman" w:hAnsi="Times New Roman" w:eastAsia="宋体" w:cs="Times New Roman"/>
                <w:color w:val="auto"/>
                <w:sz w:val="24"/>
                <w:lang w:val="en-US" w:eastAsia="zh-CN"/>
              </w:rPr>
              <w:t>（溶剂型室内装饰装修</w:t>
            </w:r>
            <w:r>
              <w:rPr>
                <w:rFonts w:hint="default" w:ascii="Times New Roman" w:hAnsi="Times New Roman" w:eastAsia="宋体" w:cs="Times New Roman"/>
                <w:color w:val="auto"/>
                <w:sz w:val="24"/>
                <w:lang w:val="en-US" w:eastAsia="zh-CN"/>
              </w:rPr>
              <w:t>-</w:t>
            </w:r>
            <w:r>
              <w:rPr>
                <w:rFonts w:hint="eastAsia" w:ascii="Times New Roman" w:hAnsi="Times New Roman" w:cs="Times New Roman"/>
                <w:color w:val="auto"/>
                <w:sz w:val="24"/>
                <w:lang w:val="en-US" w:eastAsia="zh-CN"/>
              </w:rPr>
              <w:t>其他类</w:t>
            </w:r>
            <w:r>
              <w:rPr>
                <w:rFonts w:hint="eastAsia" w:ascii="Times New Roman" w:hAnsi="Times New Roman" w:eastAsia="宋体" w:cs="Times New Roman"/>
                <w:color w:val="auto"/>
                <w:sz w:val="24"/>
                <w:lang w:val="en-US" w:eastAsia="zh-CN"/>
              </w:rPr>
              <w:t>≤</w:t>
            </w:r>
            <w:r>
              <w:rPr>
                <w:rFonts w:hint="eastAsia" w:ascii="Times New Roman" w:hAnsi="Times New Roman" w:cs="Times New Roman"/>
                <w:color w:val="auto"/>
                <w:sz w:val="24"/>
                <w:lang w:val="en-US" w:eastAsia="zh-CN"/>
              </w:rPr>
              <w:t>450</w:t>
            </w:r>
            <w:r>
              <w:rPr>
                <w:rFonts w:hint="default" w:ascii="Times New Roman" w:hAnsi="Times New Roman" w:eastAsia="宋体" w:cs="Times New Roman"/>
                <w:color w:val="auto"/>
                <w:sz w:val="24"/>
                <w:lang w:val="en-US" w:eastAsia="zh-CN"/>
              </w:rPr>
              <w:t>g/L</w:t>
            </w:r>
            <w:r>
              <w:rPr>
                <w:rFonts w:hint="eastAsia" w:ascii="Times New Roman" w:hAnsi="Times New Roman" w:eastAsia="宋体" w:cs="Times New Roman"/>
                <w:color w:val="auto"/>
                <w:sz w:val="24"/>
                <w:lang w:val="en-US" w:eastAsia="zh-CN"/>
              </w:rPr>
              <w:t>）要求。</w:t>
            </w:r>
            <w:r>
              <w:rPr>
                <w:rFonts w:hint="eastAsia" w:ascii="Times New Roman" w:hAnsi="Times New Roman" w:cs="Times New Roman"/>
                <w:color w:val="auto"/>
                <w:sz w:val="24"/>
                <w:lang w:val="en-US" w:eastAsia="zh-CN"/>
              </w:rPr>
              <w:t>该工序产生的有机废气以非甲烷总烃计，</w:t>
            </w:r>
            <w:r>
              <w:rPr>
                <w:rFonts w:hint="eastAsia" w:ascii="Times New Roman" w:hAnsi="Times New Roman" w:eastAsia="宋体" w:cs="Times New Roman"/>
                <w:color w:val="auto"/>
                <w:sz w:val="24"/>
                <w:lang w:val="en-US" w:eastAsia="zh-CN"/>
              </w:rPr>
              <w:t>项目胶水用量为</w:t>
            </w:r>
            <w:r>
              <w:rPr>
                <w:rFonts w:hint="eastAsia" w:ascii="Times New Roman" w:hAnsi="Times New Roman" w:cs="Times New Roman"/>
                <w:color w:val="auto"/>
                <w:sz w:val="24"/>
                <w:lang w:val="en-US" w:eastAsia="zh-CN"/>
              </w:rPr>
              <w:t>3.0</w:t>
            </w:r>
            <w:r>
              <w:rPr>
                <w:rFonts w:hint="default" w:ascii="Times New Roman" w:hAnsi="Times New Roman" w:eastAsia="宋体" w:cs="Times New Roman"/>
                <w:color w:val="auto"/>
                <w:sz w:val="24"/>
                <w:lang w:val="en-US" w:eastAsia="zh-CN"/>
              </w:rPr>
              <w:t>t/a</w:t>
            </w:r>
            <w:r>
              <w:rPr>
                <w:rFonts w:hint="eastAsia" w:ascii="Times New Roman" w:hAnsi="Times New Roman" w:eastAsia="宋体" w:cs="Times New Roman"/>
                <w:color w:val="auto"/>
                <w:sz w:val="24"/>
                <w:lang w:val="en-US" w:eastAsia="zh-CN"/>
              </w:rPr>
              <w:t>，该胶水密度为</w:t>
            </w:r>
            <w:r>
              <w:rPr>
                <w:rFonts w:hint="default" w:ascii="Times New Roman" w:hAnsi="Times New Roman" w:eastAsia="宋体" w:cs="Times New Roman"/>
                <w:color w:val="auto"/>
                <w:sz w:val="24"/>
                <w:lang w:val="en-US" w:eastAsia="zh-CN"/>
              </w:rPr>
              <w:t>1.01g/cm</w:t>
            </w:r>
            <w:r>
              <w:rPr>
                <w:rFonts w:hint="default" w:ascii="Times New Roman" w:hAnsi="Times New Roman" w:eastAsia="宋体" w:cs="Times New Roman"/>
                <w:color w:val="auto"/>
                <w:sz w:val="24"/>
                <w:vertAlign w:val="superscript"/>
                <w:lang w:val="en-US" w:eastAsia="zh-CN"/>
              </w:rPr>
              <w:t>3</w:t>
            </w:r>
            <w:r>
              <w:rPr>
                <w:rFonts w:hint="eastAsia" w:ascii="Times New Roman" w:hAnsi="Times New Roman" w:eastAsia="宋体" w:cs="Times New Roman"/>
                <w:color w:val="auto"/>
                <w:sz w:val="24"/>
                <w:lang w:val="en-US" w:eastAsia="zh-CN"/>
              </w:rPr>
              <w:t>，则覆膜工序产生的非甲烷总烃为</w:t>
            </w:r>
            <w:r>
              <w:rPr>
                <w:rFonts w:hint="eastAsia" w:ascii="Times New Roman" w:hAnsi="Times New Roman" w:cs="Times New Roman"/>
                <w:color w:val="auto"/>
                <w:sz w:val="24"/>
                <w:lang w:val="en-US" w:eastAsia="zh-CN"/>
              </w:rPr>
              <w:t>1.1442t/a，</w:t>
            </w:r>
            <w:r>
              <w:rPr>
                <w:rFonts w:hint="eastAsia" w:ascii="Times New Roman" w:hAnsi="Times New Roman" w:eastAsia="宋体" w:cs="Times New Roman"/>
                <w:color w:val="auto"/>
                <w:sz w:val="24"/>
                <w:lang w:val="en-US" w:eastAsia="zh-CN"/>
              </w:rPr>
              <w:t>（</w:t>
            </w:r>
            <w:r>
              <w:rPr>
                <w:rFonts w:hint="eastAsia" w:ascii="Times New Roman" w:hAnsi="Times New Roman" w:cs="Times New Roman"/>
                <w:color w:val="auto"/>
                <w:sz w:val="24"/>
                <w:lang w:val="en-US" w:eastAsia="zh-CN"/>
              </w:rPr>
              <w:t>3.0</w:t>
            </w:r>
            <w:r>
              <w:rPr>
                <w:rFonts w:hint="default" w:ascii="Times New Roman" w:hAnsi="Times New Roman" w:eastAsia="宋体" w:cs="Times New Roman"/>
                <w:color w:val="auto"/>
                <w:sz w:val="24"/>
                <w:lang w:val="en-US" w:eastAsia="zh-CN"/>
              </w:rPr>
              <w:t>t/a÷1.01t/m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×1000L/m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w:t>
            </w:r>
            <w:r>
              <w:rPr>
                <w:rFonts w:hint="eastAsia" w:ascii="Times New Roman" w:hAnsi="Times New Roman" w:cs="Times New Roman"/>
                <w:color w:val="auto"/>
                <w:sz w:val="24"/>
                <w:lang w:val="en-US" w:eastAsia="zh-CN"/>
              </w:rPr>
              <w:t>385.2</w:t>
            </w:r>
            <w:r>
              <w:rPr>
                <w:rFonts w:hint="default" w:ascii="Times New Roman" w:hAnsi="Times New Roman" w:eastAsia="宋体" w:cs="Times New Roman"/>
                <w:color w:val="auto"/>
                <w:sz w:val="24"/>
                <w:lang w:val="en-US" w:eastAsia="zh-CN"/>
              </w:rPr>
              <w:t>g/L×10</w:t>
            </w:r>
            <w:r>
              <w:rPr>
                <w:rFonts w:hint="default" w:ascii="Times New Roman" w:hAnsi="Times New Roman" w:eastAsia="宋体" w:cs="Times New Roman"/>
                <w:color w:val="auto"/>
                <w:sz w:val="24"/>
                <w:vertAlign w:val="superscript"/>
                <w:lang w:val="en-US" w:eastAsia="zh-CN"/>
              </w:rPr>
              <w:t>-6</w:t>
            </w:r>
            <w:r>
              <w:rPr>
                <w:rFonts w:hint="default" w:ascii="Times New Roman" w:hAnsi="Times New Roman" w:eastAsia="宋体" w:cs="Times New Roman"/>
                <w:color w:val="auto"/>
                <w:sz w:val="24"/>
                <w:lang w:val="en-US" w:eastAsia="zh-CN"/>
              </w:rPr>
              <w:t>t/g=</w:t>
            </w:r>
            <w:r>
              <w:rPr>
                <w:rFonts w:hint="eastAsia" w:ascii="Times New Roman" w:hAnsi="Times New Roman" w:cs="Times New Roman"/>
                <w:color w:val="auto"/>
                <w:sz w:val="24"/>
                <w:lang w:val="en-US" w:eastAsia="zh-CN"/>
              </w:rPr>
              <w:t>1.1442</w:t>
            </w:r>
            <w:r>
              <w:rPr>
                <w:rFonts w:hint="default" w:ascii="Times New Roman" w:hAnsi="Times New Roman" w:eastAsia="宋体" w:cs="Times New Roman"/>
                <w:color w:val="auto"/>
                <w:sz w:val="24"/>
                <w:lang w:val="en-US" w:eastAsia="zh-CN"/>
              </w:rPr>
              <w:t>t/a</w:t>
            </w:r>
            <w:r>
              <w:rPr>
                <w:rFonts w:hint="eastAsia" w:ascii="Times New Roman" w:hAnsi="Times New Roman" w:eastAsia="宋体" w:cs="Times New Roman"/>
                <w:color w:val="auto"/>
                <w:sz w:val="24"/>
                <w:lang w:val="en-US" w:eastAsia="zh-CN"/>
              </w:rPr>
              <w:t>）。</w:t>
            </w:r>
            <w:r>
              <w:rPr>
                <w:rFonts w:hint="eastAsia" w:ascii="Times New Roman" w:hAnsi="Times New Roman" w:cs="Times New Roman"/>
                <w:color w:val="auto"/>
                <w:sz w:val="24"/>
                <w:lang w:val="en-US" w:eastAsia="zh-CN"/>
              </w:rPr>
              <w:t>本次以最不利因素考虑，按100%全部挥发</w:t>
            </w:r>
            <w:r>
              <w:rPr>
                <w:rFonts w:hint="eastAsia" w:ascii="Times New Roman" w:hAnsi="Times New Roman" w:eastAsia="宋体" w:cs="Times New Roman"/>
                <w:color w:val="auto"/>
                <w:sz w:val="24"/>
                <w:lang w:val="en-US" w:eastAsia="zh-CN"/>
              </w:rPr>
              <w:t>，项目</w:t>
            </w:r>
            <w:r>
              <w:rPr>
                <w:rFonts w:hint="eastAsia" w:ascii="Times New Roman" w:hAnsi="Times New Roman" w:cs="Times New Roman"/>
                <w:color w:val="auto"/>
                <w:sz w:val="24"/>
                <w:lang w:val="en-US" w:eastAsia="zh-CN"/>
              </w:rPr>
              <w:t>覆膜</w:t>
            </w:r>
            <w:r>
              <w:rPr>
                <w:rFonts w:hint="eastAsia" w:ascii="Times New Roman" w:hAnsi="Times New Roman" w:eastAsia="宋体" w:cs="Times New Roman"/>
                <w:color w:val="auto"/>
                <w:sz w:val="24"/>
                <w:lang w:val="en-US" w:eastAsia="zh-CN"/>
              </w:rPr>
              <w:t>工序年工作时间约</w:t>
            </w:r>
            <w:r>
              <w:rPr>
                <w:rFonts w:hint="eastAsia" w:ascii="Times New Roman" w:hAnsi="Times New Roman" w:cs="Times New Roman"/>
                <w:color w:val="auto"/>
                <w:sz w:val="24"/>
                <w:lang w:val="en-US" w:eastAsia="zh-CN"/>
              </w:rPr>
              <w:t>3600</w:t>
            </w:r>
            <w:r>
              <w:rPr>
                <w:rFonts w:hint="default" w:ascii="Times New Roman" w:hAnsi="Times New Roman" w:eastAsia="宋体" w:cs="Times New Roman"/>
                <w:color w:val="auto"/>
                <w:sz w:val="24"/>
                <w:lang w:val="en-US" w:eastAsia="zh-CN"/>
              </w:rPr>
              <w:t>h</w:t>
            </w:r>
            <w:r>
              <w:rPr>
                <w:rFonts w:hint="eastAsia" w:ascii="Times New Roman" w:hAnsi="Times New Roman" w:eastAsia="宋体" w:cs="Times New Roman"/>
                <w:color w:val="auto"/>
                <w:sz w:val="24"/>
                <w:lang w:val="en-US" w:eastAsia="zh-CN"/>
              </w:rPr>
              <w:t xml:space="preserve">，则覆膜废气产生量为 </w:t>
            </w:r>
            <w:r>
              <w:rPr>
                <w:rFonts w:hint="eastAsia" w:ascii="Times New Roman" w:hAnsi="Times New Roman" w:cs="Times New Roman"/>
                <w:color w:val="auto"/>
                <w:sz w:val="24"/>
                <w:lang w:val="en-US" w:eastAsia="zh-CN"/>
              </w:rPr>
              <w:t>1.1442</w:t>
            </w:r>
            <w:r>
              <w:rPr>
                <w:rFonts w:hint="default" w:ascii="Times New Roman" w:hAnsi="Times New Roman" w:eastAsia="宋体" w:cs="Times New Roman"/>
                <w:color w:val="auto"/>
                <w:sz w:val="24"/>
                <w:lang w:val="en-US" w:eastAsia="zh-CN"/>
              </w:rPr>
              <w:t>t/a</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0.</w:t>
            </w:r>
            <w:r>
              <w:rPr>
                <w:rFonts w:hint="eastAsia" w:ascii="Times New Roman" w:hAnsi="Times New Roman" w:cs="Times New Roman"/>
                <w:color w:val="auto"/>
                <w:sz w:val="24"/>
                <w:lang w:val="en-US" w:eastAsia="zh-CN"/>
              </w:rPr>
              <w:t>3178</w:t>
            </w:r>
            <w:r>
              <w:rPr>
                <w:rFonts w:hint="default" w:ascii="Times New Roman" w:hAnsi="Times New Roman" w:eastAsia="宋体" w:cs="Times New Roman"/>
                <w:color w:val="auto"/>
                <w:sz w:val="24"/>
                <w:lang w:val="en-US" w:eastAsia="zh-CN"/>
              </w:rPr>
              <w:t>kg/h</w:t>
            </w:r>
            <w:r>
              <w:rPr>
                <w:rFonts w:hint="eastAsia" w:ascii="Times New Roman" w:hAnsi="Times New Roman" w:eastAsia="宋体" w:cs="Times New Roman"/>
                <w:color w:val="auto"/>
                <w:sz w:val="24"/>
                <w:lang w:val="en-US" w:eastAsia="zh-CN"/>
              </w:rPr>
              <w:t>）。</w:t>
            </w:r>
          </w:p>
          <w:p w14:paraId="272E0B3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eastAsia="宋体"/>
                <w:b/>
                <w:bCs/>
                <w:color w:val="auto"/>
                <w:sz w:val="24"/>
                <w:lang w:val="en-US" w:eastAsia="zh-CN"/>
              </w:rPr>
            </w:pPr>
            <w:r>
              <w:rPr>
                <w:rFonts w:hint="eastAsia"/>
                <w:b/>
                <w:bCs/>
                <w:color w:val="auto"/>
                <w:sz w:val="24"/>
                <w:lang w:val="en-US" w:eastAsia="zh-CN"/>
              </w:rPr>
              <w:t>D、臭气浓度（DA002）</w:t>
            </w:r>
          </w:p>
          <w:p w14:paraId="63DF4BAB">
            <w:pPr>
              <w:keepNext w:val="0"/>
              <w:keepLines w:val="0"/>
              <w:pageBreakBefore w:val="0"/>
              <w:widowControl w:val="0"/>
              <w:tabs>
                <w:tab w:val="left" w:pos="6120"/>
              </w:tabs>
              <w:wordWrap/>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zh-CN" w:eastAsia="zh-CN" w:bidi="ar-SA"/>
              </w:rPr>
              <w:t>本项目</w:t>
            </w:r>
            <w:r>
              <w:rPr>
                <w:rFonts w:hint="eastAsia" w:ascii="Times New Roman" w:hAnsi="Times New Roman" w:eastAsia="宋体" w:cs="Times New Roman"/>
                <w:color w:val="auto"/>
                <w:kern w:val="0"/>
                <w:sz w:val="24"/>
                <w:szCs w:val="24"/>
                <w:highlight w:val="none"/>
                <w:lang w:val="en-US" w:eastAsia="zh-CN" w:bidi="ar-SA"/>
              </w:rPr>
              <w:t>使用PVC树脂</w:t>
            </w:r>
            <w:r>
              <w:rPr>
                <w:rFonts w:hint="default" w:ascii="Times New Roman" w:hAnsi="Times New Roman" w:eastAsia="宋体" w:cs="Times New Roman"/>
                <w:color w:val="auto"/>
                <w:kern w:val="0"/>
                <w:sz w:val="24"/>
                <w:szCs w:val="24"/>
                <w:highlight w:val="none"/>
                <w:lang w:val="en-US" w:eastAsia="zh-CN" w:bidi="ar-SA"/>
              </w:rPr>
              <w:t>生产</w:t>
            </w:r>
            <w:r>
              <w:rPr>
                <w:rFonts w:hint="eastAsia" w:ascii="Times New Roman" w:hAnsi="Times New Roman" w:eastAsia="宋体" w:cs="Times New Roman"/>
                <w:color w:val="auto"/>
                <w:kern w:val="0"/>
                <w:sz w:val="24"/>
                <w:szCs w:val="24"/>
                <w:highlight w:val="none"/>
                <w:lang w:val="en-US" w:eastAsia="zh-CN" w:bidi="ar-SA"/>
              </w:rPr>
              <w:t>竹木纤维集成墙板及扣板</w:t>
            </w:r>
            <w:r>
              <w:rPr>
                <w:rFonts w:hint="default" w:ascii="Times New Roman" w:hAnsi="Times New Roman" w:eastAsia="宋体" w:cs="Times New Roman"/>
                <w:color w:val="auto"/>
                <w:kern w:val="0"/>
                <w:sz w:val="24"/>
                <w:szCs w:val="24"/>
                <w:highlight w:val="none"/>
                <w:lang w:val="en-US" w:eastAsia="zh-CN" w:bidi="ar-SA"/>
              </w:rPr>
              <w:t>过程</w:t>
            </w:r>
            <w:r>
              <w:rPr>
                <w:rFonts w:hint="default" w:ascii="Times New Roman" w:hAnsi="Times New Roman" w:eastAsia="宋体" w:cs="Times New Roman"/>
                <w:color w:val="auto"/>
                <w:kern w:val="0"/>
                <w:sz w:val="24"/>
                <w:szCs w:val="24"/>
                <w:highlight w:val="none"/>
                <w:lang w:val="zh-CN" w:eastAsia="zh-CN" w:bidi="ar-SA"/>
              </w:rPr>
              <w:t>中除产生</w:t>
            </w:r>
            <w:r>
              <w:rPr>
                <w:rFonts w:hint="default" w:ascii="Times New Roman" w:hAnsi="Times New Roman" w:eastAsia="宋体" w:cs="Times New Roman"/>
                <w:color w:val="auto"/>
                <w:kern w:val="0"/>
                <w:sz w:val="24"/>
                <w:szCs w:val="24"/>
                <w:highlight w:val="none"/>
                <w:lang w:val="en-US" w:eastAsia="zh-CN" w:bidi="ar-SA"/>
              </w:rPr>
              <w:t>挥发性有机物</w:t>
            </w:r>
            <w:r>
              <w:rPr>
                <w:rFonts w:hint="default" w:ascii="Times New Roman" w:hAnsi="Times New Roman" w:eastAsia="宋体" w:cs="Times New Roman"/>
                <w:color w:val="auto"/>
                <w:kern w:val="0"/>
                <w:sz w:val="24"/>
                <w:szCs w:val="24"/>
                <w:highlight w:val="none"/>
                <w:lang w:val="zh-CN" w:eastAsia="zh-CN" w:bidi="ar-SA"/>
              </w:rPr>
              <w:t>废气外，同时还会伴有轻微异味产生，以臭气浓度表征，</w:t>
            </w:r>
            <w:r>
              <w:rPr>
                <w:rFonts w:hint="default" w:ascii="Times New Roman" w:hAnsi="Times New Roman" w:eastAsia="宋体" w:cs="Times New Roman"/>
                <w:color w:val="auto"/>
                <w:kern w:val="0"/>
                <w:sz w:val="24"/>
                <w:szCs w:val="24"/>
                <w:highlight w:val="none"/>
                <w:lang w:val="en-US" w:eastAsia="zh-CN" w:bidi="ar-SA"/>
              </w:rPr>
              <w:t>产生量较小</w:t>
            </w:r>
            <w:r>
              <w:rPr>
                <w:rFonts w:hint="default" w:ascii="Times New Roman" w:hAnsi="Times New Roman" w:eastAsia="宋体" w:cs="Times New Roman"/>
                <w:color w:val="auto"/>
                <w:kern w:val="0"/>
                <w:sz w:val="24"/>
                <w:szCs w:val="24"/>
                <w:highlight w:val="none"/>
                <w:lang w:val="zh-CN" w:eastAsia="zh-CN" w:bidi="ar-SA"/>
              </w:rPr>
              <w:t>。</w:t>
            </w:r>
            <w:r>
              <w:rPr>
                <w:rFonts w:hint="default" w:ascii="Times New Roman" w:hAnsi="Times New Roman" w:eastAsia="宋体" w:cs="Times New Roman"/>
                <w:color w:val="auto"/>
                <w:kern w:val="0"/>
                <w:sz w:val="24"/>
                <w:szCs w:val="24"/>
                <w:highlight w:val="none"/>
                <w:lang w:val="en-US" w:eastAsia="zh-CN" w:bidi="ar-SA"/>
              </w:rPr>
              <w:t>生产车间臭气浓度大部分随有机废气一同收集为有组织排放，少量未收集部分为无组</w:t>
            </w:r>
          </w:p>
          <w:p w14:paraId="3E685BF6">
            <w:pPr>
              <w:keepNext w:val="0"/>
              <w:keepLines w:val="0"/>
              <w:pageBreakBefore w:val="0"/>
              <w:widowControl w:val="0"/>
              <w:tabs>
                <w:tab w:val="left" w:pos="6120"/>
              </w:tabs>
              <w:wordWrap/>
              <w:topLinePunct w:val="0"/>
              <w:autoSpaceDE/>
              <w:autoSpaceDN/>
              <w:bidi w:val="0"/>
              <w:adjustRightInd w:val="0"/>
              <w:snapToGrid w:val="0"/>
              <w:spacing w:line="360" w:lineRule="auto"/>
              <w:jc w:val="both"/>
              <w:textAlignment w:val="auto"/>
              <w:rPr>
                <w:rFonts w:hint="default" w:ascii="Times New Roman" w:hAnsi="Times New Roman" w:eastAsia="宋体" w:cs="Times New Roman"/>
                <w:bCs/>
                <w:color w:val="auto"/>
                <w:spacing w:val="6"/>
                <w:sz w:val="24"/>
                <w:highlight w:val="none"/>
                <w:lang w:val="en-US" w:eastAsia="zh-CN"/>
              </w:rPr>
            </w:pPr>
            <w:r>
              <w:rPr>
                <w:rFonts w:hint="default" w:ascii="Times New Roman" w:hAnsi="Times New Roman" w:eastAsia="宋体" w:cs="Times New Roman"/>
                <w:color w:val="auto"/>
                <w:kern w:val="0"/>
                <w:sz w:val="24"/>
                <w:szCs w:val="24"/>
                <w:highlight w:val="none"/>
                <w:lang w:val="en-US" w:eastAsia="zh-CN" w:bidi="ar-SA"/>
              </w:rPr>
              <w:t>织排放。臭气浓度排放浓度参考《</w:t>
            </w:r>
            <w:r>
              <w:rPr>
                <w:rFonts w:hint="default" w:ascii="Times New Roman" w:hAnsi="Times New Roman" w:eastAsia="宋体" w:cs="Times New Roman"/>
                <w:color w:val="auto"/>
                <w:kern w:val="0"/>
                <w:sz w:val="24"/>
                <w:szCs w:val="24"/>
                <w:highlight w:val="none"/>
                <w:lang w:val="en-GB" w:eastAsia="zh-CN" w:bidi="ar-SA"/>
              </w:rPr>
              <w:t>天津市文东新材料科技有限公司年产180万平方米PVC集成墙板项目</w:t>
            </w:r>
            <w:r>
              <w:rPr>
                <w:rFonts w:hint="default" w:ascii="Times New Roman" w:hAnsi="Times New Roman" w:eastAsia="宋体" w:cs="Times New Roman"/>
                <w:color w:val="auto"/>
                <w:kern w:val="0"/>
                <w:sz w:val="24"/>
                <w:szCs w:val="24"/>
                <w:highlight w:val="none"/>
                <w:lang w:val="en-US" w:eastAsia="zh-CN" w:bidi="ar-SA"/>
              </w:rPr>
              <w:t>竣工环境保护验收报告</w:t>
            </w:r>
            <w:r>
              <w:rPr>
                <w:rFonts w:hint="eastAsia" w:ascii="Times New Roman" w:hAnsi="Times New Roman" w:eastAsia="宋体" w:cs="Times New Roman"/>
                <w:color w:val="auto"/>
                <w:kern w:val="0"/>
                <w:sz w:val="24"/>
                <w:szCs w:val="24"/>
                <w:highlight w:val="none"/>
                <w:lang w:val="en-US" w:eastAsia="zh-CN" w:bidi="ar-SA"/>
              </w:rPr>
              <w:t>表</w:t>
            </w:r>
            <w:r>
              <w:rPr>
                <w:rFonts w:hint="default" w:ascii="Times New Roman" w:hAnsi="Times New Roman" w:eastAsia="宋体" w:cs="Times New Roman"/>
                <w:color w:val="auto"/>
                <w:kern w:val="0"/>
                <w:sz w:val="24"/>
                <w:szCs w:val="24"/>
                <w:highlight w:val="none"/>
                <w:lang w:val="en-US" w:eastAsia="zh-CN" w:bidi="ar-SA"/>
              </w:rPr>
              <w:t>》进行类比计算，</w:t>
            </w:r>
            <w:r>
              <w:rPr>
                <w:rFonts w:hint="default" w:ascii="Times New Roman" w:hAnsi="Times New Roman" w:eastAsia="宋体" w:cs="Times New Roman"/>
                <w:color w:val="auto"/>
                <w:kern w:val="0"/>
                <w:sz w:val="24"/>
                <w:szCs w:val="24"/>
                <w:highlight w:val="none"/>
                <w:lang w:val="en-GB" w:eastAsia="zh-CN" w:bidi="ar-SA"/>
              </w:rPr>
              <w:t>天津市文东新材料科技有限公司年产180万平方米PVC集成墙板项目</w:t>
            </w:r>
            <w:r>
              <w:rPr>
                <w:rFonts w:hint="default" w:ascii="Times New Roman" w:hAnsi="Times New Roman" w:eastAsia="宋体" w:cs="Times New Roman"/>
                <w:color w:val="auto"/>
                <w:kern w:val="0"/>
                <w:sz w:val="24"/>
                <w:szCs w:val="24"/>
                <w:highlight w:val="none"/>
                <w:lang w:val="en-US" w:eastAsia="zh-CN" w:bidi="ar-SA"/>
              </w:rPr>
              <w:t>使用的原料为</w:t>
            </w:r>
            <w:r>
              <w:rPr>
                <w:rFonts w:hint="eastAsia" w:ascii="Times New Roman" w:hAnsi="Times New Roman" w:eastAsia="宋体" w:cs="Times New Roman"/>
                <w:color w:val="auto"/>
                <w:kern w:val="0"/>
                <w:sz w:val="24"/>
                <w:szCs w:val="24"/>
                <w:highlight w:val="none"/>
                <w:lang w:val="en-US" w:eastAsia="zh-CN" w:bidi="ar-SA"/>
              </w:rPr>
              <w:t>PVC</w:t>
            </w:r>
            <w:r>
              <w:rPr>
                <w:rFonts w:hint="default" w:ascii="Times New Roman" w:hAnsi="Times New Roman" w:eastAsia="宋体" w:cs="Times New Roman"/>
                <w:color w:val="auto"/>
                <w:kern w:val="0"/>
                <w:sz w:val="24"/>
                <w:szCs w:val="24"/>
                <w:highlight w:val="none"/>
                <w:lang w:val="en-US" w:eastAsia="zh-CN" w:bidi="ar-SA"/>
              </w:rPr>
              <w:t>树脂</w:t>
            </w:r>
            <w:r>
              <w:rPr>
                <w:rFonts w:hint="eastAsia" w:ascii="Times New Roman" w:hAnsi="Times New Roman" w:eastAsia="宋体" w:cs="Times New Roman"/>
                <w:color w:val="auto"/>
                <w:kern w:val="0"/>
                <w:sz w:val="24"/>
                <w:szCs w:val="24"/>
                <w:highlight w:val="none"/>
                <w:lang w:val="en-US" w:eastAsia="zh-CN" w:bidi="ar-SA"/>
              </w:rPr>
              <w:t>钙粉、硬脂酸</w:t>
            </w:r>
            <w:r>
              <w:rPr>
                <w:rFonts w:hint="default" w:ascii="Times New Roman" w:hAnsi="Times New Roman" w:eastAsia="宋体" w:cs="Times New Roman"/>
                <w:color w:val="auto"/>
                <w:kern w:val="0"/>
                <w:sz w:val="24"/>
                <w:szCs w:val="24"/>
                <w:highlight w:val="none"/>
                <w:lang w:val="en-US" w:eastAsia="zh-CN" w:bidi="ar-SA"/>
              </w:rPr>
              <w:t>及</w:t>
            </w:r>
            <w:r>
              <w:rPr>
                <w:rFonts w:hint="eastAsia" w:ascii="Times New Roman" w:hAnsi="Times New Roman" w:eastAsia="宋体" w:cs="Times New Roman"/>
                <w:color w:val="auto"/>
                <w:kern w:val="0"/>
                <w:sz w:val="24"/>
                <w:szCs w:val="24"/>
                <w:highlight w:val="none"/>
                <w:lang w:val="en-US" w:eastAsia="zh-CN" w:bidi="ar-SA"/>
              </w:rPr>
              <w:t>钙锌稳定剂、</w:t>
            </w:r>
            <w:r>
              <w:rPr>
                <w:rFonts w:hint="default" w:ascii="Times New Roman" w:hAnsi="Times New Roman" w:eastAsia="宋体" w:cs="Times New Roman"/>
                <w:color w:val="auto"/>
                <w:kern w:val="0"/>
                <w:sz w:val="24"/>
                <w:szCs w:val="24"/>
                <w:highlight w:val="none"/>
                <w:lang w:val="en-US" w:eastAsia="zh-CN" w:bidi="ar-SA"/>
              </w:rPr>
              <w:t>水性聚</w:t>
            </w:r>
            <w:r>
              <w:rPr>
                <w:rFonts w:hint="default" w:eastAsia="宋体" w:cs="Times New Roman"/>
                <w:color w:val="auto"/>
                <w:kern w:val="0"/>
                <w:sz w:val="24"/>
                <w:szCs w:val="24"/>
                <w:lang w:val="en-US" w:eastAsia="zh-CN" w:bidi="ar-SA"/>
              </w:rPr>
              <w:t>氨酯胶水</w:t>
            </w:r>
            <w:r>
              <w:rPr>
                <w:rFonts w:hint="eastAsia" w:eastAsia="宋体" w:cs="Times New Roman"/>
                <w:color w:val="auto"/>
                <w:kern w:val="0"/>
                <w:sz w:val="24"/>
                <w:szCs w:val="24"/>
                <w:lang w:val="en-US" w:eastAsia="zh-CN" w:bidi="ar-SA"/>
              </w:rPr>
              <w:t>、</w:t>
            </w:r>
            <w:r>
              <w:rPr>
                <w:rFonts w:hint="default" w:eastAsia="宋体" w:cs="Times New Roman"/>
                <w:color w:val="auto"/>
                <w:kern w:val="0"/>
                <w:sz w:val="24"/>
                <w:szCs w:val="24"/>
                <w:lang w:val="en-US" w:eastAsia="zh-CN" w:bidi="ar-SA"/>
              </w:rPr>
              <w:t>PVC覆盖膜</w:t>
            </w:r>
            <w:r>
              <w:rPr>
                <w:rFonts w:hint="eastAsia" w:eastAsia="宋体" w:cs="Times New Roman"/>
                <w:color w:val="auto"/>
                <w:kern w:val="0"/>
                <w:sz w:val="24"/>
                <w:szCs w:val="24"/>
                <w:lang w:val="en-US" w:eastAsia="zh-CN" w:bidi="ar-SA"/>
              </w:rPr>
              <w:t>等</w:t>
            </w:r>
            <w:r>
              <w:rPr>
                <w:rFonts w:hint="default" w:ascii="Times New Roman" w:hAnsi="Times New Roman" w:eastAsia="宋体" w:cs="Times New Roman"/>
                <w:color w:val="auto"/>
                <w:kern w:val="0"/>
                <w:sz w:val="24"/>
                <w:szCs w:val="24"/>
                <w:lang w:val="en-US" w:eastAsia="zh-CN" w:bidi="ar-SA"/>
              </w:rPr>
              <w:t>，生产工艺为</w:t>
            </w:r>
            <w:r>
              <w:rPr>
                <w:rFonts w:hint="eastAsia" w:cs="Times New Roman"/>
                <w:color w:val="auto"/>
                <w:kern w:val="0"/>
                <w:sz w:val="24"/>
                <w:szCs w:val="24"/>
                <w:lang w:val="en-US" w:eastAsia="zh-CN" w:bidi="ar-SA"/>
              </w:rPr>
              <w:t>混料、烘料</w:t>
            </w:r>
            <w:r>
              <w:rPr>
                <w:rFonts w:hint="default" w:ascii="Times New Roman" w:hAnsi="Times New Roman" w:eastAsia="宋体" w:cs="Times New Roman"/>
                <w:color w:val="auto"/>
                <w:kern w:val="0"/>
                <w:sz w:val="24"/>
                <w:szCs w:val="24"/>
                <w:lang w:val="en-US" w:eastAsia="zh-CN" w:bidi="ar-SA"/>
              </w:rPr>
              <w:t>-</w:t>
            </w:r>
            <w:r>
              <w:rPr>
                <w:rFonts w:hint="eastAsia" w:cs="Times New Roman"/>
                <w:color w:val="auto"/>
                <w:kern w:val="0"/>
                <w:sz w:val="24"/>
                <w:szCs w:val="24"/>
                <w:lang w:val="en-US" w:eastAsia="zh-CN" w:bidi="ar-SA"/>
              </w:rPr>
              <w:t>挤出成型</w:t>
            </w:r>
            <w:r>
              <w:rPr>
                <w:rFonts w:hint="default" w:ascii="Times New Roman" w:hAnsi="Times New Roman" w:eastAsia="宋体" w:cs="Times New Roman"/>
                <w:color w:val="auto"/>
                <w:kern w:val="0"/>
                <w:sz w:val="24"/>
                <w:szCs w:val="24"/>
                <w:lang w:val="en-US" w:eastAsia="zh-CN" w:bidi="ar-SA"/>
              </w:rPr>
              <w:t>-</w:t>
            </w:r>
            <w:r>
              <w:rPr>
                <w:rFonts w:hint="eastAsia" w:cs="Times New Roman"/>
                <w:color w:val="auto"/>
                <w:kern w:val="0"/>
                <w:sz w:val="24"/>
                <w:szCs w:val="24"/>
                <w:lang w:val="en-US" w:eastAsia="zh-CN" w:bidi="ar-SA"/>
              </w:rPr>
              <w:t>定型</w:t>
            </w:r>
            <w:r>
              <w:rPr>
                <w:rFonts w:hint="default"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覆膜</w:t>
            </w:r>
            <w:r>
              <w:rPr>
                <w:rFonts w:hint="default" w:ascii="Times New Roman" w:hAnsi="Times New Roman" w:eastAsia="宋体" w:cs="Times New Roman"/>
                <w:color w:val="auto"/>
                <w:kern w:val="0"/>
                <w:sz w:val="24"/>
                <w:szCs w:val="24"/>
                <w:highlight w:val="none"/>
                <w:lang w:val="en-US" w:eastAsia="zh-CN" w:bidi="ar-SA"/>
              </w:rPr>
              <w:t>-</w:t>
            </w:r>
            <w:r>
              <w:rPr>
                <w:rFonts w:hint="eastAsia" w:cs="Times New Roman"/>
                <w:color w:val="auto"/>
                <w:kern w:val="0"/>
                <w:sz w:val="24"/>
                <w:szCs w:val="24"/>
                <w:highlight w:val="none"/>
                <w:lang w:val="en-US" w:eastAsia="zh-CN" w:bidi="ar-SA"/>
              </w:rPr>
              <w:t>牵引</w:t>
            </w:r>
            <w:r>
              <w:rPr>
                <w:rFonts w:hint="default" w:ascii="Times New Roman" w:hAnsi="Times New Roman" w:eastAsia="宋体" w:cs="Times New Roman"/>
                <w:color w:val="auto"/>
                <w:kern w:val="0"/>
                <w:sz w:val="24"/>
                <w:szCs w:val="24"/>
                <w:lang w:val="en-US" w:eastAsia="zh-CN" w:bidi="ar-SA"/>
              </w:rPr>
              <w:t>-</w:t>
            </w:r>
            <w:r>
              <w:rPr>
                <w:rFonts w:hint="eastAsia" w:cs="Times New Roman"/>
                <w:color w:val="auto"/>
                <w:kern w:val="0"/>
                <w:sz w:val="24"/>
                <w:szCs w:val="24"/>
                <w:lang w:val="en-US" w:eastAsia="zh-CN" w:bidi="ar-SA"/>
              </w:rPr>
              <w:t>剪裁</w:t>
            </w:r>
            <w:r>
              <w:rPr>
                <w:rFonts w:hint="default" w:ascii="Times New Roman" w:hAnsi="Times New Roman" w:eastAsia="宋体" w:cs="Times New Roman"/>
                <w:color w:val="auto"/>
                <w:kern w:val="0"/>
                <w:sz w:val="24"/>
                <w:szCs w:val="24"/>
                <w:lang w:val="en-US" w:eastAsia="zh-CN" w:bidi="ar-SA"/>
              </w:rPr>
              <w:t>-</w:t>
            </w:r>
            <w:r>
              <w:rPr>
                <w:rFonts w:hint="eastAsia" w:cs="Times New Roman"/>
                <w:color w:val="auto"/>
                <w:kern w:val="0"/>
                <w:sz w:val="24"/>
                <w:szCs w:val="24"/>
                <w:lang w:val="en-US" w:eastAsia="zh-CN" w:bidi="ar-SA"/>
              </w:rPr>
              <w:t>检验-</w:t>
            </w:r>
            <w:r>
              <w:rPr>
                <w:rFonts w:hint="default" w:ascii="Times New Roman" w:hAnsi="Times New Roman" w:eastAsia="宋体" w:cs="Times New Roman"/>
                <w:color w:val="auto"/>
                <w:kern w:val="0"/>
                <w:sz w:val="24"/>
                <w:szCs w:val="24"/>
                <w:lang w:val="en-US" w:eastAsia="zh-CN" w:bidi="ar-SA"/>
              </w:rPr>
              <w:t>成品，产品为PVC集成墙板，该项目所使用的主要</w:t>
            </w:r>
            <w:r>
              <w:rPr>
                <w:rFonts w:hint="default" w:ascii="Times New Roman" w:hAnsi="Times New Roman" w:eastAsia="宋体" w:cs="Times New Roman"/>
                <w:color w:val="auto"/>
                <w:kern w:val="0"/>
                <w:sz w:val="24"/>
                <w:szCs w:val="24"/>
                <w:highlight w:val="none"/>
                <w:lang w:val="en-US" w:eastAsia="zh-CN" w:bidi="ar-SA"/>
              </w:rPr>
              <w:t>原料、生产工艺</w:t>
            </w:r>
            <w:r>
              <w:rPr>
                <w:rFonts w:hint="eastAsia" w:cs="Times New Roman"/>
                <w:color w:val="auto"/>
                <w:kern w:val="0"/>
                <w:sz w:val="24"/>
                <w:szCs w:val="24"/>
                <w:highlight w:val="none"/>
                <w:lang w:val="en-US" w:eastAsia="zh-CN" w:bidi="ar-SA"/>
              </w:rPr>
              <w:t>、产品</w:t>
            </w:r>
            <w:r>
              <w:rPr>
                <w:rFonts w:hint="default" w:ascii="Times New Roman" w:hAnsi="Times New Roman" w:eastAsia="宋体" w:cs="Times New Roman"/>
                <w:color w:val="auto"/>
                <w:kern w:val="0"/>
                <w:sz w:val="24"/>
                <w:szCs w:val="24"/>
                <w:highlight w:val="none"/>
                <w:lang w:val="en-US" w:eastAsia="zh-CN" w:bidi="ar-SA"/>
              </w:rPr>
              <w:t>及污染</w:t>
            </w:r>
            <w:r>
              <w:rPr>
                <w:rFonts w:hint="default" w:ascii="Times New Roman" w:hAnsi="Times New Roman" w:eastAsia="宋体" w:cs="Times New Roman"/>
                <w:color w:val="auto"/>
                <w:kern w:val="0"/>
                <w:sz w:val="24"/>
                <w:szCs w:val="24"/>
                <w:lang w:val="en-US" w:eastAsia="zh-CN" w:bidi="ar-SA"/>
              </w:rPr>
              <w:t>治理措施均与本项目类似，具有可类比性。根据该项目</w:t>
            </w:r>
            <w:r>
              <w:rPr>
                <w:rFonts w:hint="default" w:ascii="Times New Roman" w:hAnsi="Times New Roman" w:eastAsia="宋体" w:cs="Times New Roman"/>
                <w:color w:val="auto"/>
                <w:kern w:val="0"/>
                <w:sz w:val="24"/>
                <w:szCs w:val="24"/>
                <w:highlight w:val="none"/>
                <w:lang w:val="en-US" w:eastAsia="zh-CN" w:bidi="ar-SA"/>
              </w:rPr>
              <w:t>验收报告，验收项目非甲烷总烃有组织排放浓度为</w:t>
            </w:r>
            <w:r>
              <w:rPr>
                <w:rFonts w:hint="eastAsia" w:cs="Times New Roman"/>
                <w:color w:val="auto"/>
                <w:kern w:val="0"/>
                <w:sz w:val="24"/>
                <w:szCs w:val="24"/>
                <w:highlight w:val="none"/>
                <w:lang w:val="en-US" w:eastAsia="zh-CN" w:bidi="ar-SA"/>
              </w:rPr>
              <w:t>3.57</w:t>
            </w:r>
            <w:r>
              <w:rPr>
                <w:rFonts w:hint="default" w:ascii="Times New Roman" w:hAnsi="Times New Roman" w:eastAsia="宋体" w:cs="Times New Roman"/>
                <w:color w:val="auto"/>
                <w:kern w:val="0"/>
                <w:sz w:val="24"/>
                <w:szCs w:val="24"/>
                <w:highlight w:val="none"/>
                <w:lang w:val="en-US" w:eastAsia="zh-CN" w:bidi="ar-SA"/>
              </w:rPr>
              <w:t>mg/m</w:t>
            </w:r>
            <w:r>
              <w:rPr>
                <w:rFonts w:hint="default" w:ascii="Times New Roman" w:hAnsi="Times New Roman" w:eastAsia="宋体" w:cs="Times New Roman"/>
                <w:color w:val="auto"/>
                <w:kern w:val="0"/>
                <w:sz w:val="24"/>
                <w:szCs w:val="24"/>
                <w:highlight w:val="none"/>
                <w:vertAlign w:val="superscript"/>
                <w:lang w:val="en-US" w:eastAsia="zh-CN" w:bidi="ar-SA"/>
              </w:rPr>
              <w:t>3</w:t>
            </w:r>
            <w:r>
              <w:rPr>
                <w:rFonts w:hint="default" w:ascii="Times New Roman" w:hAnsi="Times New Roman" w:eastAsia="宋体" w:cs="Times New Roman"/>
                <w:color w:val="auto"/>
                <w:kern w:val="0"/>
                <w:sz w:val="24"/>
                <w:szCs w:val="24"/>
                <w:highlight w:val="none"/>
                <w:lang w:val="en-US" w:eastAsia="zh-CN" w:bidi="ar-SA"/>
              </w:rPr>
              <w:t>，臭气浓度排放浓度为</w:t>
            </w:r>
            <w:r>
              <w:rPr>
                <w:rFonts w:hint="eastAsia" w:cs="Times New Roman"/>
                <w:color w:val="auto"/>
                <w:kern w:val="0"/>
                <w:sz w:val="24"/>
                <w:szCs w:val="24"/>
                <w:highlight w:val="none"/>
                <w:lang w:val="en-US" w:eastAsia="zh-CN" w:bidi="ar-SA"/>
              </w:rPr>
              <w:t>416</w:t>
            </w:r>
            <w:r>
              <w:rPr>
                <w:rFonts w:hint="default" w:ascii="Times New Roman" w:hAnsi="Times New Roman" w:eastAsia="宋体" w:cs="Times New Roman"/>
                <w:color w:val="auto"/>
                <w:kern w:val="0"/>
                <w:sz w:val="24"/>
                <w:szCs w:val="24"/>
                <w:highlight w:val="none"/>
                <w:lang w:val="en-US" w:eastAsia="zh-CN" w:bidi="ar-SA"/>
              </w:rPr>
              <w:t>（无量纲）；本项目非甲烷总烃有组织排放浓度为</w:t>
            </w:r>
            <w:r>
              <w:rPr>
                <w:rFonts w:hint="eastAsia" w:cs="Times New Roman"/>
                <w:color w:val="auto"/>
                <w:kern w:val="0"/>
                <w:sz w:val="24"/>
                <w:szCs w:val="24"/>
                <w:highlight w:val="none"/>
                <w:lang w:val="en-US" w:eastAsia="zh-CN" w:bidi="ar-SA"/>
              </w:rPr>
              <w:t>8.15</w:t>
            </w:r>
            <w:r>
              <w:rPr>
                <w:rFonts w:hint="default" w:ascii="Times New Roman" w:hAnsi="Times New Roman" w:eastAsia="宋体" w:cs="Times New Roman"/>
                <w:color w:val="auto"/>
                <w:kern w:val="0"/>
                <w:sz w:val="24"/>
                <w:szCs w:val="24"/>
                <w:highlight w:val="none"/>
                <w:lang w:val="en-US" w:eastAsia="zh-CN" w:bidi="ar-SA"/>
              </w:rPr>
              <w:t>mg/m</w:t>
            </w:r>
            <w:r>
              <w:rPr>
                <w:rFonts w:hint="default" w:ascii="Times New Roman" w:hAnsi="Times New Roman" w:eastAsia="宋体" w:cs="Times New Roman"/>
                <w:color w:val="auto"/>
                <w:kern w:val="0"/>
                <w:sz w:val="24"/>
                <w:szCs w:val="24"/>
                <w:highlight w:val="none"/>
                <w:vertAlign w:val="superscript"/>
                <w:lang w:val="en-US" w:eastAsia="zh-CN" w:bidi="ar-SA"/>
              </w:rPr>
              <w:t>3</w:t>
            </w:r>
            <w:r>
              <w:rPr>
                <w:rFonts w:hint="default" w:ascii="Times New Roman" w:hAnsi="Times New Roman" w:eastAsia="宋体" w:cs="Times New Roman"/>
                <w:color w:val="auto"/>
                <w:kern w:val="0"/>
                <w:sz w:val="24"/>
                <w:szCs w:val="24"/>
                <w:highlight w:val="none"/>
                <w:lang w:val="en-US" w:eastAsia="zh-CN" w:bidi="ar-SA"/>
              </w:rPr>
              <w:t>，则类比折算出本项目有组织臭气浓度排放浓度为</w:t>
            </w:r>
            <w:r>
              <w:rPr>
                <w:rFonts w:hint="eastAsia" w:cs="Times New Roman"/>
                <w:color w:val="auto"/>
                <w:kern w:val="0"/>
                <w:sz w:val="24"/>
                <w:szCs w:val="24"/>
                <w:highlight w:val="none"/>
                <w:lang w:val="en-US" w:eastAsia="zh-CN" w:bidi="ar-SA"/>
              </w:rPr>
              <w:t>950</w:t>
            </w:r>
            <w:r>
              <w:rPr>
                <w:rFonts w:hint="default" w:ascii="Times New Roman" w:hAnsi="Times New Roman" w:eastAsia="宋体" w:cs="Times New Roman"/>
                <w:color w:val="auto"/>
                <w:kern w:val="0"/>
                <w:sz w:val="24"/>
                <w:szCs w:val="24"/>
                <w:highlight w:val="none"/>
                <w:lang w:val="en-US" w:eastAsia="zh-CN" w:bidi="ar-SA"/>
              </w:rPr>
              <w:t>（无量纲）（折算系数</w:t>
            </w:r>
            <w:r>
              <w:rPr>
                <w:rFonts w:hint="eastAsia" w:cs="Times New Roman"/>
                <w:color w:val="auto"/>
                <w:kern w:val="0"/>
                <w:sz w:val="24"/>
                <w:szCs w:val="24"/>
                <w:highlight w:val="none"/>
                <w:lang w:val="en-US" w:eastAsia="zh-CN" w:bidi="ar-SA"/>
              </w:rPr>
              <w:t>2.2829</w:t>
            </w:r>
            <w:r>
              <w:rPr>
                <w:rFonts w:hint="default" w:ascii="Times New Roman" w:hAnsi="Times New Roman" w:eastAsia="宋体" w:cs="Times New Roman"/>
                <w:color w:val="auto"/>
                <w:kern w:val="0"/>
                <w:sz w:val="24"/>
                <w:szCs w:val="24"/>
                <w:highlight w:val="none"/>
                <w:lang w:val="en-US" w:eastAsia="zh-CN" w:bidi="ar-SA"/>
              </w:rPr>
              <w:t>），满足《</w:t>
            </w:r>
            <w:r>
              <w:rPr>
                <w:rFonts w:hint="default" w:ascii="Times New Roman" w:hAnsi="Times New Roman" w:eastAsia="宋体" w:cs="Times New Roman"/>
                <w:color w:val="auto"/>
                <w:kern w:val="0"/>
                <w:sz w:val="24"/>
                <w:szCs w:val="24"/>
                <w:lang w:val="en-US" w:eastAsia="zh-CN" w:bidi="ar-SA"/>
              </w:rPr>
              <w:t>恶臭污染物排放标准》（GB14554-93）表2中二级恶臭污染物排放标准要求（2000（无量纲）），对外环境的影响较小。</w:t>
            </w:r>
          </w:p>
          <w:p w14:paraId="4CF961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olor w:val="auto"/>
                <w:sz w:val="24"/>
              </w:rPr>
              <w:t>本项目</w:t>
            </w:r>
            <w:r>
              <w:rPr>
                <w:rFonts w:hint="eastAsia"/>
                <w:color w:val="auto"/>
                <w:sz w:val="24"/>
                <w:lang w:eastAsia="zh-CN"/>
              </w:rPr>
              <w:t>挤出工序</w:t>
            </w:r>
            <w:r>
              <w:rPr>
                <w:rFonts w:hint="eastAsia"/>
                <w:color w:val="auto"/>
                <w:sz w:val="24"/>
              </w:rPr>
              <w:t>设置</w:t>
            </w:r>
            <w:r>
              <w:rPr>
                <w:rFonts w:hint="eastAsia"/>
                <w:color w:val="auto"/>
                <w:sz w:val="24"/>
                <w:lang w:val="en-US" w:eastAsia="zh-CN"/>
              </w:rPr>
              <w:t>10</w:t>
            </w:r>
            <w:r>
              <w:rPr>
                <w:rFonts w:hint="eastAsia"/>
                <w:color w:val="auto"/>
                <w:sz w:val="24"/>
              </w:rPr>
              <w:t>台</w:t>
            </w:r>
            <w:r>
              <w:rPr>
                <w:rFonts w:hint="eastAsia"/>
                <w:color w:val="auto"/>
                <w:sz w:val="24"/>
                <w:lang w:eastAsia="zh-CN"/>
              </w:rPr>
              <w:t>挤出机</w:t>
            </w:r>
            <w:r>
              <w:rPr>
                <w:rFonts w:hint="eastAsia"/>
                <w:color w:val="auto"/>
                <w:sz w:val="24"/>
              </w:rPr>
              <w:t>，</w:t>
            </w:r>
            <w:r>
              <w:rPr>
                <w:rFonts w:hint="eastAsia"/>
                <w:color w:val="auto"/>
                <w:sz w:val="24"/>
                <w:lang w:eastAsia="zh-CN"/>
              </w:rPr>
              <w:t>覆膜工序设置</w:t>
            </w:r>
            <w:r>
              <w:rPr>
                <w:rFonts w:hint="eastAsia"/>
                <w:color w:val="auto"/>
                <w:sz w:val="24"/>
                <w:lang w:val="en-US" w:eastAsia="zh-CN"/>
              </w:rPr>
              <w:t>10台覆膜机，</w:t>
            </w:r>
            <w:r>
              <w:rPr>
                <w:rFonts w:hint="eastAsia"/>
                <w:color w:val="auto"/>
                <w:sz w:val="24"/>
              </w:rPr>
              <w:t>本环评提出在</w:t>
            </w:r>
            <w:r>
              <w:rPr>
                <w:rFonts w:hint="eastAsia"/>
                <w:color w:val="auto"/>
                <w:sz w:val="24"/>
                <w:lang w:eastAsia="zh-CN"/>
              </w:rPr>
              <w:t>挤出机、覆膜机</w:t>
            </w:r>
            <w:r>
              <w:rPr>
                <w:rFonts w:hint="eastAsia"/>
                <w:color w:val="auto"/>
                <w:sz w:val="24"/>
              </w:rPr>
              <w:t>上方分别</w:t>
            </w:r>
            <w:r>
              <w:rPr>
                <w:rFonts w:hint="eastAsia"/>
                <w:color w:val="auto"/>
                <w:sz w:val="24"/>
                <w:lang w:eastAsia="zh-CN"/>
              </w:rPr>
              <w:t>安装</w:t>
            </w:r>
            <w:r>
              <w:rPr>
                <w:rFonts w:hint="eastAsia"/>
                <w:color w:val="auto"/>
                <w:sz w:val="24"/>
              </w:rPr>
              <w:t>1个集气罩</w:t>
            </w:r>
            <w:r>
              <w:rPr>
                <w:rFonts w:hint="eastAsia"/>
                <w:color w:val="auto"/>
                <w:sz w:val="24"/>
                <w:lang w:eastAsia="zh-CN"/>
              </w:rPr>
              <w:t>（总共</w:t>
            </w:r>
            <w:r>
              <w:rPr>
                <w:rFonts w:hint="eastAsia"/>
                <w:color w:val="auto"/>
                <w:sz w:val="24"/>
                <w:lang w:val="en-US" w:eastAsia="zh-CN"/>
              </w:rPr>
              <w:t>20个集气罩</w:t>
            </w:r>
            <w:r>
              <w:rPr>
                <w:rFonts w:hint="eastAsia"/>
                <w:color w:val="auto"/>
                <w:sz w:val="24"/>
                <w:lang w:eastAsia="zh-CN"/>
              </w:rPr>
              <w:t>）</w:t>
            </w:r>
            <w:r>
              <w:rPr>
                <w:rFonts w:hint="eastAsia"/>
                <w:color w:val="auto"/>
                <w:sz w:val="24"/>
              </w:rPr>
              <w:t>，收集后经</w:t>
            </w:r>
            <w:r>
              <w:rPr>
                <w:rFonts w:hint="eastAsia"/>
                <w:color w:val="auto"/>
                <w:sz w:val="24"/>
                <w:lang w:eastAsia="zh-CN"/>
              </w:rPr>
              <w:t>三级活性炭</w:t>
            </w:r>
            <w:r>
              <w:rPr>
                <w:rFonts w:hint="eastAsia"/>
                <w:color w:val="auto"/>
                <w:sz w:val="24"/>
              </w:rPr>
              <w:t>处理后经1根15m高排气筒（DA00</w:t>
            </w:r>
            <w:r>
              <w:rPr>
                <w:rFonts w:hint="eastAsia"/>
                <w:color w:val="auto"/>
                <w:sz w:val="24"/>
                <w:lang w:val="en-US" w:eastAsia="zh-CN"/>
              </w:rPr>
              <w:t>2</w:t>
            </w:r>
            <w:r>
              <w:rPr>
                <w:rFonts w:hint="eastAsia"/>
                <w:color w:val="auto"/>
                <w:sz w:val="24"/>
              </w:rPr>
              <w:t>）排放</w:t>
            </w:r>
            <w:r>
              <w:rPr>
                <w:color w:val="auto"/>
                <w:sz w:val="24"/>
              </w:rPr>
              <w:t>，</w:t>
            </w:r>
            <w:r>
              <w:rPr>
                <w:rFonts w:hint="eastAsia"/>
                <w:color w:val="auto"/>
                <w:sz w:val="24"/>
              </w:rPr>
              <w:t>集气罩收集效率约</w:t>
            </w:r>
            <w:r>
              <w:rPr>
                <w:rFonts w:hint="eastAsia"/>
                <w:color w:val="auto"/>
                <w:sz w:val="24"/>
                <w:lang w:val="en-US" w:eastAsia="zh-CN"/>
              </w:rPr>
              <w:t>8</w:t>
            </w:r>
            <w:r>
              <w:rPr>
                <w:rFonts w:hint="eastAsia"/>
                <w:color w:val="auto"/>
                <w:sz w:val="24"/>
              </w:rPr>
              <w:t>0%，</w:t>
            </w:r>
            <w:r>
              <w:rPr>
                <w:rFonts w:hint="eastAsia"/>
                <w:color w:val="auto"/>
                <w:sz w:val="24"/>
                <w:lang w:eastAsia="zh-CN"/>
              </w:rPr>
              <w:t>三级活性炭吸附</w:t>
            </w:r>
            <w:r>
              <w:rPr>
                <w:rFonts w:hint="eastAsia"/>
                <w:color w:val="auto"/>
                <w:sz w:val="24"/>
              </w:rPr>
              <w:t>效率约为</w:t>
            </w:r>
            <w:r>
              <w:rPr>
                <w:rFonts w:hint="eastAsia"/>
                <w:color w:val="auto"/>
                <w:sz w:val="24"/>
                <w:lang w:val="en-US" w:eastAsia="zh-CN"/>
              </w:rPr>
              <w:t>70</w:t>
            </w:r>
            <w:r>
              <w:rPr>
                <w:rFonts w:hint="eastAsia"/>
                <w:color w:val="auto"/>
                <w:sz w:val="24"/>
              </w:rPr>
              <w:t>%</w:t>
            </w:r>
            <w:r>
              <w:rPr>
                <w:rFonts w:hint="eastAsia"/>
                <w:color w:val="auto"/>
                <w:sz w:val="24"/>
                <w:szCs w:val="24"/>
                <w:lang w:eastAsia="zh-CN"/>
              </w:rPr>
              <w:t>（</w:t>
            </w:r>
            <w:r>
              <w:rPr>
                <w:rFonts w:hint="eastAsia" w:eastAsia="宋体"/>
                <w:color w:val="auto"/>
                <w:kern w:val="0"/>
                <w:sz w:val="24"/>
                <w:szCs w:val="24"/>
                <w:lang w:bidi="ar"/>
              </w:rPr>
              <w:t>对氯化氢无处理效率</w:t>
            </w:r>
            <w:r>
              <w:rPr>
                <w:rFonts w:hint="eastAsia"/>
                <w:color w:val="auto"/>
                <w:sz w:val="24"/>
                <w:szCs w:val="24"/>
                <w:lang w:eastAsia="zh-CN"/>
              </w:rPr>
              <w:t>）。</w:t>
            </w:r>
          </w:p>
          <w:p w14:paraId="70B7374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highlight w:val="none"/>
                <w:lang w:val="en-US" w:eastAsia="zh-CN"/>
              </w:rPr>
              <w:t xml:space="preserve">《挥发性有机物无组织排放控制标准》（GB37822-2019）中10.2废气收集系统要求—10.2.2 </w:t>
            </w:r>
            <w:r>
              <w:rPr>
                <w:rFonts w:hint="default" w:ascii="Times New Roman" w:hAnsi="Times New Roman" w:eastAsia="宋体" w:cs="Times New Roman"/>
                <w:color w:val="auto"/>
                <w:kern w:val="2"/>
                <w:sz w:val="24"/>
                <w:szCs w:val="24"/>
                <w:highlight w:val="none"/>
                <w:lang w:val="en-US" w:eastAsia="zh-CN" w:bidi="ar"/>
              </w:rPr>
              <w:t>废气收集系统排风罩（集气罩）的设置应符合GB/T 16758 的规定。采用外部排风罩的，应按 GB/T 16758、AQ/T 4274—2016 规定的方法测量控制风速，测量点应选取在距排风罩开口面最远处的 VOCs 无组织排放位置，控制风速不应低于0.3 m/s。因此，</w:t>
            </w:r>
            <w:r>
              <w:rPr>
                <w:rFonts w:hint="default" w:ascii="Times New Roman" w:hAnsi="Times New Roman" w:eastAsia="宋体" w:cs="Times New Roman"/>
                <w:color w:val="auto"/>
                <w:sz w:val="24"/>
                <w:szCs w:val="24"/>
                <w:highlight w:val="none"/>
                <w:lang w:val="en-US" w:eastAsia="zh-CN"/>
              </w:rPr>
              <w:t>本项目集气罩类型根据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排风罩的分类及技术条件</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GB/T 16758-2008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中进行确定，由于本项目生产工艺无法做到密闭，因此本项目设置为上吸式集气罩；集气罩收集控制风速限值根据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局部排风设施控制风速检测与评估技术规范</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AQ/T 4274-2016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表1中局部排风设施控制风速限值标准进行确定，本项目设置的外部排风罩为上吸式集气罩，收集废气为有机废气（非甲烷总烃）</w:t>
            </w:r>
            <w:r>
              <w:rPr>
                <w:rFonts w:hint="eastAsia" w:eastAsia="宋体" w:cs="Times New Roman"/>
                <w:color w:val="auto"/>
                <w:sz w:val="24"/>
                <w:szCs w:val="24"/>
                <w:highlight w:val="none"/>
                <w:lang w:val="en-US" w:eastAsia="zh-CN"/>
              </w:rPr>
              <w:t>、氯化氢、氯乙烯</w:t>
            </w:r>
            <w:r>
              <w:rPr>
                <w:rFonts w:hint="default" w:ascii="Times New Roman" w:hAnsi="Times New Roman" w:eastAsia="宋体" w:cs="Times New Roman"/>
                <w:color w:val="auto"/>
                <w:sz w:val="24"/>
                <w:szCs w:val="24"/>
                <w:highlight w:val="none"/>
                <w:lang w:val="en-US" w:eastAsia="zh-CN"/>
              </w:rPr>
              <w:t>及臭气浓度，为有毒气体，因此对应的气体控制风速应为1.0m/s，</w:t>
            </w:r>
            <w:r>
              <w:rPr>
                <w:rFonts w:hint="default" w:ascii="Times New Roman" w:hAnsi="Times New Roman" w:eastAsia="宋体" w:cs="Times New Roman"/>
                <w:color w:val="auto"/>
                <w:kern w:val="2"/>
                <w:sz w:val="24"/>
                <w:szCs w:val="24"/>
                <w:highlight w:val="none"/>
                <w:lang w:val="en-US" w:eastAsia="zh-CN" w:bidi="ar"/>
              </w:rPr>
              <w:t>排风罩开口面最远处的VOCs无组织排放位置控制风速不应低于0.3m/s。满足上述条件</w:t>
            </w:r>
            <w:r>
              <w:rPr>
                <w:rFonts w:hint="default" w:ascii="Times New Roman" w:hAnsi="Times New Roman" w:eastAsia="宋体" w:cs="Times New Roman"/>
                <w:color w:val="auto"/>
                <w:kern w:val="2"/>
                <w:sz w:val="24"/>
                <w:szCs w:val="24"/>
                <w:highlight w:val="none"/>
              </w:rPr>
              <w:t>废气收集效率</w:t>
            </w:r>
            <w:r>
              <w:rPr>
                <w:rFonts w:hint="default" w:ascii="Times New Roman" w:hAnsi="Times New Roman" w:eastAsia="宋体" w:cs="Times New Roman"/>
                <w:color w:val="auto"/>
                <w:kern w:val="2"/>
                <w:sz w:val="24"/>
                <w:szCs w:val="24"/>
                <w:highlight w:val="none"/>
                <w:lang w:val="en-US" w:eastAsia="zh-CN"/>
              </w:rPr>
              <w:t>可达80</w:t>
            </w:r>
            <w:r>
              <w:rPr>
                <w:rFonts w:hint="default" w:ascii="Times New Roman" w:hAnsi="Times New Roman" w:eastAsia="宋体" w:cs="Times New Roman"/>
                <w:color w:val="auto"/>
                <w:kern w:val="2"/>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kern w:val="0"/>
                <w:sz w:val="24"/>
                <w:szCs w:val="24"/>
                <w:highlight w:val="none"/>
                <w:lang w:val="en-US" w:eastAsia="zh-CN" w:bidi="ar-SA"/>
              </w:rPr>
              <w:t>剩余20%未收集的废气为无组织排放</w:t>
            </w:r>
            <w:r>
              <w:rPr>
                <w:rFonts w:hint="default" w:ascii="Times New Roman" w:hAnsi="Times New Roman" w:eastAsia="宋体" w:cs="Times New Roman"/>
                <w:color w:val="auto"/>
                <w:sz w:val="24"/>
                <w:szCs w:val="24"/>
                <w:highlight w:val="none"/>
              </w:rPr>
              <w:t>。</w:t>
            </w:r>
          </w:p>
          <w:p w14:paraId="375FFE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集气罩投影面积应大于</w:t>
            </w:r>
            <w:r>
              <w:rPr>
                <w:rFonts w:hint="default" w:ascii="Times New Roman" w:hAnsi="Times New Roman" w:eastAsia="宋体" w:cs="Times New Roman"/>
                <w:color w:val="auto"/>
                <w:sz w:val="24"/>
                <w:szCs w:val="24"/>
                <w:highlight w:val="none"/>
                <w:lang w:val="en-US" w:eastAsia="zh-CN"/>
              </w:rPr>
              <w:t>设备</w:t>
            </w:r>
            <w:r>
              <w:rPr>
                <w:rFonts w:hint="default" w:ascii="Times New Roman" w:hAnsi="Times New Roman" w:eastAsia="宋体" w:cs="Times New Roman"/>
                <w:color w:val="auto"/>
                <w:sz w:val="24"/>
                <w:szCs w:val="24"/>
                <w:highlight w:val="none"/>
                <w:lang w:val="zh-CN"/>
              </w:rPr>
              <w:t>有机废气</w:t>
            </w:r>
            <w:r>
              <w:rPr>
                <w:rFonts w:hint="default" w:ascii="Times New Roman" w:hAnsi="Times New Roman" w:eastAsia="宋体" w:cs="Times New Roman"/>
                <w:color w:val="auto"/>
                <w:sz w:val="24"/>
                <w:szCs w:val="24"/>
                <w:highlight w:val="none"/>
                <w:lang w:val="en-US" w:eastAsia="zh-CN"/>
              </w:rPr>
              <w:t>扩散区</w:t>
            </w:r>
            <w:r>
              <w:rPr>
                <w:rFonts w:hint="default" w:ascii="Times New Roman" w:hAnsi="Times New Roman" w:eastAsia="宋体" w:cs="Times New Roman"/>
                <w:color w:val="auto"/>
                <w:sz w:val="24"/>
                <w:szCs w:val="24"/>
                <w:highlight w:val="none"/>
                <w:lang w:val="zh-CN"/>
              </w:rPr>
              <w:t>面积，</w:t>
            </w:r>
            <w:r>
              <w:rPr>
                <w:rFonts w:hint="default" w:ascii="Times New Roman" w:hAnsi="Times New Roman" w:eastAsia="宋体" w:cs="Times New Roman"/>
                <w:color w:val="auto"/>
                <w:sz w:val="24"/>
                <w:szCs w:val="24"/>
                <w:highlight w:val="none"/>
                <w:lang w:eastAsia="zh-CN"/>
              </w:rPr>
              <w:t>根据本项目生产设备实际情况，</w:t>
            </w:r>
            <w:r>
              <w:rPr>
                <w:rFonts w:hint="default" w:ascii="Times New Roman" w:hAnsi="Times New Roman" w:eastAsia="宋体" w:cs="Times New Roman"/>
                <w:color w:val="auto"/>
                <w:sz w:val="24"/>
                <w:szCs w:val="24"/>
                <w:highlight w:val="none"/>
                <w:lang w:val="en-US" w:eastAsia="zh-CN"/>
              </w:rPr>
              <w:t>集气罩</w:t>
            </w:r>
            <w:r>
              <w:rPr>
                <w:rFonts w:hint="default" w:ascii="Times New Roman" w:hAnsi="Times New Roman" w:eastAsia="宋体" w:cs="Times New Roman"/>
                <w:color w:val="auto"/>
                <w:sz w:val="24"/>
                <w:szCs w:val="24"/>
                <w:highlight w:val="none"/>
                <w:lang w:val="zh-CN"/>
              </w:rPr>
              <w:t>投影面积</w:t>
            </w:r>
            <w:r>
              <w:rPr>
                <w:rFonts w:hint="default" w:ascii="Times New Roman" w:hAnsi="Times New Roman" w:eastAsia="宋体" w:cs="Times New Roman"/>
                <w:color w:val="auto"/>
                <w:sz w:val="24"/>
                <w:szCs w:val="24"/>
                <w:highlight w:val="none"/>
                <w:lang w:val="en-US" w:eastAsia="zh-CN"/>
              </w:rPr>
              <w:t>按照设备废气扩散面积的1.2进行计算，则项目区内设置的</w:t>
            </w:r>
            <w:r>
              <w:rPr>
                <w:rFonts w:hint="eastAsia" w:cs="Times New Roman"/>
                <w:b w:val="0"/>
                <w:bCs w:val="0"/>
                <w:color w:val="auto"/>
                <w:spacing w:val="0"/>
                <w:sz w:val="24"/>
                <w:szCs w:val="24"/>
                <w:highlight w:val="none"/>
                <w:vertAlign w:val="baseline"/>
                <w:lang w:val="en-US" w:eastAsia="zh-CN"/>
              </w:rPr>
              <w:t>挤出成型、覆膜</w:t>
            </w:r>
            <w:r>
              <w:rPr>
                <w:rFonts w:hint="default" w:ascii="Times New Roman" w:hAnsi="Times New Roman" w:eastAsia="宋体" w:cs="Times New Roman"/>
                <w:color w:val="auto"/>
                <w:sz w:val="24"/>
                <w:szCs w:val="24"/>
                <w:highlight w:val="none"/>
                <w:lang w:val="en-US" w:eastAsia="zh-CN"/>
              </w:rPr>
              <w:t>对应风量如下表所示。</w:t>
            </w:r>
          </w:p>
          <w:p w14:paraId="0F59C9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w:t>
            </w:r>
            <w:r>
              <w:rPr>
                <w:rFonts w:hint="eastAsia" w:eastAsia="宋体" w:cs="Times New Roman"/>
                <w:b/>
                <w:bCs/>
                <w:color w:val="auto"/>
                <w:sz w:val="21"/>
                <w:szCs w:val="21"/>
                <w:highlight w:val="none"/>
                <w:lang w:val="en-US" w:eastAsia="zh-CN"/>
              </w:rPr>
              <w:t>8</w:t>
            </w:r>
            <w:r>
              <w:rPr>
                <w:rFonts w:hint="default" w:ascii="Times New Roman" w:hAnsi="Times New Roman" w:eastAsia="宋体" w:cs="Times New Roman"/>
                <w:b/>
                <w:bCs/>
                <w:color w:val="auto"/>
                <w:sz w:val="21"/>
                <w:szCs w:val="21"/>
                <w:highlight w:val="none"/>
                <w:lang w:val="en-US" w:eastAsia="zh-CN"/>
              </w:rPr>
              <w:t xml:space="preserve">  本项目集气罩风机风量设置情况</w:t>
            </w:r>
          </w:p>
          <w:tbl>
            <w:tblPr>
              <w:tblStyle w:val="26"/>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538"/>
              <w:gridCol w:w="1487"/>
              <w:gridCol w:w="1277"/>
              <w:gridCol w:w="1091"/>
              <w:gridCol w:w="558"/>
              <w:gridCol w:w="1152"/>
            </w:tblGrid>
            <w:tr w14:paraId="08D2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1" w:type="dxa"/>
                  <w:vAlign w:val="center"/>
                </w:tcPr>
                <w:p w14:paraId="598C918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设备名称</w:t>
                  </w:r>
                </w:p>
              </w:tc>
              <w:tc>
                <w:tcPr>
                  <w:tcW w:w="1538" w:type="dxa"/>
                  <w:vAlign w:val="center"/>
                </w:tcPr>
                <w:p w14:paraId="2CAB7AB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单台设备废气扩散区面积</w:t>
                  </w:r>
                </w:p>
              </w:tc>
              <w:tc>
                <w:tcPr>
                  <w:tcW w:w="1487" w:type="dxa"/>
                  <w:vAlign w:val="center"/>
                </w:tcPr>
                <w:p w14:paraId="3477B0B0">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单台</w:t>
                  </w:r>
                  <w:r>
                    <w:rPr>
                      <w:rFonts w:hint="default" w:ascii="Times New Roman" w:hAnsi="Times New Roman" w:eastAsia="宋体" w:cs="Times New Roman"/>
                      <w:b/>
                      <w:bCs/>
                      <w:color w:val="auto"/>
                      <w:sz w:val="21"/>
                      <w:szCs w:val="21"/>
                      <w:highlight w:val="none"/>
                      <w:lang w:val="en-US" w:eastAsia="zh-CN"/>
                    </w:rPr>
                    <w:t>设备集气罩投影面积</w:t>
                  </w:r>
                </w:p>
              </w:tc>
              <w:tc>
                <w:tcPr>
                  <w:tcW w:w="1277" w:type="dxa"/>
                  <w:vAlign w:val="center"/>
                </w:tcPr>
                <w:p w14:paraId="5A390C4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val="en-US" w:eastAsia="zh-CN"/>
                    </w:rPr>
                    <w:t>对应的气体控制风速</w:t>
                  </w:r>
                </w:p>
              </w:tc>
              <w:tc>
                <w:tcPr>
                  <w:tcW w:w="1091" w:type="dxa"/>
                  <w:vAlign w:val="center"/>
                </w:tcPr>
                <w:p w14:paraId="29984CC1">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单个集气罩风量</w:t>
                  </w:r>
                </w:p>
              </w:tc>
              <w:tc>
                <w:tcPr>
                  <w:tcW w:w="558" w:type="dxa"/>
                  <w:vAlign w:val="center"/>
                </w:tcPr>
                <w:p w14:paraId="0FCA210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数量</w:t>
                  </w:r>
                </w:p>
              </w:tc>
              <w:tc>
                <w:tcPr>
                  <w:tcW w:w="1152" w:type="dxa"/>
                  <w:vAlign w:val="center"/>
                </w:tcPr>
                <w:p w14:paraId="43FA90A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风量小计</w:t>
                  </w:r>
                </w:p>
              </w:tc>
            </w:tr>
            <w:tr w14:paraId="50D7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1" w:type="dxa"/>
                  <w:vAlign w:val="center"/>
                </w:tcPr>
                <w:p w14:paraId="68321F4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Times New Roman" w:hAnsi="Times New Roman" w:eastAsia="宋体" w:cs="Times New Roman"/>
                      <w:color w:val="auto"/>
                      <w:sz w:val="21"/>
                      <w:szCs w:val="21"/>
                      <w:highlight w:val="yellow"/>
                      <w:lang w:val="en-US" w:eastAsia="zh-CN"/>
                    </w:rPr>
                  </w:pPr>
                  <w:r>
                    <w:rPr>
                      <w:rFonts w:hint="eastAsia" w:cs="Times New Roman"/>
                      <w:color w:val="auto"/>
                      <w:sz w:val="21"/>
                      <w:szCs w:val="21"/>
                      <w:highlight w:val="none"/>
                      <w:lang w:val="en-US" w:eastAsia="zh-CN"/>
                    </w:rPr>
                    <w:t>挤出机</w:t>
                  </w:r>
                </w:p>
              </w:tc>
              <w:tc>
                <w:tcPr>
                  <w:tcW w:w="1538" w:type="dxa"/>
                  <w:vAlign w:val="center"/>
                </w:tcPr>
                <w:p w14:paraId="1343EB2C">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r>
                    <w:rPr>
                      <w:rFonts w:hint="eastAsia"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p>
              </w:tc>
              <w:tc>
                <w:tcPr>
                  <w:tcW w:w="1487" w:type="dxa"/>
                  <w:vAlign w:val="center"/>
                </w:tcPr>
                <w:p w14:paraId="47DEEC7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r>
                    <w:rPr>
                      <w:rFonts w:hint="eastAsia" w:cs="Times New Roman"/>
                      <w:color w:val="auto"/>
                      <w:sz w:val="21"/>
                      <w:szCs w:val="21"/>
                      <w:highlight w:val="none"/>
                      <w:vertAlign w:val="baseline"/>
                      <w:lang w:val="en-US" w:eastAsia="zh-CN"/>
                    </w:rPr>
                    <w:t>36</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p>
              </w:tc>
              <w:tc>
                <w:tcPr>
                  <w:tcW w:w="1277" w:type="dxa"/>
                  <w:vAlign w:val="center"/>
                </w:tcPr>
                <w:p w14:paraId="29DB957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1.0m/s</w:t>
                  </w:r>
                </w:p>
              </w:tc>
              <w:tc>
                <w:tcPr>
                  <w:tcW w:w="1091" w:type="dxa"/>
                  <w:vAlign w:val="center"/>
                </w:tcPr>
                <w:p w14:paraId="71AE410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1296</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/h</w:t>
                  </w:r>
                </w:p>
              </w:tc>
              <w:tc>
                <w:tcPr>
                  <w:tcW w:w="558" w:type="dxa"/>
                  <w:vAlign w:val="center"/>
                </w:tcPr>
                <w:p w14:paraId="33A72E7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10</w:t>
                  </w:r>
                </w:p>
              </w:tc>
              <w:tc>
                <w:tcPr>
                  <w:tcW w:w="1152" w:type="dxa"/>
                  <w:vAlign w:val="center"/>
                </w:tcPr>
                <w:p w14:paraId="65E239B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12960</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/h</w:t>
                  </w:r>
                </w:p>
              </w:tc>
            </w:tr>
            <w:tr w14:paraId="3650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1" w:type="dxa"/>
                  <w:vAlign w:val="center"/>
                </w:tcPr>
                <w:p w14:paraId="213FEFFA">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覆膜机</w:t>
                  </w:r>
                </w:p>
              </w:tc>
              <w:tc>
                <w:tcPr>
                  <w:tcW w:w="1538" w:type="dxa"/>
                  <w:vAlign w:val="center"/>
                </w:tcPr>
                <w:p w14:paraId="267C4802">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r>
                    <w:rPr>
                      <w:rFonts w:hint="eastAsia" w:eastAsia="宋体" w:cs="Times New Roman"/>
                      <w:color w:val="auto"/>
                      <w:sz w:val="21"/>
                      <w:szCs w:val="21"/>
                      <w:highlight w:val="none"/>
                      <w:vertAlign w:val="baseline"/>
                      <w:lang w:val="en-US" w:eastAsia="zh-CN"/>
                    </w:rPr>
                    <w:t>3</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p>
              </w:tc>
              <w:tc>
                <w:tcPr>
                  <w:tcW w:w="1487" w:type="dxa"/>
                  <w:vAlign w:val="center"/>
                </w:tcPr>
                <w:p w14:paraId="61EA331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0.</w:t>
                  </w:r>
                  <w:r>
                    <w:rPr>
                      <w:rFonts w:hint="eastAsia" w:cs="Times New Roman"/>
                      <w:color w:val="auto"/>
                      <w:sz w:val="21"/>
                      <w:szCs w:val="21"/>
                      <w:highlight w:val="none"/>
                      <w:vertAlign w:val="baseline"/>
                      <w:lang w:val="en-US" w:eastAsia="zh-CN"/>
                    </w:rPr>
                    <w:t>36</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p>
              </w:tc>
              <w:tc>
                <w:tcPr>
                  <w:tcW w:w="1277" w:type="dxa"/>
                  <w:vAlign w:val="center"/>
                </w:tcPr>
                <w:p w14:paraId="52DF7454">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1.0m/s</w:t>
                  </w:r>
                </w:p>
              </w:tc>
              <w:tc>
                <w:tcPr>
                  <w:tcW w:w="1091" w:type="dxa"/>
                  <w:vAlign w:val="center"/>
                </w:tcPr>
                <w:p w14:paraId="3220B5B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1296</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/h</w:t>
                  </w:r>
                </w:p>
              </w:tc>
              <w:tc>
                <w:tcPr>
                  <w:tcW w:w="558" w:type="dxa"/>
                  <w:vAlign w:val="center"/>
                </w:tcPr>
                <w:p w14:paraId="06F2D0DB">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10</w:t>
                  </w:r>
                </w:p>
              </w:tc>
              <w:tc>
                <w:tcPr>
                  <w:tcW w:w="1152" w:type="dxa"/>
                  <w:vAlign w:val="center"/>
                </w:tcPr>
                <w:p w14:paraId="5F1F69C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12960</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/h</w:t>
                  </w:r>
                </w:p>
              </w:tc>
            </w:tr>
            <w:tr w14:paraId="517C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4" w:type="dxa"/>
                  <w:gridSpan w:val="5"/>
                  <w:vAlign w:val="center"/>
                </w:tcPr>
                <w:p w14:paraId="2475A163">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cs="Times New Roman"/>
                      <w:color w:val="auto"/>
                      <w:sz w:val="21"/>
                      <w:szCs w:val="21"/>
                      <w:highlight w:val="none"/>
                      <w:vertAlign w:val="baseline"/>
                      <w:lang w:val="en-US" w:eastAsia="zh-CN"/>
                    </w:rPr>
                  </w:pPr>
                  <w:r>
                    <w:rPr>
                      <w:rFonts w:hint="eastAsia" w:cs="Times New Roman"/>
                      <w:color w:val="auto"/>
                      <w:sz w:val="21"/>
                      <w:szCs w:val="21"/>
                      <w:highlight w:val="none"/>
                      <w:vertAlign w:val="baseline"/>
                      <w:lang w:val="en-US" w:eastAsia="zh-CN"/>
                    </w:rPr>
                    <w:t>合计</w:t>
                  </w:r>
                </w:p>
              </w:tc>
              <w:tc>
                <w:tcPr>
                  <w:tcW w:w="558" w:type="dxa"/>
                  <w:vAlign w:val="center"/>
                </w:tcPr>
                <w:p w14:paraId="0DCA1D8F">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default"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20</w:t>
                  </w:r>
                </w:p>
              </w:tc>
              <w:tc>
                <w:tcPr>
                  <w:tcW w:w="1152" w:type="dxa"/>
                  <w:vAlign w:val="center"/>
                </w:tcPr>
                <w:p w14:paraId="6915D9F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eastAsia="宋体" w:cs="Times New Roman"/>
                      <w:color w:val="auto"/>
                      <w:sz w:val="21"/>
                      <w:szCs w:val="21"/>
                      <w:highlight w:val="none"/>
                      <w:vertAlign w:val="baseline"/>
                      <w:lang w:val="en-US" w:eastAsia="zh-CN"/>
                    </w:rPr>
                  </w:pPr>
                  <w:r>
                    <w:rPr>
                      <w:rFonts w:hint="eastAsia" w:eastAsia="宋体" w:cs="Times New Roman"/>
                      <w:color w:val="auto"/>
                      <w:sz w:val="21"/>
                      <w:szCs w:val="21"/>
                      <w:highlight w:val="none"/>
                      <w:vertAlign w:val="baseline"/>
                      <w:lang w:val="en-US" w:eastAsia="zh-CN"/>
                    </w:rPr>
                    <w:t>25920</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/h</w:t>
                  </w:r>
                </w:p>
              </w:tc>
            </w:tr>
            <w:tr w14:paraId="1CCC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4" w:type="dxa"/>
                  <w:gridSpan w:val="7"/>
                  <w:vAlign w:val="center"/>
                </w:tcPr>
                <w:p w14:paraId="557C11B4">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color w:val="auto"/>
                      <w:sz w:val="21"/>
                      <w:szCs w:val="21"/>
                      <w:highlight w:val="yellow"/>
                      <w:vertAlign w:val="baseline"/>
                      <w:lang w:val="en-US" w:eastAsia="zh-CN"/>
                    </w:rPr>
                  </w:pPr>
                  <w:r>
                    <w:rPr>
                      <w:rFonts w:hint="eastAsia" w:ascii="宋体" w:hAnsi="宋体" w:eastAsia="宋体" w:cs="宋体"/>
                      <w:color w:val="000000"/>
                      <w:kern w:val="0"/>
                      <w:sz w:val="21"/>
                      <w:szCs w:val="21"/>
                      <w:lang w:val="en-US" w:eastAsia="zh-CN" w:bidi="ar"/>
                    </w:rPr>
                    <w:t>单个集气罩集气风量计算公式：</w:t>
                  </w:r>
                  <w:r>
                    <w:rPr>
                      <w:rFonts w:hint="default" w:ascii="Times New Roman" w:hAnsi="Times New Roman" w:eastAsia="宋体" w:cs="Times New Roman"/>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a×b</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×V</w:t>
                  </w:r>
                  <w:r>
                    <w:rPr>
                      <w:rFonts w:hint="default" w:ascii="Times New Roman" w:hAnsi="Times New Roman" w:eastAsia="宋体" w:cs="Times New Roman"/>
                      <w:color w:val="000000"/>
                      <w:kern w:val="0"/>
                      <w:sz w:val="21"/>
                      <w:szCs w:val="21"/>
                      <w:vertAlign w:val="subscript"/>
                      <w:lang w:val="en-US" w:eastAsia="zh-CN" w:bidi="ar"/>
                    </w:rPr>
                    <w:t>0</w:t>
                  </w:r>
                  <w:r>
                    <w:rPr>
                      <w:rFonts w:hint="default" w:ascii="Times New Roman" w:hAnsi="Times New Roman" w:eastAsia="宋体" w:cs="Times New Roman"/>
                      <w:color w:val="000000"/>
                      <w:kern w:val="0"/>
                      <w:sz w:val="21"/>
                      <w:szCs w:val="21"/>
                      <w:lang w:val="en-US" w:eastAsia="zh-CN" w:bidi="ar"/>
                    </w:rPr>
                    <w:t>×3600</w:t>
                  </w:r>
                  <w:r>
                    <w:rPr>
                      <w:rFonts w:hint="eastAsia" w:ascii="宋体" w:hAnsi="宋体" w:eastAsia="宋体" w:cs="宋体"/>
                      <w:color w:val="000000"/>
                      <w:kern w:val="0"/>
                      <w:sz w:val="21"/>
                      <w:szCs w:val="21"/>
                      <w:lang w:val="en-US" w:eastAsia="zh-CN" w:bidi="ar"/>
                    </w:rPr>
                    <w:t>。式中：</w:t>
                  </w:r>
                  <w:r>
                    <w:rPr>
                      <w:rFonts w:hint="default" w:ascii="Times New Roman" w:hAnsi="Times New Roman" w:eastAsia="宋体" w:cs="Times New Roman"/>
                      <w:color w:val="000000"/>
                      <w:kern w:val="0"/>
                      <w:sz w:val="21"/>
                      <w:szCs w:val="21"/>
                      <w:lang w:val="en-US" w:eastAsia="zh-CN" w:bidi="ar"/>
                    </w:rPr>
                    <w:t>Q</w:t>
                  </w:r>
                  <w:r>
                    <w:rPr>
                      <w:rFonts w:hint="eastAsia" w:ascii="宋体" w:hAnsi="宋体" w:eastAsia="宋体" w:cs="宋体"/>
                      <w:color w:val="000000"/>
                      <w:kern w:val="0"/>
                      <w:sz w:val="21"/>
                      <w:szCs w:val="21"/>
                      <w:lang w:val="en-US" w:eastAsia="zh-CN" w:bidi="ar"/>
                    </w:rPr>
                    <w:t>：为集气罩集气风量，单位为</w:t>
                  </w:r>
                  <w:r>
                    <w:rPr>
                      <w:rFonts w:hint="default" w:ascii="Times New Roman" w:hAnsi="Times New Roman" w:eastAsia="宋体" w:cs="Times New Roman"/>
                      <w:color w:val="000000"/>
                      <w:kern w:val="0"/>
                      <w:sz w:val="21"/>
                      <w:szCs w:val="21"/>
                      <w:lang w:val="en-US" w:eastAsia="zh-CN" w:bidi="ar"/>
                    </w:rPr>
                    <w:t>m</w:t>
                  </w:r>
                  <w:r>
                    <w:rPr>
                      <w:rFonts w:hint="default" w:ascii="Times New Roman" w:hAnsi="Times New Roman" w:eastAsia="宋体" w:cs="Times New Roman"/>
                      <w:color w:val="000000"/>
                      <w:kern w:val="0"/>
                      <w:sz w:val="21"/>
                      <w:szCs w:val="21"/>
                      <w:vertAlign w:val="superscript"/>
                      <w:lang w:val="en-US" w:eastAsia="zh-CN" w:bidi="ar"/>
                    </w:rPr>
                    <w:t>3</w:t>
                  </w:r>
                  <w:r>
                    <w:rPr>
                      <w:rFonts w:hint="default" w:ascii="Times New Roman" w:hAnsi="Times New Roman" w:eastAsia="宋体" w:cs="Times New Roman"/>
                      <w:color w:val="000000"/>
                      <w:kern w:val="0"/>
                      <w:sz w:val="21"/>
                      <w:szCs w:val="21"/>
                      <w:lang w:val="en-US" w:eastAsia="zh-CN" w:bidi="ar"/>
                    </w:rPr>
                    <w:t>/h</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a×b</w:t>
                  </w:r>
                  <w:r>
                    <w:rPr>
                      <w:rFonts w:hint="eastAsia" w:ascii="宋体" w:hAnsi="宋体" w:eastAsia="宋体" w:cs="宋体"/>
                      <w:color w:val="000000"/>
                      <w:kern w:val="0"/>
                      <w:sz w:val="21"/>
                      <w:szCs w:val="21"/>
                      <w:lang w:val="en-US" w:eastAsia="zh-CN" w:bidi="ar"/>
                    </w:rPr>
                    <w:t>）为集气罩集气面积，单位为</w:t>
                  </w:r>
                  <w:r>
                    <w:rPr>
                      <w:rFonts w:hint="default" w:ascii="Times New Roman" w:hAnsi="Times New Roman" w:eastAsia="宋体" w:cs="Times New Roman"/>
                      <w:color w:val="000000"/>
                      <w:kern w:val="0"/>
                      <w:sz w:val="21"/>
                      <w:szCs w:val="21"/>
                      <w:lang w:val="en-US" w:eastAsia="zh-CN" w:bidi="ar"/>
                    </w:rPr>
                    <w:t>m</w:t>
                  </w:r>
                  <w:r>
                    <w:rPr>
                      <w:rFonts w:hint="default" w:ascii="Times New Roman" w:hAnsi="Times New Roman" w:eastAsia="宋体" w:cs="Times New Roman"/>
                      <w:color w:val="000000"/>
                      <w:kern w:val="0"/>
                      <w:sz w:val="21"/>
                      <w:szCs w:val="21"/>
                      <w:vertAlign w:val="superscript"/>
                      <w:lang w:val="en-US" w:eastAsia="zh-CN" w:bidi="ar"/>
                    </w:rPr>
                    <w:t>2</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V</w:t>
                  </w:r>
                  <w:r>
                    <w:rPr>
                      <w:rFonts w:hint="default" w:ascii="Times New Roman" w:hAnsi="Times New Roman" w:eastAsia="宋体" w:cs="Times New Roman"/>
                      <w:color w:val="000000"/>
                      <w:kern w:val="0"/>
                      <w:sz w:val="21"/>
                      <w:szCs w:val="21"/>
                      <w:vertAlign w:val="subscript"/>
                      <w:lang w:val="en-US" w:eastAsia="zh-CN" w:bidi="ar"/>
                    </w:rPr>
                    <w:t>0</w:t>
                  </w:r>
                  <w:r>
                    <w:rPr>
                      <w:rFonts w:hint="eastAsia" w:ascii="宋体" w:hAnsi="宋体" w:eastAsia="宋体" w:cs="宋体"/>
                      <w:color w:val="000000"/>
                      <w:kern w:val="0"/>
                      <w:sz w:val="21"/>
                      <w:szCs w:val="21"/>
                      <w:lang w:val="en-US" w:eastAsia="zh-CN" w:bidi="ar"/>
                    </w:rPr>
                    <w:t>污染源气体流速，一般在</w:t>
                  </w:r>
                  <w:r>
                    <w:rPr>
                      <w:rFonts w:hint="default" w:ascii="Times New Roman" w:hAnsi="Times New Roman" w:eastAsia="宋体" w:cs="Times New Roman"/>
                      <w:color w:val="000000"/>
                      <w:kern w:val="0"/>
                      <w:sz w:val="21"/>
                      <w:szCs w:val="21"/>
                      <w:lang w:val="en-US" w:eastAsia="zh-CN" w:bidi="ar"/>
                    </w:rPr>
                    <w:t>0.5m/s~1.0m/s</w:t>
                  </w:r>
                  <w:r>
                    <w:rPr>
                      <w:rFonts w:hint="eastAsia" w:ascii="宋体" w:hAnsi="宋体" w:eastAsia="宋体" w:cs="宋体"/>
                      <w:color w:val="000000"/>
                      <w:kern w:val="0"/>
                      <w:sz w:val="21"/>
                      <w:szCs w:val="21"/>
                      <w:lang w:val="en-US" w:eastAsia="zh-CN" w:bidi="ar"/>
                    </w:rPr>
                    <w:t>。</w:t>
                  </w:r>
                </w:p>
              </w:tc>
            </w:tr>
          </w:tbl>
          <w:p w14:paraId="63B10E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bidi="ar-SA"/>
              </w:rPr>
              <w:t>根据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大气污染治理工程技术导则</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HJ2000-2010</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中5.3.5排气筒的出口直径应根据出口流速确定，流速宜取15m/s左右。当采用钢管烟囱且高度较高时或烟气量较大时，可适当提高出口流速至20~25m/s。本项目DA002排气筒废气量为</w:t>
            </w:r>
            <w:r>
              <w:rPr>
                <w:rFonts w:hint="eastAsia" w:ascii="Times New Roman" w:hAnsi="Times New Roman" w:cs="Times New Roman"/>
                <w:color w:val="auto"/>
                <w:sz w:val="24"/>
                <w:szCs w:val="24"/>
                <w:highlight w:val="none"/>
                <w:lang w:val="en-US" w:eastAsia="zh-CN"/>
              </w:rPr>
              <w:t>2</w:t>
            </w:r>
            <w:r>
              <w:rPr>
                <w:rFonts w:hint="eastAsia" w:cs="Times New Roman"/>
                <w:color w:val="auto"/>
                <w:sz w:val="24"/>
                <w:szCs w:val="24"/>
                <w:highlight w:val="none"/>
                <w:lang w:val="en-US" w:eastAsia="zh-CN"/>
              </w:rPr>
              <w:t>5920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/h，内径取0.</w:t>
            </w:r>
            <w:r>
              <w:rPr>
                <w:rFonts w:hint="eastAsia" w:ascii="Times New Roman" w:hAnsi="Times New Roman"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m，此时对应的烟气流速为</w:t>
            </w:r>
            <w:r>
              <w:rPr>
                <w:rFonts w:hint="eastAsia" w:ascii="Times New Roman" w:hAnsi="Times New Roman" w:cs="Times New Roman"/>
                <w:color w:val="auto"/>
                <w:sz w:val="24"/>
                <w:szCs w:val="24"/>
                <w:highlight w:val="none"/>
                <w:lang w:val="en-US" w:eastAsia="zh-CN"/>
              </w:rPr>
              <w:t>25.</w:t>
            </w:r>
            <w:r>
              <w:rPr>
                <w:rFonts w:hint="eastAsia" w:cs="Times New Roman"/>
                <w:color w:val="auto"/>
                <w:sz w:val="24"/>
                <w:szCs w:val="24"/>
                <w:highlight w:val="none"/>
                <w:lang w:val="en-US" w:eastAsia="zh-CN"/>
              </w:rPr>
              <w:t>46</w:t>
            </w:r>
            <w:r>
              <w:rPr>
                <w:rFonts w:hint="default" w:ascii="Times New Roman" w:hAnsi="Times New Roman" w:eastAsia="宋体" w:cs="Times New Roman"/>
                <w:color w:val="auto"/>
                <w:sz w:val="24"/>
                <w:szCs w:val="24"/>
                <w:highlight w:val="none"/>
                <w:lang w:val="en-US" w:eastAsia="zh-CN"/>
              </w:rPr>
              <w:t>m/s，能够符合导则</w:t>
            </w:r>
          </w:p>
          <w:p w14:paraId="7DDD33E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color w:val="auto"/>
              </w:rPr>
            </w:pPr>
            <w:r>
              <w:rPr>
                <w:rFonts w:hint="default" w:ascii="Times New Roman" w:hAnsi="Times New Roman" w:eastAsia="宋体" w:cs="Times New Roman"/>
                <w:color w:val="auto"/>
                <w:sz w:val="24"/>
                <w:szCs w:val="24"/>
                <w:highlight w:val="none"/>
                <w:lang w:val="en-US" w:eastAsia="zh-CN"/>
              </w:rPr>
              <w:t>要求。</w:t>
            </w:r>
          </w:p>
          <w:p w14:paraId="0125F10C">
            <w:pPr>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表4-</w:t>
            </w:r>
            <w:r>
              <w:rPr>
                <w:rFonts w:hint="eastAsia" w:cs="Times New Roman"/>
                <w:b/>
                <w:bCs/>
                <w:color w:val="auto"/>
                <w:lang w:val="en-US" w:eastAsia="zh-CN"/>
              </w:rPr>
              <w:t>9</w:t>
            </w:r>
            <w:r>
              <w:rPr>
                <w:rFonts w:hint="default" w:ascii="Times New Roman" w:hAnsi="Times New Roman" w:eastAsia="宋体" w:cs="Times New Roman"/>
                <w:b/>
                <w:bCs/>
                <w:color w:val="auto"/>
              </w:rPr>
              <w:t xml:space="preserve">  项目</w:t>
            </w:r>
            <w:r>
              <w:rPr>
                <w:rFonts w:hint="eastAsia" w:ascii="Times New Roman" w:hAnsi="Times New Roman" w:cs="Times New Roman"/>
                <w:b/>
                <w:bCs/>
                <w:color w:val="auto"/>
                <w:lang w:val="en-US" w:eastAsia="zh-CN"/>
              </w:rPr>
              <w:t>DA002排气筒</w:t>
            </w:r>
            <w:r>
              <w:rPr>
                <w:rFonts w:hint="default" w:ascii="Times New Roman" w:hAnsi="Times New Roman" w:eastAsia="宋体" w:cs="Times New Roman"/>
                <w:b/>
                <w:bCs/>
                <w:color w:val="auto"/>
              </w:rPr>
              <w:t>废气产排情况一览表</w:t>
            </w:r>
          </w:p>
          <w:tbl>
            <w:tblPr>
              <w:tblStyle w:val="26"/>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412"/>
              <w:gridCol w:w="667"/>
              <w:gridCol w:w="738"/>
              <w:gridCol w:w="808"/>
              <w:gridCol w:w="8"/>
              <w:gridCol w:w="1139"/>
              <w:gridCol w:w="1159"/>
              <w:gridCol w:w="824"/>
              <w:gridCol w:w="224"/>
              <w:gridCol w:w="756"/>
              <w:gridCol w:w="41"/>
              <w:gridCol w:w="1109"/>
            </w:tblGrid>
            <w:tr w14:paraId="47DD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noWrap w:val="0"/>
                  <w:vAlign w:val="center"/>
                </w:tcPr>
                <w:p w14:paraId="7B14120A">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污染源</w:t>
                  </w:r>
                </w:p>
              </w:tc>
              <w:tc>
                <w:tcPr>
                  <w:tcW w:w="412" w:type="dxa"/>
                  <w:noWrap w:val="0"/>
                  <w:vAlign w:val="center"/>
                </w:tcPr>
                <w:p w14:paraId="7980198F">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排放方式</w:t>
                  </w:r>
                </w:p>
              </w:tc>
              <w:tc>
                <w:tcPr>
                  <w:tcW w:w="667" w:type="dxa"/>
                  <w:noWrap w:val="0"/>
                  <w:vAlign w:val="center"/>
                </w:tcPr>
                <w:p w14:paraId="38BC0D4A">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污染物</w:t>
                  </w:r>
                </w:p>
              </w:tc>
              <w:tc>
                <w:tcPr>
                  <w:tcW w:w="738" w:type="dxa"/>
                  <w:noWrap w:val="0"/>
                  <w:vAlign w:val="center"/>
                </w:tcPr>
                <w:p w14:paraId="59BBEA64">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产生总量（t/a）</w:t>
                  </w:r>
                </w:p>
              </w:tc>
              <w:tc>
                <w:tcPr>
                  <w:tcW w:w="808" w:type="dxa"/>
                  <w:noWrap w:val="0"/>
                  <w:vAlign w:val="center"/>
                </w:tcPr>
                <w:p w14:paraId="2582581C">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产生速率（kg/h）</w:t>
                  </w:r>
                </w:p>
              </w:tc>
              <w:tc>
                <w:tcPr>
                  <w:tcW w:w="1147" w:type="dxa"/>
                  <w:gridSpan w:val="2"/>
                  <w:noWrap w:val="0"/>
                  <w:vAlign w:val="center"/>
                </w:tcPr>
                <w:p w14:paraId="4940782B">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产生浓度（mg/m</w:t>
                  </w:r>
                  <w:r>
                    <w:rPr>
                      <w:rFonts w:hint="default" w:ascii="Times New Roman" w:hAnsi="Times New Roman" w:eastAsia="宋体" w:cs="Times New Roman"/>
                      <w:b/>
                      <w:bCs/>
                      <w:color w:val="auto"/>
                      <w:szCs w:val="21"/>
                      <w:vertAlign w:val="superscript"/>
                    </w:rPr>
                    <w:t>3</w:t>
                  </w:r>
                  <w:r>
                    <w:rPr>
                      <w:rFonts w:hint="default" w:ascii="Times New Roman" w:hAnsi="Times New Roman" w:eastAsia="宋体" w:cs="Times New Roman"/>
                      <w:b/>
                      <w:bCs/>
                      <w:color w:val="auto"/>
                      <w:szCs w:val="21"/>
                    </w:rPr>
                    <w:t>）</w:t>
                  </w:r>
                </w:p>
              </w:tc>
              <w:tc>
                <w:tcPr>
                  <w:tcW w:w="1159" w:type="dxa"/>
                  <w:noWrap w:val="0"/>
                  <w:vAlign w:val="center"/>
                </w:tcPr>
                <w:p w14:paraId="3C171F22">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处理方式</w:t>
                  </w:r>
                </w:p>
              </w:tc>
              <w:tc>
                <w:tcPr>
                  <w:tcW w:w="824" w:type="dxa"/>
                  <w:noWrap w:val="0"/>
                  <w:vAlign w:val="center"/>
                </w:tcPr>
                <w:p w14:paraId="0894A63E">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排放量（t/a）</w:t>
                  </w:r>
                </w:p>
              </w:tc>
              <w:tc>
                <w:tcPr>
                  <w:tcW w:w="980" w:type="dxa"/>
                  <w:gridSpan w:val="2"/>
                  <w:noWrap w:val="0"/>
                  <w:vAlign w:val="center"/>
                </w:tcPr>
                <w:p w14:paraId="20DAD9CE">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排放速率（kg/h）</w:t>
                  </w:r>
                </w:p>
              </w:tc>
              <w:tc>
                <w:tcPr>
                  <w:tcW w:w="1150" w:type="dxa"/>
                  <w:gridSpan w:val="2"/>
                  <w:noWrap w:val="0"/>
                  <w:vAlign w:val="center"/>
                </w:tcPr>
                <w:p w14:paraId="1ACB3E60">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排放浓度（mg/m</w:t>
                  </w:r>
                  <w:r>
                    <w:rPr>
                      <w:rFonts w:hint="default" w:ascii="Times New Roman" w:hAnsi="Times New Roman" w:eastAsia="宋体" w:cs="Times New Roman"/>
                      <w:b/>
                      <w:bCs/>
                      <w:color w:val="auto"/>
                      <w:szCs w:val="21"/>
                      <w:vertAlign w:val="superscript"/>
                    </w:rPr>
                    <w:t>3</w:t>
                  </w:r>
                  <w:r>
                    <w:rPr>
                      <w:rFonts w:hint="default" w:ascii="Times New Roman" w:hAnsi="Times New Roman" w:eastAsia="宋体" w:cs="Times New Roman"/>
                      <w:b/>
                      <w:bCs/>
                      <w:color w:val="auto"/>
                      <w:szCs w:val="21"/>
                    </w:rPr>
                    <w:t>）</w:t>
                  </w:r>
                </w:p>
              </w:tc>
            </w:tr>
            <w:tr w14:paraId="1DC9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Merge w:val="restart"/>
                  <w:noWrap w:val="0"/>
                  <w:vAlign w:val="center"/>
                </w:tcPr>
                <w:p w14:paraId="20B3A07E">
                  <w:pPr>
                    <w:adjustRightInd w:val="0"/>
                    <w:snapToGrid w:val="0"/>
                    <w:jc w:val="center"/>
                    <w:rPr>
                      <w:rFonts w:hint="default" w:ascii="Times New Roman" w:hAnsi="Times New Roman" w:eastAsia="宋体" w:cs="Times New Roman"/>
                      <w:color w:val="auto"/>
                      <w:szCs w:val="21"/>
                      <w:lang w:val="en-US"/>
                    </w:rPr>
                  </w:pPr>
                  <w:r>
                    <w:rPr>
                      <w:rFonts w:hint="eastAsia" w:ascii="Times New Roman" w:hAnsi="Times New Roman" w:cs="Times New Roman"/>
                      <w:color w:val="auto"/>
                      <w:szCs w:val="21"/>
                      <w:lang w:val="en-US" w:eastAsia="zh-CN"/>
                    </w:rPr>
                    <w:t>挤出、覆膜工序</w:t>
                  </w:r>
                  <w:r>
                    <w:rPr>
                      <w:rFonts w:hint="eastAsia" w:cs="Times New Roman"/>
                      <w:color w:val="auto"/>
                      <w:szCs w:val="21"/>
                      <w:lang w:val="en-US" w:eastAsia="zh-CN"/>
                    </w:rPr>
                    <w:t>（DA002）</w:t>
                  </w:r>
                </w:p>
              </w:tc>
              <w:tc>
                <w:tcPr>
                  <w:tcW w:w="412" w:type="dxa"/>
                  <w:vMerge w:val="restart"/>
                  <w:noWrap w:val="0"/>
                  <w:vAlign w:val="center"/>
                </w:tcPr>
                <w:p w14:paraId="656C312A">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有组织</w:t>
                  </w:r>
                </w:p>
              </w:tc>
              <w:tc>
                <w:tcPr>
                  <w:tcW w:w="667" w:type="dxa"/>
                  <w:noWrap w:val="0"/>
                  <w:vAlign w:val="center"/>
                </w:tcPr>
                <w:p w14:paraId="1894D427">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废气量</w:t>
                  </w:r>
                </w:p>
              </w:tc>
              <w:tc>
                <w:tcPr>
                  <w:tcW w:w="2693" w:type="dxa"/>
                  <w:gridSpan w:val="4"/>
                  <w:noWrap w:val="0"/>
                  <w:vAlign w:val="center"/>
                </w:tcPr>
                <w:p w14:paraId="069F639E">
                  <w:pPr>
                    <w:keepNext w:val="0"/>
                    <w:keepLines w:val="0"/>
                    <w:widowControl/>
                    <w:suppressLineNumbers w:val="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cs="Times New Roman"/>
                      <w:i w:val="0"/>
                      <w:iCs w:val="0"/>
                      <w:color w:val="auto"/>
                      <w:kern w:val="0"/>
                      <w:sz w:val="21"/>
                      <w:szCs w:val="21"/>
                      <w:u w:val="none"/>
                      <w:lang w:val="en-US" w:eastAsia="zh-CN" w:bidi="ar"/>
                    </w:rPr>
                    <w:t>2</w:t>
                  </w:r>
                  <w:r>
                    <w:rPr>
                      <w:rFonts w:hint="eastAsia" w:cs="Times New Roman"/>
                      <w:i w:val="0"/>
                      <w:iCs w:val="0"/>
                      <w:color w:val="auto"/>
                      <w:kern w:val="0"/>
                      <w:sz w:val="21"/>
                      <w:szCs w:val="21"/>
                      <w:u w:val="none"/>
                      <w:lang w:val="en-US" w:eastAsia="zh-CN" w:bidi="ar"/>
                    </w:rPr>
                    <w:t>5920</w:t>
                  </w:r>
                  <w:r>
                    <w:rPr>
                      <w:rFonts w:hint="default" w:ascii="Times New Roman" w:hAnsi="Times New Roman" w:eastAsia="宋体" w:cs="Times New Roman"/>
                      <w:i w:val="0"/>
                      <w:iCs w:val="0"/>
                      <w:color w:val="auto"/>
                      <w:kern w:val="0"/>
                      <w:sz w:val="21"/>
                      <w:szCs w:val="21"/>
                      <w:u w:val="none"/>
                      <w:lang w:val="en-US" w:eastAsia="zh-CN" w:bidi="ar"/>
                    </w:rPr>
                    <w:t>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/h，</w:t>
                  </w:r>
                  <w:r>
                    <w:rPr>
                      <w:rFonts w:hint="eastAsia" w:ascii="Times New Roman" w:hAnsi="Times New Roman" w:cs="Times New Roman"/>
                      <w:i w:val="0"/>
                      <w:iCs w:val="0"/>
                      <w:color w:val="auto"/>
                      <w:kern w:val="0"/>
                      <w:sz w:val="21"/>
                      <w:szCs w:val="21"/>
                      <w:u w:val="none"/>
                      <w:lang w:val="en-US" w:eastAsia="zh-CN" w:bidi="ar"/>
                    </w:rPr>
                    <w:t>9</w:t>
                  </w:r>
                  <w:r>
                    <w:rPr>
                      <w:rFonts w:hint="eastAsia" w:cs="Times New Roman"/>
                      <w:i w:val="0"/>
                      <w:iCs w:val="0"/>
                      <w:color w:val="auto"/>
                      <w:kern w:val="0"/>
                      <w:sz w:val="21"/>
                      <w:szCs w:val="21"/>
                      <w:u w:val="none"/>
                      <w:lang w:val="en-US" w:eastAsia="zh-CN" w:bidi="ar"/>
                    </w:rPr>
                    <w:t>331.2</w:t>
                  </w:r>
                  <w:r>
                    <w:rPr>
                      <w:rFonts w:hint="default" w:ascii="Times New Roman" w:hAnsi="Times New Roman" w:eastAsia="宋体" w:cs="Times New Roman"/>
                      <w:i w:val="0"/>
                      <w:iCs w:val="0"/>
                      <w:color w:val="auto"/>
                      <w:kern w:val="0"/>
                      <w:sz w:val="21"/>
                      <w:szCs w:val="21"/>
                      <w:u w:val="none"/>
                      <w:lang w:val="en-US" w:eastAsia="zh-CN" w:bidi="ar"/>
                    </w:rPr>
                    <w:t>万m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/a</w:t>
                  </w:r>
                </w:p>
              </w:tc>
              <w:tc>
                <w:tcPr>
                  <w:tcW w:w="1159" w:type="dxa"/>
                  <w:vMerge w:val="restart"/>
                  <w:noWrap w:val="0"/>
                  <w:vAlign w:val="center"/>
                </w:tcPr>
                <w:p w14:paraId="3566EE8F">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集气罩收集（</w:t>
                  </w:r>
                  <w:r>
                    <w:rPr>
                      <w:rFonts w:hint="eastAsia" w:ascii="Times New Roman" w:hAnsi="Times New Roman" w:cs="Times New Roman"/>
                      <w:i w:val="0"/>
                      <w:iCs w:val="0"/>
                      <w:color w:val="auto"/>
                      <w:kern w:val="0"/>
                      <w:sz w:val="21"/>
                      <w:szCs w:val="21"/>
                      <w:u w:val="none"/>
                      <w:lang w:val="en-US" w:eastAsia="zh-CN" w:bidi="ar"/>
                    </w:rPr>
                    <w:t>80</w:t>
                  </w:r>
                  <w:r>
                    <w:rPr>
                      <w:rFonts w:hint="default" w:ascii="Times New Roman" w:hAnsi="Times New Roman" w:eastAsia="宋体" w:cs="Times New Roman"/>
                      <w:i w:val="0"/>
                      <w:iCs w:val="0"/>
                      <w:color w:val="auto"/>
                      <w:kern w:val="0"/>
                      <w:sz w:val="21"/>
                      <w:szCs w:val="21"/>
                      <w:u w:val="none"/>
                      <w:lang w:val="en-US" w:eastAsia="zh-CN" w:bidi="ar"/>
                    </w:rPr>
                    <w:t>%）+三级活性炭（</w:t>
                  </w:r>
                  <w:r>
                    <w:rPr>
                      <w:rFonts w:hint="eastAsia" w:ascii="Times New Roman" w:hAnsi="Times New Roman" w:cs="Times New Roman"/>
                      <w:i w:val="0"/>
                      <w:iCs w:val="0"/>
                      <w:color w:val="auto"/>
                      <w:kern w:val="0"/>
                      <w:sz w:val="21"/>
                      <w:szCs w:val="21"/>
                      <w:u w:val="none"/>
                      <w:lang w:val="en-US" w:eastAsia="zh-CN" w:bidi="ar"/>
                    </w:rPr>
                    <w:t>7</w:t>
                  </w: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w:t>
                  </w:r>
                  <w:r>
                    <w:rPr>
                      <w:rFonts w:hint="eastAsia" w:eastAsia="宋体"/>
                      <w:color w:val="auto"/>
                      <w:kern w:val="0"/>
                      <w:szCs w:val="21"/>
                      <w:lang w:bidi="ar"/>
                    </w:rPr>
                    <w:t>对氯化氢无处理效率</w:t>
                  </w:r>
                  <w:r>
                    <w:rPr>
                      <w:rFonts w:hint="eastAsia" w:eastAsia="宋体"/>
                      <w:color w:val="auto"/>
                      <w:kern w:val="0"/>
                      <w:szCs w:val="21"/>
                      <w:lang w:eastAsia="zh-CN" w:bidi="ar"/>
                    </w:rPr>
                    <w:t>。</w:t>
                  </w:r>
                </w:p>
              </w:tc>
              <w:tc>
                <w:tcPr>
                  <w:tcW w:w="2954" w:type="dxa"/>
                  <w:gridSpan w:val="5"/>
                  <w:noWrap w:val="0"/>
                  <w:vAlign w:val="center"/>
                </w:tcPr>
                <w:p w14:paraId="284F24FB">
                  <w:pPr>
                    <w:keepNext w:val="0"/>
                    <w:keepLines w:val="0"/>
                    <w:widowControl/>
                    <w:suppressLineNumbers w:val="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cs="Times New Roman"/>
                      <w:i w:val="0"/>
                      <w:iCs w:val="0"/>
                      <w:color w:val="auto"/>
                      <w:kern w:val="0"/>
                      <w:sz w:val="21"/>
                      <w:szCs w:val="21"/>
                      <w:u w:val="none"/>
                      <w:lang w:val="en-US" w:eastAsia="zh-CN" w:bidi="ar"/>
                    </w:rPr>
                    <w:t>2</w:t>
                  </w:r>
                  <w:r>
                    <w:rPr>
                      <w:rFonts w:hint="eastAsia" w:cs="Times New Roman"/>
                      <w:i w:val="0"/>
                      <w:iCs w:val="0"/>
                      <w:color w:val="auto"/>
                      <w:kern w:val="0"/>
                      <w:sz w:val="21"/>
                      <w:szCs w:val="21"/>
                      <w:u w:val="none"/>
                      <w:lang w:val="en-US" w:eastAsia="zh-CN" w:bidi="ar"/>
                    </w:rPr>
                    <w:t>5920</w:t>
                  </w:r>
                  <w:r>
                    <w:rPr>
                      <w:rFonts w:hint="default" w:ascii="Times New Roman" w:hAnsi="Times New Roman" w:eastAsia="宋体" w:cs="Times New Roman"/>
                      <w:i w:val="0"/>
                      <w:iCs w:val="0"/>
                      <w:color w:val="auto"/>
                      <w:kern w:val="0"/>
                      <w:sz w:val="21"/>
                      <w:szCs w:val="21"/>
                      <w:u w:val="none"/>
                      <w:lang w:val="en-US" w:eastAsia="zh-CN" w:bidi="ar"/>
                    </w:rPr>
                    <w:t>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/h，</w:t>
                  </w:r>
                  <w:r>
                    <w:rPr>
                      <w:rFonts w:hint="eastAsia" w:ascii="Times New Roman" w:hAnsi="Times New Roman" w:cs="Times New Roman"/>
                      <w:i w:val="0"/>
                      <w:iCs w:val="0"/>
                      <w:color w:val="auto"/>
                      <w:kern w:val="0"/>
                      <w:sz w:val="21"/>
                      <w:szCs w:val="21"/>
                      <w:u w:val="none"/>
                      <w:lang w:val="en-US" w:eastAsia="zh-CN" w:bidi="ar"/>
                    </w:rPr>
                    <w:t>9</w:t>
                  </w:r>
                  <w:r>
                    <w:rPr>
                      <w:rFonts w:hint="eastAsia" w:cs="Times New Roman"/>
                      <w:i w:val="0"/>
                      <w:iCs w:val="0"/>
                      <w:color w:val="auto"/>
                      <w:kern w:val="0"/>
                      <w:sz w:val="21"/>
                      <w:szCs w:val="21"/>
                      <w:u w:val="none"/>
                      <w:lang w:val="en-US" w:eastAsia="zh-CN" w:bidi="ar"/>
                    </w:rPr>
                    <w:t>331.2</w:t>
                  </w:r>
                  <w:r>
                    <w:rPr>
                      <w:rFonts w:hint="default" w:ascii="Times New Roman" w:hAnsi="Times New Roman" w:eastAsia="宋体" w:cs="Times New Roman"/>
                      <w:i w:val="0"/>
                      <w:iCs w:val="0"/>
                      <w:color w:val="auto"/>
                      <w:kern w:val="0"/>
                      <w:sz w:val="21"/>
                      <w:szCs w:val="21"/>
                      <w:u w:val="none"/>
                      <w:lang w:val="en-US" w:eastAsia="zh-CN" w:bidi="ar"/>
                    </w:rPr>
                    <w:t>万m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/a</w:t>
                  </w:r>
                </w:p>
              </w:tc>
            </w:tr>
            <w:tr w14:paraId="1A45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Merge w:val="continue"/>
                  <w:noWrap w:val="0"/>
                  <w:vAlign w:val="center"/>
                </w:tcPr>
                <w:p w14:paraId="596583E5">
                  <w:pPr>
                    <w:adjustRightInd w:val="0"/>
                    <w:snapToGrid w:val="0"/>
                    <w:jc w:val="center"/>
                    <w:rPr>
                      <w:rFonts w:hint="default" w:ascii="Times New Roman" w:hAnsi="Times New Roman" w:eastAsia="宋体" w:cs="Times New Roman"/>
                      <w:color w:val="auto"/>
                      <w:szCs w:val="21"/>
                    </w:rPr>
                  </w:pPr>
                </w:p>
              </w:tc>
              <w:tc>
                <w:tcPr>
                  <w:tcW w:w="412" w:type="dxa"/>
                  <w:vMerge w:val="continue"/>
                  <w:noWrap w:val="0"/>
                  <w:vAlign w:val="center"/>
                </w:tcPr>
                <w:p w14:paraId="12A4F2AB">
                  <w:pPr>
                    <w:jc w:val="center"/>
                    <w:rPr>
                      <w:rFonts w:hint="default" w:ascii="Times New Roman" w:hAnsi="Times New Roman" w:eastAsia="宋体" w:cs="Times New Roman"/>
                      <w:color w:val="auto"/>
                      <w:szCs w:val="21"/>
                    </w:rPr>
                  </w:pPr>
                </w:p>
              </w:tc>
              <w:tc>
                <w:tcPr>
                  <w:tcW w:w="667" w:type="dxa"/>
                  <w:noWrap w:val="0"/>
                  <w:vAlign w:val="center"/>
                </w:tcPr>
                <w:p w14:paraId="1A58A6A3">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非甲烷总烃</w:t>
                  </w:r>
                </w:p>
              </w:tc>
              <w:tc>
                <w:tcPr>
                  <w:tcW w:w="738" w:type="dxa"/>
                  <w:noWrap w:val="0"/>
                  <w:vAlign w:val="center"/>
                </w:tcPr>
                <w:p w14:paraId="0029DC00">
                  <w:pPr>
                    <w:keepNext w:val="0"/>
                    <w:keepLines w:val="0"/>
                    <w:widowControl/>
                    <w:suppressLineNumbers w:val="0"/>
                    <w:jc w:val="center"/>
                    <w:textAlignment w:val="center"/>
                    <w:rPr>
                      <w:rFonts w:hint="default" w:ascii="Times New Roman" w:hAnsi="Times New Roman" w:eastAsia="宋体" w:cs="Times New Roman"/>
                      <w:color w:val="auto"/>
                      <w:szCs w:val="21"/>
                      <w:lang w:val="en-US"/>
                    </w:rPr>
                  </w:pPr>
                  <w:r>
                    <w:rPr>
                      <w:rFonts w:hint="eastAsia" w:ascii="Times New Roman" w:hAnsi="Times New Roman" w:cs="Times New Roman"/>
                      <w:i w:val="0"/>
                      <w:iCs w:val="0"/>
                      <w:color w:val="auto"/>
                      <w:kern w:val="0"/>
                      <w:sz w:val="21"/>
                      <w:szCs w:val="21"/>
                      <w:u w:val="none"/>
                      <w:lang w:val="en-US" w:eastAsia="zh-CN" w:bidi="ar"/>
                    </w:rPr>
                    <w:t>2.5354</w:t>
                  </w:r>
                </w:p>
              </w:tc>
              <w:tc>
                <w:tcPr>
                  <w:tcW w:w="816" w:type="dxa"/>
                  <w:gridSpan w:val="2"/>
                  <w:noWrap w:val="0"/>
                  <w:vAlign w:val="center"/>
                </w:tcPr>
                <w:p w14:paraId="189D04B7">
                  <w:pPr>
                    <w:keepNext w:val="0"/>
                    <w:keepLines w:val="0"/>
                    <w:widowControl/>
                    <w:suppressLineNumbers w:val="0"/>
                    <w:jc w:val="center"/>
                    <w:textAlignment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7043</w:t>
                  </w:r>
                </w:p>
              </w:tc>
              <w:tc>
                <w:tcPr>
                  <w:tcW w:w="1139" w:type="dxa"/>
                  <w:noWrap w:val="0"/>
                  <w:vAlign w:val="center"/>
                </w:tcPr>
                <w:p w14:paraId="7971D924">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w:t>
                  </w:r>
                  <w:r>
                    <w:rPr>
                      <w:rFonts w:hint="eastAsia" w:cs="Times New Roman"/>
                      <w:color w:val="auto"/>
                      <w:szCs w:val="21"/>
                      <w:lang w:val="en-US" w:eastAsia="zh-CN"/>
                    </w:rPr>
                    <w:t>7.17</w:t>
                  </w:r>
                </w:p>
              </w:tc>
              <w:tc>
                <w:tcPr>
                  <w:tcW w:w="1159" w:type="dxa"/>
                  <w:vMerge w:val="continue"/>
                  <w:noWrap w:val="0"/>
                  <w:vAlign w:val="center"/>
                </w:tcPr>
                <w:p w14:paraId="7ADE9F53">
                  <w:pPr>
                    <w:jc w:val="center"/>
                    <w:rPr>
                      <w:rFonts w:hint="default" w:ascii="Times New Roman" w:hAnsi="Times New Roman" w:eastAsia="宋体" w:cs="Times New Roman"/>
                      <w:color w:val="auto"/>
                      <w:szCs w:val="21"/>
                    </w:rPr>
                  </w:pPr>
                </w:p>
              </w:tc>
              <w:tc>
                <w:tcPr>
                  <w:tcW w:w="1048" w:type="dxa"/>
                  <w:gridSpan w:val="2"/>
                  <w:noWrap w:val="0"/>
                  <w:vAlign w:val="center"/>
                </w:tcPr>
                <w:p w14:paraId="2A42BD11">
                  <w:pPr>
                    <w:keepNext w:val="0"/>
                    <w:keepLines w:val="0"/>
                    <w:widowControl/>
                    <w:suppressLineNumbers w:val="0"/>
                    <w:jc w:val="center"/>
                    <w:textAlignment w:val="center"/>
                    <w:rPr>
                      <w:rFonts w:hint="default" w:ascii="Times New Roman" w:hAnsi="Times New Roman" w:eastAsia="宋体" w:cs="Times New Roman"/>
                      <w:color w:val="auto"/>
                      <w:szCs w:val="21"/>
                      <w:lang w:val="en-US"/>
                    </w:rPr>
                  </w:pPr>
                  <w:r>
                    <w:rPr>
                      <w:rFonts w:hint="eastAsia" w:ascii="Times New Roman" w:hAnsi="Times New Roman" w:cs="Times New Roman"/>
                      <w:i w:val="0"/>
                      <w:iCs w:val="0"/>
                      <w:color w:val="auto"/>
                      <w:kern w:val="0"/>
                      <w:sz w:val="21"/>
                      <w:szCs w:val="21"/>
                      <w:u w:val="none"/>
                      <w:lang w:val="en-US" w:eastAsia="zh-CN" w:bidi="ar"/>
                    </w:rPr>
                    <w:t>0.7606</w:t>
                  </w:r>
                </w:p>
              </w:tc>
              <w:tc>
                <w:tcPr>
                  <w:tcW w:w="797" w:type="dxa"/>
                  <w:gridSpan w:val="2"/>
                  <w:noWrap w:val="0"/>
                  <w:vAlign w:val="center"/>
                </w:tcPr>
                <w:p w14:paraId="0F1D1D6C">
                  <w:pPr>
                    <w:keepNext w:val="0"/>
                    <w:keepLines w:val="0"/>
                    <w:widowControl/>
                    <w:suppressLineNumbers w:val="0"/>
                    <w:jc w:val="center"/>
                    <w:textAlignment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2113</w:t>
                  </w:r>
                </w:p>
              </w:tc>
              <w:tc>
                <w:tcPr>
                  <w:tcW w:w="1109" w:type="dxa"/>
                  <w:noWrap w:val="0"/>
                  <w:vAlign w:val="center"/>
                </w:tcPr>
                <w:p w14:paraId="4221BA69">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8.</w:t>
                  </w:r>
                  <w:r>
                    <w:rPr>
                      <w:rFonts w:hint="eastAsia" w:cs="Times New Roman"/>
                      <w:color w:val="auto"/>
                      <w:szCs w:val="21"/>
                      <w:lang w:val="en-US" w:eastAsia="zh-CN"/>
                    </w:rPr>
                    <w:t>1</w:t>
                  </w:r>
                  <w:r>
                    <w:rPr>
                      <w:rFonts w:hint="eastAsia" w:ascii="Times New Roman" w:hAnsi="Times New Roman" w:cs="Times New Roman"/>
                      <w:color w:val="auto"/>
                      <w:szCs w:val="21"/>
                      <w:lang w:val="en-US" w:eastAsia="zh-CN"/>
                    </w:rPr>
                    <w:t>5</w:t>
                  </w:r>
                </w:p>
              </w:tc>
            </w:tr>
            <w:tr w14:paraId="4C8E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Merge w:val="continue"/>
                  <w:noWrap w:val="0"/>
                  <w:vAlign w:val="center"/>
                </w:tcPr>
                <w:p w14:paraId="0F7EDC31">
                  <w:pPr>
                    <w:adjustRightInd w:val="0"/>
                    <w:snapToGrid w:val="0"/>
                    <w:jc w:val="center"/>
                    <w:rPr>
                      <w:rFonts w:hint="default" w:ascii="Times New Roman" w:hAnsi="Times New Roman" w:eastAsia="宋体" w:cs="Times New Roman"/>
                      <w:color w:val="auto"/>
                      <w:szCs w:val="21"/>
                    </w:rPr>
                  </w:pPr>
                </w:p>
              </w:tc>
              <w:tc>
                <w:tcPr>
                  <w:tcW w:w="412" w:type="dxa"/>
                  <w:vMerge w:val="continue"/>
                  <w:noWrap w:val="0"/>
                  <w:vAlign w:val="center"/>
                </w:tcPr>
                <w:p w14:paraId="33D454FF">
                  <w:pPr>
                    <w:jc w:val="center"/>
                    <w:rPr>
                      <w:rFonts w:hint="default" w:ascii="Times New Roman" w:hAnsi="Times New Roman" w:eastAsia="宋体" w:cs="Times New Roman"/>
                      <w:color w:val="auto"/>
                      <w:szCs w:val="21"/>
                    </w:rPr>
                  </w:pPr>
                </w:p>
              </w:tc>
              <w:tc>
                <w:tcPr>
                  <w:tcW w:w="667" w:type="dxa"/>
                  <w:noWrap w:val="0"/>
                  <w:vAlign w:val="center"/>
                </w:tcPr>
                <w:p w14:paraId="2FE5EC0A">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eastAsia" w:ascii="Times New Roman" w:hAnsi="Times New Roman" w:cs="Times New Roman"/>
                      <w:i w:val="0"/>
                      <w:iCs w:val="0"/>
                      <w:color w:val="auto"/>
                      <w:kern w:val="0"/>
                      <w:sz w:val="21"/>
                      <w:szCs w:val="21"/>
                      <w:u w:val="none"/>
                      <w:lang w:val="en-US" w:eastAsia="zh-CN" w:bidi="ar"/>
                    </w:rPr>
                    <w:t>氯化氢</w:t>
                  </w:r>
                </w:p>
              </w:tc>
              <w:tc>
                <w:tcPr>
                  <w:tcW w:w="738" w:type="dxa"/>
                  <w:noWrap w:val="0"/>
                  <w:vAlign w:val="center"/>
                </w:tcPr>
                <w:p w14:paraId="190D8B14">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0.0250</w:t>
                  </w:r>
                </w:p>
              </w:tc>
              <w:tc>
                <w:tcPr>
                  <w:tcW w:w="816" w:type="dxa"/>
                  <w:gridSpan w:val="2"/>
                  <w:noWrap w:val="0"/>
                  <w:vAlign w:val="center"/>
                </w:tcPr>
                <w:p w14:paraId="03425073">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070</w:t>
                  </w:r>
                </w:p>
              </w:tc>
              <w:tc>
                <w:tcPr>
                  <w:tcW w:w="1139" w:type="dxa"/>
                  <w:noWrap w:val="0"/>
                  <w:vAlign w:val="center"/>
                </w:tcPr>
                <w:p w14:paraId="4108D862">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eastAsia" w:ascii="Times New Roman" w:hAnsi="Times New Roman" w:cs="Times New Roman"/>
                      <w:i w:val="0"/>
                      <w:iCs w:val="0"/>
                      <w:color w:val="auto"/>
                      <w:kern w:val="0"/>
                      <w:sz w:val="21"/>
                      <w:szCs w:val="21"/>
                      <w:u w:val="none"/>
                      <w:lang w:val="en-US" w:eastAsia="zh-CN" w:bidi="ar"/>
                    </w:rPr>
                    <w:t>0.27</w:t>
                  </w:r>
                </w:p>
              </w:tc>
              <w:tc>
                <w:tcPr>
                  <w:tcW w:w="1159" w:type="dxa"/>
                  <w:vMerge w:val="continue"/>
                  <w:noWrap w:val="0"/>
                  <w:vAlign w:val="center"/>
                </w:tcPr>
                <w:p w14:paraId="7FA743CA">
                  <w:pPr>
                    <w:jc w:val="center"/>
                    <w:rPr>
                      <w:rFonts w:hint="default" w:ascii="Times New Roman" w:hAnsi="Times New Roman" w:eastAsia="宋体" w:cs="Times New Roman"/>
                      <w:color w:val="auto"/>
                      <w:szCs w:val="21"/>
                    </w:rPr>
                  </w:pPr>
                </w:p>
              </w:tc>
              <w:tc>
                <w:tcPr>
                  <w:tcW w:w="1048" w:type="dxa"/>
                  <w:gridSpan w:val="2"/>
                  <w:noWrap w:val="0"/>
                  <w:vAlign w:val="center"/>
                </w:tcPr>
                <w:p w14:paraId="4CBE3078">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eastAsia" w:ascii="Times New Roman" w:hAnsi="Times New Roman" w:cs="Times New Roman"/>
                      <w:color w:val="auto"/>
                      <w:szCs w:val="21"/>
                      <w:lang w:val="en-US" w:eastAsia="zh-CN"/>
                    </w:rPr>
                    <w:t>0.0250</w:t>
                  </w:r>
                </w:p>
              </w:tc>
              <w:tc>
                <w:tcPr>
                  <w:tcW w:w="797" w:type="dxa"/>
                  <w:gridSpan w:val="2"/>
                  <w:noWrap w:val="0"/>
                  <w:vAlign w:val="center"/>
                </w:tcPr>
                <w:p w14:paraId="7EE77F08">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070</w:t>
                  </w:r>
                </w:p>
              </w:tc>
              <w:tc>
                <w:tcPr>
                  <w:tcW w:w="1109" w:type="dxa"/>
                  <w:noWrap w:val="0"/>
                  <w:vAlign w:val="center"/>
                </w:tcPr>
                <w:p w14:paraId="3209CF1B">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eastAsia" w:ascii="Times New Roman" w:hAnsi="Times New Roman" w:cs="Times New Roman"/>
                      <w:i w:val="0"/>
                      <w:iCs w:val="0"/>
                      <w:color w:val="auto"/>
                      <w:kern w:val="0"/>
                      <w:sz w:val="21"/>
                      <w:szCs w:val="21"/>
                      <w:u w:val="none"/>
                      <w:lang w:val="en-US" w:eastAsia="zh-CN" w:bidi="ar"/>
                    </w:rPr>
                    <w:t>0.27</w:t>
                  </w:r>
                </w:p>
              </w:tc>
            </w:tr>
            <w:tr w14:paraId="2A88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Merge w:val="continue"/>
                  <w:noWrap w:val="0"/>
                  <w:vAlign w:val="center"/>
                </w:tcPr>
                <w:p w14:paraId="3975B273">
                  <w:pPr>
                    <w:adjustRightInd w:val="0"/>
                    <w:snapToGrid w:val="0"/>
                    <w:jc w:val="center"/>
                    <w:rPr>
                      <w:rFonts w:hint="default" w:ascii="Times New Roman" w:hAnsi="Times New Roman" w:eastAsia="宋体" w:cs="Times New Roman"/>
                      <w:color w:val="auto"/>
                      <w:szCs w:val="21"/>
                    </w:rPr>
                  </w:pPr>
                </w:p>
              </w:tc>
              <w:tc>
                <w:tcPr>
                  <w:tcW w:w="412" w:type="dxa"/>
                  <w:vMerge w:val="continue"/>
                  <w:noWrap w:val="0"/>
                  <w:vAlign w:val="center"/>
                </w:tcPr>
                <w:p w14:paraId="1F9A27D0">
                  <w:pPr>
                    <w:jc w:val="center"/>
                    <w:rPr>
                      <w:rFonts w:hint="default" w:ascii="Times New Roman" w:hAnsi="Times New Roman" w:eastAsia="宋体" w:cs="Times New Roman"/>
                      <w:color w:val="auto"/>
                      <w:szCs w:val="21"/>
                    </w:rPr>
                  </w:pPr>
                </w:p>
              </w:tc>
              <w:tc>
                <w:tcPr>
                  <w:tcW w:w="667" w:type="dxa"/>
                  <w:noWrap w:val="0"/>
                  <w:vAlign w:val="center"/>
                </w:tcPr>
                <w:p w14:paraId="032F3A87">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eastAsia" w:ascii="Times New Roman" w:hAnsi="Times New Roman" w:cs="Times New Roman"/>
                      <w:i w:val="0"/>
                      <w:iCs w:val="0"/>
                      <w:color w:val="auto"/>
                      <w:kern w:val="0"/>
                      <w:sz w:val="21"/>
                      <w:szCs w:val="21"/>
                      <w:u w:val="none"/>
                      <w:lang w:val="en-US" w:eastAsia="zh-CN" w:bidi="ar"/>
                    </w:rPr>
                    <w:t>氯乙烯</w:t>
                  </w:r>
                </w:p>
              </w:tc>
              <w:tc>
                <w:tcPr>
                  <w:tcW w:w="738" w:type="dxa"/>
                  <w:noWrap w:val="0"/>
                  <w:vAlign w:val="center"/>
                </w:tcPr>
                <w:p w14:paraId="52B510ED">
                  <w:pPr>
                    <w:keepNext w:val="0"/>
                    <w:keepLines w:val="0"/>
                    <w:widowControl/>
                    <w:suppressLineNumbers w:val="0"/>
                    <w:jc w:val="center"/>
                    <w:textAlignment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0306</w:t>
                  </w:r>
                </w:p>
              </w:tc>
              <w:tc>
                <w:tcPr>
                  <w:tcW w:w="816" w:type="dxa"/>
                  <w:gridSpan w:val="2"/>
                  <w:noWrap w:val="0"/>
                  <w:vAlign w:val="center"/>
                </w:tcPr>
                <w:p w14:paraId="0160290D">
                  <w:pPr>
                    <w:keepNext w:val="0"/>
                    <w:keepLines w:val="0"/>
                    <w:widowControl/>
                    <w:suppressLineNumbers w:val="0"/>
                    <w:jc w:val="center"/>
                    <w:textAlignment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0085</w:t>
                  </w:r>
                </w:p>
              </w:tc>
              <w:tc>
                <w:tcPr>
                  <w:tcW w:w="1139" w:type="dxa"/>
                  <w:noWrap w:val="0"/>
                  <w:vAlign w:val="center"/>
                </w:tcPr>
                <w:p w14:paraId="31AE75C0">
                  <w:pPr>
                    <w:keepNext w:val="0"/>
                    <w:keepLines w:val="0"/>
                    <w:widowControl/>
                    <w:suppressLineNumbers w:val="0"/>
                    <w:jc w:val="center"/>
                    <w:textAlignment w:val="center"/>
                    <w:rPr>
                      <w:rFonts w:hint="default" w:ascii="Times New Roman" w:hAnsi="Times New Roman" w:eastAsia="宋体" w:cs="Times New Roman"/>
                      <w:color w:val="auto"/>
                      <w:szCs w:val="21"/>
                      <w:lang w:val="en-US"/>
                    </w:rPr>
                  </w:pPr>
                  <w:r>
                    <w:rPr>
                      <w:rFonts w:hint="eastAsia" w:ascii="Times New Roman" w:hAnsi="Times New Roman" w:cs="Times New Roman"/>
                      <w:i w:val="0"/>
                      <w:iCs w:val="0"/>
                      <w:color w:val="auto"/>
                      <w:kern w:val="0"/>
                      <w:sz w:val="21"/>
                      <w:szCs w:val="21"/>
                      <w:u w:val="none"/>
                      <w:lang w:val="en-US" w:eastAsia="zh-CN" w:bidi="ar"/>
                    </w:rPr>
                    <w:t>0.3</w:t>
                  </w:r>
                  <w:r>
                    <w:rPr>
                      <w:rFonts w:hint="eastAsia" w:cs="Times New Roman"/>
                      <w:i w:val="0"/>
                      <w:iCs w:val="0"/>
                      <w:color w:val="auto"/>
                      <w:kern w:val="0"/>
                      <w:sz w:val="21"/>
                      <w:szCs w:val="21"/>
                      <w:u w:val="none"/>
                      <w:lang w:val="en-US" w:eastAsia="zh-CN" w:bidi="ar"/>
                    </w:rPr>
                    <w:t>3</w:t>
                  </w:r>
                </w:p>
              </w:tc>
              <w:tc>
                <w:tcPr>
                  <w:tcW w:w="1159" w:type="dxa"/>
                  <w:vMerge w:val="continue"/>
                  <w:noWrap w:val="0"/>
                  <w:vAlign w:val="center"/>
                </w:tcPr>
                <w:p w14:paraId="5A297435">
                  <w:pPr>
                    <w:jc w:val="center"/>
                    <w:rPr>
                      <w:rFonts w:hint="default" w:ascii="Times New Roman" w:hAnsi="Times New Roman" w:eastAsia="宋体" w:cs="Times New Roman"/>
                      <w:color w:val="auto"/>
                      <w:szCs w:val="21"/>
                    </w:rPr>
                  </w:pPr>
                </w:p>
              </w:tc>
              <w:tc>
                <w:tcPr>
                  <w:tcW w:w="1048" w:type="dxa"/>
                  <w:gridSpan w:val="2"/>
                  <w:noWrap w:val="0"/>
                  <w:vAlign w:val="center"/>
                </w:tcPr>
                <w:p w14:paraId="0CB7CAA6">
                  <w:pPr>
                    <w:keepNext w:val="0"/>
                    <w:keepLines w:val="0"/>
                    <w:widowControl/>
                    <w:suppressLineNumbers w:val="0"/>
                    <w:jc w:val="center"/>
                    <w:textAlignment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0092</w:t>
                  </w:r>
                </w:p>
              </w:tc>
              <w:tc>
                <w:tcPr>
                  <w:tcW w:w="797" w:type="dxa"/>
                  <w:gridSpan w:val="2"/>
                  <w:noWrap w:val="0"/>
                  <w:vAlign w:val="center"/>
                </w:tcPr>
                <w:p w14:paraId="1E3E139D">
                  <w:pPr>
                    <w:keepNext w:val="0"/>
                    <w:keepLines w:val="0"/>
                    <w:widowControl/>
                    <w:suppressLineNumbers w:val="0"/>
                    <w:jc w:val="center"/>
                    <w:textAlignment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0026</w:t>
                  </w:r>
                </w:p>
              </w:tc>
              <w:tc>
                <w:tcPr>
                  <w:tcW w:w="1109" w:type="dxa"/>
                  <w:noWrap w:val="0"/>
                  <w:vAlign w:val="center"/>
                </w:tcPr>
                <w:p w14:paraId="4545E213">
                  <w:pPr>
                    <w:keepNext w:val="0"/>
                    <w:keepLines w:val="0"/>
                    <w:widowControl/>
                    <w:suppressLineNumbers w:val="0"/>
                    <w:jc w:val="center"/>
                    <w:textAlignment w:val="center"/>
                    <w:rPr>
                      <w:rFonts w:hint="default" w:ascii="Times New Roman" w:hAnsi="Times New Roman" w:eastAsia="宋体" w:cs="Times New Roman"/>
                      <w:color w:val="auto"/>
                      <w:szCs w:val="21"/>
                      <w:lang w:val="en-US"/>
                    </w:rPr>
                  </w:pPr>
                  <w:r>
                    <w:rPr>
                      <w:rFonts w:hint="eastAsia" w:ascii="Times New Roman" w:hAnsi="Times New Roman" w:cs="Times New Roman"/>
                      <w:i w:val="0"/>
                      <w:iCs w:val="0"/>
                      <w:color w:val="auto"/>
                      <w:kern w:val="0"/>
                      <w:sz w:val="21"/>
                      <w:szCs w:val="21"/>
                      <w:u w:val="none"/>
                      <w:lang w:val="en-US" w:eastAsia="zh-CN" w:bidi="ar"/>
                    </w:rPr>
                    <w:t>0.10</w:t>
                  </w:r>
                </w:p>
              </w:tc>
            </w:tr>
            <w:tr w14:paraId="512E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Merge w:val="continue"/>
                  <w:noWrap w:val="0"/>
                  <w:vAlign w:val="center"/>
                </w:tcPr>
                <w:p w14:paraId="0334F32E">
                  <w:pPr>
                    <w:adjustRightInd w:val="0"/>
                    <w:snapToGrid w:val="0"/>
                    <w:jc w:val="center"/>
                    <w:rPr>
                      <w:rFonts w:hint="default" w:ascii="Times New Roman" w:hAnsi="Times New Roman" w:eastAsia="宋体" w:cs="Times New Roman"/>
                      <w:color w:val="auto"/>
                      <w:szCs w:val="21"/>
                    </w:rPr>
                  </w:pPr>
                </w:p>
              </w:tc>
              <w:tc>
                <w:tcPr>
                  <w:tcW w:w="412" w:type="dxa"/>
                  <w:vMerge w:val="continue"/>
                  <w:noWrap w:val="0"/>
                  <w:vAlign w:val="center"/>
                </w:tcPr>
                <w:p w14:paraId="6CF869B4">
                  <w:pPr>
                    <w:jc w:val="center"/>
                    <w:rPr>
                      <w:rFonts w:hint="default" w:ascii="Times New Roman" w:hAnsi="Times New Roman" w:eastAsia="宋体" w:cs="Times New Roman"/>
                      <w:color w:val="auto"/>
                      <w:szCs w:val="21"/>
                    </w:rPr>
                  </w:pPr>
                </w:p>
              </w:tc>
              <w:tc>
                <w:tcPr>
                  <w:tcW w:w="667" w:type="dxa"/>
                  <w:noWrap w:val="0"/>
                  <w:vAlign w:val="center"/>
                </w:tcPr>
                <w:p w14:paraId="4ED32FF1">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eastAsia" w:ascii="Times New Roman" w:hAnsi="Times New Roman" w:cs="Times New Roman"/>
                      <w:i w:val="0"/>
                      <w:iCs w:val="0"/>
                      <w:color w:val="auto"/>
                      <w:kern w:val="0"/>
                      <w:sz w:val="21"/>
                      <w:szCs w:val="21"/>
                      <w:u w:val="none"/>
                      <w:lang w:val="en-US" w:eastAsia="zh-CN" w:bidi="ar"/>
                    </w:rPr>
                    <w:t>臭气浓度</w:t>
                  </w:r>
                </w:p>
              </w:tc>
              <w:tc>
                <w:tcPr>
                  <w:tcW w:w="738" w:type="dxa"/>
                  <w:noWrap w:val="0"/>
                  <w:vAlign w:val="center"/>
                </w:tcPr>
                <w:p w14:paraId="6B332EA1">
                  <w:pPr>
                    <w:keepNext w:val="0"/>
                    <w:keepLines w:val="0"/>
                    <w:widowControl/>
                    <w:suppressLineNumbers w:val="0"/>
                    <w:jc w:val="center"/>
                    <w:textAlignment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c>
                <w:tcPr>
                  <w:tcW w:w="816" w:type="dxa"/>
                  <w:gridSpan w:val="2"/>
                  <w:noWrap w:val="0"/>
                  <w:vAlign w:val="center"/>
                </w:tcPr>
                <w:p w14:paraId="7652DB53">
                  <w:pPr>
                    <w:keepNext w:val="0"/>
                    <w:keepLines w:val="0"/>
                    <w:widowControl/>
                    <w:suppressLineNumbers w:val="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cs="Times New Roman"/>
                      <w:i w:val="0"/>
                      <w:iCs w:val="0"/>
                      <w:color w:val="auto"/>
                      <w:kern w:val="0"/>
                      <w:sz w:val="21"/>
                      <w:szCs w:val="21"/>
                      <w:u w:val="none"/>
                      <w:lang w:val="en-US" w:eastAsia="zh-CN" w:bidi="ar"/>
                    </w:rPr>
                    <w:t>/</w:t>
                  </w:r>
                </w:p>
              </w:tc>
              <w:tc>
                <w:tcPr>
                  <w:tcW w:w="1139" w:type="dxa"/>
                  <w:noWrap w:val="0"/>
                  <w:vAlign w:val="center"/>
                </w:tcPr>
                <w:p w14:paraId="623C2B30">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3167（无量纲）</w:t>
                  </w:r>
                </w:p>
              </w:tc>
              <w:tc>
                <w:tcPr>
                  <w:tcW w:w="1159" w:type="dxa"/>
                  <w:vMerge w:val="continue"/>
                  <w:noWrap w:val="0"/>
                  <w:vAlign w:val="center"/>
                </w:tcPr>
                <w:p w14:paraId="103F9190">
                  <w:pPr>
                    <w:jc w:val="center"/>
                    <w:rPr>
                      <w:rFonts w:hint="default" w:ascii="Times New Roman" w:hAnsi="Times New Roman" w:eastAsia="宋体" w:cs="Times New Roman"/>
                      <w:color w:val="auto"/>
                      <w:szCs w:val="21"/>
                    </w:rPr>
                  </w:pPr>
                </w:p>
              </w:tc>
              <w:tc>
                <w:tcPr>
                  <w:tcW w:w="1048" w:type="dxa"/>
                  <w:gridSpan w:val="2"/>
                  <w:noWrap w:val="0"/>
                  <w:vAlign w:val="center"/>
                </w:tcPr>
                <w:p w14:paraId="614DB197">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eastAsia" w:ascii="Times New Roman" w:hAnsi="Times New Roman" w:cs="Times New Roman"/>
                      <w:i w:val="0"/>
                      <w:iCs w:val="0"/>
                      <w:color w:val="auto"/>
                      <w:kern w:val="0"/>
                      <w:sz w:val="21"/>
                      <w:szCs w:val="21"/>
                      <w:u w:val="none"/>
                      <w:lang w:val="en-US" w:eastAsia="zh-CN" w:bidi="ar"/>
                    </w:rPr>
                    <w:t>/</w:t>
                  </w:r>
                </w:p>
              </w:tc>
              <w:tc>
                <w:tcPr>
                  <w:tcW w:w="797" w:type="dxa"/>
                  <w:gridSpan w:val="2"/>
                  <w:noWrap w:val="0"/>
                  <w:vAlign w:val="center"/>
                </w:tcPr>
                <w:p w14:paraId="0FB45B4B">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eastAsia" w:ascii="Times New Roman" w:hAnsi="Times New Roman" w:cs="Times New Roman"/>
                      <w:i w:val="0"/>
                      <w:iCs w:val="0"/>
                      <w:color w:val="auto"/>
                      <w:kern w:val="0"/>
                      <w:sz w:val="21"/>
                      <w:szCs w:val="21"/>
                      <w:u w:val="none"/>
                      <w:lang w:val="en-US" w:eastAsia="zh-CN" w:bidi="ar"/>
                    </w:rPr>
                    <w:t>/</w:t>
                  </w:r>
                </w:p>
              </w:tc>
              <w:tc>
                <w:tcPr>
                  <w:tcW w:w="1109" w:type="dxa"/>
                  <w:noWrap w:val="0"/>
                  <w:vAlign w:val="center"/>
                </w:tcPr>
                <w:p w14:paraId="6939935C">
                  <w:pPr>
                    <w:keepNext w:val="0"/>
                    <w:keepLines w:val="0"/>
                    <w:widowControl/>
                    <w:suppressLineNumbers w:val="0"/>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950（无量纲）</w:t>
                  </w:r>
                </w:p>
              </w:tc>
            </w:tr>
            <w:tr w14:paraId="0023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Merge w:val="continue"/>
                  <w:noWrap w:val="0"/>
                  <w:vAlign w:val="center"/>
                </w:tcPr>
                <w:p w14:paraId="22B26BCF">
                  <w:pPr>
                    <w:adjustRightInd w:val="0"/>
                    <w:snapToGrid w:val="0"/>
                    <w:jc w:val="center"/>
                    <w:rPr>
                      <w:rFonts w:hint="default" w:ascii="Times New Roman" w:hAnsi="Times New Roman" w:eastAsia="宋体" w:cs="Times New Roman"/>
                      <w:color w:val="auto"/>
                      <w:szCs w:val="21"/>
                    </w:rPr>
                  </w:pPr>
                </w:p>
              </w:tc>
              <w:tc>
                <w:tcPr>
                  <w:tcW w:w="412" w:type="dxa"/>
                  <w:vMerge w:val="restart"/>
                  <w:noWrap w:val="0"/>
                  <w:vAlign w:val="center"/>
                </w:tcPr>
                <w:p w14:paraId="56A9B3D7">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无组织</w:t>
                  </w:r>
                </w:p>
              </w:tc>
              <w:tc>
                <w:tcPr>
                  <w:tcW w:w="667" w:type="dxa"/>
                  <w:noWrap w:val="0"/>
                  <w:vAlign w:val="center"/>
                </w:tcPr>
                <w:p w14:paraId="3BA31F42">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非甲烷总烃</w:t>
                  </w:r>
                </w:p>
              </w:tc>
              <w:tc>
                <w:tcPr>
                  <w:tcW w:w="738" w:type="dxa"/>
                  <w:noWrap w:val="0"/>
                  <w:vAlign w:val="center"/>
                </w:tcPr>
                <w:p w14:paraId="509C42FF">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eastAsia" w:ascii="Times New Roman" w:hAnsi="Times New Roman" w:cs="Times New Roman"/>
                      <w:i w:val="0"/>
                      <w:iCs w:val="0"/>
                      <w:color w:val="auto"/>
                      <w:kern w:val="0"/>
                      <w:sz w:val="21"/>
                      <w:szCs w:val="21"/>
                      <w:u w:val="none"/>
                      <w:lang w:val="en-US" w:eastAsia="zh-CN" w:bidi="ar"/>
                    </w:rPr>
                    <w:t>0.6338</w:t>
                  </w:r>
                </w:p>
              </w:tc>
              <w:tc>
                <w:tcPr>
                  <w:tcW w:w="816" w:type="dxa"/>
                  <w:gridSpan w:val="2"/>
                  <w:noWrap w:val="0"/>
                  <w:vAlign w:val="center"/>
                </w:tcPr>
                <w:p w14:paraId="4B4B215D">
                  <w:pPr>
                    <w:keepNext w:val="0"/>
                    <w:keepLines w:val="0"/>
                    <w:widowControl/>
                    <w:suppressLineNumbers w:val="0"/>
                    <w:jc w:val="center"/>
                    <w:textAlignment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1761</w:t>
                  </w:r>
                </w:p>
              </w:tc>
              <w:tc>
                <w:tcPr>
                  <w:tcW w:w="1139" w:type="dxa"/>
                  <w:noWrap w:val="0"/>
                  <w:vAlign w:val="center"/>
                </w:tcPr>
                <w:p w14:paraId="48EB42D7">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1159" w:type="dxa"/>
                  <w:vMerge w:val="restart"/>
                  <w:noWrap w:val="0"/>
                  <w:vAlign w:val="center"/>
                </w:tcPr>
                <w:p w14:paraId="40F6663A">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1048" w:type="dxa"/>
                  <w:gridSpan w:val="2"/>
                  <w:noWrap w:val="0"/>
                  <w:vAlign w:val="center"/>
                </w:tcPr>
                <w:p w14:paraId="7DD4A5CB">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eastAsia" w:ascii="Times New Roman" w:hAnsi="Times New Roman" w:cs="Times New Roman"/>
                      <w:i w:val="0"/>
                      <w:iCs w:val="0"/>
                      <w:color w:val="auto"/>
                      <w:kern w:val="0"/>
                      <w:sz w:val="21"/>
                      <w:szCs w:val="21"/>
                      <w:u w:val="none"/>
                      <w:lang w:val="en-US" w:eastAsia="zh-CN" w:bidi="ar"/>
                    </w:rPr>
                    <w:t>0.6338</w:t>
                  </w:r>
                </w:p>
              </w:tc>
              <w:tc>
                <w:tcPr>
                  <w:tcW w:w="797" w:type="dxa"/>
                  <w:gridSpan w:val="2"/>
                  <w:noWrap w:val="0"/>
                  <w:vAlign w:val="center"/>
                </w:tcPr>
                <w:p w14:paraId="4C1DB497">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1761</w:t>
                  </w:r>
                </w:p>
              </w:tc>
              <w:tc>
                <w:tcPr>
                  <w:tcW w:w="1109" w:type="dxa"/>
                  <w:noWrap w:val="0"/>
                  <w:vAlign w:val="center"/>
                </w:tcPr>
                <w:p w14:paraId="7A322738">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w:t>
                  </w:r>
                </w:p>
              </w:tc>
            </w:tr>
            <w:tr w14:paraId="439F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Merge w:val="continue"/>
                  <w:noWrap w:val="0"/>
                  <w:vAlign w:val="center"/>
                </w:tcPr>
                <w:p w14:paraId="6EE6DC13">
                  <w:pPr>
                    <w:adjustRightInd w:val="0"/>
                    <w:snapToGrid w:val="0"/>
                    <w:jc w:val="center"/>
                    <w:rPr>
                      <w:rFonts w:hint="default" w:ascii="Times New Roman" w:hAnsi="Times New Roman" w:eastAsia="宋体" w:cs="Times New Roman"/>
                      <w:color w:val="auto"/>
                      <w:szCs w:val="21"/>
                    </w:rPr>
                  </w:pPr>
                </w:p>
              </w:tc>
              <w:tc>
                <w:tcPr>
                  <w:tcW w:w="412" w:type="dxa"/>
                  <w:vMerge w:val="continue"/>
                  <w:noWrap w:val="0"/>
                  <w:vAlign w:val="center"/>
                </w:tcPr>
                <w:p w14:paraId="2776AE15">
                  <w:pPr>
                    <w:jc w:val="center"/>
                    <w:rPr>
                      <w:rFonts w:hint="default" w:ascii="Times New Roman" w:hAnsi="Times New Roman" w:eastAsia="宋体" w:cs="Times New Roman"/>
                      <w:color w:val="auto"/>
                      <w:szCs w:val="21"/>
                    </w:rPr>
                  </w:pPr>
                </w:p>
              </w:tc>
              <w:tc>
                <w:tcPr>
                  <w:tcW w:w="667" w:type="dxa"/>
                  <w:noWrap w:val="0"/>
                  <w:vAlign w:val="center"/>
                </w:tcPr>
                <w:p w14:paraId="1FB6FD9A">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eastAsia" w:ascii="Times New Roman" w:hAnsi="Times New Roman" w:cs="Times New Roman"/>
                      <w:i w:val="0"/>
                      <w:iCs w:val="0"/>
                      <w:color w:val="auto"/>
                      <w:kern w:val="0"/>
                      <w:sz w:val="21"/>
                      <w:szCs w:val="21"/>
                      <w:u w:val="none"/>
                      <w:lang w:val="en-US" w:eastAsia="zh-CN" w:bidi="ar"/>
                    </w:rPr>
                    <w:t>氯化氢</w:t>
                  </w:r>
                </w:p>
              </w:tc>
              <w:tc>
                <w:tcPr>
                  <w:tcW w:w="738" w:type="dxa"/>
                  <w:noWrap w:val="0"/>
                  <w:vAlign w:val="center"/>
                </w:tcPr>
                <w:p w14:paraId="74567CE2">
                  <w:pPr>
                    <w:keepNext w:val="0"/>
                    <w:keepLines w:val="0"/>
                    <w:widowControl/>
                    <w:suppressLineNumbers w:val="0"/>
                    <w:jc w:val="center"/>
                    <w:textAlignment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cs="Times New Roman"/>
                      <w:i w:val="0"/>
                      <w:iCs w:val="0"/>
                      <w:color w:val="auto"/>
                      <w:kern w:val="0"/>
                      <w:sz w:val="21"/>
                      <w:szCs w:val="21"/>
                      <w:u w:val="none"/>
                      <w:lang w:val="en-US" w:eastAsia="zh-CN" w:bidi="ar"/>
                    </w:rPr>
                    <w:t>63</w:t>
                  </w:r>
                </w:p>
              </w:tc>
              <w:tc>
                <w:tcPr>
                  <w:tcW w:w="816" w:type="dxa"/>
                  <w:gridSpan w:val="2"/>
                  <w:noWrap w:val="0"/>
                  <w:vAlign w:val="center"/>
                </w:tcPr>
                <w:p w14:paraId="49A19D38">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0.001</w:t>
                  </w:r>
                  <w:r>
                    <w:rPr>
                      <w:rFonts w:hint="eastAsia" w:ascii="Times New Roman" w:hAnsi="Times New Roman" w:cs="Times New Roman"/>
                      <w:i w:val="0"/>
                      <w:iCs w:val="0"/>
                      <w:color w:val="auto"/>
                      <w:kern w:val="0"/>
                      <w:sz w:val="21"/>
                      <w:szCs w:val="21"/>
                      <w:u w:val="none"/>
                      <w:lang w:val="en-US" w:eastAsia="zh-CN" w:bidi="ar"/>
                    </w:rPr>
                    <w:t>7</w:t>
                  </w:r>
                </w:p>
              </w:tc>
              <w:tc>
                <w:tcPr>
                  <w:tcW w:w="1139" w:type="dxa"/>
                  <w:noWrap w:val="0"/>
                  <w:vAlign w:val="center"/>
                </w:tcPr>
                <w:p w14:paraId="76A7C7D9">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1159" w:type="dxa"/>
                  <w:vMerge w:val="continue"/>
                  <w:noWrap w:val="0"/>
                  <w:vAlign w:val="center"/>
                </w:tcPr>
                <w:p w14:paraId="7EABCED9">
                  <w:pPr>
                    <w:jc w:val="center"/>
                    <w:rPr>
                      <w:rFonts w:hint="default" w:ascii="Times New Roman" w:hAnsi="Times New Roman" w:eastAsia="宋体" w:cs="Times New Roman"/>
                      <w:color w:val="auto"/>
                      <w:szCs w:val="21"/>
                    </w:rPr>
                  </w:pPr>
                </w:p>
              </w:tc>
              <w:tc>
                <w:tcPr>
                  <w:tcW w:w="1048" w:type="dxa"/>
                  <w:gridSpan w:val="2"/>
                  <w:noWrap w:val="0"/>
                  <w:vAlign w:val="center"/>
                </w:tcPr>
                <w:p w14:paraId="50E0EB68">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cs="Times New Roman"/>
                      <w:i w:val="0"/>
                      <w:iCs w:val="0"/>
                      <w:color w:val="auto"/>
                      <w:kern w:val="0"/>
                      <w:sz w:val="21"/>
                      <w:szCs w:val="21"/>
                      <w:u w:val="none"/>
                      <w:lang w:val="en-US" w:eastAsia="zh-CN" w:bidi="ar"/>
                    </w:rPr>
                    <w:t>63</w:t>
                  </w:r>
                </w:p>
              </w:tc>
              <w:tc>
                <w:tcPr>
                  <w:tcW w:w="797" w:type="dxa"/>
                  <w:gridSpan w:val="2"/>
                  <w:noWrap w:val="0"/>
                  <w:vAlign w:val="center"/>
                </w:tcPr>
                <w:p w14:paraId="20E2A688">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0.001</w:t>
                  </w:r>
                  <w:r>
                    <w:rPr>
                      <w:rFonts w:hint="eastAsia" w:ascii="Times New Roman" w:hAnsi="Times New Roman" w:cs="Times New Roman"/>
                      <w:i w:val="0"/>
                      <w:iCs w:val="0"/>
                      <w:color w:val="auto"/>
                      <w:kern w:val="0"/>
                      <w:sz w:val="21"/>
                      <w:szCs w:val="21"/>
                      <w:u w:val="none"/>
                      <w:lang w:val="en-US" w:eastAsia="zh-CN" w:bidi="ar"/>
                    </w:rPr>
                    <w:t>7</w:t>
                  </w:r>
                </w:p>
              </w:tc>
              <w:tc>
                <w:tcPr>
                  <w:tcW w:w="1109" w:type="dxa"/>
                  <w:noWrap w:val="0"/>
                  <w:vAlign w:val="center"/>
                </w:tcPr>
                <w:p w14:paraId="490E0ED8">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w:t>
                  </w:r>
                </w:p>
              </w:tc>
            </w:tr>
            <w:tr w14:paraId="5531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Merge w:val="continue"/>
                  <w:noWrap w:val="0"/>
                  <w:vAlign w:val="center"/>
                </w:tcPr>
                <w:p w14:paraId="67B2A8C9">
                  <w:pPr>
                    <w:adjustRightInd w:val="0"/>
                    <w:snapToGrid w:val="0"/>
                    <w:jc w:val="center"/>
                    <w:rPr>
                      <w:rFonts w:hint="default" w:ascii="Times New Roman" w:hAnsi="Times New Roman" w:eastAsia="宋体" w:cs="Times New Roman"/>
                      <w:color w:val="auto"/>
                      <w:szCs w:val="21"/>
                    </w:rPr>
                  </w:pPr>
                </w:p>
              </w:tc>
              <w:tc>
                <w:tcPr>
                  <w:tcW w:w="412" w:type="dxa"/>
                  <w:vMerge w:val="continue"/>
                  <w:noWrap w:val="0"/>
                  <w:vAlign w:val="center"/>
                </w:tcPr>
                <w:p w14:paraId="025EF0BC">
                  <w:pPr>
                    <w:jc w:val="center"/>
                    <w:rPr>
                      <w:rFonts w:hint="default" w:ascii="Times New Roman" w:hAnsi="Times New Roman" w:eastAsia="宋体" w:cs="Times New Roman"/>
                      <w:color w:val="auto"/>
                      <w:szCs w:val="21"/>
                    </w:rPr>
                  </w:pPr>
                </w:p>
              </w:tc>
              <w:tc>
                <w:tcPr>
                  <w:tcW w:w="667" w:type="dxa"/>
                  <w:noWrap w:val="0"/>
                  <w:vAlign w:val="center"/>
                </w:tcPr>
                <w:p w14:paraId="44242F73">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eastAsia" w:ascii="Times New Roman" w:hAnsi="Times New Roman" w:cs="Times New Roman"/>
                      <w:i w:val="0"/>
                      <w:iCs w:val="0"/>
                      <w:color w:val="auto"/>
                      <w:kern w:val="0"/>
                      <w:sz w:val="21"/>
                      <w:szCs w:val="21"/>
                      <w:u w:val="none"/>
                      <w:lang w:val="en-US" w:eastAsia="zh-CN" w:bidi="ar"/>
                    </w:rPr>
                    <w:t>氯乙烯</w:t>
                  </w:r>
                </w:p>
              </w:tc>
              <w:tc>
                <w:tcPr>
                  <w:tcW w:w="738" w:type="dxa"/>
                  <w:noWrap w:val="0"/>
                  <w:vAlign w:val="center"/>
                </w:tcPr>
                <w:p w14:paraId="721E89CE">
                  <w:pPr>
                    <w:keepNext w:val="0"/>
                    <w:keepLines w:val="0"/>
                    <w:widowControl/>
                    <w:suppressLineNumbers w:val="0"/>
                    <w:jc w:val="center"/>
                    <w:textAlignment w:val="center"/>
                    <w:rPr>
                      <w:rFonts w:hint="default" w:ascii="Times New Roman" w:hAnsi="Times New Roman" w:eastAsia="宋体" w:cs="Times New Roman"/>
                      <w:color w:val="auto"/>
                      <w:szCs w:val="21"/>
                      <w:lang w:val="en-US"/>
                    </w:rPr>
                  </w:pPr>
                  <w:r>
                    <w:rPr>
                      <w:rFonts w:hint="eastAsia" w:ascii="Times New Roman" w:hAnsi="Times New Roman" w:cs="Times New Roman"/>
                      <w:i w:val="0"/>
                      <w:iCs w:val="0"/>
                      <w:color w:val="auto"/>
                      <w:kern w:val="0"/>
                      <w:sz w:val="21"/>
                      <w:szCs w:val="21"/>
                      <w:u w:val="none"/>
                      <w:lang w:val="en-US" w:eastAsia="zh-CN" w:bidi="ar"/>
                    </w:rPr>
                    <w:t>0.0076</w:t>
                  </w:r>
                </w:p>
              </w:tc>
              <w:tc>
                <w:tcPr>
                  <w:tcW w:w="816" w:type="dxa"/>
                  <w:gridSpan w:val="2"/>
                  <w:noWrap w:val="0"/>
                  <w:vAlign w:val="center"/>
                </w:tcPr>
                <w:p w14:paraId="7FC8DDF4">
                  <w:pPr>
                    <w:keepNext w:val="0"/>
                    <w:keepLines w:val="0"/>
                    <w:widowControl/>
                    <w:suppressLineNumbers w:val="0"/>
                    <w:jc w:val="center"/>
                    <w:textAlignment w:val="center"/>
                    <w:rPr>
                      <w:rFonts w:hint="default" w:ascii="Times New Roman" w:hAnsi="Times New Roman" w:eastAsia="宋体" w:cs="Times New Roman"/>
                      <w:color w:val="auto"/>
                      <w:kern w:val="0"/>
                      <w:szCs w:val="21"/>
                      <w:lang w:val="en-US"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cs="Times New Roman"/>
                      <w:i w:val="0"/>
                      <w:iCs w:val="0"/>
                      <w:color w:val="auto"/>
                      <w:kern w:val="0"/>
                      <w:sz w:val="21"/>
                      <w:szCs w:val="21"/>
                      <w:u w:val="none"/>
                      <w:lang w:val="en-US" w:eastAsia="zh-CN" w:bidi="ar"/>
                    </w:rPr>
                    <w:t>21</w:t>
                  </w:r>
                </w:p>
              </w:tc>
              <w:tc>
                <w:tcPr>
                  <w:tcW w:w="1139" w:type="dxa"/>
                  <w:noWrap w:val="0"/>
                  <w:vAlign w:val="center"/>
                </w:tcPr>
                <w:p w14:paraId="0A48F680">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1159" w:type="dxa"/>
                  <w:vMerge w:val="continue"/>
                  <w:noWrap w:val="0"/>
                  <w:vAlign w:val="center"/>
                </w:tcPr>
                <w:p w14:paraId="520C3577">
                  <w:pPr>
                    <w:jc w:val="center"/>
                    <w:rPr>
                      <w:rFonts w:hint="default" w:ascii="Times New Roman" w:hAnsi="Times New Roman" w:eastAsia="宋体" w:cs="Times New Roman"/>
                      <w:color w:val="auto"/>
                      <w:szCs w:val="21"/>
                    </w:rPr>
                  </w:pPr>
                </w:p>
              </w:tc>
              <w:tc>
                <w:tcPr>
                  <w:tcW w:w="1048" w:type="dxa"/>
                  <w:gridSpan w:val="2"/>
                  <w:noWrap w:val="0"/>
                  <w:vAlign w:val="center"/>
                </w:tcPr>
                <w:p w14:paraId="75025752">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eastAsia" w:ascii="Times New Roman" w:hAnsi="Times New Roman" w:cs="Times New Roman"/>
                      <w:i w:val="0"/>
                      <w:iCs w:val="0"/>
                      <w:color w:val="auto"/>
                      <w:kern w:val="0"/>
                      <w:sz w:val="21"/>
                      <w:szCs w:val="21"/>
                      <w:u w:val="none"/>
                      <w:lang w:val="en-US" w:eastAsia="zh-CN" w:bidi="ar"/>
                    </w:rPr>
                    <w:t>0.0076</w:t>
                  </w:r>
                </w:p>
              </w:tc>
              <w:tc>
                <w:tcPr>
                  <w:tcW w:w="797" w:type="dxa"/>
                  <w:gridSpan w:val="2"/>
                  <w:noWrap w:val="0"/>
                  <w:vAlign w:val="center"/>
                </w:tcPr>
                <w:p w14:paraId="32AA7EAE">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cs="Times New Roman"/>
                      <w:i w:val="0"/>
                      <w:iCs w:val="0"/>
                      <w:color w:val="auto"/>
                      <w:kern w:val="0"/>
                      <w:sz w:val="21"/>
                      <w:szCs w:val="21"/>
                      <w:u w:val="none"/>
                      <w:lang w:val="en-US" w:eastAsia="zh-CN" w:bidi="ar"/>
                    </w:rPr>
                    <w:t>21</w:t>
                  </w:r>
                </w:p>
              </w:tc>
              <w:tc>
                <w:tcPr>
                  <w:tcW w:w="1109" w:type="dxa"/>
                  <w:noWrap w:val="0"/>
                  <w:vAlign w:val="center"/>
                </w:tcPr>
                <w:p w14:paraId="39EE9DC5">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w:t>
                  </w:r>
                </w:p>
              </w:tc>
            </w:tr>
            <w:tr w14:paraId="6950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Merge w:val="continue"/>
                  <w:noWrap w:val="0"/>
                  <w:vAlign w:val="center"/>
                </w:tcPr>
                <w:p w14:paraId="6A1EB5D7">
                  <w:pPr>
                    <w:adjustRightInd w:val="0"/>
                    <w:snapToGrid w:val="0"/>
                    <w:jc w:val="center"/>
                    <w:rPr>
                      <w:rFonts w:hint="default" w:ascii="Times New Roman" w:hAnsi="Times New Roman" w:eastAsia="宋体" w:cs="Times New Roman"/>
                      <w:color w:val="auto"/>
                      <w:szCs w:val="21"/>
                    </w:rPr>
                  </w:pPr>
                </w:p>
              </w:tc>
              <w:tc>
                <w:tcPr>
                  <w:tcW w:w="412" w:type="dxa"/>
                  <w:vMerge w:val="continue"/>
                  <w:noWrap w:val="0"/>
                  <w:vAlign w:val="center"/>
                </w:tcPr>
                <w:p w14:paraId="0A43AE0F">
                  <w:pPr>
                    <w:jc w:val="center"/>
                    <w:rPr>
                      <w:rFonts w:hint="default" w:ascii="Times New Roman" w:hAnsi="Times New Roman" w:eastAsia="宋体" w:cs="Times New Roman"/>
                      <w:color w:val="auto"/>
                      <w:szCs w:val="21"/>
                    </w:rPr>
                  </w:pPr>
                </w:p>
              </w:tc>
              <w:tc>
                <w:tcPr>
                  <w:tcW w:w="667" w:type="dxa"/>
                  <w:noWrap w:val="0"/>
                  <w:vAlign w:val="center"/>
                </w:tcPr>
                <w:p w14:paraId="5FF87990">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eastAsia" w:ascii="Times New Roman" w:hAnsi="Times New Roman" w:cs="Times New Roman"/>
                      <w:i w:val="0"/>
                      <w:iCs w:val="0"/>
                      <w:color w:val="auto"/>
                      <w:kern w:val="0"/>
                      <w:sz w:val="21"/>
                      <w:szCs w:val="21"/>
                      <w:u w:val="none"/>
                      <w:lang w:val="en-US" w:eastAsia="zh-CN" w:bidi="ar"/>
                    </w:rPr>
                    <w:t>臭气浓度</w:t>
                  </w:r>
                </w:p>
              </w:tc>
              <w:tc>
                <w:tcPr>
                  <w:tcW w:w="738" w:type="dxa"/>
                  <w:noWrap w:val="0"/>
                  <w:vAlign w:val="center"/>
                </w:tcPr>
                <w:p w14:paraId="221D2AC2">
                  <w:pPr>
                    <w:keepNext w:val="0"/>
                    <w:keepLines w:val="0"/>
                    <w:widowControl/>
                    <w:suppressLineNumbers w:val="0"/>
                    <w:jc w:val="center"/>
                    <w:textAlignment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少量</w:t>
                  </w:r>
                </w:p>
              </w:tc>
              <w:tc>
                <w:tcPr>
                  <w:tcW w:w="816" w:type="dxa"/>
                  <w:gridSpan w:val="2"/>
                  <w:noWrap w:val="0"/>
                  <w:vAlign w:val="center"/>
                </w:tcPr>
                <w:p w14:paraId="0E1479E5">
                  <w:pPr>
                    <w:keepNext w:val="0"/>
                    <w:keepLines w:val="0"/>
                    <w:widowControl/>
                    <w:suppressLineNumbers w:val="0"/>
                    <w:jc w:val="center"/>
                    <w:textAlignment w:val="center"/>
                    <w:rPr>
                      <w:rFonts w:hint="default" w:ascii="Times New Roman" w:hAnsi="Times New Roman" w:eastAsia="宋体" w:cs="Times New Roman"/>
                      <w:color w:val="auto"/>
                      <w:kern w:val="0"/>
                      <w:szCs w:val="21"/>
                      <w:lang w:bidi="ar"/>
                    </w:rPr>
                  </w:pPr>
                  <w:r>
                    <w:rPr>
                      <w:rFonts w:hint="eastAsia" w:ascii="Times New Roman" w:hAnsi="Times New Roman" w:cs="Times New Roman"/>
                      <w:i w:val="0"/>
                      <w:iCs w:val="0"/>
                      <w:color w:val="auto"/>
                      <w:kern w:val="0"/>
                      <w:sz w:val="21"/>
                      <w:szCs w:val="21"/>
                      <w:u w:val="none"/>
                      <w:lang w:val="en-US" w:eastAsia="zh-CN" w:bidi="ar"/>
                    </w:rPr>
                    <w:t>/</w:t>
                  </w:r>
                </w:p>
              </w:tc>
              <w:tc>
                <w:tcPr>
                  <w:tcW w:w="1139" w:type="dxa"/>
                  <w:noWrap w:val="0"/>
                  <w:vAlign w:val="center"/>
                </w:tcPr>
                <w:p w14:paraId="5794AD39">
                  <w:pPr>
                    <w:keepNext w:val="0"/>
                    <w:keepLines w:val="0"/>
                    <w:widowControl/>
                    <w:suppressLineNumbers w:val="0"/>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159" w:type="dxa"/>
                  <w:vMerge w:val="continue"/>
                  <w:noWrap w:val="0"/>
                  <w:vAlign w:val="center"/>
                </w:tcPr>
                <w:p w14:paraId="5EEBFF2F">
                  <w:pPr>
                    <w:jc w:val="center"/>
                    <w:rPr>
                      <w:rFonts w:hint="default" w:ascii="Times New Roman" w:hAnsi="Times New Roman" w:eastAsia="宋体" w:cs="Times New Roman"/>
                      <w:color w:val="auto"/>
                      <w:szCs w:val="21"/>
                    </w:rPr>
                  </w:pPr>
                </w:p>
              </w:tc>
              <w:tc>
                <w:tcPr>
                  <w:tcW w:w="1048" w:type="dxa"/>
                  <w:gridSpan w:val="2"/>
                  <w:noWrap w:val="0"/>
                  <w:vAlign w:val="center"/>
                </w:tcPr>
                <w:p w14:paraId="735A18D1">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eastAsia" w:ascii="Times New Roman" w:hAnsi="Times New Roman" w:cs="Times New Roman"/>
                      <w:color w:val="auto"/>
                      <w:szCs w:val="21"/>
                      <w:lang w:val="en-US" w:eastAsia="zh-CN"/>
                    </w:rPr>
                    <w:t>少量</w:t>
                  </w:r>
                </w:p>
              </w:tc>
              <w:tc>
                <w:tcPr>
                  <w:tcW w:w="797" w:type="dxa"/>
                  <w:gridSpan w:val="2"/>
                  <w:noWrap w:val="0"/>
                  <w:vAlign w:val="center"/>
                </w:tcPr>
                <w:p w14:paraId="545C9F3A">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eastAsia" w:ascii="Times New Roman" w:hAnsi="Times New Roman" w:cs="Times New Roman"/>
                      <w:i w:val="0"/>
                      <w:iCs w:val="0"/>
                      <w:color w:val="auto"/>
                      <w:kern w:val="0"/>
                      <w:sz w:val="21"/>
                      <w:szCs w:val="21"/>
                      <w:u w:val="none"/>
                      <w:lang w:val="en-US" w:eastAsia="zh-CN" w:bidi="ar"/>
                    </w:rPr>
                    <w:t>/</w:t>
                  </w:r>
                </w:p>
              </w:tc>
              <w:tc>
                <w:tcPr>
                  <w:tcW w:w="1109" w:type="dxa"/>
                  <w:noWrap w:val="0"/>
                  <w:vAlign w:val="center"/>
                </w:tcPr>
                <w:p w14:paraId="615F85BF">
                  <w:pPr>
                    <w:keepNext w:val="0"/>
                    <w:keepLines w:val="0"/>
                    <w:widowControl/>
                    <w:suppressLineNumbers w:val="0"/>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w:t>
                  </w:r>
                </w:p>
              </w:tc>
            </w:tr>
            <w:tr w14:paraId="36B4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1" w:type="dxa"/>
                  <w:gridSpan w:val="13"/>
                  <w:noWrap w:val="0"/>
                  <w:vAlign w:val="center"/>
                </w:tcPr>
                <w:p w14:paraId="384CBE81">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备注：①项目年运行时间为2400h；</w:t>
                  </w:r>
                </w:p>
                <w:p w14:paraId="529A37CF">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②DA002排气筒风机风量为</w:t>
                  </w:r>
                  <w:r>
                    <w:rPr>
                      <w:rFonts w:hint="eastAsia" w:ascii="Times New Roman" w:hAnsi="Times New Roman" w:cs="Times New Roman"/>
                      <w:i w:val="0"/>
                      <w:iCs w:val="0"/>
                      <w:color w:val="auto"/>
                      <w:kern w:val="0"/>
                      <w:sz w:val="21"/>
                      <w:szCs w:val="21"/>
                      <w:u w:val="none"/>
                      <w:lang w:val="en-US" w:eastAsia="zh-CN" w:bidi="ar"/>
                    </w:rPr>
                    <w:t>2</w:t>
                  </w:r>
                  <w:r>
                    <w:rPr>
                      <w:rFonts w:hint="eastAsia" w:cs="Times New Roman"/>
                      <w:i w:val="0"/>
                      <w:iCs w:val="0"/>
                      <w:color w:val="auto"/>
                      <w:kern w:val="0"/>
                      <w:sz w:val="21"/>
                      <w:szCs w:val="21"/>
                      <w:u w:val="none"/>
                      <w:lang w:val="en-US" w:eastAsia="zh-CN" w:bidi="ar"/>
                    </w:rPr>
                    <w:t>5920</w:t>
                  </w:r>
                  <w:r>
                    <w:rPr>
                      <w:rFonts w:hint="default" w:ascii="Times New Roman" w:hAnsi="Times New Roman" w:eastAsia="宋体" w:cs="Times New Roman"/>
                      <w:i w:val="0"/>
                      <w:iCs w:val="0"/>
                      <w:color w:val="auto"/>
                      <w:kern w:val="0"/>
                      <w:sz w:val="21"/>
                      <w:szCs w:val="21"/>
                      <w:u w:val="none"/>
                      <w:lang w:val="en-US" w:eastAsia="zh-CN" w:bidi="ar"/>
                    </w:rPr>
                    <w:t>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/h，</w:t>
                  </w:r>
                  <w:r>
                    <w:rPr>
                      <w:rFonts w:hint="eastAsia" w:ascii="Times New Roman" w:hAnsi="Times New Roman" w:cs="Times New Roman"/>
                      <w:i w:val="0"/>
                      <w:iCs w:val="0"/>
                      <w:color w:val="auto"/>
                      <w:kern w:val="0"/>
                      <w:sz w:val="21"/>
                      <w:szCs w:val="21"/>
                      <w:u w:val="none"/>
                      <w:lang w:val="en-US" w:eastAsia="zh-CN" w:bidi="ar"/>
                    </w:rPr>
                    <w:t>9</w:t>
                  </w:r>
                  <w:r>
                    <w:rPr>
                      <w:rFonts w:hint="eastAsia" w:cs="Times New Roman"/>
                      <w:i w:val="0"/>
                      <w:iCs w:val="0"/>
                      <w:color w:val="auto"/>
                      <w:kern w:val="0"/>
                      <w:sz w:val="21"/>
                      <w:szCs w:val="21"/>
                      <w:u w:val="none"/>
                      <w:lang w:val="en-US" w:eastAsia="zh-CN" w:bidi="ar"/>
                    </w:rPr>
                    <w:t>331.2</w:t>
                  </w:r>
                  <w:r>
                    <w:rPr>
                      <w:rFonts w:hint="default" w:ascii="Times New Roman" w:hAnsi="Times New Roman" w:eastAsia="宋体" w:cs="Times New Roman"/>
                      <w:i w:val="0"/>
                      <w:iCs w:val="0"/>
                      <w:color w:val="auto"/>
                      <w:kern w:val="0"/>
                      <w:sz w:val="21"/>
                      <w:szCs w:val="21"/>
                      <w:u w:val="none"/>
                      <w:lang w:val="en-US" w:eastAsia="zh-CN" w:bidi="ar"/>
                    </w:rPr>
                    <w:t>万m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/a</w:t>
                  </w:r>
                  <w:r>
                    <w:rPr>
                      <w:rFonts w:hint="default" w:ascii="Times New Roman" w:hAnsi="Times New Roman" w:eastAsia="宋体" w:cs="Times New Roman"/>
                      <w:i w:val="0"/>
                      <w:iCs w:val="0"/>
                      <w:color w:val="auto"/>
                      <w:kern w:val="0"/>
                      <w:sz w:val="21"/>
                      <w:szCs w:val="21"/>
                      <w:highlight w:val="none"/>
                      <w:u w:val="none"/>
                      <w:lang w:val="en-US" w:eastAsia="zh-CN" w:bidi="ar"/>
                    </w:rPr>
                    <w:t>；</w:t>
                  </w:r>
                </w:p>
                <w:p w14:paraId="674B79AF">
                  <w:pPr>
                    <w:adjustRightInd w:val="0"/>
                    <w:snapToGrid w:val="0"/>
                    <w:jc w:val="left"/>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③DA002排气筒执行</w:t>
                  </w:r>
                  <w:r>
                    <w:rPr>
                      <w:rFonts w:hint="default" w:ascii="Times New Roman" w:hAnsi="Times New Roman" w:eastAsia="宋体" w:cs="Times New Roman"/>
                      <w:color w:val="auto"/>
                      <w:sz w:val="21"/>
                      <w:szCs w:val="21"/>
                      <w:highlight w:val="none"/>
                      <w:lang w:val="zh-CN"/>
                    </w:rPr>
                    <w:t>《大气污染物综合排放标准》（GB16297-1996）</w:t>
                  </w:r>
                  <w:r>
                    <w:rPr>
                      <w:rFonts w:hint="default" w:ascii="Times New Roman" w:hAnsi="Times New Roman" w:eastAsia="宋体" w:cs="Times New Roman"/>
                      <w:color w:val="auto"/>
                      <w:sz w:val="21"/>
                      <w:szCs w:val="21"/>
                      <w:highlight w:val="none"/>
                    </w:rPr>
                    <w:t>表2中</w:t>
                  </w:r>
                  <w:r>
                    <w:rPr>
                      <w:rFonts w:hint="default" w:ascii="Times New Roman" w:hAnsi="Times New Roman" w:eastAsia="宋体" w:cs="Times New Roman"/>
                      <w:color w:val="auto"/>
                      <w:sz w:val="21"/>
                      <w:szCs w:val="21"/>
                      <w:highlight w:val="none"/>
                      <w:lang w:val="en-US" w:eastAsia="zh-CN"/>
                    </w:rPr>
                    <w:t>二级</w:t>
                  </w:r>
                  <w:r>
                    <w:rPr>
                      <w:rFonts w:hint="default" w:ascii="Times New Roman" w:hAnsi="Times New Roman" w:eastAsia="宋体" w:cs="Times New Roman"/>
                      <w:color w:val="auto"/>
                      <w:sz w:val="21"/>
                      <w:szCs w:val="21"/>
                      <w:highlight w:val="none"/>
                      <w:lang w:eastAsia="zh-CN"/>
                    </w:rPr>
                    <w:t>浓度限值，</w:t>
                  </w:r>
                  <w:r>
                    <w:rPr>
                      <w:rFonts w:hint="default" w:ascii="Times New Roman" w:hAnsi="Times New Roman" w:eastAsia="宋体" w:cs="Times New Roman"/>
                      <w:color w:val="auto"/>
                      <w:sz w:val="21"/>
                      <w:szCs w:val="21"/>
                      <w:highlight w:val="none"/>
                      <w:lang w:val="en-US" w:eastAsia="zh-CN"/>
                    </w:rPr>
                    <w:t>排放速率严格50%执行</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i w:val="0"/>
                      <w:iCs w:val="0"/>
                      <w:color w:val="auto"/>
                      <w:kern w:val="0"/>
                      <w:sz w:val="21"/>
                      <w:szCs w:val="21"/>
                      <w:u w:val="none"/>
                      <w:lang w:val="en-US" w:eastAsia="zh-CN" w:bidi="ar"/>
                    </w:rPr>
                    <w:t>臭气浓度执行《恶臭污染物排放标准》（GB14554-93）中标准限值要求。</w:t>
                  </w:r>
                  <w:r>
                    <w:rPr>
                      <w:rFonts w:hint="default" w:ascii="Times New Roman" w:hAnsi="Times New Roman" w:eastAsia="宋体" w:cs="Times New Roman"/>
                      <w:color w:val="auto"/>
                      <w:sz w:val="21"/>
                      <w:szCs w:val="21"/>
                      <w:highlight w:val="none"/>
                      <w:lang w:val="en-US" w:eastAsia="zh-CN"/>
                    </w:rPr>
                    <w:t>。</w:t>
                  </w:r>
                </w:p>
              </w:tc>
            </w:tr>
          </w:tbl>
          <w:p w14:paraId="792DA3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olor w:val="auto"/>
                <w:sz w:val="24"/>
                <w:lang w:eastAsia="zh-CN"/>
              </w:rPr>
              <w:t>非甲烷总烃、氯化</w:t>
            </w:r>
            <w:r>
              <w:rPr>
                <w:rFonts w:hint="eastAsia" w:ascii="Times New Roman" w:hAnsi="Times New Roman" w:cs="Times New Roman"/>
                <w:color w:val="auto"/>
                <w:sz w:val="24"/>
                <w:lang w:eastAsia="zh-CN"/>
              </w:rPr>
              <w:t>氢、氯乙烯排放浓度均符合</w:t>
            </w:r>
            <w:r>
              <w:rPr>
                <w:rFonts w:hint="default" w:ascii="Times New Roman" w:hAnsi="Times New Roman" w:cs="Times New Roman"/>
                <w:color w:val="auto"/>
                <w:sz w:val="24"/>
                <w:lang w:val="zh-CN" w:eastAsia="zh-CN"/>
              </w:rPr>
              <w:t>《大气污染物综合排放标准》（GB16297-1996）</w:t>
            </w:r>
            <w:r>
              <w:rPr>
                <w:rFonts w:hint="default" w:ascii="Times New Roman" w:hAnsi="Times New Roman" w:cs="Times New Roman"/>
                <w:color w:val="auto"/>
                <w:sz w:val="24"/>
                <w:lang w:eastAsia="zh-CN"/>
              </w:rPr>
              <w:t>表2中</w:t>
            </w:r>
            <w:r>
              <w:rPr>
                <w:rFonts w:hint="default" w:ascii="Times New Roman" w:hAnsi="Times New Roman" w:cs="Times New Roman"/>
                <w:color w:val="auto"/>
                <w:sz w:val="24"/>
                <w:lang w:val="en-US" w:eastAsia="zh-CN"/>
              </w:rPr>
              <w:t>二级</w:t>
            </w:r>
            <w:r>
              <w:rPr>
                <w:rFonts w:hint="default" w:ascii="Times New Roman" w:hAnsi="Times New Roman" w:cs="Times New Roman"/>
                <w:color w:val="auto"/>
                <w:sz w:val="24"/>
                <w:lang w:eastAsia="zh-CN"/>
              </w:rPr>
              <w:t>浓度限值</w:t>
            </w:r>
            <w:r>
              <w:rPr>
                <w:rFonts w:hint="default" w:ascii="Times New Roman" w:hAnsi="Times New Roman" w:cs="Times New Roman"/>
                <w:color w:val="auto"/>
                <w:sz w:val="24"/>
                <w:lang w:val="en-US" w:eastAsia="zh-CN"/>
              </w:rPr>
              <w:t>要求</w:t>
            </w:r>
            <w:r>
              <w:rPr>
                <w:rFonts w:hint="eastAsia" w:ascii="Times New Roman" w:hAnsi="Times New Roman" w:cs="Times New Roman"/>
                <w:color w:val="auto"/>
                <w:sz w:val="24"/>
                <w:lang w:eastAsia="zh-CN"/>
              </w:rPr>
              <w:t>，</w:t>
            </w:r>
            <w:r>
              <w:rPr>
                <w:rFonts w:hint="default" w:ascii="Times New Roman" w:hAnsi="Times New Roman" w:cs="Times New Roman"/>
                <w:color w:val="auto"/>
                <w:sz w:val="24"/>
                <w:lang w:val="en-US" w:eastAsia="zh-CN"/>
              </w:rPr>
              <w:t>臭气浓度</w:t>
            </w:r>
            <w:r>
              <w:rPr>
                <w:rFonts w:hint="eastAsia" w:ascii="Times New Roman" w:hAnsi="Times New Roman" w:cs="Times New Roman"/>
                <w:color w:val="auto"/>
                <w:sz w:val="24"/>
                <w:lang w:val="en-US" w:eastAsia="zh-CN"/>
              </w:rPr>
              <w:t>能够满足</w:t>
            </w:r>
            <w:r>
              <w:rPr>
                <w:rFonts w:hint="default" w:ascii="Times New Roman" w:hAnsi="Times New Roman" w:cs="Times New Roman"/>
                <w:color w:val="auto"/>
                <w:sz w:val="24"/>
                <w:lang w:val="en-US" w:eastAsia="zh-CN"/>
              </w:rPr>
              <w:t>《恶臭污染物排放标准》（GB14554-93）中标准限值要求</w:t>
            </w:r>
            <w:r>
              <w:rPr>
                <w:rFonts w:hint="eastAsia" w:ascii="Times New Roman" w:hAnsi="Times New Roman" w:cs="Times New Roman"/>
                <w:color w:val="auto"/>
                <w:sz w:val="24"/>
                <w:lang w:val="en-US" w:eastAsia="zh-CN"/>
              </w:rPr>
              <w:t>；均</w:t>
            </w:r>
            <w:r>
              <w:rPr>
                <w:rFonts w:hint="eastAsia" w:ascii="Times New Roman" w:hAnsi="Times New Roman" w:cs="Times New Roman"/>
                <w:color w:val="auto"/>
                <w:sz w:val="24"/>
                <w:lang w:eastAsia="zh-CN"/>
              </w:rPr>
              <w:t>能够达标排放。</w:t>
            </w:r>
          </w:p>
          <w:p w14:paraId="2C572E4A">
            <w:pPr>
              <w:pStyle w:val="77"/>
              <w:keepNext w:val="0"/>
              <w:keepLines w:val="0"/>
              <w:pageBreakBefore w:val="0"/>
              <w:shd w:val="clear"/>
              <w:kinsoku/>
              <w:wordWrap/>
              <w:overflowPunct/>
              <w:topLinePunct w:val="0"/>
              <w:autoSpaceDE w:val="0"/>
              <w:autoSpaceDN w:val="0"/>
              <w:bidi w:val="0"/>
              <w:adjustRightInd/>
              <w:spacing w:before="0" w:after="0"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eastAsia="zh-CN"/>
              </w:rPr>
              <w:t>食堂油烟</w:t>
            </w:r>
          </w:p>
          <w:p w14:paraId="0FB0FED8">
            <w:pPr>
              <w:keepNext w:val="0"/>
              <w:keepLines w:val="0"/>
              <w:pageBreakBefore w:val="0"/>
              <w:widowControl w:val="0"/>
              <w:shd w:val="clear"/>
              <w:kinsoku/>
              <w:wordWrap/>
              <w:overflowPunct/>
              <w:topLinePunct w:val="0"/>
              <w:autoSpaceDE/>
              <w:autoSpaceDN/>
              <w:bidi w:val="0"/>
              <w:adjustRightInd/>
              <w:snapToGrid/>
              <w:spacing w:line="348" w:lineRule="auto"/>
              <w:ind w:firstLine="480" w:firstLineChars="200"/>
              <w:textAlignment w:val="auto"/>
              <w:outlineLvl w:val="9"/>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en-US" w:eastAsia="zh-CN"/>
              </w:rPr>
              <w:t>项目内拟设置1个食堂，内部设置</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个灶头，属于小型饮食业单位。厨房内使用电和液化气，属于清洁能源。厨房中产生的废气主要</w:t>
            </w:r>
            <w:r>
              <w:rPr>
                <w:rFonts w:hint="default" w:ascii="Times New Roman" w:hAnsi="Times New Roman" w:eastAsia="宋体" w:cs="Times New Roman"/>
                <w:color w:val="auto"/>
                <w:sz w:val="24"/>
                <w:szCs w:val="24"/>
                <w:highlight w:val="none"/>
                <w:lang w:val="zh-CN" w:eastAsia="zh-CN"/>
              </w:rPr>
              <w:t>为油烟，无燃烧废气产生。食堂油烟经净化处理设备处理达标后经高于房顶1.5m高的排气筒外排。根据营养膳食按每天使用食用油30g/人，本项目食堂</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val="zh-CN" w:eastAsia="zh-CN"/>
              </w:rPr>
              <w:t>人用餐，在食堂烹饪过程中产生的油烟挥发量按食用油量的2%计算，项目每天提供3餐，炊事时间按4h计算。净化设备每天运行4h，油烟净化设施风量为</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eastAsia="zh-CN"/>
              </w:rPr>
              <w:t>000m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eastAsia="zh-CN"/>
              </w:rPr>
              <w:t>/h</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zh-CN" w:eastAsia="zh-CN"/>
              </w:rPr>
              <w:t>处理效率不低于60%。</w:t>
            </w:r>
          </w:p>
          <w:p w14:paraId="351B2250">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b/>
                <w:bCs/>
                <w:color w:val="auto"/>
                <w:sz w:val="21"/>
                <w:szCs w:val="21"/>
                <w:highlight w:val="none"/>
                <w:lang w:val="en-US" w:eastAsia="zh-CN"/>
              </w:rPr>
              <w:t>表4-1</w:t>
            </w:r>
            <w:r>
              <w:rPr>
                <w:rFonts w:hint="eastAsia" w:cs="Times New Roman"/>
                <w:b/>
                <w:bCs/>
                <w:color w:val="auto"/>
                <w:sz w:val="21"/>
                <w:szCs w:val="21"/>
                <w:highlight w:val="none"/>
                <w:lang w:val="en-US" w:eastAsia="zh-CN"/>
              </w:rPr>
              <w:t>0</w:t>
            </w:r>
            <w:r>
              <w:rPr>
                <w:rFonts w:hint="default" w:ascii="Times New Roman" w:hAnsi="Times New Roman" w:eastAsia="宋体" w:cs="Times New Roman"/>
                <w:b/>
                <w:bCs/>
                <w:color w:val="auto"/>
                <w:sz w:val="21"/>
                <w:szCs w:val="21"/>
                <w:highlight w:val="none"/>
                <w:lang w:val="en-US" w:eastAsia="zh-CN"/>
              </w:rPr>
              <w:t xml:space="preserve">  食堂油烟产排情况一览表</w:t>
            </w:r>
          </w:p>
          <w:tbl>
            <w:tblPr>
              <w:tblStyle w:val="26"/>
              <w:tblW w:w="8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0"/>
              <w:gridCol w:w="663"/>
              <w:gridCol w:w="799"/>
              <w:gridCol w:w="636"/>
              <w:gridCol w:w="733"/>
              <w:gridCol w:w="682"/>
              <w:gridCol w:w="633"/>
              <w:gridCol w:w="963"/>
              <w:gridCol w:w="709"/>
              <w:gridCol w:w="636"/>
              <w:gridCol w:w="635"/>
              <w:gridCol w:w="683"/>
            </w:tblGrid>
            <w:tr w14:paraId="6880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610" w:type="dxa"/>
                  <w:vMerge w:val="restart"/>
                  <w:noWrap w:val="0"/>
                  <w:vAlign w:val="center"/>
                </w:tcPr>
                <w:p w14:paraId="5D74A43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污染源</w:t>
                  </w:r>
                </w:p>
              </w:tc>
              <w:tc>
                <w:tcPr>
                  <w:tcW w:w="663" w:type="dxa"/>
                  <w:vMerge w:val="restart"/>
                  <w:noWrap w:val="0"/>
                  <w:vAlign w:val="center"/>
                </w:tcPr>
                <w:p w14:paraId="71A92AE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用餐人数</w:t>
                  </w:r>
                </w:p>
              </w:tc>
              <w:tc>
                <w:tcPr>
                  <w:tcW w:w="799" w:type="dxa"/>
                  <w:vMerge w:val="restart"/>
                  <w:noWrap w:val="0"/>
                  <w:vAlign w:val="center"/>
                </w:tcPr>
                <w:p w14:paraId="176B626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食用油</w:t>
                  </w:r>
                  <w:r>
                    <w:rPr>
                      <w:rFonts w:hint="default" w:ascii="Times New Roman" w:hAnsi="Times New Roman" w:eastAsia="宋体" w:cs="Times New Roman"/>
                      <w:b/>
                      <w:bCs/>
                      <w:color w:val="auto"/>
                      <w:sz w:val="21"/>
                      <w:szCs w:val="21"/>
                      <w:highlight w:val="none"/>
                      <w:lang w:val="en-US" w:eastAsia="zh-CN"/>
                    </w:rPr>
                    <w:t>用量</w:t>
                  </w:r>
                </w:p>
              </w:tc>
              <w:tc>
                <w:tcPr>
                  <w:tcW w:w="2684" w:type="dxa"/>
                  <w:gridSpan w:val="4"/>
                  <w:noWrap w:val="0"/>
                  <w:vAlign w:val="center"/>
                </w:tcPr>
                <w:p w14:paraId="0429D056">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油烟产生情况</w:t>
                  </w:r>
                </w:p>
              </w:tc>
              <w:tc>
                <w:tcPr>
                  <w:tcW w:w="963" w:type="dxa"/>
                  <w:vMerge w:val="restart"/>
                  <w:noWrap w:val="0"/>
                  <w:vAlign w:val="center"/>
                </w:tcPr>
                <w:p w14:paraId="6BABE92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治理措施</w:t>
                  </w:r>
                </w:p>
              </w:tc>
              <w:tc>
                <w:tcPr>
                  <w:tcW w:w="2663" w:type="dxa"/>
                  <w:gridSpan w:val="4"/>
                  <w:noWrap w:val="0"/>
                  <w:vAlign w:val="center"/>
                </w:tcPr>
                <w:p w14:paraId="06715150">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排放情况</w:t>
                  </w:r>
                </w:p>
              </w:tc>
            </w:tr>
            <w:tr w14:paraId="22AA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jc w:val="center"/>
              </w:trPr>
              <w:tc>
                <w:tcPr>
                  <w:tcW w:w="610" w:type="dxa"/>
                  <w:vMerge w:val="continue"/>
                  <w:noWrap w:val="0"/>
                  <w:vAlign w:val="center"/>
                </w:tcPr>
                <w:p w14:paraId="3E740098">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highlight w:val="none"/>
                    </w:rPr>
                  </w:pPr>
                </w:p>
              </w:tc>
              <w:tc>
                <w:tcPr>
                  <w:tcW w:w="663" w:type="dxa"/>
                  <w:vMerge w:val="continue"/>
                  <w:noWrap w:val="0"/>
                  <w:vAlign w:val="center"/>
                </w:tcPr>
                <w:p w14:paraId="7DE18BF1">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highlight w:val="none"/>
                    </w:rPr>
                  </w:pPr>
                </w:p>
              </w:tc>
              <w:tc>
                <w:tcPr>
                  <w:tcW w:w="799" w:type="dxa"/>
                  <w:vMerge w:val="continue"/>
                  <w:noWrap w:val="0"/>
                  <w:vAlign w:val="center"/>
                </w:tcPr>
                <w:p w14:paraId="6F3264B9">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highlight w:val="none"/>
                    </w:rPr>
                  </w:pPr>
                </w:p>
              </w:tc>
              <w:tc>
                <w:tcPr>
                  <w:tcW w:w="636" w:type="dxa"/>
                  <w:noWrap w:val="0"/>
                  <w:vAlign w:val="center"/>
                </w:tcPr>
                <w:p w14:paraId="3262014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kg/d</w:t>
                  </w:r>
                </w:p>
              </w:tc>
              <w:tc>
                <w:tcPr>
                  <w:tcW w:w="733" w:type="dxa"/>
                  <w:noWrap w:val="0"/>
                  <w:vAlign w:val="center"/>
                </w:tcPr>
                <w:p w14:paraId="7CD5276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t/a</w:t>
                  </w:r>
                </w:p>
              </w:tc>
              <w:tc>
                <w:tcPr>
                  <w:tcW w:w="682" w:type="dxa"/>
                  <w:noWrap w:val="0"/>
                  <w:vAlign w:val="center"/>
                </w:tcPr>
                <w:p w14:paraId="35C0F86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kg/h</w:t>
                  </w:r>
                </w:p>
              </w:tc>
              <w:tc>
                <w:tcPr>
                  <w:tcW w:w="633" w:type="dxa"/>
                  <w:noWrap w:val="0"/>
                  <w:vAlign w:val="center"/>
                </w:tcPr>
                <w:p w14:paraId="156135C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mg/m</w:t>
                  </w:r>
                  <w:r>
                    <w:rPr>
                      <w:rFonts w:hint="default" w:ascii="Times New Roman" w:hAnsi="Times New Roman" w:eastAsia="宋体" w:cs="Times New Roman"/>
                      <w:b/>
                      <w:bCs/>
                      <w:color w:val="auto"/>
                      <w:sz w:val="21"/>
                      <w:szCs w:val="21"/>
                      <w:highlight w:val="none"/>
                      <w:vertAlign w:val="superscript"/>
                      <w:lang w:val="zh-CN" w:eastAsia="zh-CN"/>
                    </w:rPr>
                    <w:t>3</w:t>
                  </w:r>
                </w:p>
              </w:tc>
              <w:tc>
                <w:tcPr>
                  <w:tcW w:w="963" w:type="dxa"/>
                  <w:vMerge w:val="continue"/>
                  <w:noWrap w:val="0"/>
                  <w:vAlign w:val="center"/>
                </w:tcPr>
                <w:p w14:paraId="033D540F">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p>
              </w:tc>
              <w:tc>
                <w:tcPr>
                  <w:tcW w:w="709" w:type="dxa"/>
                  <w:noWrap w:val="0"/>
                  <w:vAlign w:val="center"/>
                </w:tcPr>
                <w:p w14:paraId="30895D9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kg/d</w:t>
                  </w:r>
                </w:p>
              </w:tc>
              <w:tc>
                <w:tcPr>
                  <w:tcW w:w="636" w:type="dxa"/>
                  <w:noWrap w:val="0"/>
                  <w:vAlign w:val="center"/>
                </w:tcPr>
                <w:p w14:paraId="2143DD0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t/a</w:t>
                  </w:r>
                </w:p>
              </w:tc>
              <w:tc>
                <w:tcPr>
                  <w:tcW w:w="635" w:type="dxa"/>
                  <w:noWrap w:val="0"/>
                  <w:vAlign w:val="center"/>
                </w:tcPr>
                <w:p w14:paraId="1486AAB6">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kg/h</w:t>
                  </w:r>
                </w:p>
              </w:tc>
              <w:tc>
                <w:tcPr>
                  <w:tcW w:w="683" w:type="dxa"/>
                  <w:noWrap w:val="0"/>
                  <w:vAlign w:val="center"/>
                </w:tcPr>
                <w:p w14:paraId="46ED554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mg/m</w:t>
                  </w:r>
                  <w:r>
                    <w:rPr>
                      <w:rFonts w:hint="default" w:ascii="Times New Roman" w:hAnsi="Times New Roman" w:eastAsia="宋体" w:cs="Times New Roman"/>
                      <w:b/>
                      <w:bCs/>
                      <w:color w:val="auto"/>
                      <w:sz w:val="21"/>
                      <w:szCs w:val="21"/>
                      <w:highlight w:val="none"/>
                      <w:vertAlign w:val="superscript"/>
                      <w:lang w:val="zh-CN" w:eastAsia="zh-CN"/>
                    </w:rPr>
                    <w:t>3</w:t>
                  </w:r>
                </w:p>
              </w:tc>
            </w:tr>
            <w:tr w14:paraId="1C90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10" w:type="dxa"/>
                  <w:noWrap w:val="0"/>
                  <w:vAlign w:val="center"/>
                </w:tcPr>
                <w:p w14:paraId="6433BBF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食堂</w:t>
                  </w:r>
                </w:p>
              </w:tc>
              <w:tc>
                <w:tcPr>
                  <w:tcW w:w="663" w:type="dxa"/>
                  <w:noWrap w:val="0"/>
                  <w:vAlign w:val="center"/>
                </w:tcPr>
                <w:p w14:paraId="32786182">
                  <w:pPr>
                    <w:keepNext w:val="0"/>
                    <w:keepLines w:val="0"/>
                    <w:widowControl/>
                    <w:suppressLineNumbers w:val="0"/>
                    <w:shd w:val="clear"/>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20人/d</w:t>
                  </w:r>
                </w:p>
              </w:tc>
              <w:tc>
                <w:tcPr>
                  <w:tcW w:w="799" w:type="dxa"/>
                  <w:noWrap w:val="0"/>
                  <w:vAlign w:val="center"/>
                </w:tcPr>
                <w:p w14:paraId="6BC0FD30">
                  <w:pPr>
                    <w:keepNext w:val="0"/>
                    <w:keepLines w:val="0"/>
                    <w:widowControl/>
                    <w:suppressLineNumbers w:val="0"/>
                    <w:shd w:val="clear"/>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30g/人</w:t>
                  </w:r>
                </w:p>
              </w:tc>
              <w:tc>
                <w:tcPr>
                  <w:tcW w:w="636" w:type="dxa"/>
                  <w:noWrap w:val="0"/>
                  <w:vAlign w:val="center"/>
                </w:tcPr>
                <w:p w14:paraId="283A6C8C">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2</w:t>
                  </w:r>
                </w:p>
              </w:tc>
              <w:tc>
                <w:tcPr>
                  <w:tcW w:w="733" w:type="dxa"/>
                  <w:noWrap w:val="0"/>
                  <w:vAlign w:val="center"/>
                </w:tcPr>
                <w:p w14:paraId="406E41EC">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36</w:t>
                  </w:r>
                </w:p>
              </w:tc>
              <w:tc>
                <w:tcPr>
                  <w:tcW w:w="682" w:type="dxa"/>
                  <w:noWrap w:val="0"/>
                  <w:vAlign w:val="center"/>
                </w:tcPr>
                <w:p w14:paraId="174ED96F">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03</w:t>
                  </w:r>
                </w:p>
              </w:tc>
              <w:tc>
                <w:tcPr>
                  <w:tcW w:w="633" w:type="dxa"/>
                  <w:noWrap w:val="0"/>
                  <w:vAlign w:val="center"/>
                </w:tcPr>
                <w:p w14:paraId="24643A9C">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i w:val="0"/>
                      <w:iCs w:val="0"/>
                      <w:color w:val="auto"/>
                      <w:kern w:val="0"/>
                      <w:sz w:val="21"/>
                      <w:szCs w:val="21"/>
                      <w:u w:val="none"/>
                      <w:lang w:val="en-US" w:eastAsia="zh-CN" w:bidi="ar"/>
                    </w:rPr>
                    <w:t>1</w:t>
                  </w:r>
                  <w:r>
                    <w:rPr>
                      <w:rFonts w:hint="default" w:ascii="Times New Roman" w:hAnsi="Times New Roman" w:eastAsia="宋体" w:cs="Times New Roman"/>
                      <w:i w:val="0"/>
                      <w:iCs w:val="0"/>
                      <w:color w:val="auto"/>
                      <w:kern w:val="0"/>
                      <w:sz w:val="21"/>
                      <w:szCs w:val="21"/>
                      <w:u w:val="none"/>
                      <w:lang w:val="en-US" w:eastAsia="zh-CN" w:bidi="ar"/>
                    </w:rPr>
                    <w:t>.5</w:t>
                  </w:r>
                </w:p>
              </w:tc>
              <w:tc>
                <w:tcPr>
                  <w:tcW w:w="963" w:type="dxa"/>
                  <w:noWrap w:val="0"/>
                  <w:vAlign w:val="center"/>
                </w:tcPr>
                <w:p w14:paraId="0DE43B0A">
                  <w:pPr>
                    <w:keepNext w:val="0"/>
                    <w:keepLines w:val="0"/>
                    <w:widowControl/>
                    <w:suppressLineNumbers w:val="0"/>
                    <w:shd w:val="clear"/>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油烟净化器</w:t>
                  </w:r>
                  <w:r>
                    <w:rPr>
                      <w:rStyle w:val="88"/>
                      <w:rFonts w:hint="default" w:ascii="Times New Roman" w:hAnsi="Times New Roman" w:eastAsia="宋体" w:cs="Times New Roman"/>
                      <w:b w:val="0"/>
                      <w:bCs w:val="0"/>
                      <w:color w:val="auto"/>
                      <w:sz w:val="21"/>
                      <w:szCs w:val="21"/>
                      <w:highlight w:val="none"/>
                      <w:lang w:val="en-US" w:eastAsia="zh-CN" w:bidi="ar"/>
                    </w:rPr>
                    <w:t>+</w:t>
                  </w:r>
                  <w:r>
                    <w:rPr>
                      <w:rStyle w:val="87"/>
                      <w:rFonts w:hint="default" w:ascii="Times New Roman" w:hAnsi="Times New Roman" w:eastAsia="宋体" w:cs="Times New Roman"/>
                      <w:b w:val="0"/>
                      <w:bCs w:val="0"/>
                      <w:color w:val="auto"/>
                      <w:sz w:val="21"/>
                      <w:szCs w:val="21"/>
                      <w:highlight w:val="none"/>
                      <w:lang w:val="en-US" w:eastAsia="zh-CN" w:bidi="ar"/>
                    </w:rPr>
                    <w:t>高于房顶</w:t>
                  </w:r>
                  <w:r>
                    <w:rPr>
                      <w:rStyle w:val="88"/>
                      <w:rFonts w:hint="default" w:ascii="Times New Roman" w:hAnsi="Times New Roman" w:eastAsia="宋体" w:cs="Times New Roman"/>
                      <w:b w:val="0"/>
                      <w:bCs w:val="0"/>
                      <w:color w:val="auto"/>
                      <w:sz w:val="21"/>
                      <w:szCs w:val="21"/>
                      <w:highlight w:val="none"/>
                      <w:lang w:val="en-US" w:eastAsia="zh-CN" w:bidi="ar"/>
                    </w:rPr>
                    <w:t>1.5m</w:t>
                  </w:r>
                  <w:r>
                    <w:rPr>
                      <w:rStyle w:val="87"/>
                      <w:rFonts w:hint="default" w:ascii="Times New Roman" w:hAnsi="Times New Roman" w:eastAsia="宋体" w:cs="Times New Roman"/>
                      <w:b w:val="0"/>
                      <w:bCs w:val="0"/>
                      <w:color w:val="auto"/>
                      <w:sz w:val="21"/>
                      <w:szCs w:val="21"/>
                      <w:highlight w:val="none"/>
                      <w:lang w:val="en-US" w:eastAsia="zh-CN" w:bidi="ar"/>
                    </w:rPr>
                    <w:t>排气筒</w:t>
                  </w:r>
                </w:p>
              </w:tc>
              <w:tc>
                <w:tcPr>
                  <w:tcW w:w="709" w:type="dxa"/>
                  <w:noWrap w:val="0"/>
                  <w:vAlign w:val="center"/>
                </w:tcPr>
                <w:p w14:paraId="784AFAB4">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048</w:t>
                  </w:r>
                </w:p>
              </w:tc>
              <w:tc>
                <w:tcPr>
                  <w:tcW w:w="636" w:type="dxa"/>
                  <w:noWrap w:val="0"/>
                  <w:vAlign w:val="center"/>
                </w:tcPr>
                <w:p w14:paraId="2BDB9825">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14</w:t>
                  </w:r>
                  <w:r>
                    <w:rPr>
                      <w:rFonts w:hint="default" w:ascii="Times New Roman" w:hAnsi="Times New Roman" w:eastAsia="宋体" w:cs="Times New Roman"/>
                      <w:i w:val="0"/>
                      <w:iCs w:val="0"/>
                      <w:color w:val="auto"/>
                      <w:kern w:val="0"/>
                      <w:sz w:val="21"/>
                      <w:szCs w:val="21"/>
                      <w:u w:val="none"/>
                      <w:lang w:val="en-US" w:eastAsia="zh-CN" w:bidi="ar"/>
                    </w:rPr>
                    <w:t>4</w:t>
                  </w:r>
                </w:p>
              </w:tc>
              <w:tc>
                <w:tcPr>
                  <w:tcW w:w="635" w:type="dxa"/>
                  <w:noWrap w:val="0"/>
                  <w:vAlign w:val="center"/>
                </w:tcPr>
                <w:p w14:paraId="4FAAE334">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12</w:t>
                  </w:r>
                </w:p>
              </w:tc>
              <w:tc>
                <w:tcPr>
                  <w:tcW w:w="683" w:type="dxa"/>
                  <w:noWrap w:val="0"/>
                  <w:vAlign w:val="center"/>
                </w:tcPr>
                <w:p w14:paraId="06A82AA6">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i w:val="0"/>
                      <w:iCs w:val="0"/>
                      <w:color w:val="auto"/>
                      <w:kern w:val="0"/>
                      <w:sz w:val="21"/>
                      <w:szCs w:val="21"/>
                      <w:u w:val="none"/>
                      <w:lang w:val="en-US" w:eastAsia="zh-CN" w:bidi="ar"/>
                    </w:rPr>
                    <w:t>0.6</w:t>
                  </w:r>
                </w:p>
              </w:tc>
            </w:tr>
          </w:tbl>
          <w:p w14:paraId="37EAF60A">
            <w:pPr>
              <w:keepNext w:val="0"/>
              <w:keepLines w:val="0"/>
              <w:pageBreakBefore w:val="0"/>
              <w:widowControl w:val="0"/>
              <w:shd w:val="clear"/>
              <w:kinsoku/>
              <w:wordWrap/>
              <w:overflowPunct/>
              <w:topLinePunct w:val="0"/>
              <w:autoSpaceDE/>
              <w:autoSpaceDN/>
              <w:bidi w:val="0"/>
              <w:adjustRightInd/>
              <w:snapToGrid/>
              <w:spacing w:line="348" w:lineRule="auto"/>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综上可知，项目区食堂油烟</w:t>
            </w:r>
            <w:r>
              <w:rPr>
                <w:rFonts w:hint="default" w:ascii="Times New Roman" w:hAnsi="Times New Roman" w:eastAsia="宋体" w:cs="Times New Roman"/>
                <w:color w:val="auto"/>
                <w:sz w:val="24"/>
                <w:szCs w:val="24"/>
                <w:highlight w:val="none"/>
                <w:lang w:val="zh-CN" w:eastAsia="zh-CN"/>
              </w:rPr>
              <w:t>能</w:t>
            </w:r>
            <w:r>
              <w:rPr>
                <w:rFonts w:hint="default" w:ascii="Times New Roman" w:hAnsi="Times New Roman" w:eastAsia="宋体" w:cs="Times New Roman"/>
                <w:color w:val="auto"/>
                <w:sz w:val="24"/>
                <w:szCs w:val="24"/>
                <w:highlight w:val="none"/>
                <w:lang w:val="en-US" w:eastAsia="zh-CN"/>
              </w:rPr>
              <w:t>满足</w:t>
            </w:r>
            <w:r>
              <w:rPr>
                <w:rFonts w:hint="default" w:ascii="Times New Roman" w:hAnsi="Times New Roman" w:eastAsia="宋体" w:cs="Times New Roman"/>
                <w:color w:val="auto"/>
                <w:sz w:val="24"/>
                <w:highlight w:val="none"/>
                <w:lang w:val="en-US" w:eastAsia="zh-CN"/>
              </w:rPr>
              <w:t>《饮食业油烟排放标准（试行）》（GB18483-2001）中的</w:t>
            </w:r>
            <w:r>
              <w:rPr>
                <w:rFonts w:hint="default" w:ascii="Times New Roman" w:hAnsi="Times New Roman" w:eastAsia="宋体" w:cs="Times New Roman"/>
                <w:color w:val="auto"/>
                <w:sz w:val="24"/>
                <w:szCs w:val="24"/>
                <w:highlight w:val="none"/>
                <w:lang w:val="en-US" w:eastAsia="zh-CN"/>
              </w:rPr>
              <w:t>小型规模</w:t>
            </w:r>
            <w:r>
              <w:rPr>
                <w:rFonts w:hint="default" w:ascii="Times New Roman" w:hAnsi="Times New Roman" w:eastAsia="宋体" w:cs="Times New Roman"/>
                <w:color w:val="auto"/>
                <w:sz w:val="24"/>
                <w:szCs w:val="24"/>
                <w:highlight w:val="none"/>
              </w:rPr>
              <w:t>最高允许排放浓度</w:t>
            </w:r>
            <w:r>
              <w:rPr>
                <w:rFonts w:hint="default" w:ascii="Times New Roman" w:hAnsi="Times New Roman" w:eastAsia="宋体" w:cs="Times New Roman"/>
                <w:color w:val="auto"/>
                <w:sz w:val="24"/>
                <w:szCs w:val="24"/>
                <w:highlight w:val="none"/>
                <w:lang w:val="en-US" w:eastAsia="zh-CN"/>
              </w:rPr>
              <w:t>要求</w:t>
            </w:r>
            <w:r>
              <w:rPr>
                <w:rFonts w:hint="default" w:ascii="Times New Roman" w:hAnsi="Times New Roman" w:eastAsia="宋体" w:cs="Times New Roman"/>
                <w:color w:val="auto"/>
                <w:sz w:val="24"/>
                <w:szCs w:val="24"/>
                <w:highlight w:val="none"/>
              </w:rPr>
              <w:t>，即油烟≤</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.0mg/m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p>
          <w:p w14:paraId="214837AE">
            <w:pPr>
              <w:keepNext w:val="0"/>
              <w:keepLines w:val="0"/>
              <w:pageBreakBefore w:val="0"/>
              <w:widowControl w:val="0"/>
              <w:shd w:val="clear"/>
              <w:kinsoku/>
              <w:wordWrap/>
              <w:overflowPunct/>
              <w:topLinePunct w:val="0"/>
              <w:autoSpaceDE/>
              <w:autoSpaceDN/>
              <w:bidi w:val="0"/>
              <w:adjustRightInd/>
              <w:snapToGrid/>
              <w:spacing w:line="348" w:lineRule="auto"/>
              <w:ind w:left="0" w:leftChars="0" w:firstLine="506" w:firstLineChars="200"/>
              <w:textAlignment w:val="auto"/>
              <w:outlineLvl w:val="9"/>
              <w:rPr>
                <w:rFonts w:hint="default" w:ascii="Times New Roman" w:hAnsi="Times New Roman" w:eastAsia="宋体" w:cs="Times New Roman"/>
                <w:b/>
                <w:bCs/>
                <w:color w:val="auto"/>
                <w:spacing w:val="6"/>
                <w:kern w:val="2"/>
                <w:sz w:val="24"/>
                <w:szCs w:val="24"/>
                <w:highlight w:val="none"/>
                <w:lang w:val="en-US" w:eastAsia="zh-CN" w:bidi="ar-SA"/>
              </w:rPr>
            </w:pPr>
            <w:r>
              <w:rPr>
                <w:rFonts w:hint="default" w:ascii="Times New Roman" w:hAnsi="Times New Roman" w:eastAsia="宋体" w:cs="Times New Roman"/>
                <w:b/>
                <w:bCs/>
                <w:color w:val="auto"/>
                <w:spacing w:val="6"/>
                <w:kern w:val="2"/>
                <w:sz w:val="24"/>
                <w:szCs w:val="24"/>
                <w:highlight w:val="none"/>
                <w:lang w:val="en-US" w:eastAsia="zh-CN" w:bidi="ar-SA"/>
              </w:rPr>
              <w:t>3）</w:t>
            </w:r>
            <w:r>
              <w:rPr>
                <w:rFonts w:hint="eastAsia" w:cs="Times New Roman"/>
                <w:b/>
                <w:bCs/>
                <w:color w:val="auto"/>
                <w:spacing w:val="6"/>
                <w:kern w:val="2"/>
                <w:sz w:val="24"/>
                <w:szCs w:val="24"/>
                <w:highlight w:val="none"/>
                <w:lang w:val="en-US" w:eastAsia="zh-CN" w:bidi="ar-SA"/>
              </w:rPr>
              <w:t>生产车间</w:t>
            </w:r>
            <w:r>
              <w:rPr>
                <w:rFonts w:hint="default" w:ascii="Times New Roman" w:hAnsi="Times New Roman" w:eastAsia="宋体" w:cs="Times New Roman"/>
                <w:b/>
                <w:bCs/>
                <w:color w:val="auto"/>
                <w:sz w:val="24"/>
                <w:szCs w:val="24"/>
                <w:highlight w:val="none"/>
                <w:lang w:eastAsia="zh-CN"/>
              </w:rPr>
              <w:t>异味</w:t>
            </w:r>
          </w:p>
          <w:p w14:paraId="4769A95C">
            <w:pPr>
              <w:spacing w:line="360" w:lineRule="auto"/>
              <w:ind w:firstLine="504" w:firstLineChars="200"/>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color w:val="auto"/>
                <w:spacing w:val="6"/>
                <w:sz w:val="24"/>
                <w:highlight w:val="none"/>
                <w:lang w:val="en-US" w:eastAsia="zh-CN"/>
              </w:rPr>
              <w:t>本项目生产过程中除产生挥发性有机物废气外，同时还会伴有轻微异味产生，以臭气浓度表征，产生量较小。生产车间臭气浓度大部分随有机废气一同收集为有组织排放，</w:t>
            </w:r>
            <w:r>
              <w:rPr>
                <w:rFonts w:hint="eastAsia"/>
                <w:color w:val="auto"/>
                <w:sz w:val="24"/>
                <w:szCs w:val="20"/>
              </w:rPr>
              <w:t>其余少量有机废气呈无组织逸散</w:t>
            </w:r>
            <w:r>
              <w:rPr>
                <w:rFonts w:hint="eastAsia"/>
                <w:color w:val="auto"/>
                <w:sz w:val="24"/>
                <w:szCs w:val="20"/>
                <w:lang w:eastAsia="zh-CN"/>
              </w:rPr>
              <w:t>；</w:t>
            </w:r>
            <w:r>
              <w:rPr>
                <w:rFonts w:hint="eastAsia"/>
                <w:color w:val="auto"/>
                <w:sz w:val="24"/>
                <w:szCs w:val="20"/>
              </w:rPr>
              <w:t>从而产生少量异味。若建设单位有效落实废气治理设施的维护，做好车间的通风换气措施，臭气浓度可达到《恶臭污染物排放标准》（</w:t>
            </w:r>
            <w:r>
              <w:rPr>
                <w:color w:val="auto"/>
                <w:sz w:val="24"/>
                <w:szCs w:val="20"/>
              </w:rPr>
              <w:t>GB14554-93</w:t>
            </w:r>
            <w:r>
              <w:rPr>
                <w:rFonts w:hint="eastAsia"/>
                <w:color w:val="auto"/>
                <w:sz w:val="24"/>
                <w:szCs w:val="20"/>
              </w:rPr>
              <w:t>）表</w:t>
            </w:r>
            <w:r>
              <w:rPr>
                <w:color w:val="auto"/>
                <w:sz w:val="24"/>
                <w:szCs w:val="20"/>
              </w:rPr>
              <w:t xml:space="preserve">1 </w:t>
            </w:r>
            <w:r>
              <w:rPr>
                <w:rFonts w:hint="eastAsia"/>
                <w:color w:val="auto"/>
                <w:sz w:val="24"/>
                <w:szCs w:val="20"/>
              </w:rPr>
              <w:t>新扩改建厂界标准限值二级标准，对周边大气环境的影响不大。</w:t>
            </w:r>
          </w:p>
          <w:p w14:paraId="510269CF">
            <w:pPr>
              <w:pStyle w:val="2"/>
              <w:keepNext w:val="0"/>
              <w:keepLines w:val="0"/>
              <w:pageBreakBefore w:val="0"/>
              <w:widowControl w:val="0"/>
              <w:shd w:val="clear"/>
              <w:kinsoku/>
              <w:wordWrap/>
              <w:overflowPunct/>
              <w:topLinePunct w:val="0"/>
              <w:autoSpaceDE/>
              <w:autoSpaceDN/>
              <w:bidi w:val="0"/>
              <w:adjustRightInd w:val="0"/>
              <w:snapToGrid w:val="0"/>
              <w:spacing w:after="0" w:line="348"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非正常排放分析</w:t>
            </w:r>
          </w:p>
          <w:p w14:paraId="6FB1911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项目发生非正常排放，即废气处理设施发生故障时，项目区内的废气处理效率下降甚至完全失效，本次环评主要考虑“</w:t>
            </w:r>
            <w:r>
              <w:rPr>
                <w:rFonts w:hint="eastAsia" w:cs="Times New Roman"/>
                <w:color w:val="auto"/>
                <w:kern w:val="2"/>
                <w:sz w:val="24"/>
                <w:szCs w:val="24"/>
                <w:highlight w:val="none"/>
                <w:lang w:val="en-US" w:eastAsia="zh-CN" w:bidi="ar-SA"/>
              </w:rPr>
              <w:t>布袋除尘器</w:t>
            </w:r>
            <w:r>
              <w:rPr>
                <w:rFonts w:hint="default" w:ascii="Times New Roman" w:hAnsi="Times New Roman" w:eastAsia="宋体" w:cs="Times New Roman"/>
                <w:color w:val="auto"/>
                <w:kern w:val="2"/>
                <w:sz w:val="24"/>
                <w:szCs w:val="24"/>
                <w:highlight w:val="none"/>
                <w:lang w:val="en-US" w:eastAsia="zh-CN" w:bidi="ar-SA"/>
              </w:rPr>
              <w:t>”、“三级活性炭吸附装置”处理效率降至0%的情况。此时DA001</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DA00</w:t>
            </w:r>
            <w:r>
              <w:rPr>
                <w:rFonts w:hint="eastAsia" w:cs="Times New Roman"/>
                <w:color w:val="auto"/>
                <w:kern w:val="2"/>
                <w:sz w:val="24"/>
                <w:szCs w:val="24"/>
                <w:highlight w:val="none"/>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排气筒中污染物浓度大幅增加，对周围环境影响较大。项目非正常排放条件下废气排放情况详见表4-1</w:t>
            </w:r>
            <w:r>
              <w:rPr>
                <w:rFonts w:hint="eastAsia" w:cs="Times New Roman"/>
                <w:color w:val="auto"/>
                <w:kern w:val="2"/>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w:t>
            </w:r>
          </w:p>
          <w:p w14:paraId="093EF166">
            <w:pPr>
              <w:keepNext w:val="0"/>
              <w:keepLines w:val="0"/>
              <w:pageBreakBefore w:val="0"/>
              <w:widowControl w:val="0"/>
              <w:shd w:val="clear"/>
              <w:kinsoku/>
              <w:wordWrap/>
              <w:overflowPunct/>
              <w:topLinePunct w:val="0"/>
              <w:autoSpaceDE/>
              <w:autoSpaceDN/>
              <w:bidi w:val="0"/>
              <w:adjustRightInd/>
              <w:snapToGrid/>
              <w:spacing w:line="240" w:lineRule="auto"/>
              <w:ind w:firstLine="42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4-1</w:t>
            </w:r>
            <w:r>
              <w:rPr>
                <w:rFonts w:hint="eastAsia" w:cs="Times New Roman"/>
                <w:b/>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本项目有组织</w:t>
            </w:r>
            <w:r>
              <w:rPr>
                <w:rFonts w:hint="default" w:ascii="Times New Roman" w:hAnsi="Times New Roman" w:eastAsia="宋体" w:cs="Times New Roman"/>
                <w:b/>
                <w:bCs/>
                <w:color w:val="auto"/>
                <w:sz w:val="21"/>
                <w:szCs w:val="21"/>
                <w:highlight w:val="none"/>
                <w:lang w:val="en-US" w:eastAsia="zh-CN"/>
              </w:rPr>
              <w:t>有机废气</w:t>
            </w:r>
            <w:r>
              <w:rPr>
                <w:rFonts w:hint="default" w:ascii="Times New Roman" w:hAnsi="Times New Roman" w:eastAsia="宋体" w:cs="Times New Roman"/>
                <w:b/>
                <w:bCs/>
                <w:color w:val="auto"/>
                <w:sz w:val="21"/>
                <w:szCs w:val="21"/>
                <w:highlight w:val="none"/>
              </w:rPr>
              <w:t>非正常工况下排放情况表</w:t>
            </w:r>
          </w:p>
          <w:tbl>
            <w:tblPr>
              <w:tblStyle w:val="26"/>
              <w:tblW w:w="8349" w:type="dxa"/>
              <w:tblInd w:w="4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55"/>
              <w:gridCol w:w="651"/>
              <w:gridCol w:w="978"/>
              <w:gridCol w:w="794"/>
              <w:gridCol w:w="814"/>
              <w:gridCol w:w="798"/>
              <w:gridCol w:w="798"/>
              <w:gridCol w:w="564"/>
              <w:gridCol w:w="504"/>
              <w:gridCol w:w="459"/>
              <w:gridCol w:w="734"/>
            </w:tblGrid>
            <w:tr w14:paraId="4D6287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1255" w:type="dxa"/>
                  <w:vMerge w:val="restart"/>
                  <w:tcBorders>
                    <w:tl2br w:val="nil"/>
                    <w:tr2bl w:val="nil"/>
                  </w:tcBorders>
                  <w:noWrap w:val="0"/>
                  <w:vAlign w:val="center"/>
                </w:tcPr>
                <w:p w14:paraId="245C21F0">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污染源</w:t>
                  </w:r>
                </w:p>
              </w:tc>
              <w:tc>
                <w:tcPr>
                  <w:tcW w:w="651" w:type="dxa"/>
                  <w:vMerge w:val="restart"/>
                  <w:tcBorders>
                    <w:tl2br w:val="nil"/>
                    <w:tr2bl w:val="nil"/>
                  </w:tcBorders>
                  <w:noWrap w:val="0"/>
                  <w:vAlign w:val="center"/>
                </w:tcPr>
                <w:p w14:paraId="77FDD935">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val="0"/>
                      <w:color w:val="auto"/>
                      <w:sz w:val="21"/>
                      <w:szCs w:val="21"/>
                      <w:highlight w:val="none"/>
                      <w:lang w:eastAsia="zh-CN"/>
                    </w:rPr>
                    <w:t>非正常排放原因</w:t>
                  </w:r>
                </w:p>
              </w:tc>
              <w:tc>
                <w:tcPr>
                  <w:tcW w:w="978" w:type="dxa"/>
                  <w:vMerge w:val="restart"/>
                  <w:tcBorders>
                    <w:tl2br w:val="nil"/>
                    <w:tr2bl w:val="nil"/>
                  </w:tcBorders>
                  <w:noWrap w:val="0"/>
                  <w:vAlign w:val="center"/>
                </w:tcPr>
                <w:p w14:paraId="5B390C71">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w:t>
                  </w:r>
                </w:p>
                <w:p w14:paraId="27CCE518">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因子</w:t>
                  </w:r>
                </w:p>
              </w:tc>
              <w:tc>
                <w:tcPr>
                  <w:tcW w:w="2406" w:type="dxa"/>
                  <w:gridSpan w:val="3"/>
                  <w:tcBorders>
                    <w:tl2br w:val="nil"/>
                    <w:tr2bl w:val="nil"/>
                  </w:tcBorders>
                  <w:noWrap w:val="0"/>
                  <w:vAlign w:val="top"/>
                </w:tcPr>
                <w:p w14:paraId="657F78FF">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非正常</w:t>
                  </w:r>
                  <w:r>
                    <w:rPr>
                      <w:rFonts w:hint="default" w:ascii="Times New Roman" w:hAnsi="Times New Roman" w:eastAsia="宋体" w:cs="Times New Roman"/>
                      <w:b/>
                      <w:color w:val="auto"/>
                      <w:sz w:val="21"/>
                      <w:szCs w:val="21"/>
                      <w:highlight w:val="none"/>
                    </w:rPr>
                    <w:t>排放情况</w:t>
                  </w:r>
                </w:p>
              </w:tc>
              <w:tc>
                <w:tcPr>
                  <w:tcW w:w="798" w:type="dxa"/>
                  <w:vMerge w:val="restart"/>
                  <w:tcBorders>
                    <w:tl2br w:val="nil"/>
                    <w:tr2bl w:val="nil"/>
                  </w:tcBorders>
                  <w:noWrap w:val="0"/>
                  <w:vAlign w:val="center"/>
                </w:tcPr>
                <w:p w14:paraId="6F9ECD51">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标准值mg/m</w:t>
                  </w:r>
                  <w:r>
                    <w:rPr>
                      <w:rFonts w:hint="default" w:ascii="Times New Roman" w:hAnsi="Times New Roman" w:eastAsia="宋体" w:cs="Times New Roman"/>
                      <w:b/>
                      <w:color w:val="auto"/>
                      <w:sz w:val="21"/>
                      <w:szCs w:val="21"/>
                      <w:highlight w:val="none"/>
                      <w:vertAlign w:val="superscript"/>
                    </w:rPr>
                    <w:t>3</w:t>
                  </w:r>
                </w:p>
              </w:tc>
              <w:tc>
                <w:tcPr>
                  <w:tcW w:w="564" w:type="dxa"/>
                  <w:vMerge w:val="restart"/>
                  <w:tcBorders>
                    <w:tl2br w:val="nil"/>
                    <w:tr2bl w:val="nil"/>
                  </w:tcBorders>
                  <w:noWrap w:val="0"/>
                  <w:vAlign w:val="center"/>
                </w:tcPr>
                <w:p w14:paraId="2E6BED6A">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达标情况</w:t>
                  </w:r>
                </w:p>
              </w:tc>
              <w:tc>
                <w:tcPr>
                  <w:tcW w:w="504" w:type="dxa"/>
                  <w:vMerge w:val="restart"/>
                  <w:tcBorders>
                    <w:tl2br w:val="nil"/>
                    <w:tr2bl w:val="nil"/>
                  </w:tcBorders>
                  <w:noWrap w:val="0"/>
                  <w:vAlign w:val="center"/>
                </w:tcPr>
                <w:p w14:paraId="6C3265A2">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val="0"/>
                      <w:color w:val="auto"/>
                      <w:sz w:val="21"/>
                      <w:szCs w:val="21"/>
                      <w:highlight w:val="none"/>
                      <w:lang w:eastAsia="zh-CN"/>
                    </w:rPr>
                    <w:t>单次持续时间</w:t>
                  </w:r>
                </w:p>
              </w:tc>
              <w:tc>
                <w:tcPr>
                  <w:tcW w:w="459" w:type="dxa"/>
                  <w:vMerge w:val="restart"/>
                  <w:tcBorders>
                    <w:tl2br w:val="nil"/>
                    <w:tr2bl w:val="nil"/>
                  </w:tcBorders>
                  <w:noWrap w:val="0"/>
                  <w:vAlign w:val="center"/>
                </w:tcPr>
                <w:p w14:paraId="0981F191">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val="0"/>
                      <w:color w:val="auto"/>
                      <w:sz w:val="21"/>
                      <w:szCs w:val="21"/>
                      <w:highlight w:val="none"/>
                      <w:lang w:eastAsia="zh-CN"/>
                    </w:rPr>
                    <w:t>年发生频次</w:t>
                  </w:r>
                </w:p>
              </w:tc>
              <w:tc>
                <w:tcPr>
                  <w:tcW w:w="734" w:type="dxa"/>
                  <w:vMerge w:val="restart"/>
                  <w:tcBorders>
                    <w:tl2br w:val="nil"/>
                    <w:tr2bl w:val="nil"/>
                  </w:tcBorders>
                  <w:noWrap w:val="0"/>
                  <w:vAlign w:val="center"/>
                </w:tcPr>
                <w:p w14:paraId="501034F1">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val="0"/>
                      <w:color w:val="auto"/>
                      <w:sz w:val="21"/>
                      <w:szCs w:val="21"/>
                      <w:highlight w:val="none"/>
                      <w:lang w:eastAsia="zh-CN"/>
                    </w:rPr>
                    <w:t>应对措施</w:t>
                  </w:r>
                </w:p>
              </w:tc>
            </w:tr>
            <w:tr w14:paraId="021053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1255" w:type="dxa"/>
                  <w:vMerge w:val="continue"/>
                  <w:tcBorders>
                    <w:tl2br w:val="nil"/>
                    <w:tr2bl w:val="nil"/>
                  </w:tcBorders>
                  <w:noWrap w:val="0"/>
                  <w:vAlign w:val="center"/>
                </w:tcPr>
                <w:p w14:paraId="5727EF65">
                  <w:pPr>
                    <w:shd w:val="clear"/>
                    <w:adjustRightInd w:val="0"/>
                    <w:snapToGrid w:val="0"/>
                    <w:jc w:val="center"/>
                    <w:rPr>
                      <w:rFonts w:hint="default" w:ascii="Times New Roman" w:hAnsi="Times New Roman" w:eastAsia="宋体" w:cs="Times New Roman"/>
                      <w:b/>
                      <w:color w:val="auto"/>
                      <w:sz w:val="21"/>
                      <w:szCs w:val="21"/>
                      <w:highlight w:val="none"/>
                    </w:rPr>
                  </w:pPr>
                </w:p>
              </w:tc>
              <w:tc>
                <w:tcPr>
                  <w:tcW w:w="651" w:type="dxa"/>
                  <w:vMerge w:val="continue"/>
                  <w:tcBorders>
                    <w:tl2br w:val="nil"/>
                    <w:tr2bl w:val="nil"/>
                  </w:tcBorders>
                  <w:noWrap w:val="0"/>
                  <w:vAlign w:val="center"/>
                </w:tcPr>
                <w:p w14:paraId="0E44F415">
                  <w:pPr>
                    <w:shd w:val="clear"/>
                    <w:adjustRightInd w:val="0"/>
                    <w:snapToGrid w:val="0"/>
                    <w:jc w:val="center"/>
                    <w:rPr>
                      <w:rFonts w:hint="default" w:ascii="Times New Roman" w:hAnsi="Times New Roman" w:eastAsia="宋体" w:cs="Times New Roman"/>
                      <w:b/>
                      <w:color w:val="auto"/>
                      <w:sz w:val="21"/>
                      <w:szCs w:val="21"/>
                      <w:highlight w:val="none"/>
                    </w:rPr>
                  </w:pPr>
                </w:p>
              </w:tc>
              <w:tc>
                <w:tcPr>
                  <w:tcW w:w="978" w:type="dxa"/>
                  <w:vMerge w:val="continue"/>
                  <w:tcBorders>
                    <w:tl2br w:val="nil"/>
                    <w:tr2bl w:val="nil"/>
                  </w:tcBorders>
                  <w:noWrap w:val="0"/>
                  <w:vAlign w:val="center"/>
                </w:tcPr>
                <w:p w14:paraId="43B16048">
                  <w:pPr>
                    <w:shd w:val="clear"/>
                    <w:adjustRightInd w:val="0"/>
                    <w:snapToGrid w:val="0"/>
                    <w:jc w:val="center"/>
                    <w:rPr>
                      <w:rFonts w:hint="default" w:ascii="Times New Roman" w:hAnsi="Times New Roman" w:eastAsia="宋体" w:cs="Times New Roman"/>
                      <w:b/>
                      <w:color w:val="auto"/>
                      <w:sz w:val="21"/>
                      <w:szCs w:val="21"/>
                      <w:highlight w:val="none"/>
                    </w:rPr>
                  </w:pPr>
                </w:p>
              </w:tc>
              <w:tc>
                <w:tcPr>
                  <w:tcW w:w="794" w:type="dxa"/>
                  <w:tcBorders>
                    <w:tl2br w:val="nil"/>
                    <w:tr2bl w:val="nil"/>
                  </w:tcBorders>
                  <w:noWrap w:val="0"/>
                  <w:vAlign w:val="center"/>
                </w:tcPr>
                <w:p w14:paraId="573A04B9">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排放量t/a</w:t>
                  </w:r>
                </w:p>
              </w:tc>
              <w:tc>
                <w:tcPr>
                  <w:tcW w:w="814" w:type="dxa"/>
                  <w:tcBorders>
                    <w:tl2br w:val="nil"/>
                    <w:tr2bl w:val="nil"/>
                  </w:tcBorders>
                  <w:noWrap w:val="0"/>
                  <w:vAlign w:val="center"/>
                </w:tcPr>
                <w:p w14:paraId="14EF3C7E">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排放速率kg/h</w:t>
                  </w:r>
                </w:p>
              </w:tc>
              <w:tc>
                <w:tcPr>
                  <w:tcW w:w="798" w:type="dxa"/>
                  <w:tcBorders>
                    <w:tl2br w:val="nil"/>
                    <w:tr2bl w:val="nil"/>
                  </w:tcBorders>
                  <w:noWrap w:val="0"/>
                  <w:vAlign w:val="center"/>
                </w:tcPr>
                <w:p w14:paraId="36E58A87">
                  <w:pPr>
                    <w:shd w:val="clea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排放浓度mg/m</w:t>
                  </w:r>
                  <w:r>
                    <w:rPr>
                      <w:rFonts w:hint="default" w:ascii="Times New Roman" w:hAnsi="Times New Roman" w:eastAsia="宋体" w:cs="Times New Roman"/>
                      <w:b/>
                      <w:color w:val="auto"/>
                      <w:sz w:val="21"/>
                      <w:szCs w:val="21"/>
                      <w:highlight w:val="none"/>
                      <w:vertAlign w:val="superscript"/>
                    </w:rPr>
                    <w:t>3</w:t>
                  </w:r>
                </w:p>
              </w:tc>
              <w:tc>
                <w:tcPr>
                  <w:tcW w:w="798" w:type="dxa"/>
                  <w:vMerge w:val="continue"/>
                  <w:tcBorders>
                    <w:tl2br w:val="nil"/>
                    <w:tr2bl w:val="nil"/>
                  </w:tcBorders>
                  <w:noWrap w:val="0"/>
                  <w:vAlign w:val="center"/>
                </w:tcPr>
                <w:p w14:paraId="0D4A6CB2">
                  <w:pPr>
                    <w:shd w:val="clear"/>
                    <w:adjustRightInd w:val="0"/>
                    <w:snapToGrid w:val="0"/>
                    <w:jc w:val="center"/>
                    <w:rPr>
                      <w:rFonts w:hint="default" w:ascii="Times New Roman" w:hAnsi="Times New Roman" w:eastAsia="宋体" w:cs="Times New Roman"/>
                      <w:b/>
                      <w:color w:val="auto"/>
                      <w:sz w:val="21"/>
                      <w:szCs w:val="21"/>
                      <w:highlight w:val="none"/>
                    </w:rPr>
                  </w:pPr>
                </w:p>
              </w:tc>
              <w:tc>
                <w:tcPr>
                  <w:tcW w:w="564" w:type="dxa"/>
                  <w:vMerge w:val="continue"/>
                  <w:tcBorders>
                    <w:tl2br w:val="nil"/>
                    <w:tr2bl w:val="nil"/>
                  </w:tcBorders>
                  <w:noWrap w:val="0"/>
                  <w:vAlign w:val="center"/>
                </w:tcPr>
                <w:p w14:paraId="454D3AF8">
                  <w:pPr>
                    <w:shd w:val="clear"/>
                    <w:adjustRightInd w:val="0"/>
                    <w:snapToGrid w:val="0"/>
                    <w:jc w:val="center"/>
                    <w:rPr>
                      <w:rFonts w:hint="default" w:ascii="Times New Roman" w:hAnsi="Times New Roman" w:eastAsia="宋体" w:cs="Times New Roman"/>
                      <w:b/>
                      <w:color w:val="auto"/>
                      <w:sz w:val="21"/>
                      <w:szCs w:val="21"/>
                      <w:highlight w:val="none"/>
                    </w:rPr>
                  </w:pPr>
                </w:p>
              </w:tc>
              <w:tc>
                <w:tcPr>
                  <w:tcW w:w="504" w:type="dxa"/>
                  <w:vMerge w:val="continue"/>
                  <w:tcBorders>
                    <w:tl2br w:val="nil"/>
                    <w:tr2bl w:val="nil"/>
                  </w:tcBorders>
                  <w:noWrap w:val="0"/>
                  <w:vAlign w:val="center"/>
                </w:tcPr>
                <w:p w14:paraId="0ECD7BCD">
                  <w:pPr>
                    <w:shd w:val="clear"/>
                    <w:adjustRightInd w:val="0"/>
                    <w:snapToGrid w:val="0"/>
                    <w:jc w:val="center"/>
                    <w:rPr>
                      <w:rFonts w:hint="default" w:ascii="Times New Roman" w:hAnsi="Times New Roman" w:eastAsia="宋体" w:cs="Times New Roman"/>
                      <w:b/>
                      <w:color w:val="auto"/>
                      <w:sz w:val="21"/>
                      <w:szCs w:val="21"/>
                      <w:highlight w:val="none"/>
                    </w:rPr>
                  </w:pPr>
                </w:p>
              </w:tc>
              <w:tc>
                <w:tcPr>
                  <w:tcW w:w="459" w:type="dxa"/>
                  <w:vMerge w:val="continue"/>
                  <w:tcBorders>
                    <w:tl2br w:val="nil"/>
                    <w:tr2bl w:val="nil"/>
                  </w:tcBorders>
                  <w:noWrap w:val="0"/>
                  <w:vAlign w:val="center"/>
                </w:tcPr>
                <w:p w14:paraId="4F540F28">
                  <w:pPr>
                    <w:shd w:val="clear"/>
                    <w:adjustRightInd w:val="0"/>
                    <w:snapToGrid w:val="0"/>
                    <w:jc w:val="center"/>
                    <w:rPr>
                      <w:rFonts w:hint="default" w:ascii="Times New Roman" w:hAnsi="Times New Roman" w:eastAsia="宋体" w:cs="Times New Roman"/>
                      <w:b/>
                      <w:color w:val="auto"/>
                      <w:sz w:val="21"/>
                      <w:szCs w:val="21"/>
                      <w:highlight w:val="none"/>
                    </w:rPr>
                  </w:pPr>
                </w:p>
              </w:tc>
              <w:tc>
                <w:tcPr>
                  <w:tcW w:w="734" w:type="dxa"/>
                  <w:vMerge w:val="continue"/>
                  <w:tcBorders>
                    <w:tl2br w:val="nil"/>
                    <w:tr2bl w:val="nil"/>
                  </w:tcBorders>
                  <w:noWrap w:val="0"/>
                  <w:vAlign w:val="center"/>
                </w:tcPr>
                <w:p w14:paraId="3525ED04">
                  <w:pPr>
                    <w:shd w:val="clear"/>
                    <w:adjustRightInd w:val="0"/>
                    <w:snapToGrid w:val="0"/>
                    <w:jc w:val="center"/>
                    <w:rPr>
                      <w:rFonts w:hint="default" w:ascii="Times New Roman" w:hAnsi="Times New Roman" w:eastAsia="宋体" w:cs="Times New Roman"/>
                      <w:b/>
                      <w:color w:val="auto"/>
                      <w:sz w:val="21"/>
                      <w:szCs w:val="21"/>
                      <w:highlight w:val="none"/>
                    </w:rPr>
                  </w:pPr>
                </w:p>
              </w:tc>
            </w:tr>
            <w:tr w14:paraId="36FD3B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1255" w:type="dxa"/>
                  <w:tcBorders>
                    <w:tl2br w:val="nil"/>
                    <w:tr2bl w:val="nil"/>
                  </w:tcBorders>
                  <w:noWrap w:val="0"/>
                  <w:vAlign w:val="center"/>
                </w:tcPr>
                <w:p w14:paraId="452469DC">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混料、破碎、磨粉</w:t>
                  </w:r>
                  <w:r>
                    <w:rPr>
                      <w:rFonts w:hint="default" w:ascii="Times New Roman" w:hAnsi="Times New Roman" w:eastAsia="宋体" w:cs="Times New Roman"/>
                      <w:color w:val="auto"/>
                      <w:sz w:val="21"/>
                      <w:szCs w:val="21"/>
                      <w:highlight w:val="none"/>
                      <w:lang w:val="en-US" w:eastAsia="zh-CN"/>
                    </w:rPr>
                    <w:t>废气（</w:t>
                  </w:r>
                  <w:r>
                    <w:rPr>
                      <w:rFonts w:hint="default" w:ascii="Times New Roman" w:hAnsi="Times New Roman" w:eastAsia="宋体" w:cs="Times New Roman"/>
                      <w:color w:val="auto"/>
                      <w:sz w:val="21"/>
                      <w:szCs w:val="21"/>
                      <w:highlight w:val="none"/>
                    </w:rPr>
                    <w:t>DA001</w:t>
                  </w:r>
                  <w:r>
                    <w:rPr>
                      <w:rFonts w:hint="default" w:ascii="Times New Roman" w:hAnsi="Times New Roman" w:eastAsia="宋体" w:cs="Times New Roman"/>
                      <w:color w:val="auto"/>
                      <w:sz w:val="21"/>
                      <w:szCs w:val="21"/>
                      <w:highlight w:val="none"/>
                      <w:lang w:val="en-US" w:eastAsia="zh-CN"/>
                    </w:rPr>
                    <w:t>）</w:t>
                  </w:r>
                </w:p>
              </w:tc>
              <w:tc>
                <w:tcPr>
                  <w:tcW w:w="651" w:type="dxa"/>
                  <w:vMerge w:val="restart"/>
                  <w:tcBorders>
                    <w:tl2br w:val="nil"/>
                    <w:tr2bl w:val="nil"/>
                  </w:tcBorders>
                  <w:noWrap w:val="0"/>
                  <w:vAlign w:val="center"/>
                </w:tcPr>
                <w:p w14:paraId="3180F6B9">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eastAsia="zh-CN"/>
                    </w:rPr>
                    <w:t>废气处理设备未及时进行</w:t>
                  </w:r>
                  <w:r>
                    <w:rPr>
                      <w:rFonts w:hint="default" w:ascii="Times New Roman" w:hAnsi="Times New Roman" w:eastAsia="宋体" w:cs="Times New Roman"/>
                      <w:b w:val="0"/>
                      <w:bCs/>
                      <w:color w:val="auto"/>
                      <w:sz w:val="21"/>
                      <w:szCs w:val="21"/>
                      <w:highlight w:val="none"/>
                      <w:lang w:val="en-US" w:eastAsia="zh-CN"/>
                    </w:rPr>
                    <w:t>维护、更换</w:t>
                  </w:r>
                  <w:r>
                    <w:rPr>
                      <w:rFonts w:hint="default" w:ascii="Times New Roman" w:hAnsi="Times New Roman" w:eastAsia="宋体" w:cs="Times New Roman"/>
                      <w:b w:val="0"/>
                      <w:bCs/>
                      <w:color w:val="auto"/>
                      <w:sz w:val="21"/>
                      <w:szCs w:val="21"/>
                      <w:highlight w:val="none"/>
                      <w:lang w:eastAsia="zh-CN"/>
                    </w:rPr>
                    <w:t>或出现故障</w:t>
                  </w:r>
                </w:p>
              </w:tc>
              <w:tc>
                <w:tcPr>
                  <w:tcW w:w="978" w:type="dxa"/>
                  <w:tcBorders>
                    <w:tl2br w:val="nil"/>
                    <w:tr2bl w:val="nil"/>
                  </w:tcBorders>
                  <w:noWrap w:val="0"/>
                  <w:vAlign w:val="center"/>
                </w:tcPr>
                <w:p w14:paraId="3415E915">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颗粒物</w:t>
                  </w:r>
                </w:p>
              </w:tc>
              <w:tc>
                <w:tcPr>
                  <w:tcW w:w="794" w:type="dxa"/>
                  <w:tcBorders>
                    <w:tl2br w:val="nil"/>
                    <w:tr2bl w:val="nil"/>
                  </w:tcBorders>
                  <w:noWrap w:val="0"/>
                  <w:vAlign w:val="center"/>
                </w:tcPr>
                <w:p w14:paraId="0FBA6E4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0.0038</w:t>
                  </w:r>
                </w:p>
              </w:tc>
              <w:tc>
                <w:tcPr>
                  <w:tcW w:w="814" w:type="dxa"/>
                  <w:tcBorders>
                    <w:tl2br w:val="nil"/>
                    <w:tr2bl w:val="nil"/>
                  </w:tcBorders>
                  <w:noWrap w:val="0"/>
                  <w:vAlign w:val="center"/>
                </w:tcPr>
                <w:p w14:paraId="6276D69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color w:val="auto"/>
                      <w:szCs w:val="21"/>
                      <w:lang w:val="en-US" w:eastAsia="zh-CN"/>
                    </w:rPr>
                    <w:t>1.8900</w:t>
                  </w:r>
                </w:p>
              </w:tc>
              <w:tc>
                <w:tcPr>
                  <w:tcW w:w="798" w:type="dxa"/>
                  <w:tcBorders>
                    <w:tl2br w:val="nil"/>
                    <w:tr2bl w:val="nil"/>
                  </w:tcBorders>
                  <w:noWrap w:val="0"/>
                  <w:vAlign w:val="center"/>
                </w:tcPr>
                <w:p w14:paraId="1F93843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70.33</w:t>
                  </w:r>
                </w:p>
              </w:tc>
              <w:tc>
                <w:tcPr>
                  <w:tcW w:w="798" w:type="dxa"/>
                  <w:tcBorders>
                    <w:tl2br w:val="nil"/>
                    <w:tr2bl w:val="nil"/>
                  </w:tcBorders>
                  <w:noWrap w:val="0"/>
                  <w:vAlign w:val="center"/>
                </w:tcPr>
                <w:p w14:paraId="53887499">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120</w:t>
                  </w:r>
                </w:p>
              </w:tc>
              <w:tc>
                <w:tcPr>
                  <w:tcW w:w="564" w:type="dxa"/>
                  <w:tcBorders>
                    <w:tl2br w:val="nil"/>
                    <w:tr2bl w:val="nil"/>
                  </w:tcBorders>
                  <w:noWrap w:val="0"/>
                  <w:vAlign w:val="center"/>
                </w:tcPr>
                <w:p w14:paraId="47E27131">
                  <w:pPr>
                    <w:shd w:val="clear"/>
                    <w:adjustRightInd w:val="0"/>
                    <w:snapToGrid w:val="0"/>
                    <w:jc w:val="center"/>
                    <w:textAlignment w:val="baseline"/>
                    <w:rPr>
                      <w:rFonts w:hint="default" w:ascii="Times New Roman" w:hAnsi="Times New Roman" w:eastAsia="宋体" w:cs="Times New Roman"/>
                      <w:b/>
                      <w:bCs/>
                      <w:color w:val="auto"/>
                      <w:sz w:val="21"/>
                      <w:szCs w:val="21"/>
                      <w:highlight w:val="none"/>
                      <w:lang w:val="en-US" w:eastAsia="zh-CN"/>
                    </w:rPr>
                  </w:pPr>
                  <w:r>
                    <w:rPr>
                      <w:rFonts w:hint="eastAsia" w:cs="Times New Roman"/>
                      <w:b w:val="0"/>
                      <w:bCs w:val="0"/>
                      <w:color w:val="auto"/>
                      <w:sz w:val="21"/>
                      <w:szCs w:val="21"/>
                      <w:highlight w:val="none"/>
                      <w:lang w:val="en-US" w:eastAsia="zh-CN"/>
                    </w:rPr>
                    <w:t>达标</w:t>
                  </w:r>
                </w:p>
              </w:tc>
              <w:tc>
                <w:tcPr>
                  <w:tcW w:w="504" w:type="dxa"/>
                  <w:vMerge w:val="restart"/>
                  <w:tcBorders>
                    <w:tl2br w:val="nil"/>
                    <w:tr2bl w:val="nil"/>
                  </w:tcBorders>
                  <w:noWrap w:val="0"/>
                  <w:vAlign w:val="center"/>
                </w:tcPr>
                <w:p w14:paraId="6C1BA567">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2h</w:t>
                  </w:r>
                </w:p>
              </w:tc>
              <w:tc>
                <w:tcPr>
                  <w:tcW w:w="459" w:type="dxa"/>
                  <w:vMerge w:val="restart"/>
                  <w:tcBorders>
                    <w:tl2br w:val="nil"/>
                    <w:tr2bl w:val="nil"/>
                  </w:tcBorders>
                  <w:noWrap w:val="0"/>
                  <w:vAlign w:val="center"/>
                </w:tcPr>
                <w:p w14:paraId="1D098E32">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1次</w:t>
                  </w:r>
                </w:p>
              </w:tc>
              <w:tc>
                <w:tcPr>
                  <w:tcW w:w="734" w:type="dxa"/>
                  <w:vMerge w:val="restart"/>
                  <w:tcBorders>
                    <w:tl2br w:val="nil"/>
                    <w:tr2bl w:val="nil"/>
                  </w:tcBorders>
                  <w:noWrap w:val="0"/>
                  <w:vAlign w:val="center"/>
                </w:tcPr>
                <w:p w14:paraId="02631E38">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eastAsia="zh-CN"/>
                    </w:rPr>
                    <w:t>及时停止运行，对设备进行检修，待设备更新或修理完毕后再恢复运营</w:t>
                  </w:r>
                </w:p>
              </w:tc>
            </w:tr>
            <w:tr w14:paraId="3AA310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3" w:hRule="atLeast"/>
              </w:trPr>
              <w:tc>
                <w:tcPr>
                  <w:tcW w:w="1255" w:type="dxa"/>
                  <w:vMerge w:val="restart"/>
                  <w:tcBorders>
                    <w:tl2br w:val="nil"/>
                    <w:tr2bl w:val="nil"/>
                  </w:tcBorders>
                  <w:noWrap w:val="0"/>
                  <w:vAlign w:val="center"/>
                </w:tcPr>
                <w:p w14:paraId="56DD8D7F">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挤出、覆膜</w:t>
                  </w:r>
                  <w:r>
                    <w:rPr>
                      <w:rFonts w:hint="default" w:ascii="Times New Roman" w:hAnsi="Times New Roman" w:eastAsia="宋体" w:cs="Times New Roman"/>
                      <w:color w:val="auto"/>
                      <w:sz w:val="21"/>
                      <w:szCs w:val="21"/>
                      <w:highlight w:val="none"/>
                      <w:lang w:val="en-US" w:eastAsia="zh-CN"/>
                    </w:rPr>
                    <w:t>废气（</w:t>
                  </w:r>
                  <w:r>
                    <w:rPr>
                      <w:rFonts w:hint="default" w:ascii="Times New Roman" w:hAnsi="Times New Roman" w:eastAsia="宋体" w:cs="Times New Roman"/>
                      <w:color w:val="auto"/>
                      <w:sz w:val="21"/>
                      <w:szCs w:val="21"/>
                      <w:highlight w:val="none"/>
                    </w:rPr>
                    <w:t>DA00</w:t>
                  </w:r>
                  <w:r>
                    <w:rPr>
                      <w:rFonts w:hint="default" w:ascii="Times New Roman" w:hAnsi="Times New Roman" w:eastAsia="宋体" w:cs="Times New Roman"/>
                      <w:color w:val="auto"/>
                      <w:sz w:val="21"/>
                      <w:szCs w:val="21"/>
                      <w:highlight w:val="none"/>
                      <w:lang w:val="en-US" w:eastAsia="zh-CN"/>
                    </w:rPr>
                    <w:t>2）</w:t>
                  </w:r>
                </w:p>
              </w:tc>
              <w:tc>
                <w:tcPr>
                  <w:tcW w:w="651" w:type="dxa"/>
                  <w:vMerge w:val="continue"/>
                  <w:tcBorders>
                    <w:tl2br w:val="nil"/>
                    <w:tr2bl w:val="nil"/>
                  </w:tcBorders>
                  <w:noWrap w:val="0"/>
                  <w:vAlign w:val="center"/>
                </w:tcPr>
                <w:p w14:paraId="53D9C107">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c>
                <w:tcPr>
                  <w:tcW w:w="978" w:type="dxa"/>
                  <w:tcBorders>
                    <w:tl2br w:val="nil"/>
                    <w:tr2bl w:val="nil"/>
                  </w:tcBorders>
                  <w:noWrap w:val="0"/>
                  <w:vAlign w:val="center"/>
                </w:tcPr>
                <w:p w14:paraId="3E77694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非甲烷总烃</w:t>
                  </w:r>
                </w:p>
              </w:tc>
              <w:tc>
                <w:tcPr>
                  <w:tcW w:w="794" w:type="dxa"/>
                  <w:tcBorders>
                    <w:tl2br w:val="nil"/>
                    <w:tr2bl w:val="nil"/>
                  </w:tcBorders>
                  <w:noWrap w:val="0"/>
                  <w:vAlign w:val="center"/>
                </w:tcPr>
                <w:p w14:paraId="0C8E669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cs="Times New Roman"/>
                      <w:i w:val="0"/>
                      <w:iCs w:val="0"/>
                      <w:color w:val="auto"/>
                      <w:kern w:val="0"/>
                      <w:sz w:val="21"/>
                      <w:szCs w:val="21"/>
                      <w:highlight w:val="none"/>
                      <w:u w:val="none"/>
                      <w:lang w:val="en-US" w:eastAsia="zh-CN" w:bidi="ar"/>
                    </w:rPr>
                    <w:t>0</w:t>
                  </w: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814" w:type="dxa"/>
                  <w:tcBorders>
                    <w:tl2br w:val="nil"/>
                    <w:tr2bl w:val="nil"/>
                  </w:tcBorders>
                  <w:noWrap w:val="0"/>
                  <w:vAlign w:val="center"/>
                </w:tcPr>
                <w:p w14:paraId="1F913AD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7043</w:t>
                  </w:r>
                </w:p>
              </w:tc>
              <w:tc>
                <w:tcPr>
                  <w:tcW w:w="798" w:type="dxa"/>
                  <w:tcBorders>
                    <w:tl2br w:val="nil"/>
                    <w:tr2bl w:val="nil"/>
                  </w:tcBorders>
                  <w:noWrap w:val="0"/>
                  <w:vAlign w:val="center"/>
                </w:tcPr>
                <w:p w14:paraId="4E9638A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color w:val="auto"/>
                      <w:szCs w:val="21"/>
                      <w:lang w:val="en-US" w:eastAsia="zh-CN"/>
                    </w:rPr>
                    <w:t>2</w:t>
                  </w:r>
                  <w:r>
                    <w:rPr>
                      <w:rFonts w:hint="eastAsia" w:cs="Times New Roman"/>
                      <w:color w:val="auto"/>
                      <w:szCs w:val="21"/>
                      <w:lang w:val="en-US" w:eastAsia="zh-CN"/>
                    </w:rPr>
                    <w:t>7.17</w:t>
                  </w:r>
                </w:p>
              </w:tc>
              <w:tc>
                <w:tcPr>
                  <w:tcW w:w="798" w:type="dxa"/>
                  <w:tcBorders>
                    <w:tl2br w:val="nil"/>
                    <w:tr2bl w:val="nil"/>
                  </w:tcBorders>
                  <w:noWrap w:val="0"/>
                  <w:vAlign w:val="center"/>
                </w:tcPr>
                <w:p w14:paraId="2EAFE053">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120</w:t>
                  </w:r>
                </w:p>
              </w:tc>
              <w:tc>
                <w:tcPr>
                  <w:tcW w:w="564" w:type="dxa"/>
                  <w:tcBorders>
                    <w:tl2br w:val="nil"/>
                    <w:tr2bl w:val="nil"/>
                  </w:tcBorders>
                  <w:noWrap w:val="0"/>
                  <w:vAlign w:val="center"/>
                </w:tcPr>
                <w:p w14:paraId="29BAE785">
                  <w:pPr>
                    <w:shd w:val="clear"/>
                    <w:adjustRightInd w:val="0"/>
                    <w:snapToGrid w:val="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c>
                <w:tcPr>
                  <w:tcW w:w="504" w:type="dxa"/>
                  <w:vMerge w:val="continue"/>
                  <w:tcBorders>
                    <w:tl2br w:val="nil"/>
                    <w:tr2bl w:val="nil"/>
                  </w:tcBorders>
                  <w:noWrap w:val="0"/>
                  <w:vAlign w:val="center"/>
                </w:tcPr>
                <w:p w14:paraId="7A9E9B19">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p>
              </w:tc>
              <w:tc>
                <w:tcPr>
                  <w:tcW w:w="459" w:type="dxa"/>
                  <w:vMerge w:val="continue"/>
                  <w:tcBorders>
                    <w:tl2br w:val="nil"/>
                    <w:tr2bl w:val="nil"/>
                  </w:tcBorders>
                  <w:noWrap w:val="0"/>
                  <w:vAlign w:val="center"/>
                </w:tcPr>
                <w:p w14:paraId="5C57378E">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val="en-US" w:eastAsia="zh-CN"/>
                    </w:rPr>
                  </w:pPr>
                </w:p>
              </w:tc>
              <w:tc>
                <w:tcPr>
                  <w:tcW w:w="734" w:type="dxa"/>
                  <w:vMerge w:val="continue"/>
                  <w:tcBorders>
                    <w:tl2br w:val="nil"/>
                    <w:tr2bl w:val="nil"/>
                  </w:tcBorders>
                  <w:noWrap w:val="0"/>
                  <w:vAlign w:val="center"/>
                </w:tcPr>
                <w:p w14:paraId="7A5A02D7">
                  <w:pPr>
                    <w:keepNext w:val="0"/>
                    <w:keepLines w:val="0"/>
                    <w:pageBreakBefore w:val="0"/>
                    <w:widowControl w:val="0"/>
                    <w:suppressLineNumbers w:val="0"/>
                    <w:shd w:val="clear"/>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color w:val="auto"/>
                      <w:sz w:val="21"/>
                      <w:szCs w:val="21"/>
                      <w:highlight w:val="none"/>
                      <w:lang w:eastAsia="zh-CN"/>
                    </w:rPr>
                  </w:pPr>
                </w:p>
              </w:tc>
            </w:tr>
            <w:tr w14:paraId="32A721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3" w:hRule="atLeast"/>
              </w:trPr>
              <w:tc>
                <w:tcPr>
                  <w:tcW w:w="1255" w:type="dxa"/>
                  <w:vMerge w:val="continue"/>
                  <w:tcBorders>
                    <w:tl2br w:val="nil"/>
                    <w:tr2bl w:val="nil"/>
                  </w:tcBorders>
                  <w:noWrap w:val="0"/>
                  <w:vAlign w:val="center"/>
                </w:tcPr>
                <w:p w14:paraId="02DC174E">
                  <w:pPr>
                    <w:shd w:val="clear"/>
                    <w:adjustRightInd w:val="0"/>
                    <w:snapToGrid w:val="0"/>
                    <w:jc w:val="center"/>
                    <w:textAlignment w:val="baseline"/>
                  </w:pPr>
                </w:p>
              </w:tc>
              <w:tc>
                <w:tcPr>
                  <w:tcW w:w="651" w:type="dxa"/>
                  <w:vMerge w:val="continue"/>
                  <w:tcBorders>
                    <w:tl2br w:val="nil"/>
                    <w:tr2bl w:val="nil"/>
                  </w:tcBorders>
                  <w:noWrap w:val="0"/>
                  <w:vAlign w:val="center"/>
                </w:tcPr>
                <w:p w14:paraId="2B6C53B7">
                  <w:pPr>
                    <w:shd w:val="clear"/>
                    <w:adjustRightInd w:val="0"/>
                    <w:snapToGrid w:val="0"/>
                    <w:jc w:val="center"/>
                    <w:textAlignment w:val="baseline"/>
                  </w:pPr>
                </w:p>
              </w:tc>
              <w:tc>
                <w:tcPr>
                  <w:tcW w:w="978" w:type="dxa"/>
                  <w:tcBorders>
                    <w:tl2br w:val="nil"/>
                    <w:tr2bl w:val="nil"/>
                  </w:tcBorders>
                  <w:noWrap w:val="0"/>
                  <w:vAlign w:val="center"/>
                </w:tcPr>
                <w:p w14:paraId="52C21E7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氯化氢</w:t>
                  </w:r>
                </w:p>
              </w:tc>
              <w:tc>
                <w:tcPr>
                  <w:tcW w:w="794" w:type="dxa"/>
                  <w:tcBorders>
                    <w:tl2br w:val="nil"/>
                    <w:tr2bl w:val="nil"/>
                  </w:tcBorders>
                  <w:noWrap w:val="0"/>
                  <w:vAlign w:val="center"/>
                </w:tcPr>
                <w:p w14:paraId="20598C19">
                  <w:pPr>
                    <w:shd w:val="clear"/>
                    <w:adjustRightInd w:val="0"/>
                    <w:snapToGrid w:val="0"/>
                    <w:jc w:val="center"/>
                    <w:textAlignment w:val="baseline"/>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0.000014</w:t>
                  </w:r>
                </w:p>
              </w:tc>
              <w:tc>
                <w:tcPr>
                  <w:tcW w:w="814" w:type="dxa"/>
                  <w:tcBorders>
                    <w:tl2br w:val="nil"/>
                    <w:tr2bl w:val="nil"/>
                  </w:tcBorders>
                  <w:noWrap w:val="0"/>
                  <w:vAlign w:val="center"/>
                </w:tcPr>
                <w:p w14:paraId="04E244C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070</w:t>
                  </w:r>
                </w:p>
              </w:tc>
              <w:tc>
                <w:tcPr>
                  <w:tcW w:w="798" w:type="dxa"/>
                  <w:tcBorders>
                    <w:tl2br w:val="nil"/>
                    <w:tr2bl w:val="nil"/>
                  </w:tcBorders>
                  <w:noWrap w:val="0"/>
                  <w:vAlign w:val="center"/>
                </w:tcPr>
                <w:p w14:paraId="1BC8936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0.27</w:t>
                  </w:r>
                </w:p>
              </w:tc>
              <w:tc>
                <w:tcPr>
                  <w:tcW w:w="798" w:type="dxa"/>
                  <w:tcBorders>
                    <w:tl2br w:val="nil"/>
                    <w:tr2bl w:val="nil"/>
                  </w:tcBorders>
                  <w:noWrap w:val="0"/>
                  <w:vAlign w:val="center"/>
                </w:tcPr>
                <w:p w14:paraId="3C5944DC">
                  <w:pPr>
                    <w:shd w:val="clear"/>
                    <w:adjustRightInd w:val="0"/>
                    <w:snapToGrid w:val="0"/>
                    <w:jc w:val="center"/>
                    <w:textAlignment w:val="baseline"/>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100</w:t>
                  </w:r>
                </w:p>
              </w:tc>
              <w:tc>
                <w:tcPr>
                  <w:tcW w:w="564" w:type="dxa"/>
                  <w:tcBorders>
                    <w:tl2br w:val="nil"/>
                    <w:tr2bl w:val="nil"/>
                  </w:tcBorders>
                  <w:noWrap w:val="0"/>
                  <w:vAlign w:val="center"/>
                </w:tcPr>
                <w:p w14:paraId="3646ACC4">
                  <w:pPr>
                    <w:shd w:val="clear"/>
                    <w:adjustRightInd w:val="0"/>
                    <w:snapToGrid w:val="0"/>
                    <w:jc w:val="center"/>
                    <w:textAlignment w:val="baseline"/>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达标</w:t>
                  </w:r>
                </w:p>
              </w:tc>
              <w:tc>
                <w:tcPr>
                  <w:tcW w:w="504" w:type="dxa"/>
                  <w:vMerge w:val="continue"/>
                  <w:tcBorders>
                    <w:tl2br w:val="nil"/>
                    <w:tr2bl w:val="nil"/>
                  </w:tcBorders>
                  <w:noWrap w:val="0"/>
                  <w:vAlign w:val="center"/>
                </w:tcPr>
                <w:p w14:paraId="1C1D4F6F">
                  <w:pPr>
                    <w:shd w:val="clear"/>
                    <w:adjustRightInd w:val="0"/>
                    <w:snapToGrid w:val="0"/>
                    <w:jc w:val="center"/>
                    <w:textAlignment w:val="baseline"/>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459" w:type="dxa"/>
                  <w:vMerge w:val="continue"/>
                  <w:tcBorders>
                    <w:tl2br w:val="nil"/>
                    <w:tr2bl w:val="nil"/>
                  </w:tcBorders>
                  <w:noWrap w:val="0"/>
                  <w:vAlign w:val="center"/>
                </w:tcPr>
                <w:p w14:paraId="4342CAAF">
                  <w:pPr>
                    <w:shd w:val="clear"/>
                    <w:adjustRightInd w:val="0"/>
                    <w:snapToGrid w:val="0"/>
                    <w:jc w:val="center"/>
                    <w:textAlignment w:val="baseline"/>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734" w:type="dxa"/>
                  <w:vMerge w:val="continue"/>
                  <w:tcBorders>
                    <w:tl2br w:val="nil"/>
                    <w:tr2bl w:val="nil"/>
                  </w:tcBorders>
                  <w:noWrap w:val="0"/>
                  <w:vAlign w:val="center"/>
                </w:tcPr>
                <w:p w14:paraId="4B55D78C">
                  <w:pPr>
                    <w:shd w:val="clear"/>
                    <w:adjustRightInd w:val="0"/>
                    <w:snapToGrid w:val="0"/>
                    <w:jc w:val="center"/>
                    <w:textAlignment w:val="baseline"/>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1A82D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3" w:hRule="atLeast"/>
              </w:trPr>
              <w:tc>
                <w:tcPr>
                  <w:tcW w:w="1255" w:type="dxa"/>
                  <w:vMerge w:val="continue"/>
                  <w:tcBorders>
                    <w:tl2br w:val="nil"/>
                    <w:tr2bl w:val="nil"/>
                  </w:tcBorders>
                  <w:noWrap w:val="0"/>
                  <w:vAlign w:val="center"/>
                </w:tcPr>
                <w:p w14:paraId="561DDC62">
                  <w:pPr>
                    <w:shd w:val="clear"/>
                    <w:adjustRightInd w:val="0"/>
                    <w:snapToGrid w:val="0"/>
                    <w:jc w:val="center"/>
                    <w:textAlignment w:val="baseline"/>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651" w:type="dxa"/>
                  <w:vMerge w:val="continue"/>
                  <w:tcBorders>
                    <w:tl2br w:val="nil"/>
                    <w:tr2bl w:val="nil"/>
                  </w:tcBorders>
                  <w:noWrap w:val="0"/>
                  <w:vAlign w:val="center"/>
                </w:tcPr>
                <w:p w14:paraId="0EADD678">
                  <w:pPr>
                    <w:shd w:val="clear"/>
                    <w:adjustRightInd w:val="0"/>
                    <w:snapToGrid w:val="0"/>
                    <w:jc w:val="center"/>
                    <w:textAlignment w:val="baseline"/>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978" w:type="dxa"/>
                  <w:tcBorders>
                    <w:tl2br w:val="nil"/>
                    <w:tr2bl w:val="nil"/>
                  </w:tcBorders>
                  <w:noWrap w:val="0"/>
                  <w:vAlign w:val="center"/>
                </w:tcPr>
                <w:p w14:paraId="3C33327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氯乙烯</w:t>
                  </w:r>
                </w:p>
              </w:tc>
              <w:tc>
                <w:tcPr>
                  <w:tcW w:w="794" w:type="dxa"/>
                  <w:tcBorders>
                    <w:tl2br w:val="nil"/>
                    <w:tr2bl w:val="nil"/>
                  </w:tcBorders>
                  <w:noWrap w:val="0"/>
                  <w:vAlign w:val="center"/>
                </w:tcPr>
                <w:p w14:paraId="6558F16B">
                  <w:pPr>
                    <w:shd w:val="clear"/>
                    <w:adjustRightInd w:val="0"/>
                    <w:snapToGrid w:val="0"/>
                    <w:jc w:val="center"/>
                    <w:textAlignment w:val="baseline"/>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0.000017</w:t>
                  </w:r>
                </w:p>
              </w:tc>
              <w:tc>
                <w:tcPr>
                  <w:tcW w:w="814" w:type="dxa"/>
                  <w:tcBorders>
                    <w:tl2br w:val="nil"/>
                    <w:tr2bl w:val="nil"/>
                  </w:tcBorders>
                  <w:noWrap w:val="0"/>
                  <w:vAlign w:val="center"/>
                </w:tcPr>
                <w:p w14:paraId="73FA0CB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0085</w:t>
                  </w:r>
                </w:p>
              </w:tc>
              <w:tc>
                <w:tcPr>
                  <w:tcW w:w="798" w:type="dxa"/>
                  <w:tcBorders>
                    <w:tl2br w:val="nil"/>
                    <w:tr2bl w:val="nil"/>
                  </w:tcBorders>
                  <w:noWrap w:val="0"/>
                  <w:vAlign w:val="center"/>
                </w:tcPr>
                <w:p w14:paraId="511DC09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0.3</w:t>
                  </w:r>
                  <w:r>
                    <w:rPr>
                      <w:rFonts w:hint="eastAsia" w:cs="Times New Roman"/>
                      <w:i w:val="0"/>
                      <w:iCs w:val="0"/>
                      <w:color w:val="auto"/>
                      <w:kern w:val="0"/>
                      <w:sz w:val="21"/>
                      <w:szCs w:val="21"/>
                      <w:u w:val="none"/>
                      <w:lang w:val="en-US" w:eastAsia="zh-CN" w:bidi="ar"/>
                    </w:rPr>
                    <w:t>3</w:t>
                  </w:r>
                </w:p>
              </w:tc>
              <w:tc>
                <w:tcPr>
                  <w:tcW w:w="798" w:type="dxa"/>
                  <w:tcBorders>
                    <w:tl2br w:val="nil"/>
                    <w:tr2bl w:val="nil"/>
                  </w:tcBorders>
                  <w:noWrap w:val="0"/>
                  <w:vAlign w:val="center"/>
                </w:tcPr>
                <w:p w14:paraId="05DF1432">
                  <w:pPr>
                    <w:shd w:val="clear"/>
                    <w:adjustRightInd w:val="0"/>
                    <w:snapToGrid w:val="0"/>
                    <w:jc w:val="center"/>
                    <w:textAlignment w:val="baseline"/>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36</w:t>
                  </w:r>
                </w:p>
              </w:tc>
              <w:tc>
                <w:tcPr>
                  <w:tcW w:w="564" w:type="dxa"/>
                  <w:tcBorders>
                    <w:tl2br w:val="nil"/>
                    <w:tr2bl w:val="nil"/>
                  </w:tcBorders>
                  <w:noWrap w:val="0"/>
                  <w:vAlign w:val="center"/>
                </w:tcPr>
                <w:p w14:paraId="1AFBC471">
                  <w:pPr>
                    <w:shd w:val="clear"/>
                    <w:adjustRightInd w:val="0"/>
                    <w:snapToGrid w:val="0"/>
                    <w:jc w:val="center"/>
                    <w:textAlignment w:val="baseline"/>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达标</w:t>
                  </w:r>
                </w:p>
              </w:tc>
              <w:tc>
                <w:tcPr>
                  <w:tcW w:w="504" w:type="dxa"/>
                  <w:vMerge w:val="continue"/>
                  <w:tcBorders>
                    <w:tl2br w:val="nil"/>
                    <w:tr2bl w:val="nil"/>
                  </w:tcBorders>
                  <w:noWrap w:val="0"/>
                  <w:vAlign w:val="center"/>
                </w:tcPr>
                <w:p w14:paraId="0F84398A">
                  <w:pPr>
                    <w:shd w:val="clear"/>
                    <w:adjustRightInd w:val="0"/>
                    <w:snapToGrid w:val="0"/>
                    <w:jc w:val="center"/>
                    <w:textAlignment w:val="baseline"/>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459" w:type="dxa"/>
                  <w:vMerge w:val="continue"/>
                  <w:tcBorders>
                    <w:tl2br w:val="nil"/>
                    <w:tr2bl w:val="nil"/>
                  </w:tcBorders>
                  <w:noWrap w:val="0"/>
                  <w:vAlign w:val="center"/>
                </w:tcPr>
                <w:p w14:paraId="61C64DE2">
                  <w:pPr>
                    <w:shd w:val="clear"/>
                    <w:adjustRightInd w:val="0"/>
                    <w:snapToGrid w:val="0"/>
                    <w:jc w:val="center"/>
                    <w:textAlignment w:val="baseline"/>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734" w:type="dxa"/>
                  <w:vMerge w:val="continue"/>
                  <w:tcBorders>
                    <w:tl2br w:val="nil"/>
                    <w:tr2bl w:val="nil"/>
                  </w:tcBorders>
                  <w:noWrap w:val="0"/>
                  <w:vAlign w:val="center"/>
                </w:tcPr>
                <w:p w14:paraId="5C0F4DD3">
                  <w:pPr>
                    <w:shd w:val="clear"/>
                    <w:adjustRightInd w:val="0"/>
                    <w:snapToGrid w:val="0"/>
                    <w:jc w:val="center"/>
                    <w:textAlignment w:val="baseline"/>
                    <w:rPr>
                      <w:rFonts w:hint="default" w:ascii="Times New Roman" w:hAnsi="Times New Roman" w:eastAsia="宋体" w:cs="Times New Roman"/>
                      <w:i w:val="0"/>
                      <w:iCs w:val="0"/>
                      <w:color w:val="auto"/>
                      <w:kern w:val="0"/>
                      <w:sz w:val="21"/>
                      <w:szCs w:val="21"/>
                      <w:highlight w:val="none"/>
                      <w:u w:val="none"/>
                      <w:lang w:val="en-US" w:eastAsia="zh-CN" w:bidi="ar"/>
                    </w:rPr>
                  </w:pPr>
                </w:p>
              </w:tc>
            </w:tr>
            <w:tr w14:paraId="13E026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3" w:hRule="atLeast"/>
              </w:trPr>
              <w:tc>
                <w:tcPr>
                  <w:tcW w:w="1255" w:type="dxa"/>
                  <w:vMerge w:val="continue"/>
                  <w:tcBorders>
                    <w:tl2br w:val="nil"/>
                    <w:tr2bl w:val="nil"/>
                  </w:tcBorders>
                  <w:noWrap w:val="0"/>
                  <w:vAlign w:val="center"/>
                </w:tcPr>
                <w:p w14:paraId="1B4BE3D1">
                  <w:pPr>
                    <w:shd w:val="clear"/>
                    <w:adjustRightInd w:val="0"/>
                    <w:snapToGrid w:val="0"/>
                    <w:jc w:val="center"/>
                    <w:textAlignment w:val="baseline"/>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651" w:type="dxa"/>
                  <w:vMerge w:val="continue"/>
                  <w:tcBorders>
                    <w:tl2br w:val="nil"/>
                    <w:tr2bl w:val="nil"/>
                  </w:tcBorders>
                  <w:noWrap w:val="0"/>
                  <w:vAlign w:val="center"/>
                </w:tcPr>
                <w:p w14:paraId="0A9EEE97">
                  <w:pPr>
                    <w:shd w:val="clear"/>
                    <w:adjustRightInd w:val="0"/>
                    <w:snapToGrid w:val="0"/>
                    <w:jc w:val="center"/>
                    <w:textAlignment w:val="baseline"/>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978" w:type="dxa"/>
                  <w:tcBorders>
                    <w:tl2br w:val="nil"/>
                    <w:tr2bl w:val="nil"/>
                  </w:tcBorders>
                  <w:noWrap w:val="0"/>
                  <w:vAlign w:val="center"/>
                </w:tcPr>
                <w:p w14:paraId="0636A8A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臭气浓度</w:t>
                  </w:r>
                </w:p>
              </w:tc>
              <w:tc>
                <w:tcPr>
                  <w:tcW w:w="794" w:type="dxa"/>
                  <w:tcBorders>
                    <w:tl2br w:val="nil"/>
                    <w:tr2bl w:val="nil"/>
                  </w:tcBorders>
                  <w:noWrap w:val="0"/>
                  <w:vAlign w:val="center"/>
                </w:tcPr>
                <w:p w14:paraId="09F36E89">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少量</w:t>
                  </w:r>
                </w:p>
              </w:tc>
              <w:tc>
                <w:tcPr>
                  <w:tcW w:w="814" w:type="dxa"/>
                  <w:tcBorders>
                    <w:tl2br w:val="nil"/>
                    <w:tr2bl w:val="nil"/>
                  </w:tcBorders>
                  <w:noWrap w:val="0"/>
                  <w:vAlign w:val="center"/>
                </w:tcPr>
                <w:p w14:paraId="6AF19C0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w:t>
                  </w:r>
                </w:p>
              </w:tc>
              <w:tc>
                <w:tcPr>
                  <w:tcW w:w="798" w:type="dxa"/>
                  <w:tcBorders>
                    <w:tl2br w:val="nil"/>
                    <w:tr2bl w:val="nil"/>
                  </w:tcBorders>
                  <w:noWrap w:val="0"/>
                  <w:vAlign w:val="center"/>
                </w:tcPr>
                <w:p w14:paraId="22BB4D1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Cs w:val="21"/>
                      <w:lang w:val="en-US" w:eastAsia="zh-CN"/>
                    </w:rPr>
                    <w:t>3167（无量纲）</w:t>
                  </w:r>
                </w:p>
              </w:tc>
              <w:tc>
                <w:tcPr>
                  <w:tcW w:w="798" w:type="dxa"/>
                  <w:tcBorders>
                    <w:tl2br w:val="nil"/>
                    <w:tr2bl w:val="nil"/>
                  </w:tcBorders>
                  <w:noWrap w:val="0"/>
                  <w:vAlign w:val="center"/>
                </w:tcPr>
                <w:p w14:paraId="626A44B5">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2000</w:t>
                  </w:r>
                </w:p>
              </w:tc>
              <w:tc>
                <w:tcPr>
                  <w:tcW w:w="564" w:type="dxa"/>
                  <w:tcBorders>
                    <w:tl2br w:val="nil"/>
                    <w:tr2bl w:val="nil"/>
                  </w:tcBorders>
                  <w:noWrap w:val="0"/>
                  <w:vAlign w:val="center"/>
                </w:tcPr>
                <w:p w14:paraId="02FD289F">
                  <w:pPr>
                    <w:shd w:val="clear"/>
                    <w:adjustRightInd w:val="0"/>
                    <w:snapToGrid w:val="0"/>
                    <w:jc w:val="center"/>
                    <w:textAlignment w:val="baseline"/>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color w:val="auto"/>
                      <w:sz w:val="21"/>
                      <w:szCs w:val="21"/>
                      <w:highlight w:val="none"/>
                      <w:lang w:val="en-US" w:eastAsia="zh-CN"/>
                    </w:rPr>
                    <w:t>超</w:t>
                  </w:r>
                  <w:r>
                    <w:rPr>
                      <w:rFonts w:hint="default" w:ascii="Times New Roman" w:hAnsi="Times New Roman" w:eastAsia="宋体" w:cs="Times New Roman"/>
                      <w:color w:val="auto"/>
                      <w:sz w:val="21"/>
                      <w:szCs w:val="21"/>
                      <w:highlight w:val="none"/>
                      <w:lang w:val="en-US" w:eastAsia="zh-CN"/>
                    </w:rPr>
                    <w:t>标</w:t>
                  </w:r>
                </w:p>
              </w:tc>
              <w:tc>
                <w:tcPr>
                  <w:tcW w:w="504" w:type="dxa"/>
                  <w:vMerge w:val="continue"/>
                  <w:tcBorders>
                    <w:tl2br w:val="nil"/>
                    <w:tr2bl w:val="nil"/>
                  </w:tcBorders>
                  <w:noWrap w:val="0"/>
                  <w:vAlign w:val="center"/>
                </w:tcPr>
                <w:p w14:paraId="6CF7B969">
                  <w:pPr>
                    <w:shd w:val="clear"/>
                    <w:adjustRightInd w:val="0"/>
                    <w:snapToGrid w:val="0"/>
                    <w:jc w:val="center"/>
                    <w:textAlignment w:val="baseline"/>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459" w:type="dxa"/>
                  <w:vMerge w:val="continue"/>
                  <w:tcBorders>
                    <w:tl2br w:val="nil"/>
                    <w:tr2bl w:val="nil"/>
                  </w:tcBorders>
                  <w:noWrap w:val="0"/>
                  <w:vAlign w:val="center"/>
                </w:tcPr>
                <w:p w14:paraId="1D05693E">
                  <w:pPr>
                    <w:shd w:val="clear"/>
                    <w:adjustRightInd w:val="0"/>
                    <w:snapToGrid w:val="0"/>
                    <w:jc w:val="center"/>
                    <w:textAlignment w:val="baseline"/>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734" w:type="dxa"/>
                  <w:vMerge w:val="continue"/>
                  <w:tcBorders>
                    <w:tl2br w:val="nil"/>
                    <w:tr2bl w:val="nil"/>
                  </w:tcBorders>
                  <w:noWrap w:val="0"/>
                  <w:vAlign w:val="center"/>
                </w:tcPr>
                <w:p w14:paraId="11C86A01">
                  <w:pPr>
                    <w:shd w:val="clear"/>
                    <w:adjustRightInd w:val="0"/>
                    <w:snapToGrid w:val="0"/>
                    <w:jc w:val="center"/>
                    <w:textAlignment w:val="baseline"/>
                    <w:rPr>
                      <w:rFonts w:hint="default" w:ascii="Times New Roman" w:hAnsi="Times New Roman" w:eastAsia="宋体" w:cs="Times New Roman"/>
                      <w:i w:val="0"/>
                      <w:iCs w:val="0"/>
                      <w:color w:val="auto"/>
                      <w:kern w:val="0"/>
                      <w:sz w:val="21"/>
                      <w:szCs w:val="21"/>
                      <w:highlight w:val="none"/>
                      <w:u w:val="none"/>
                      <w:lang w:val="en-US" w:eastAsia="zh-CN" w:bidi="ar"/>
                    </w:rPr>
                  </w:pPr>
                </w:p>
              </w:tc>
            </w:tr>
          </w:tbl>
          <w:p w14:paraId="01473A3A">
            <w:pPr>
              <w:pStyle w:val="17"/>
              <w:keepNext w:val="0"/>
              <w:keepLines w:val="0"/>
              <w:pageBreakBefore w:val="0"/>
              <w:widowControl w:val="0"/>
              <w:shd w:val="clear"/>
              <w:kinsoku/>
              <w:wordWrap/>
              <w:overflowPunct/>
              <w:topLinePunct w:val="0"/>
              <w:autoSpaceDE/>
              <w:autoSpaceDN/>
              <w:bidi w:val="0"/>
              <w:adjustRightInd/>
              <w:snapToGrid/>
              <w:spacing w:line="351" w:lineRule="auto"/>
              <w:ind w:firstLine="482"/>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根据上表，非正常情况下</w:t>
            </w:r>
            <w:r>
              <w:rPr>
                <w:rFonts w:hint="default" w:ascii="Times New Roman" w:hAnsi="Times New Roman" w:eastAsia="宋体" w:cs="Times New Roman"/>
                <w:color w:val="auto"/>
                <w:spacing w:val="-3"/>
                <w:sz w:val="24"/>
                <w:szCs w:val="24"/>
                <w:highlight w:val="none"/>
                <w:lang w:eastAsia="zh-CN"/>
              </w:rPr>
              <w:t>，</w:t>
            </w:r>
            <w:r>
              <w:rPr>
                <w:rFonts w:hint="default" w:ascii="Times New Roman" w:hAnsi="Times New Roman" w:eastAsia="宋体" w:cs="Times New Roman"/>
                <w:color w:val="auto"/>
                <w:spacing w:val="-3"/>
                <w:sz w:val="24"/>
                <w:szCs w:val="24"/>
                <w:highlight w:val="none"/>
              </w:rPr>
              <w:t>即</w:t>
            </w:r>
            <w:r>
              <w:rPr>
                <w:rFonts w:hint="eastAsia" w:ascii="Times New Roman" w:hAnsi="Times New Roman" w:cs="Times New Roman"/>
                <w:color w:val="auto"/>
                <w:spacing w:val="-3"/>
                <w:sz w:val="24"/>
                <w:szCs w:val="24"/>
                <w:highlight w:val="none"/>
                <w:lang w:eastAsia="zh-CN"/>
              </w:rPr>
              <w:t>混料、破碎、磨粉</w:t>
            </w:r>
            <w:r>
              <w:rPr>
                <w:rFonts w:hint="default" w:ascii="Times New Roman" w:hAnsi="Times New Roman" w:eastAsia="宋体" w:cs="Times New Roman"/>
                <w:color w:val="auto"/>
                <w:sz w:val="24"/>
                <w:szCs w:val="24"/>
                <w:highlight w:val="none"/>
                <w:lang w:val="en-US" w:eastAsia="zh-CN"/>
              </w:rPr>
              <w:t>废气处理设施“</w:t>
            </w:r>
            <w:r>
              <w:rPr>
                <w:rFonts w:hint="eastAsia" w:ascii="Times New Roman" w:hAnsi="Times New Roman" w:cs="Times New Roman"/>
                <w:color w:val="auto"/>
                <w:sz w:val="24"/>
                <w:szCs w:val="24"/>
                <w:highlight w:val="none"/>
                <w:lang w:val="en-US" w:eastAsia="zh-CN"/>
              </w:rPr>
              <w:t>布袋</w:t>
            </w:r>
            <w:r>
              <w:rPr>
                <w:rFonts w:hint="default" w:ascii="Times New Roman" w:hAnsi="Times New Roman" w:eastAsia="宋体" w:cs="Times New Roman"/>
                <w:color w:val="auto"/>
                <w:sz w:val="24"/>
                <w:szCs w:val="24"/>
                <w:highlight w:val="none"/>
                <w:lang w:val="en-US" w:eastAsia="zh-CN"/>
              </w:rPr>
              <w:t>除尘器”</w:t>
            </w:r>
            <w:r>
              <w:rPr>
                <w:rFonts w:hint="default" w:ascii="Times New Roman" w:hAnsi="Times New Roman" w:eastAsia="宋体" w:cs="Times New Roman"/>
                <w:color w:val="auto"/>
                <w:spacing w:val="-3"/>
                <w:sz w:val="24"/>
                <w:szCs w:val="24"/>
                <w:highlight w:val="none"/>
                <w:lang w:val="en-US" w:eastAsia="zh-CN"/>
              </w:rPr>
              <w:t>处理</w:t>
            </w:r>
            <w:r>
              <w:rPr>
                <w:rFonts w:hint="default" w:ascii="Times New Roman" w:hAnsi="Times New Roman" w:eastAsia="宋体" w:cs="Times New Roman"/>
                <w:color w:val="auto"/>
                <w:spacing w:val="-4"/>
                <w:sz w:val="24"/>
                <w:szCs w:val="24"/>
                <w:highlight w:val="none"/>
              </w:rPr>
              <w:t>效率因故障降为</w:t>
            </w:r>
            <w:r>
              <w:rPr>
                <w:rFonts w:hint="default" w:ascii="Times New Roman" w:hAnsi="Times New Roman" w:eastAsia="宋体" w:cs="Times New Roman"/>
                <w:color w:val="auto"/>
                <w:sz w:val="24"/>
                <w:szCs w:val="24"/>
                <w:highlight w:val="none"/>
              </w:rPr>
              <w:t>0%的情况</w:t>
            </w:r>
            <w:r>
              <w:rPr>
                <w:rFonts w:hint="default" w:ascii="Times New Roman" w:hAnsi="Times New Roman" w:eastAsia="宋体" w:cs="Times New Roman"/>
                <w:color w:val="auto"/>
                <w:spacing w:val="-9"/>
                <w:sz w:val="24"/>
                <w:szCs w:val="24"/>
                <w:highlight w:val="none"/>
              </w:rPr>
              <w:t>，</w:t>
            </w:r>
            <w:r>
              <w:rPr>
                <w:rFonts w:hint="default" w:ascii="Times New Roman" w:hAnsi="Times New Roman" w:eastAsia="宋体" w:cs="Times New Roman"/>
                <w:color w:val="auto"/>
                <w:sz w:val="24"/>
                <w:szCs w:val="24"/>
                <w:highlight w:val="none"/>
              </w:rPr>
              <w:t>DA001</w:t>
            </w:r>
            <w:r>
              <w:rPr>
                <w:rFonts w:hint="default" w:ascii="Times New Roman" w:hAnsi="Times New Roman" w:eastAsia="宋体" w:cs="Times New Roman"/>
                <w:color w:val="auto"/>
                <w:spacing w:val="-9"/>
                <w:sz w:val="24"/>
                <w:szCs w:val="24"/>
                <w:highlight w:val="none"/>
                <w:lang w:val="en-US" w:eastAsia="zh-CN"/>
              </w:rPr>
              <w:t>排气筒中颗粒物排放浓度</w:t>
            </w:r>
            <w:r>
              <w:rPr>
                <w:rFonts w:hint="eastAsia" w:ascii="Times New Roman" w:hAnsi="Times New Roman" w:cs="Times New Roman"/>
                <w:color w:val="auto"/>
                <w:spacing w:val="-9"/>
                <w:sz w:val="24"/>
                <w:szCs w:val="24"/>
                <w:highlight w:val="none"/>
                <w:lang w:val="en-US" w:eastAsia="zh-CN"/>
              </w:rPr>
              <w:t>挤出、覆膜</w:t>
            </w:r>
            <w:r>
              <w:rPr>
                <w:rFonts w:hint="default" w:ascii="Times New Roman" w:hAnsi="Times New Roman" w:eastAsia="宋体" w:cs="Times New Roman"/>
                <w:color w:val="auto"/>
                <w:spacing w:val="-3"/>
                <w:sz w:val="24"/>
                <w:szCs w:val="24"/>
                <w:highlight w:val="none"/>
                <w:lang w:val="en-US" w:eastAsia="zh-CN"/>
              </w:rPr>
              <w:t>废气处理设施</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级活性炭吸附装置”</w:t>
            </w:r>
            <w:r>
              <w:rPr>
                <w:rFonts w:hint="default" w:ascii="Times New Roman" w:hAnsi="Times New Roman" w:eastAsia="宋体" w:cs="Times New Roman"/>
                <w:color w:val="auto"/>
                <w:spacing w:val="-3"/>
                <w:sz w:val="24"/>
                <w:szCs w:val="24"/>
                <w:highlight w:val="none"/>
                <w:lang w:val="en-US" w:eastAsia="zh-CN"/>
              </w:rPr>
              <w:t>处理</w:t>
            </w:r>
            <w:r>
              <w:rPr>
                <w:rFonts w:hint="default" w:ascii="Times New Roman" w:hAnsi="Times New Roman" w:eastAsia="宋体" w:cs="Times New Roman"/>
                <w:color w:val="auto"/>
                <w:spacing w:val="-4"/>
                <w:sz w:val="24"/>
                <w:szCs w:val="24"/>
                <w:highlight w:val="none"/>
              </w:rPr>
              <w:t>效率因故障降为</w:t>
            </w:r>
            <w:r>
              <w:rPr>
                <w:rFonts w:hint="default" w:ascii="Times New Roman" w:hAnsi="Times New Roman" w:eastAsia="宋体" w:cs="Times New Roman"/>
                <w:color w:val="auto"/>
                <w:sz w:val="24"/>
                <w:szCs w:val="24"/>
                <w:highlight w:val="none"/>
              </w:rPr>
              <w:t>0%的情况</w:t>
            </w:r>
            <w:r>
              <w:rPr>
                <w:rFonts w:hint="default" w:ascii="Times New Roman" w:hAnsi="Times New Roman" w:eastAsia="宋体" w:cs="Times New Roman"/>
                <w:color w:val="auto"/>
                <w:spacing w:val="-9"/>
                <w:sz w:val="24"/>
                <w:szCs w:val="24"/>
                <w:highlight w:val="none"/>
              </w:rPr>
              <w:t>，</w:t>
            </w:r>
            <w:r>
              <w:rPr>
                <w:rFonts w:hint="default" w:ascii="Times New Roman" w:hAnsi="Times New Roman" w:eastAsia="宋体" w:cs="Times New Roman"/>
                <w:color w:val="auto"/>
                <w:sz w:val="24"/>
                <w:szCs w:val="24"/>
                <w:highlight w:val="none"/>
              </w:rPr>
              <w:t>DA00</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pacing w:val="-9"/>
                <w:sz w:val="24"/>
                <w:szCs w:val="24"/>
                <w:highlight w:val="none"/>
                <w:lang w:val="en-US" w:eastAsia="zh-CN"/>
              </w:rPr>
              <w:t>排气筒中非甲烷总烃</w:t>
            </w:r>
            <w:r>
              <w:rPr>
                <w:rFonts w:hint="eastAsia" w:ascii="Times New Roman" w:hAnsi="Times New Roman" w:cs="Times New Roman"/>
                <w:color w:val="auto"/>
                <w:spacing w:val="-9"/>
                <w:sz w:val="24"/>
                <w:szCs w:val="24"/>
                <w:highlight w:val="none"/>
                <w:lang w:val="en-US" w:eastAsia="zh-CN"/>
              </w:rPr>
              <w:t>、氯化氢、氯乙烯</w:t>
            </w:r>
            <w:r>
              <w:rPr>
                <w:rFonts w:hint="default" w:ascii="Times New Roman" w:hAnsi="Times New Roman" w:eastAsia="宋体" w:cs="Times New Roman"/>
                <w:color w:val="auto"/>
                <w:spacing w:val="-3"/>
                <w:sz w:val="24"/>
                <w:szCs w:val="24"/>
                <w:highlight w:val="none"/>
              </w:rPr>
              <w:t>排放浓度</w:t>
            </w:r>
            <w:r>
              <w:rPr>
                <w:rFonts w:hint="default" w:ascii="Times New Roman" w:hAnsi="Times New Roman" w:eastAsia="宋体" w:cs="Times New Roman"/>
                <w:color w:val="auto"/>
                <w:spacing w:val="-3"/>
                <w:sz w:val="24"/>
                <w:szCs w:val="24"/>
                <w:highlight w:val="none"/>
                <w:lang w:val="en-US" w:eastAsia="zh-CN"/>
              </w:rPr>
              <w:t>仍能</w:t>
            </w:r>
            <w:r>
              <w:rPr>
                <w:rFonts w:hint="default" w:ascii="Times New Roman" w:hAnsi="Times New Roman" w:eastAsia="宋体" w:cs="Times New Roman"/>
                <w:color w:val="auto"/>
                <w:spacing w:val="-3"/>
                <w:sz w:val="24"/>
                <w:szCs w:val="24"/>
                <w:highlight w:val="none"/>
              </w:rPr>
              <w:t>满足</w:t>
            </w:r>
            <w:r>
              <w:rPr>
                <w:rFonts w:hint="default" w:ascii="Times New Roman" w:hAnsi="Times New Roman" w:eastAsia="宋体" w:cs="Times New Roman"/>
                <w:color w:val="auto"/>
                <w:sz w:val="24"/>
                <w:szCs w:val="24"/>
                <w:highlight w:val="none"/>
                <w:lang w:val="zh-CN"/>
              </w:rPr>
              <w:t>《大气污染物综合排放标准》（GB16297-1996）</w:t>
            </w:r>
            <w:r>
              <w:rPr>
                <w:rFonts w:hint="default" w:ascii="Times New Roman" w:hAnsi="Times New Roman" w:eastAsia="宋体" w:cs="Times New Roman"/>
                <w:color w:val="auto"/>
                <w:sz w:val="24"/>
                <w:szCs w:val="24"/>
                <w:highlight w:val="none"/>
              </w:rPr>
              <w:t>表2中</w:t>
            </w:r>
            <w:r>
              <w:rPr>
                <w:rFonts w:hint="default" w:ascii="Times New Roman" w:hAnsi="Times New Roman" w:eastAsia="宋体" w:cs="Times New Roman"/>
                <w:color w:val="auto"/>
                <w:sz w:val="24"/>
                <w:szCs w:val="24"/>
                <w:highlight w:val="none"/>
                <w:lang w:val="en-US" w:eastAsia="zh-CN"/>
              </w:rPr>
              <w:t>二级</w:t>
            </w:r>
            <w:r>
              <w:rPr>
                <w:rFonts w:hint="default" w:ascii="Times New Roman" w:hAnsi="Times New Roman" w:eastAsia="宋体" w:cs="Times New Roman"/>
                <w:color w:val="auto"/>
                <w:sz w:val="24"/>
                <w:szCs w:val="24"/>
                <w:highlight w:val="none"/>
                <w:lang w:eastAsia="zh-CN"/>
              </w:rPr>
              <w:t>浓度限值；</w:t>
            </w:r>
            <w:r>
              <w:rPr>
                <w:rFonts w:hint="default" w:ascii="Times New Roman" w:hAnsi="Times New Roman" w:eastAsia="宋体" w:cs="Times New Roman"/>
                <w:color w:val="auto"/>
                <w:sz w:val="24"/>
                <w:szCs w:val="24"/>
                <w:highlight w:val="none"/>
                <w:lang w:val="en-US" w:eastAsia="zh-CN"/>
              </w:rPr>
              <w:t>臭气浓度</w:t>
            </w:r>
            <w:r>
              <w:rPr>
                <w:rFonts w:hint="eastAsia" w:ascii="Times New Roman" w:hAnsi="Times New Roman" w:cs="Times New Roman"/>
                <w:color w:val="auto"/>
                <w:sz w:val="24"/>
                <w:szCs w:val="24"/>
                <w:highlight w:val="none"/>
                <w:lang w:val="en-US" w:eastAsia="zh-CN"/>
              </w:rPr>
              <w:t>不</w:t>
            </w:r>
            <w:r>
              <w:rPr>
                <w:rFonts w:hint="default" w:ascii="Times New Roman" w:hAnsi="Times New Roman" w:eastAsia="宋体" w:cs="Times New Roman"/>
                <w:color w:val="auto"/>
                <w:sz w:val="24"/>
                <w:szCs w:val="24"/>
                <w:highlight w:val="none"/>
                <w:lang w:val="en-US" w:eastAsia="zh-CN"/>
              </w:rPr>
              <w:t>能满足</w:t>
            </w:r>
            <w:r>
              <w:rPr>
                <w:rFonts w:hint="default" w:ascii="Times New Roman" w:hAnsi="Times New Roman" w:eastAsia="宋体" w:cs="Times New Roman"/>
                <w:color w:val="auto"/>
                <w:sz w:val="24"/>
                <w:szCs w:val="24"/>
                <w:highlight w:val="none"/>
                <w:lang w:val="zh-CN" w:eastAsia="zh-CN"/>
              </w:rPr>
              <w:t>《恶臭污染物排放标准》（GB14554-93）</w:t>
            </w:r>
            <w:r>
              <w:rPr>
                <w:rFonts w:hint="default" w:ascii="Times New Roman" w:hAnsi="Times New Roman" w:eastAsia="宋体" w:cs="Times New Roman"/>
                <w:color w:val="auto"/>
                <w:sz w:val="24"/>
                <w:szCs w:val="24"/>
                <w:highlight w:val="none"/>
                <w:lang w:val="en-US" w:eastAsia="zh-CN"/>
              </w:rPr>
              <w:t>中</w:t>
            </w:r>
            <w:r>
              <w:rPr>
                <w:rFonts w:hint="default" w:ascii="Times New Roman" w:hAnsi="Times New Roman" w:eastAsia="宋体" w:cs="Times New Roman"/>
                <w:color w:val="auto"/>
                <w:sz w:val="24"/>
                <w:szCs w:val="24"/>
                <w:highlight w:val="none"/>
                <w:lang w:val="zh-CN" w:eastAsia="zh-CN"/>
              </w:rPr>
              <w:t>标准</w:t>
            </w:r>
            <w:r>
              <w:rPr>
                <w:rFonts w:hint="default" w:ascii="Times New Roman" w:hAnsi="Times New Roman" w:eastAsia="宋体" w:cs="Times New Roman"/>
                <w:color w:val="auto"/>
                <w:sz w:val="24"/>
                <w:szCs w:val="24"/>
                <w:highlight w:val="none"/>
                <w:lang w:val="en-US" w:eastAsia="zh-CN"/>
              </w:rPr>
              <w:t>限值</w:t>
            </w:r>
            <w:r>
              <w:rPr>
                <w:rFonts w:hint="default" w:ascii="Times New Roman" w:hAnsi="Times New Roman" w:eastAsia="宋体" w:cs="Times New Roman"/>
                <w:color w:val="auto"/>
                <w:sz w:val="24"/>
                <w:szCs w:val="24"/>
                <w:highlight w:val="none"/>
                <w:lang w:val="zh-CN" w:eastAsia="zh-CN"/>
              </w:rPr>
              <w:t>要求</w:t>
            </w:r>
            <w:r>
              <w:rPr>
                <w:rFonts w:hint="default" w:ascii="Times New Roman" w:hAnsi="Times New Roman" w:eastAsia="宋体" w:cs="Times New Roman"/>
                <w:color w:val="auto"/>
                <w:spacing w:val="-7"/>
                <w:sz w:val="24"/>
                <w:szCs w:val="24"/>
                <w:highlight w:val="none"/>
              </w:rPr>
              <w:t>。</w:t>
            </w:r>
            <w:r>
              <w:rPr>
                <w:rFonts w:hint="default" w:ascii="Times New Roman" w:hAnsi="Times New Roman" w:eastAsia="宋体" w:cs="Times New Roman"/>
                <w:color w:val="auto"/>
                <w:sz w:val="24"/>
                <w:szCs w:val="24"/>
                <w:highlight w:val="none"/>
              </w:rPr>
              <w:t>为了进一步降低生产废气排放对周围环境空气的影响，必须杜绝项目废气的非正常排放，本次评价提出以下建议措施：</w:t>
            </w:r>
          </w:p>
          <w:p w14:paraId="5B8413FF">
            <w:pPr>
              <w:pStyle w:val="17"/>
              <w:keepNext w:val="0"/>
              <w:keepLines w:val="0"/>
              <w:pageBreakBefore w:val="0"/>
              <w:widowControl w:val="0"/>
              <w:numPr>
                <w:ilvl w:val="0"/>
                <w:numId w:val="0"/>
              </w:numPr>
              <w:shd w:val="clear"/>
              <w:kinsoku/>
              <w:wordWrap/>
              <w:overflowPunct/>
              <w:topLinePunct w:val="0"/>
              <w:autoSpaceDE/>
              <w:autoSpaceDN/>
              <w:bidi w:val="0"/>
              <w:adjustRightInd/>
              <w:snapToGrid/>
              <w:spacing w:line="351"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加强管理，明确岗位责任制，定期检查、维修、保养设备及构件，确保各种工艺、电气、设备的正常运转。</w:t>
            </w:r>
          </w:p>
          <w:p w14:paraId="0F54E7FC">
            <w:pPr>
              <w:keepNext w:val="0"/>
              <w:keepLines w:val="0"/>
              <w:pageBreakBefore w:val="0"/>
              <w:widowControl w:val="0"/>
              <w:shd w:val="clear"/>
              <w:kinsoku/>
              <w:wordWrap/>
              <w:overflowPunct/>
              <w:topLinePunct w:val="0"/>
              <w:autoSpaceDE/>
              <w:autoSpaceDN/>
              <w:bidi w:val="0"/>
              <w:adjustRightInd w:val="0"/>
              <w:snapToGrid w:val="0"/>
              <w:spacing w:line="351" w:lineRule="auto"/>
              <w:ind w:lef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在必要位置设置监控、预警等装置，做到及时发现，及时解决。若出现非正常情况，应及时停产维修，减少废气对大气环境的影响。</w:t>
            </w:r>
          </w:p>
          <w:p w14:paraId="5AA7BA13">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w:t>
            </w:r>
            <w:r>
              <w:rPr>
                <w:rFonts w:hint="default" w:ascii="Times New Roman" w:hAnsi="Times New Roman" w:eastAsia="宋体" w:cs="Times New Roman"/>
                <w:b/>
                <w:color w:val="auto"/>
                <w:sz w:val="24"/>
                <w:szCs w:val="24"/>
                <w:highlight w:val="none"/>
                <w:lang w:val="en-US" w:eastAsia="zh-CN"/>
              </w:rPr>
              <w:t>废气环境</w:t>
            </w:r>
            <w:r>
              <w:rPr>
                <w:rFonts w:hint="default" w:ascii="Times New Roman" w:hAnsi="Times New Roman" w:eastAsia="宋体" w:cs="Times New Roman"/>
                <w:b/>
                <w:color w:val="auto"/>
                <w:sz w:val="24"/>
                <w:szCs w:val="24"/>
                <w:highlight w:val="none"/>
              </w:rPr>
              <w:t>影响分析</w:t>
            </w:r>
          </w:p>
          <w:p w14:paraId="4E43B40D">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（1）生产废气</w:t>
            </w:r>
          </w:p>
          <w:p w14:paraId="7B5EEDB6">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1）大气影响分析</w:t>
            </w:r>
          </w:p>
          <w:p w14:paraId="77EDCAB2">
            <w:pPr>
              <w:widowControl/>
              <w:shd w:val="clear"/>
              <w:spacing w:line="360" w:lineRule="auto"/>
              <w:ind w:firstLine="480" w:firstLineChars="200"/>
              <w:jc w:val="left"/>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lang w:val="en-US" w:eastAsia="zh-CN"/>
              </w:rPr>
              <w:t>①有组织废气达标性分析</w:t>
            </w:r>
          </w:p>
          <w:p w14:paraId="39121389">
            <w:pPr>
              <w:pStyle w:val="85"/>
              <w:keepNext w:val="0"/>
              <w:keepLines w:val="0"/>
              <w:pageBreakBefore w:val="0"/>
              <w:shd w:val="clear"/>
              <w:kinsoku/>
              <w:wordWrap/>
              <w:overflowPunct/>
              <w:topLinePunct w:val="0"/>
              <w:autoSpaceDE/>
              <w:autoSpaceDN/>
              <w:bidi w:val="0"/>
              <w:spacing w:line="336" w:lineRule="auto"/>
              <w:ind w:firstLine="480"/>
              <w:textAlignment w:val="auto"/>
              <w:rPr>
                <w:rFonts w:hint="default" w:ascii="Times New Roman" w:hAnsi="Times New Roman" w:eastAsia="宋体" w:cs="Times New Roman"/>
                <w:b/>
                <w:bCs w:val="0"/>
                <w:color w:val="auto"/>
                <w:spacing w:val="0"/>
                <w:kern w:val="0"/>
                <w:sz w:val="18"/>
                <w:szCs w:val="18"/>
                <w:highlight w:val="none"/>
                <w:lang w:bidi="ar"/>
              </w:rPr>
            </w:pPr>
            <w:r>
              <w:rPr>
                <w:rFonts w:hint="default" w:ascii="Times New Roman" w:hAnsi="Times New Roman" w:eastAsia="宋体" w:cs="Times New Roman"/>
                <w:bCs/>
                <w:color w:val="auto"/>
                <w:kern w:val="0"/>
                <w:highlight w:val="none"/>
              </w:rPr>
              <w:t>根据废气计算结果对DA001</w:t>
            </w:r>
            <w:r>
              <w:rPr>
                <w:rFonts w:hint="default" w:ascii="Times New Roman" w:hAnsi="Times New Roman" w:eastAsia="宋体" w:cs="Times New Roman"/>
                <w:bCs/>
                <w:color w:val="auto"/>
                <w:kern w:val="0"/>
                <w:highlight w:val="none"/>
                <w:lang w:eastAsia="zh-CN"/>
              </w:rPr>
              <w:t>、</w:t>
            </w:r>
            <w:r>
              <w:rPr>
                <w:rFonts w:hint="default" w:ascii="Times New Roman" w:hAnsi="Times New Roman" w:eastAsia="宋体" w:cs="Times New Roman"/>
                <w:bCs/>
                <w:color w:val="auto"/>
                <w:kern w:val="0"/>
                <w:highlight w:val="none"/>
              </w:rPr>
              <w:t>DA00</w:t>
            </w:r>
            <w:r>
              <w:rPr>
                <w:rFonts w:hint="default" w:ascii="Times New Roman" w:hAnsi="Times New Roman" w:eastAsia="宋体" w:cs="Times New Roman"/>
                <w:bCs/>
                <w:color w:val="auto"/>
                <w:kern w:val="0"/>
                <w:highlight w:val="none"/>
                <w:lang w:val="en-US" w:eastAsia="zh-CN"/>
              </w:rPr>
              <w:t>2</w:t>
            </w:r>
            <w:r>
              <w:rPr>
                <w:rFonts w:hint="default" w:ascii="Times New Roman" w:hAnsi="Times New Roman" w:eastAsia="宋体" w:cs="Times New Roman"/>
                <w:bCs/>
                <w:color w:val="auto"/>
                <w:kern w:val="0"/>
                <w:highlight w:val="none"/>
              </w:rPr>
              <w:t>有组织废气进行达标判定。</w:t>
            </w:r>
            <w:r>
              <w:rPr>
                <w:rFonts w:hint="default" w:ascii="Times New Roman" w:hAnsi="Times New Roman" w:eastAsia="宋体" w:cs="Times New Roman"/>
                <w:bCs/>
                <w:color w:val="auto"/>
                <w:szCs w:val="24"/>
                <w:highlight w:val="none"/>
              </w:rPr>
              <w:t>项目有组织生产废气达标情况详见下表</w:t>
            </w:r>
            <w:r>
              <w:rPr>
                <w:rFonts w:hint="default" w:ascii="Times New Roman" w:hAnsi="Times New Roman" w:eastAsia="宋体" w:cs="Times New Roman"/>
                <w:bCs/>
                <w:color w:val="auto"/>
                <w:szCs w:val="24"/>
                <w:highlight w:val="none"/>
                <w:lang w:val="en-US" w:eastAsia="zh-CN"/>
              </w:rPr>
              <w:t>4-1</w:t>
            </w:r>
            <w:r>
              <w:rPr>
                <w:rFonts w:hint="eastAsia" w:cs="Times New Roman"/>
                <w:bCs/>
                <w:color w:val="auto"/>
                <w:szCs w:val="24"/>
                <w:highlight w:val="none"/>
                <w:lang w:val="en-US" w:eastAsia="zh-CN"/>
              </w:rPr>
              <w:t>2</w:t>
            </w:r>
            <w:r>
              <w:rPr>
                <w:rFonts w:hint="default" w:ascii="Times New Roman" w:hAnsi="Times New Roman" w:eastAsia="宋体" w:cs="Times New Roman"/>
                <w:bCs/>
                <w:color w:val="auto"/>
                <w:szCs w:val="24"/>
                <w:highlight w:val="none"/>
              </w:rPr>
              <w:t>所示。</w:t>
            </w:r>
          </w:p>
          <w:p w14:paraId="3C046526">
            <w:pPr>
              <w:pStyle w:val="2"/>
              <w:shd w:val="clear"/>
              <w:spacing w:after="0"/>
              <w:ind w:left="0" w:leftChars="0" w:firstLine="0" w:firstLineChars="0"/>
              <w:jc w:val="center"/>
              <w:rPr>
                <w:rFonts w:hint="default" w:ascii="Times New Roman" w:hAnsi="Times New Roman" w:eastAsia="宋体" w:cs="Times New Roman"/>
                <w:b/>
                <w:bCs w:val="0"/>
                <w:color w:val="auto"/>
                <w:spacing w:val="0"/>
                <w:kern w:val="0"/>
                <w:sz w:val="18"/>
                <w:szCs w:val="18"/>
                <w:highlight w:val="none"/>
                <w:lang w:bidi="ar"/>
              </w:rPr>
            </w:pPr>
            <w:r>
              <w:rPr>
                <w:rFonts w:hint="default" w:ascii="Times New Roman" w:hAnsi="Times New Roman" w:eastAsia="宋体" w:cs="Times New Roman"/>
                <w:b/>
                <w:bCs w:val="0"/>
                <w:color w:val="auto"/>
                <w:spacing w:val="0"/>
                <w:kern w:val="0"/>
                <w:sz w:val="18"/>
                <w:szCs w:val="18"/>
                <w:highlight w:val="none"/>
                <w:lang w:bidi="ar"/>
              </w:rPr>
              <w:t>表</w:t>
            </w:r>
            <w:r>
              <w:rPr>
                <w:rFonts w:hint="default" w:ascii="Times New Roman" w:hAnsi="Times New Roman" w:eastAsia="宋体" w:cs="Times New Roman"/>
                <w:b/>
                <w:bCs w:val="0"/>
                <w:color w:val="auto"/>
                <w:spacing w:val="0"/>
                <w:kern w:val="0"/>
                <w:sz w:val="18"/>
                <w:szCs w:val="18"/>
                <w:highlight w:val="none"/>
                <w:lang w:val="en-US" w:eastAsia="zh-CN" w:bidi="ar"/>
              </w:rPr>
              <w:t>4-1</w:t>
            </w:r>
            <w:r>
              <w:rPr>
                <w:rFonts w:hint="eastAsia" w:cs="Times New Roman"/>
                <w:b/>
                <w:bCs w:val="0"/>
                <w:color w:val="auto"/>
                <w:spacing w:val="0"/>
                <w:kern w:val="0"/>
                <w:sz w:val="18"/>
                <w:szCs w:val="18"/>
                <w:highlight w:val="none"/>
                <w:lang w:val="en-US" w:eastAsia="zh-CN" w:bidi="ar"/>
              </w:rPr>
              <w:t>2</w:t>
            </w:r>
            <w:r>
              <w:rPr>
                <w:rFonts w:hint="default" w:ascii="Times New Roman" w:hAnsi="Times New Roman" w:eastAsia="宋体" w:cs="Times New Roman"/>
                <w:b/>
                <w:bCs w:val="0"/>
                <w:color w:val="auto"/>
                <w:spacing w:val="0"/>
                <w:kern w:val="0"/>
                <w:sz w:val="18"/>
                <w:szCs w:val="18"/>
                <w:highlight w:val="none"/>
                <w:lang w:bidi="ar"/>
              </w:rPr>
              <w:t xml:space="preserve">  达标情况分析表</w:t>
            </w:r>
          </w:p>
          <w:tbl>
            <w:tblPr>
              <w:tblStyle w:val="26"/>
              <w:tblW w:w="8523"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13"/>
              <w:gridCol w:w="890"/>
              <w:gridCol w:w="790"/>
              <w:gridCol w:w="768"/>
              <w:gridCol w:w="825"/>
              <w:gridCol w:w="656"/>
              <w:gridCol w:w="751"/>
              <w:gridCol w:w="781"/>
              <w:gridCol w:w="694"/>
              <w:gridCol w:w="577"/>
              <w:gridCol w:w="576"/>
              <w:gridCol w:w="602"/>
            </w:tblGrid>
            <w:tr w14:paraId="2551279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vMerge w:val="restart"/>
                  <w:tcBorders>
                    <w:tl2br w:val="nil"/>
                    <w:tr2bl w:val="nil"/>
                  </w:tcBorders>
                  <w:noWrap w:val="0"/>
                  <w:vAlign w:val="center"/>
                </w:tcPr>
                <w:p w14:paraId="15803105">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工程</w:t>
                  </w:r>
                </w:p>
              </w:tc>
              <w:tc>
                <w:tcPr>
                  <w:tcW w:w="890" w:type="dxa"/>
                  <w:vMerge w:val="restart"/>
                  <w:tcBorders>
                    <w:tl2br w:val="nil"/>
                    <w:tr2bl w:val="nil"/>
                  </w:tcBorders>
                  <w:noWrap w:val="0"/>
                  <w:vAlign w:val="center"/>
                </w:tcPr>
                <w:p w14:paraId="29F28F6C">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污染因子</w:t>
                  </w:r>
                </w:p>
              </w:tc>
              <w:tc>
                <w:tcPr>
                  <w:tcW w:w="2383" w:type="dxa"/>
                  <w:gridSpan w:val="3"/>
                  <w:tcBorders>
                    <w:tl2br w:val="nil"/>
                    <w:tr2bl w:val="nil"/>
                  </w:tcBorders>
                  <w:noWrap w:val="0"/>
                  <w:vAlign w:val="center"/>
                </w:tcPr>
                <w:p w14:paraId="1C45F27F">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产生情况</w:t>
                  </w:r>
                </w:p>
              </w:tc>
              <w:tc>
                <w:tcPr>
                  <w:tcW w:w="656" w:type="dxa"/>
                  <w:vMerge w:val="restart"/>
                  <w:tcBorders>
                    <w:tl2br w:val="nil"/>
                    <w:tr2bl w:val="nil"/>
                  </w:tcBorders>
                  <w:noWrap w:val="0"/>
                  <w:vAlign w:val="center"/>
                </w:tcPr>
                <w:p w14:paraId="2FB01C27">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处理效率%</w:t>
                  </w:r>
                </w:p>
              </w:tc>
              <w:tc>
                <w:tcPr>
                  <w:tcW w:w="2226" w:type="dxa"/>
                  <w:gridSpan w:val="3"/>
                  <w:tcBorders>
                    <w:tl2br w:val="nil"/>
                    <w:tr2bl w:val="nil"/>
                  </w:tcBorders>
                  <w:noWrap w:val="0"/>
                  <w:vAlign w:val="center"/>
                </w:tcPr>
                <w:p w14:paraId="3580DF31">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排放情况</w:t>
                  </w:r>
                </w:p>
              </w:tc>
              <w:tc>
                <w:tcPr>
                  <w:tcW w:w="1153" w:type="dxa"/>
                  <w:gridSpan w:val="2"/>
                  <w:tcBorders>
                    <w:tl2br w:val="nil"/>
                    <w:tr2bl w:val="nil"/>
                  </w:tcBorders>
                  <w:noWrap w:val="0"/>
                  <w:vAlign w:val="center"/>
                </w:tcPr>
                <w:p w14:paraId="429E7F87">
                  <w:pPr>
                    <w:shd w:val="clear"/>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标准值</w:t>
                  </w:r>
                </w:p>
              </w:tc>
              <w:tc>
                <w:tcPr>
                  <w:tcW w:w="602" w:type="dxa"/>
                  <w:vMerge w:val="restart"/>
                  <w:tcBorders>
                    <w:tl2br w:val="nil"/>
                    <w:tr2bl w:val="nil"/>
                  </w:tcBorders>
                  <w:noWrap w:val="0"/>
                  <w:vAlign w:val="center"/>
                </w:tcPr>
                <w:p w14:paraId="5D7D151C">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达标情况</w:t>
                  </w:r>
                </w:p>
              </w:tc>
            </w:tr>
            <w:tr w14:paraId="1134707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3" w:type="dxa"/>
                  <w:vMerge w:val="continue"/>
                  <w:tcBorders>
                    <w:tl2br w:val="nil"/>
                    <w:tr2bl w:val="nil"/>
                  </w:tcBorders>
                  <w:noWrap w:val="0"/>
                  <w:vAlign w:val="center"/>
                </w:tcPr>
                <w:p w14:paraId="0952F04B">
                  <w:pPr>
                    <w:shd w:val="clear"/>
                    <w:jc w:val="center"/>
                    <w:rPr>
                      <w:rFonts w:hint="default" w:ascii="Times New Roman" w:hAnsi="Times New Roman" w:eastAsia="宋体" w:cs="Times New Roman"/>
                      <w:b/>
                      <w:bCs w:val="0"/>
                      <w:color w:val="auto"/>
                      <w:sz w:val="21"/>
                      <w:szCs w:val="21"/>
                      <w:highlight w:val="none"/>
                    </w:rPr>
                  </w:pPr>
                </w:p>
              </w:tc>
              <w:tc>
                <w:tcPr>
                  <w:tcW w:w="890" w:type="dxa"/>
                  <w:vMerge w:val="continue"/>
                  <w:tcBorders>
                    <w:tl2br w:val="nil"/>
                    <w:tr2bl w:val="nil"/>
                  </w:tcBorders>
                  <w:noWrap w:val="0"/>
                  <w:vAlign w:val="center"/>
                </w:tcPr>
                <w:p w14:paraId="2C7AEF41">
                  <w:pPr>
                    <w:shd w:val="clear"/>
                    <w:jc w:val="center"/>
                    <w:rPr>
                      <w:rFonts w:hint="default" w:ascii="Times New Roman" w:hAnsi="Times New Roman" w:eastAsia="宋体" w:cs="Times New Roman"/>
                      <w:b/>
                      <w:bCs w:val="0"/>
                      <w:color w:val="auto"/>
                      <w:sz w:val="21"/>
                      <w:szCs w:val="21"/>
                      <w:highlight w:val="none"/>
                    </w:rPr>
                  </w:pPr>
                </w:p>
              </w:tc>
              <w:tc>
                <w:tcPr>
                  <w:tcW w:w="790" w:type="dxa"/>
                  <w:tcBorders>
                    <w:tl2br w:val="nil"/>
                    <w:tr2bl w:val="nil"/>
                  </w:tcBorders>
                  <w:noWrap w:val="0"/>
                  <w:vAlign w:val="center"/>
                </w:tcPr>
                <w:p w14:paraId="7EA5B30E">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产生量（t/a）</w:t>
                  </w:r>
                </w:p>
              </w:tc>
              <w:tc>
                <w:tcPr>
                  <w:tcW w:w="768" w:type="dxa"/>
                  <w:tcBorders>
                    <w:tl2br w:val="nil"/>
                    <w:tr2bl w:val="nil"/>
                  </w:tcBorders>
                  <w:noWrap w:val="0"/>
                  <w:vAlign w:val="center"/>
                </w:tcPr>
                <w:p w14:paraId="3A6193E0">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color w:val="auto"/>
                      <w:sz w:val="21"/>
                      <w:szCs w:val="21"/>
                      <w:highlight w:val="none"/>
                    </w:rPr>
                    <w:t>产生速率（kg/h）</w:t>
                  </w:r>
                </w:p>
              </w:tc>
              <w:tc>
                <w:tcPr>
                  <w:tcW w:w="825" w:type="dxa"/>
                  <w:tcBorders>
                    <w:tl2br w:val="nil"/>
                    <w:tr2bl w:val="nil"/>
                  </w:tcBorders>
                  <w:noWrap w:val="0"/>
                  <w:vAlign w:val="center"/>
                </w:tcPr>
                <w:p w14:paraId="1A061D92">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产生浓度（mg/m</w:t>
                  </w:r>
                  <w:r>
                    <w:rPr>
                      <w:rFonts w:hint="default" w:ascii="Times New Roman" w:hAnsi="Times New Roman" w:eastAsia="宋体" w:cs="Times New Roman"/>
                      <w:b/>
                      <w:bCs w:val="0"/>
                      <w:color w:val="auto"/>
                      <w:sz w:val="21"/>
                      <w:szCs w:val="21"/>
                      <w:highlight w:val="none"/>
                      <w:vertAlign w:val="superscript"/>
                    </w:rPr>
                    <w:t>3</w:t>
                  </w:r>
                  <w:r>
                    <w:rPr>
                      <w:rFonts w:hint="default" w:ascii="Times New Roman" w:hAnsi="Times New Roman" w:eastAsia="宋体" w:cs="Times New Roman"/>
                      <w:b/>
                      <w:bCs w:val="0"/>
                      <w:color w:val="auto"/>
                      <w:sz w:val="21"/>
                      <w:szCs w:val="21"/>
                      <w:highlight w:val="none"/>
                    </w:rPr>
                    <w:t>）</w:t>
                  </w:r>
                </w:p>
              </w:tc>
              <w:tc>
                <w:tcPr>
                  <w:tcW w:w="656" w:type="dxa"/>
                  <w:vMerge w:val="continue"/>
                  <w:tcBorders>
                    <w:tl2br w:val="nil"/>
                    <w:tr2bl w:val="nil"/>
                  </w:tcBorders>
                  <w:noWrap w:val="0"/>
                  <w:vAlign w:val="center"/>
                </w:tcPr>
                <w:p w14:paraId="525B88F5">
                  <w:pPr>
                    <w:shd w:val="clear"/>
                    <w:jc w:val="center"/>
                    <w:rPr>
                      <w:rFonts w:hint="default" w:ascii="Times New Roman" w:hAnsi="Times New Roman" w:eastAsia="宋体" w:cs="Times New Roman"/>
                      <w:b/>
                      <w:bCs w:val="0"/>
                      <w:color w:val="auto"/>
                      <w:sz w:val="21"/>
                      <w:szCs w:val="21"/>
                      <w:highlight w:val="none"/>
                    </w:rPr>
                  </w:pPr>
                </w:p>
              </w:tc>
              <w:tc>
                <w:tcPr>
                  <w:tcW w:w="751" w:type="dxa"/>
                  <w:tcBorders>
                    <w:tl2br w:val="nil"/>
                    <w:tr2bl w:val="nil"/>
                  </w:tcBorders>
                  <w:noWrap w:val="0"/>
                  <w:vAlign w:val="center"/>
                </w:tcPr>
                <w:p w14:paraId="16A5DA7D">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排放量（t/a）</w:t>
                  </w:r>
                </w:p>
              </w:tc>
              <w:tc>
                <w:tcPr>
                  <w:tcW w:w="781" w:type="dxa"/>
                  <w:tcBorders>
                    <w:tl2br w:val="nil"/>
                    <w:tr2bl w:val="nil"/>
                  </w:tcBorders>
                  <w:noWrap w:val="0"/>
                  <w:vAlign w:val="center"/>
                </w:tcPr>
                <w:p w14:paraId="58A2DF75">
                  <w:pPr>
                    <w:shd w:val="clear"/>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排放速率</w:t>
                  </w:r>
                  <w:r>
                    <w:rPr>
                      <w:rFonts w:hint="default" w:ascii="Times New Roman" w:hAnsi="Times New Roman" w:eastAsia="宋体" w:cs="Times New Roman"/>
                      <w:b/>
                      <w:bCs/>
                      <w:color w:val="auto"/>
                      <w:sz w:val="21"/>
                      <w:szCs w:val="21"/>
                      <w:highlight w:val="none"/>
                    </w:rPr>
                    <w:t>（kg/h）</w:t>
                  </w:r>
                </w:p>
              </w:tc>
              <w:tc>
                <w:tcPr>
                  <w:tcW w:w="694" w:type="dxa"/>
                  <w:tcBorders>
                    <w:tl2br w:val="nil"/>
                    <w:tr2bl w:val="nil"/>
                  </w:tcBorders>
                  <w:noWrap w:val="0"/>
                  <w:vAlign w:val="center"/>
                </w:tcPr>
                <w:p w14:paraId="7E4372FE">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排放浓度（mg/m</w:t>
                  </w:r>
                  <w:r>
                    <w:rPr>
                      <w:rFonts w:hint="default" w:ascii="Times New Roman" w:hAnsi="Times New Roman" w:eastAsia="宋体" w:cs="Times New Roman"/>
                      <w:b/>
                      <w:bCs w:val="0"/>
                      <w:color w:val="auto"/>
                      <w:sz w:val="21"/>
                      <w:szCs w:val="21"/>
                      <w:highlight w:val="none"/>
                      <w:vertAlign w:val="superscript"/>
                    </w:rPr>
                    <w:t>3</w:t>
                  </w:r>
                  <w:r>
                    <w:rPr>
                      <w:rFonts w:hint="default" w:ascii="Times New Roman" w:hAnsi="Times New Roman" w:eastAsia="宋体" w:cs="Times New Roman"/>
                      <w:b/>
                      <w:bCs w:val="0"/>
                      <w:color w:val="auto"/>
                      <w:sz w:val="21"/>
                      <w:szCs w:val="21"/>
                      <w:highlight w:val="none"/>
                    </w:rPr>
                    <w:t>）</w:t>
                  </w:r>
                </w:p>
              </w:tc>
              <w:tc>
                <w:tcPr>
                  <w:tcW w:w="577" w:type="dxa"/>
                  <w:tcBorders>
                    <w:tl2br w:val="nil"/>
                    <w:tr2bl w:val="nil"/>
                  </w:tcBorders>
                  <w:noWrap w:val="0"/>
                  <w:vAlign w:val="center"/>
                </w:tcPr>
                <w:p w14:paraId="520865D1">
                  <w:pPr>
                    <w:shd w:val="clear"/>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速率（kg/h）</w:t>
                  </w:r>
                </w:p>
              </w:tc>
              <w:tc>
                <w:tcPr>
                  <w:tcW w:w="576" w:type="dxa"/>
                  <w:tcBorders>
                    <w:tl2br w:val="nil"/>
                    <w:tr2bl w:val="nil"/>
                  </w:tcBorders>
                  <w:noWrap w:val="0"/>
                  <w:vAlign w:val="center"/>
                </w:tcPr>
                <w:p w14:paraId="644B2B89">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浓度</w:t>
                  </w:r>
                  <w:r>
                    <w:rPr>
                      <w:rFonts w:hint="default" w:ascii="Times New Roman" w:hAnsi="Times New Roman" w:eastAsia="宋体" w:cs="Times New Roman"/>
                      <w:b/>
                      <w:bCs w:val="0"/>
                      <w:color w:val="auto"/>
                      <w:sz w:val="21"/>
                      <w:szCs w:val="21"/>
                      <w:highlight w:val="none"/>
                    </w:rPr>
                    <w:t>（mg/m</w:t>
                  </w:r>
                  <w:r>
                    <w:rPr>
                      <w:rFonts w:hint="default" w:ascii="Times New Roman" w:hAnsi="Times New Roman" w:eastAsia="宋体" w:cs="Times New Roman"/>
                      <w:b/>
                      <w:bCs w:val="0"/>
                      <w:color w:val="auto"/>
                      <w:sz w:val="21"/>
                      <w:szCs w:val="21"/>
                      <w:highlight w:val="none"/>
                      <w:vertAlign w:val="superscript"/>
                    </w:rPr>
                    <w:t>3</w:t>
                  </w:r>
                  <w:r>
                    <w:rPr>
                      <w:rFonts w:hint="default" w:ascii="Times New Roman" w:hAnsi="Times New Roman" w:eastAsia="宋体" w:cs="Times New Roman"/>
                      <w:b/>
                      <w:bCs w:val="0"/>
                      <w:color w:val="auto"/>
                      <w:sz w:val="21"/>
                      <w:szCs w:val="21"/>
                      <w:highlight w:val="none"/>
                    </w:rPr>
                    <w:t>）</w:t>
                  </w:r>
                </w:p>
              </w:tc>
              <w:tc>
                <w:tcPr>
                  <w:tcW w:w="602" w:type="dxa"/>
                  <w:vMerge w:val="continue"/>
                  <w:tcBorders>
                    <w:tl2br w:val="nil"/>
                    <w:tr2bl w:val="nil"/>
                  </w:tcBorders>
                  <w:noWrap w:val="0"/>
                  <w:vAlign w:val="center"/>
                </w:tcPr>
                <w:p w14:paraId="0425023A">
                  <w:pPr>
                    <w:shd w:val="clear"/>
                    <w:jc w:val="center"/>
                    <w:rPr>
                      <w:rFonts w:hint="default" w:ascii="Times New Roman" w:hAnsi="Times New Roman" w:eastAsia="宋体" w:cs="Times New Roman"/>
                      <w:b/>
                      <w:bCs w:val="0"/>
                      <w:color w:val="auto"/>
                      <w:sz w:val="21"/>
                      <w:szCs w:val="21"/>
                      <w:highlight w:val="none"/>
                    </w:rPr>
                  </w:pPr>
                </w:p>
              </w:tc>
            </w:tr>
            <w:tr w14:paraId="163EBC4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13" w:type="dxa"/>
                  <w:tcBorders>
                    <w:tl2br w:val="nil"/>
                    <w:tr2bl w:val="nil"/>
                  </w:tcBorders>
                  <w:noWrap w:val="0"/>
                  <w:vAlign w:val="center"/>
                </w:tcPr>
                <w:p w14:paraId="769B3CF1">
                  <w:pPr>
                    <w:shd w:val="clea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DA00</w:t>
                  </w:r>
                  <w:r>
                    <w:rPr>
                      <w:rFonts w:hint="default" w:ascii="Times New Roman" w:hAnsi="Times New Roman" w:eastAsia="宋体" w:cs="Times New Roman"/>
                      <w:bCs/>
                      <w:color w:val="auto"/>
                      <w:sz w:val="21"/>
                      <w:szCs w:val="21"/>
                      <w:highlight w:val="none"/>
                      <w:lang w:val="en-US" w:eastAsia="zh-CN"/>
                    </w:rPr>
                    <w:t>1</w:t>
                  </w:r>
                </w:p>
              </w:tc>
              <w:tc>
                <w:tcPr>
                  <w:tcW w:w="890" w:type="dxa"/>
                  <w:tcBorders>
                    <w:tl2br w:val="nil"/>
                    <w:tr2bl w:val="nil"/>
                  </w:tcBorders>
                  <w:noWrap w:val="0"/>
                  <w:vAlign w:val="center"/>
                </w:tcPr>
                <w:p w14:paraId="1F6250D1">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790" w:type="dxa"/>
                  <w:tcBorders>
                    <w:tl2br w:val="nil"/>
                    <w:tr2bl w:val="nil"/>
                  </w:tcBorders>
                  <w:noWrap w:val="0"/>
                  <w:vAlign w:val="center"/>
                </w:tcPr>
                <w:p w14:paraId="76AF139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6.804</w:t>
                  </w:r>
                </w:p>
              </w:tc>
              <w:tc>
                <w:tcPr>
                  <w:tcW w:w="768" w:type="dxa"/>
                  <w:tcBorders>
                    <w:tl2br w:val="nil"/>
                    <w:tr2bl w:val="nil"/>
                  </w:tcBorders>
                  <w:noWrap w:val="0"/>
                  <w:vAlign w:val="center"/>
                </w:tcPr>
                <w:p w14:paraId="5AE55E1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color w:val="auto"/>
                      <w:szCs w:val="21"/>
                      <w:lang w:val="en-US" w:eastAsia="zh-CN"/>
                    </w:rPr>
                    <w:t>1.8900</w:t>
                  </w:r>
                </w:p>
              </w:tc>
              <w:tc>
                <w:tcPr>
                  <w:tcW w:w="825" w:type="dxa"/>
                  <w:tcBorders>
                    <w:tl2br w:val="nil"/>
                    <w:tr2bl w:val="nil"/>
                  </w:tcBorders>
                  <w:noWrap w:val="0"/>
                  <w:vAlign w:val="center"/>
                </w:tcPr>
                <w:p w14:paraId="510E439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70.33</w:t>
                  </w:r>
                </w:p>
              </w:tc>
              <w:tc>
                <w:tcPr>
                  <w:tcW w:w="656" w:type="dxa"/>
                  <w:tcBorders>
                    <w:tl2br w:val="nil"/>
                    <w:tr2bl w:val="nil"/>
                  </w:tcBorders>
                  <w:noWrap w:val="0"/>
                  <w:vAlign w:val="center"/>
                </w:tcPr>
                <w:p w14:paraId="20D7FA6A">
                  <w:pPr>
                    <w:shd w:val="clea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9</w:t>
                  </w:r>
                  <w:r>
                    <w:rPr>
                      <w:rFonts w:hint="eastAsia" w:cs="Times New Roman"/>
                      <w:bCs/>
                      <w:color w:val="auto"/>
                      <w:sz w:val="21"/>
                      <w:szCs w:val="21"/>
                      <w:highlight w:val="none"/>
                      <w:lang w:val="en-US" w:eastAsia="zh-CN"/>
                    </w:rPr>
                    <w:t>9</w:t>
                  </w:r>
                  <w:r>
                    <w:rPr>
                      <w:rFonts w:hint="default" w:ascii="Times New Roman" w:hAnsi="Times New Roman" w:eastAsia="宋体" w:cs="Times New Roman"/>
                      <w:bCs/>
                      <w:color w:val="auto"/>
                      <w:sz w:val="21"/>
                      <w:szCs w:val="21"/>
                      <w:highlight w:val="none"/>
                      <w:lang w:val="en-US" w:eastAsia="zh-CN"/>
                    </w:rPr>
                    <w:t>%</w:t>
                  </w:r>
                </w:p>
              </w:tc>
              <w:tc>
                <w:tcPr>
                  <w:tcW w:w="751" w:type="dxa"/>
                  <w:tcBorders>
                    <w:tl2br w:val="nil"/>
                    <w:tr2bl w:val="nil"/>
                  </w:tcBorders>
                  <w:noWrap w:val="0"/>
                  <w:vAlign w:val="center"/>
                </w:tcPr>
                <w:p w14:paraId="62AA4DA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680</w:t>
                  </w:r>
                </w:p>
              </w:tc>
              <w:tc>
                <w:tcPr>
                  <w:tcW w:w="781" w:type="dxa"/>
                  <w:tcBorders>
                    <w:tl2br w:val="nil"/>
                    <w:tr2bl w:val="nil"/>
                  </w:tcBorders>
                  <w:noWrap w:val="0"/>
                  <w:vAlign w:val="center"/>
                </w:tcPr>
                <w:p w14:paraId="14DA6C2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189</w:t>
                  </w:r>
                </w:p>
              </w:tc>
              <w:tc>
                <w:tcPr>
                  <w:tcW w:w="694" w:type="dxa"/>
                  <w:tcBorders>
                    <w:tl2br w:val="nil"/>
                    <w:tr2bl w:val="nil"/>
                  </w:tcBorders>
                  <w:noWrap w:val="0"/>
                  <w:vAlign w:val="center"/>
                </w:tcPr>
                <w:p w14:paraId="5661E5D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0.70</w:t>
                  </w:r>
                </w:p>
              </w:tc>
              <w:tc>
                <w:tcPr>
                  <w:tcW w:w="577" w:type="dxa"/>
                  <w:tcBorders>
                    <w:tl2br w:val="nil"/>
                    <w:tr2bl w:val="nil"/>
                  </w:tcBorders>
                  <w:noWrap w:val="0"/>
                  <w:vAlign w:val="center"/>
                </w:tcPr>
                <w:p w14:paraId="2D19F6F9">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u w:val="none"/>
                      <w:lang w:val="en-US" w:eastAsia="zh-CN" w:bidi="ar"/>
                    </w:rPr>
                    <w:t>1.75</w:t>
                  </w:r>
                </w:p>
              </w:tc>
              <w:tc>
                <w:tcPr>
                  <w:tcW w:w="576" w:type="dxa"/>
                  <w:tcBorders>
                    <w:tl2br w:val="nil"/>
                    <w:tr2bl w:val="nil"/>
                  </w:tcBorders>
                  <w:noWrap w:val="0"/>
                  <w:vAlign w:val="center"/>
                </w:tcPr>
                <w:p w14:paraId="727BF351">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120</w:t>
                  </w:r>
                </w:p>
              </w:tc>
              <w:tc>
                <w:tcPr>
                  <w:tcW w:w="602" w:type="dxa"/>
                  <w:tcBorders>
                    <w:tl2br w:val="nil"/>
                    <w:tr2bl w:val="nil"/>
                  </w:tcBorders>
                  <w:noWrap w:val="0"/>
                  <w:vAlign w:val="center"/>
                </w:tcPr>
                <w:p w14:paraId="07A59363">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14:paraId="21D10E8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13" w:type="dxa"/>
                  <w:vMerge w:val="restart"/>
                  <w:tcBorders>
                    <w:tl2br w:val="nil"/>
                    <w:tr2bl w:val="nil"/>
                  </w:tcBorders>
                  <w:noWrap w:val="0"/>
                  <w:vAlign w:val="center"/>
                </w:tcPr>
                <w:p w14:paraId="610C80F4">
                  <w:pPr>
                    <w:shd w:val="clea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DA00</w:t>
                  </w:r>
                  <w:r>
                    <w:rPr>
                      <w:rFonts w:hint="default" w:ascii="Times New Roman" w:hAnsi="Times New Roman" w:eastAsia="宋体" w:cs="Times New Roman"/>
                      <w:bCs/>
                      <w:color w:val="auto"/>
                      <w:sz w:val="21"/>
                      <w:szCs w:val="21"/>
                      <w:highlight w:val="none"/>
                      <w:lang w:val="en-US" w:eastAsia="zh-CN"/>
                    </w:rPr>
                    <w:t>2</w:t>
                  </w:r>
                </w:p>
              </w:tc>
              <w:tc>
                <w:tcPr>
                  <w:tcW w:w="890" w:type="dxa"/>
                  <w:tcBorders>
                    <w:tl2br w:val="nil"/>
                    <w:tr2bl w:val="nil"/>
                  </w:tcBorders>
                  <w:noWrap w:val="0"/>
                  <w:vAlign w:val="center"/>
                </w:tcPr>
                <w:p w14:paraId="36ECA3E3">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非甲烷总烃</w:t>
                  </w:r>
                </w:p>
              </w:tc>
              <w:tc>
                <w:tcPr>
                  <w:tcW w:w="790" w:type="dxa"/>
                  <w:tcBorders>
                    <w:tl2br w:val="nil"/>
                    <w:tr2bl w:val="nil"/>
                  </w:tcBorders>
                  <w:noWrap w:val="0"/>
                  <w:vAlign w:val="center"/>
                </w:tcPr>
                <w:p w14:paraId="3FC2462B">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cs="Times New Roman"/>
                      <w:i w:val="0"/>
                      <w:iCs w:val="0"/>
                      <w:color w:val="auto"/>
                      <w:kern w:val="0"/>
                      <w:sz w:val="21"/>
                      <w:szCs w:val="21"/>
                      <w:u w:val="none"/>
                      <w:lang w:val="en-US" w:eastAsia="zh-CN" w:bidi="ar"/>
                    </w:rPr>
                    <w:t>2.5354</w:t>
                  </w:r>
                </w:p>
              </w:tc>
              <w:tc>
                <w:tcPr>
                  <w:tcW w:w="768" w:type="dxa"/>
                  <w:tcBorders>
                    <w:tl2br w:val="nil"/>
                    <w:tr2bl w:val="nil"/>
                  </w:tcBorders>
                  <w:noWrap w:val="0"/>
                  <w:vAlign w:val="center"/>
                </w:tcPr>
                <w:p w14:paraId="42970535">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7043</w:t>
                  </w:r>
                </w:p>
              </w:tc>
              <w:tc>
                <w:tcPr>
                  <w:tcW w:w="825" w:type="dxa"/>
                  <w:tcBorders>
                    <w:tl2br w:val="nil"/>
                    <w:tr2bl w:val="nil"/>
                  </w:tcBorders>
                  <w:noWrap w:val="0"/>
                  <w:vAlign w:val="center"/>
                </w:tcPr>
                <w:p w14:paraId="026DDDF4">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ascii="Times New Roman" w:hAnsi="Times New Roman" w:cs="Times New Roman"/>
                      <w:color w:val="auto"/>
                      <w:szCs w:val="21"/>
                      <w:lang w:val="en-US" w:eastAsia="zh-CN"/>
                    </w:rPr>
                    <w:t>2</w:t>
                  </w:r>
                  <w:r>
                    <w:rPr>
                      <w:rFonts w:hint="eastAsia" w:cs="Times New Roman"/>
                      <w:color w:val="auto"/>
                      <w:szCs w:val="21"/>
                      <w:lang w:val="en-US" w:eastAsia="zh-CN"/>
                    </w:rPr>
                    <w:t>7.17</w:t>
                  </w:r>
                </w:p>
              </w:tc>
              <w:tc>
                <w:tcPr>
                  <w:tcW w:w="656" w:type="dxa"/>
                  <w:tcBorders>
                    <w:tl2br w:val="nil"/>
                    <w:tr2bl w:val="nil"/>
                  </w:tcBorders>
                  <w:noWrap w:val="0"/>
                  <w:vAlign w:val="center"/>
                </w:tcPr>
                <w:p w14:paraId="6C6406FB">
                  <w:pPr>
                    <w:shd w:val="clea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70</w:t>
                  </w:r>
                  <w:r>
                    <w:rPr>
                      <w:rFonts w:hint="default" w:ascii="Times New Roman" w:hAnsi="Times New Roman" w:eastAsia="宋体" w:cs="Times New Roman"/>
                      <w:bCs/>
                      <w:color w:val="auto"/>
                      <w:sz w:val="21"/>
                      <w:szCs w:val="21"/>
                      <w:highlight w:val="none"/>
                      <w:lang w:val="en-US" w:eastAsia="zh-CN"/>
                    </w:rPr>
                    <w:t>%</w:t>
                  </w:r>
                </w:p>
              </w:tc>
              <w:tc>
                <w:tcPr>
                  <w:tcW w:w="751" w:type="dxa"/>
                  <w:tcBorders>
                    <w:tl2br w:val="nil"/>
                    <w:tr2bl w:val="nil"/>
                  </w:tcBorders>
                  <w:noWrap w:val="0"/>
                  <w:vAlign w:val="center"/>
                </w:tcPr>
                <w:p w14:paraId="336C9A4B">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0.7606</w:t>
                  </w:r>
                </w:p>
              </w:tc>
              <w:tc>
                <w:tcPr>
                  <w:tcW w:w="781" w:type="dxa"/>
                  <w:tcBorders>
                    <w:tl2br w:val="nil"/>
                    <w:tr2bl w:val="nil"/>
                  </w:tcBorders>
                  <w:noWrap w:val="0"/>
                  <w:vAlign w:val="center"/>
                </w:tcPr>
                <w:p w14:paraId="416D3A7F">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2113</w:t>
                  </w:r>
                </w:p>
              </w:tc>
              <w:tc>
                <w:tcPr>
                  <w:tcW w:w="694" w:type="dxa"/>
                  <w:tcBorders>
                    <w:tl2br w:val="nil"/>
                    <w:tr2bl w:val="nil"/>
                  </w:tcBorders>
                  <w:noWrap w:val="0"/>
                  <w:vAlign w:val="center"/>
                </w:tcPr>
                <w:p w14:paraId="543F44F0">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ascii="Times New Roman" w:hAnsi="Times New Roman" w:cs="Times New Roman"/>
                      <w:color w:val="auto"/>
                      <w:szCs w:val="21"/>
                      <w:lang w:val="en-US" w:eastAsia="zh-CN"/>
                    </w:rPr>
                    <w:t>8.</w:t>
                  </w:r>
                  <w:r>
                    <w:rPr>
                      <w:rFonts w:hint="eastAsia" w:cs="Times New Roman"/>
                      <w:color w:val="auto"/>
                      <w:szCs w:val="21"/>
                      <w:lang w:val="en-US" w:eastAsia="zh-CN"/>
                    </w:rPr>
                    <w:t>1</w:t>
                  </w:r>
                  <w:r>
                    <w:rPr>
                      <w:rFonts w:hint="eastAsia" w:ascii="Times New Roman" w:hAnsi="Times New Roman" w:cs="Times New Roman"/>
                      <w:color w:val="auto"/>
                      <w:szCs w:val="21"/>
                      <w:lang w:val="en-US" w:eastAsia="zh-CN"/>
                    </w:rPr>
                    <w:t>5</w:t>
                  </w:r>
                </w:p>
              </w:tc>
              <w:tc>
                <w:tcPr>
                  <w:tcW w:w="577" w:type="dxa"/>
                  <w:tcBorders>
                    <w:tl2br w:val="nil"/>
                    <w:tr2bl w:val="nil"/>
                  </w:tcBorders>
                  <w:noWrap w:val="0"/>
                  <w:vAlign w:val="center"/>
                </w:tcPr>
                <w:p w14:paraId="01BED23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5</w:t>
                  </w:r>
                </w:p>
              </w:tc>
              <w:tc>
                <w:tcPr>
                  <w:tcW w:w="576" w:type="dxa"/>
                  <w:tcBorders>
                    <w:tl2br w:val="nil"/>
                    <w:tr2bl w:val="nil"/>
                  </w:tcBorders>
                  <w:noWrap w:val="0"/>
                  <w:vAlign w:val="center"/>
                </w:tcPr>
                <w:p w14:paraId="7732B6D6">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120</w:t>
                  </w:r>
                </w:p>
              </w:tc>
              <w:tc>
                <w:tcPr>
                  <w:tcW w:w="602" w:type="dxa"/>
                  <w:tcBorders>
                    <w:tl2br w:val="nil"/>
                    <w:tr2bl w:val="nil"/>
                  </w:tcBorders>
                  <w:noWrap w:val="0"/>
                  <w:vAlign w:val="center"/>
                </w:tcPr>
                <w:p w14:paraId="1798C8F5">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rPr>
                    <w:t>达标</w:t>
                  </w:r>
                </w:p>
              </w:tc>
            </w:tr>
            <w:tr w14:paraId="0E104FC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13" w:type="dxa"/>
                  <w:vMerge w:val="continue"/>
                  <w:tcBorders>
                    <w:tl2br w:val="nil"/>
                    <w:tr2bl w:val="nil"/>
                  </w:tcBorders>
                  <w:noWrap w:val="0"/>
                  <w:vAlign w:val="center"/>
                </w:tcPr>
                <w:p w14:paraId="12D66732">
                  <w:pPr>
                    <w:shd w:val="clear"/>
                    <w:jc w:val="center"/>
                    <w:rPr>
                      <w:rFonts w:hint="default" w:ascii="Times New Roman" w:hAnsi="Times New Roman" w:eastAsia="宋体" w:cs="Times New Roman"/>
                      <w:bCs/>
                      <w:color w:val="auto"/>
                      <w:sz w:val="21"/>
                      <w:szCs w:val="21"/>
                      <w:highlight w:val="none"/>
                      <w:lang w:val="en-US" w:eastAsia="zh-CN"/>
                    </w:rPr>
                  </w:pPr>
                </w:p>
              </w:tc>
              <w:tc>
                <w:tcPr>
                  <w:tcW w:w="890" w:type="dxa"/>
                  <w:tcBorders>
                    <w:tl2br w:val="nil"/>
                    <w:tr2bl w:val="nil"/>
                  </w:tcBorders>
                  <w:noWrap w:val="0"/>
                  <w:vAlign w:val="center"/>
                </w:tcPr>
                <w:p w14:paraId="7153FF99">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i w:val="0"/>
                      <w:iCs w:val="0"/>
                      <w:color w:val="auto"/>
                      <w:kern w:val="0"/>
                      <w:sz w:val="21"/>
                      <w:szCs w:val="21"/>
                      <w:u w:val="none"/>
                      <w:lang w:val="en-US" w:eastAsia="zh-CN" w:bidi="ar"/>
                    </w:rPr>
                    <w:t>氯化氢</w:t>
                  </w:r>
                </w:p>
              </w:tc>
              <w:tc>
                <w:tcPr>
                  <w:tcW w:w="790" w:type="dxa"/>
                  <w:tcBorders>
                    <w:tl2br w:val="nil"/>
                    <w:tr2bl w:val="nil"/>
                  </w:tcBorders>
                  <w:noWrap w:val="0"/>
                  <w:vAlign w:val="center"/>
                </w:tcPr>
                <w:p w14:paraId="2A6635EC">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cs="Times New Roman"/>
                      <w:color w:val="auto"/>
                      <w:szCs w:val="21"/>
                      <w:lang w:val="en-US" w:eastAsia="zh-CN"/>
                    </w:rPr>
                    <w:t>0.0250</w:t>
                  </w:r>
                </w:p>
              </w:tc>
              <w:tc>
                <w:tcPr>
                  <w:tcW w:w="768" w:type="dxa"/>
                  <w:tcBorders>
                    <w:tl2br w:val="nil"/>
                    <w:tr2bl w:val="nil"/>
                  </w:tcBorders>
                  <w:noWrap w:val="0"/>
                  <w:vAlign w:val="center"/>
                </w:tcPr>
                <w:p w14:paraId="3727754E">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070</w:t>
                  </w:r>
                </w:p>
              </w:tc>
              <w:tc>
                <w:tcPr>
                  <w:tcW w:w="825" w:type="dxa"/>
                  <w:tcBorders>
                    <w:tl2br w:val="nil"/>
                    <w:tr2bl w:val="nil"/>
                  </w:tcBorders>
                  <w:noWrap w:val="0"/>
                  <w:vAlign w:val="center"/>
                </w:tcPr>
                <w:p w14:paraId="6CED28C4">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0.27</w:t>
                  </w:r>
                </w:p>
              </w:tc>
              <w:tc>
                <w:tcPr>
                  <w:tcW w:w="656" w:type="dxa"/>
                  <w:tcBorders>
                    <w:tl2br w:val="nil"/>
                    <w:tr2bl w:val="nil"/>
                  </w:tcBorders>
                  <w:noWrap w:val="0"/>
                  <w:vAlign w:val="center"/>
                </w:tcPr>
                <w:p w14:paraId="2F107AF4">
                  <w:pPr>
                    <w:shd w:val="clea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7</w:t>
                  </w:r>
                  <w:r>
                    <w:rPr>
                      <w:rFonts w:hint="default" w:ascii="Times New Roman" w:hAnsi="Times New Roman" w:eastAsia="宋体" w:cs="Times New Roman"/>
                      <w:bCs/>
                      <w:color w:val="auto"/>
                      <w:sz w:val="21"/>
                      <w:szCs w:val="21"/>
                      <w:highlight w:val="none"/>
                      <w:lang w:val="en-US" w:eastAsia="zh-CN"/>
                    </w:rPr>
                    <w:t>0%</w:t>
                  </w:r>
                </w:p>
              </w:tc>
              <w:tc>
                <w:tcPr>
                  <w:tcW w:w="751" w:type="dxa"/>
                  <w:tcBorders>
                    <w:tl2br w:val="nil"/>
                    <w:tr2bl w:val="nil"/>
                  </w:tcBorders>
                  <w:noWrap w:val="0"/>
                  <w:vAlign w:val="center"/>
                </w:tcPr>
                <w:p w14:paraId="0AE621F5">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ascii="Times New Roman" w:hAnsi="Times New Roman" w:cs="Times New Roman"/>
                      <w:color w:val="auto"/>
                      <w:szCs w:val="21"/>
                      <w:lang w:val="en-US" w:eastAsia="zh-CN"/>
                    </w:rPr>
                    <w:t>0.0250</w:t>
                  </w:r>
                </w:p>
              </w:tc>
              <w:tc>
                <w:tcPr>
                  <w:tcW w:w="781" w:type="dxa"/>
                  <w:tcBorders>
                    <w:tl2br w:val="nil"/>
                    <w:tr2bl w:val="nil"/>
                  </w:tcBorders>
                  <w:noWrap w:val="0"/>
                  <w:vAlign w:val="center"/>
                </w:tcPr>
                <w:p w14:paraId="7DF2E02A">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070</w:t>
                  </w:r>
                </w:p>
              </w:tc>
              <w:tc>
                <w:tcPr>
                  <w:tcW w:w="694" w:type="dxa"/>
                  <w:tcBorders>
                    <w:tl2br w:val="nil"/>
                    <w:tr2bl w:val="nil"/>
                  </w:tcBorders>
                  <w:noWrap w:val="0"/>
                  <w:vAlign w:val="center"/>
                </w:tcPr>
                <w:p w14:paraId="4E706F01">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0.27</w:t>
                  </w:r>
                </w:p>
              </w:tc>
              <w:tc>
                <w:tcPr>
                  <w:tcW w:w="577" w:type="dxa"/>
                  <w:tcBorders>
                    <w:tl2br w:val="nil"/>
                    <w:tr2bl w:val="nil"/>
                  </w:tcBorders>
                  <w:noWrap w:val="0"/>
                  <w:vAlign w:val="center"/>
                </w:tcPr>
                <w:p w14:paraId="24D7BD8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0.13</w:t>
                  </w:r>
                </w:p>
              </w:tc>
              <w:tc>
                <w:tcPr>
                  <w:tcW w:w="576" w:type="dxa"/>
                  <w:tcBorders>
                    <w:tl2br w:val="nil"/>
                    <w:tr2bl w:val="nil"/>
                  </w:tcBorders>
                  <w:noWrap w:val="0"/>
                  <w:vAlign w:val="center"/>
                </w:tcPr>
                <w:p w14:paraId="5DA89BF4">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lang w:val="en-US" w:eastAsia="zh-CN"/>
                    </w:rPr>
                    <w:t>0</w:t>
                  </w:r>
                </w:p>
              </w:tc>
              <w:tc>
                <w:tcPr>
                  <w:tcW w:w="602" w:type="dxa"/>
                  <w:tcBorders>
                    <w:tl2br w:val="nil"/>
                    <w:tr2bl w:val="nil"/>
                  </w:tcBorders>
                  <w:noWrap w:val="0"/>
                  <w:vAlign w:val="center"/>
                </w:tcPr>
                <w:p w14:paraId="79A4C2BE">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rPr>
                    <w:t>达标</w:t>
                  </w:r>
                </w:p>
              </w:tc>
            </w:tr>
            <w:tr w14:paraId="26448D0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13" w:type="dxa"/>
                  <w:vMerge w:val="continue"/>
                  <w:tcBorders>
                    <w:tl2br w:val="nil"/>
                    <w:tr2bl w:val="nil"/>
                  </w:tcBorders>
                  <w:noWrap w:val="0"/>
                  <w:vAlign w:val="center"/>
                </w:tcPr>
                <w:p w14:paraId="67C0DEE5">
                  <w:pPr>
                    <w:shd w:val="clear"/>
                    <w:jc w:val="center"/>
                    <w:rPr>
                      <w:rFonts w:hint="default" w:ascii="Times New Roman" w:hAnsi="Times New Roman" w:eastAsia="宋体" w:cs="Times New Roman"/>
                      <w:bCs/>
                      <w:color w:val="auto"/>
                      <w:sz w:val="21"/>
                      <w:szCs w:val="21"/>
                      <w:highlight w:val="none"/>
                      <w:lang w:val="en-US" w:eastAsia="zh-CN"/>
                    </w:rPr>
                  </w:pPr>
                </w:p>
              </w:tc>
              <w:tc>
                <w:tcPr>
                  <w:tcW w:w="890" w:type="dxa"/>
                  <w:tcBorders>
                    <w:tl2br w:val="nil"/>
                    <w:tr2bl w:val="nil"/>
                  </w:tcBorders>
                  <w:noWrap w:val="0"/>
                  <w:vAlign w:val="center"/>
                </w:tcPr>
                <w:p w14:paraId="7ED39C67">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rPr>
                  </w:pPr>
                  <w:r>
                    <w:rPr>
                      <w:rFonts w:hint="eastAsia" w:ascii="Times New Roman" w:hAnsi="Times New Roman" w:cs="Times New Roman"/>
                      <w:i w:val="0"/>
                      <w:iCs w:val="0"/>
                      <w:color w:val="auto"/>
                      <w:kern w:val="0"/>
                      <w:sz w:val="21"/>
                      <w:szCs w:val="21"/>
                      <w:u w:val="none"/>
                      <w:lang w:val="en-US" w:eastAsia="zh-CN" w:bidi="ar"/>
                    </w:rPr>
                    <w:t>氯乙烯</w:t>
                  </w:r>
                </w:p>
              </w:tc>
              <w:tc>
                <w:tcPr>
                  <w:tcW w:w="790" w:type="dxa"/>
                  <w:tcBorders>
                    <w:tl2br w:val="nil"/>
                    <w:tr2bl w:val="nil"/>
                  </w:tcBorders>
                  <w:noWrap w:val="0"/>
                  <w:vAlign w:val="center"/>
                </w:tcPr>
                <w:p w14:paraId="5B98059F">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0306</w:t>
                  </w:r>
                </w:p>
              </w:tc>
              <w:tc>
                <w:tcPr>
                  <w:tcW w:w="768" w:type="dxa"/>
                  <w:tcBorders>
                    <w:tl2br w:val="nil"/>
                    <w:tr2bl w:val="nil"/>
                  </w:tcBorders>
                  <w:noWrap w:val="0"/>
                  <w:vAlign w:val="center"/>
                </w:tcPr>
                <w:p w14:paraId="1E1FA2AC">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0085</w:t>
                  </w:r>
                </w:p>
              </w:tc>
              <w:tc>
                <w:tcPr>
                  <w:tcW w:w="825" w:type="dxa"/>
                  <w:tcBorders>
                    <w:tl2br w:val="nil"/>
                    <w:tr2bl w:val="nil"/>
                  </w:tcBorders>
                  <w:noWrap w:val="0"/>
                  <w:vAlign w:val="center"/>
                </w:tcPr>
                <w:p w14:paraId="443B88D1">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0.3</w:t>
                  </w:r>
                  <w:r>
                    <w:rPr>
                      <w:rFonts w:hint="eastAsia" w:cs="Times New Roman"/>
                      <w:i w:val="0"/>
                      <w:iCs w:val="0"/>
                      <w:color w:val="auto"/>
                      <w:kern w:val="0"/>
                      <w:sz w:val="21"/>
                      <w:szCs w:val="21"/>
                      <w:u w:val="none"/>
                      <w:lang w:val="en-US" w:eastAsia="zh-CN" w:bidi="ar"/>
                    </w:rPr>
                    <w:t>3</w:t>
                  </w:r>
                </w:p>
              </w:tc>
              <w:tc>
                <w:tcPr>
                  <w:tcW w:w="656" w:type="dxa"/>
                  <w:tcBorders>
                    <w:tl2br w:val="nil"/>
                    <w:tr2bl w:val="nil"/>
                  </w:tcBorders>
                  <w:noWrap w:val="0"/>
                  <w:vAlign w:val="center"/>
                </w:tcPr>
                <w:p w14:paraId="3674D1CB">
                  <w:pPr>
                    <w:shd w:val="clea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p>
              </w:tc>
              <w:tc>
                <w:tcPr>
                  <w:tcW w:w="751" w:type="dxa"/>
                  <w:tcBorders>
                    <w:tl2br w:val="nil"/>
                    <w:tr2bl w:val="nil"/>
                  </w:tcBorders>
                  <w:noWrap w:val="0"/>
                  <w:vAlign w:val="center"/>
                </w:tcPr>
                <w:p w14:paraId="5C0EE63E">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0092</w:t>
                  </w:r>
                </w:p>
              </w:tc>
              <w:tc>
                <w:tcPr>
                  <w:tcW w:w="781" w:type="dxa"/>
                  <w:tcBorders>
                    <w:tl2br w:val="nil"/>
                    <w:tr2bl w:val="nil"/>
                  </w:tcBorders>
                  <w:noWrap w:val="0"/>
                  <w:vAlign w:val="center"/>
                </w:tcPr>
                <w:p w14:paraId="2091063C">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0026</w:t>
                  </w:r>
                </w:p>
              </w:tc>
              <w:tc>
                <w:tcPr>
                  <w:tcW w:w="694" w:type="dxa"/>
                  <w:tcBorders>
                    <w:tl2br w:val="nil"/>
                    <w:tr2bl w:val="nil"/>
                  </w:tcBorders>
                  <w:noWrap w:val="0"/>
                  <w:vAlign w:val="center"/>
                </w:tcPr>
                <w:p w14:paraId="1210C7D2">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0.10</w:t>
                  </w:r>
                </w:p>
              </w:tc>
              <w:tc>
                <w:tcPr>
                  <w:tcW w:w="577" w:type="dxa"/>
                  <w:tcBorders>
                    <w:tl2br w:val="nil"/>
                    <w:tr2bl w:val="nil"/>
                  </w:tcBorders>
                  <w:noWrap w:val="0"/>
                  <w:vAlign w:val="center"/>
                </w:tcPr>
                <w:p w14:paraId="27D4B99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0.385</w:t>
                  </w:r>
                </w:p>
              </w:tc>
              <w:tc>
                <w:tcPr>
                  <w:tcW w:w="576" w:type="dxa"/>
                  <w:tcBorders>
                    <w:tl2br w:val="nil"/>
                    <w:tr2bl w:val="nil"/>
                  </w:tcBorders>
                  <w:noWrap w:val="0"/>
                  <w:vAlign w:val="center"/>
                </w:tcPr>
                <w:p w14:paraId="4D39C58F">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36</w:t>
                  </w:r>
                </w:p>
              </w:tc>
              <w:tc>
                <w:tcPr>
                  <w:tcW w:w="602" w:type="dxa"/>
                  <w:tcBorders>
                    <w:tl2br w:val="nil"/>
                    <w:tr2bl w:val="nil"/>
                  </w:tcBorders>
                  <w:noWrap w:val="0"/>
                  <w:vAlign w:val="center"/>
                </w:tcPr>
                <w:p w14:paraId="312E4F7F">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14:paraId="16AB656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13" w:type="dxa"/>
                  <w:vMerge w:val="continue"/>
                  <w:tcBorders>
                    <w:tl2br w:val="nil"/>
                    <w:tr2bl w:val="nil"/>
                  </w:tcBorders>
                  <w:noWrap w:val="0"/>
                  <w:vAlign w:val="center"/>
                </w:tcPr>
                <w:p w14:paraId="0C271704">
                  <w:pPr>
                    <w:shd w:val="clear"/>
                    <w:jc w:val="center"/>
                    <w:rPr>
                      <w:rFonts w:hint="default" w:ascii="Times New Roman" w:hAnsi="Times New Roman" w:eastAsia="宋体" w:cs="Times New Roman"/>
                      <w:bCs/>
                      <w:color w:val="auto"/>
                      <w:sz w:val="21"/>
                      <w:szCs w:val="21"/>
                      <w:highlight w:val="none"/>
                      <w:lang w:val="en-US" w:eastAsia="zh-CN"/>
                    </w:rPr>
                  </w:pPr>
                </w:p>
              </w:tc>
              <w:tc>
                <w:tcPr>
                  <w:tcW w:w="890" w:type="dxa"/>
                  <w:tcBorders>
                    <w:tl2br w:val="nil"/>
                    <w:tr2bl w:val="nil"/>
                  </w:tcBorders>
                  <w:noWrap w:val="0"/>
                  <w:vAlign w:val="center"/>
                </w:tcPr>
                <w:p w14:paraId="00C52C04">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i w:val="0"/>
                      <w:iCs w:val="0"/>
                      <w:color w:val="auto"/>
                      <w:kern w:val="0"/>
                      <w:sz w:val="21"/>
                      <w:szCs w:val="21"/>
                      <w:u w:val="none"/>
                      <w:lang w:val="en-US" w:eastAsia="zh-CN" w:bidi="ar"/>
                    </w:rPr>
                    <w:t>臭气浓度</w:t>
                  </w:r>
                </w:p>
              </w:tc>
              <w:tc>
                <w:tcPr>
                  <w:tcW w:w="790" w:type="dxa"/>
                  <w:tcBorders>
                    <w:tl2br w:val="nil"/>
                    <w:tr2bl w:val="nil"/>
                  </w:tcBorders>
                  <w:noWrap w:val="0"/>
                  <w:vAlign w:val="center"/>
                </w:tcPr>
                <w:p w14:paraId="4CAF315E">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少量</w:t>
                  </w:r>
                </w:p>
              </w:tc>
              <w:tc>
                <w:tcPr>
                  <w:tcW w:w="768" w:type="dxa"/>
                  <w:tcBorders>
                    <w:tl2br w:val="nil"/>
                    <w:tr2bl w:val="nil"/>
                  </w:tcBorders>
                  <w:noWrap w:val="0"/>
                  <w:vAlign w:val="center"/>
                </w:tcPr>
                <w:p w14:paraId="081DAD08">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25" w:type="dxa"/>
                  <w:tcBorders>
                    <w:tl2br w:val="nil"/>
                    <w:tr2bl w:val="nil"/>
                  </w:tcBorders>
                  <w:noWrap w:val="0"/>
                  <w:vAlign w:val="center"/>
                </w:tcPr>
                <w:p w14:paraId="7A43CD3E">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color w:val="auto"/>
                      <w:szCs w:val="21"/>
                      <w:lang w:val="en-US" w:eastAsia="zh-CN"/>
                    </w:rPr>
                    <w:t>3167（无量纲）</w:t>
                  </w:r>
                </w:p>
              </w:tc>
              <w:tc>
                <w:tcPr>
                  <w:tcW w:w="656" w:type="dxa"/>
                  <w:tcBorders>
                    <w:tl2br w:val="nil"/>
                    <w:tr2bl w:val="nil"/>
                  </w:tcBorders>
                  <w:noWrap w:val="0"/>
                  <w:vAlign w:val="center"/>
                </w:tcPr>
                <w:p w14:paraId="7C8B17CA">
                  <w:pPr>
                    <w:shd w:val="clear"/>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7</w:t>
                  </w:r>
                  <w:r>
                    <w:rPr>
                      <w:rFonts w:hint="default" w:ascii="Times New Roman" w:hAnsi="Times New Roman" w:eastAsia="宋体" w:cs="Times New Roman"/>
                      <w:bCs/>
                      <w:color w:val="auto"/>
                      <w:sz w:val="21"/>
                      <w:szCs w:val="21"/>
                      <w:highlight w:val="none"/>
                      <w:lang w:val="en-US" w:eastAsia="zh-CN"/>
                    </w:rPr>
                    <w:t>0%</w:t>
                  </w:r>
                </w:p>
              </w:tc>
              <w:tc>
                <w:tcPr>
                  <w:tcW w:w="751" w:type="dxa"/>
                  <w:tcBorders>
                    <w:tl2br w:val="nil"/>
                    <w:tr2bl w:val="nil"/>
                  </w:tcBorders>
                  <w:noWrap w:val="0"/>
                  <w:vAlign w:val="center"/>
                </w:tcPr>
                <w:p w14:paraId="38758F96">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少量</w:t>
                  </w:r>
                </w:p>
              </w:tc>
              <w:tc>
                <w:tcPr>
                  <w:tcW w:w="781" w:type="dxa"/>
                  <w:tcBorders>
                    <w:tl2br w:val="nil"/>
                    <w:tr2bl w:val="nil"/>
                  </w:tcBorders>
                  <w:noWrap w:val="0"/>
                  <w:vAlign w:val="center"/>
                </w:tcPr>
                <w:p w14:paraId="2EFEBB1D">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94" w:type="dxa"/>
                  <w:tcBorders>
                    <w:tl2br w:val="nil"/>
                    <w:tr2bl w:val="nil"/>
                  </w:tcBorders>
                  <w:noWrap w:val="0"/>
                  <w:vAlign w:val="center"/>
                </w:tcPr>
                <w:p w14:paraId="4591CC1E">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color w:val="auto"/>
                      <w:szCs w:val="21"/>
                      <w:lang w:val="en-US" w:eastAsia="zh-CN"/>
                    </w:rPr>
                    <w:t>950（无量纲）</w:t>
                  </w:r>
                </w:p>
              </w:tc>
              <w:tc>
                <w:tcPr>
                  <w:tcW w:w="577" w:type="dxa"/>
                  <w:tcBorders>
                    <w:tl2br w:val="nil"/>
                    <w:tr2bl w:val="nil"/>
                  </w:tcBorders>
                  <w:noWrap w:val="0"/>
                  <w:vAlign w:val="center"/>
                </w:tcPr>
                <w:p w14:paraId="02385410">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576" w:type="dxa"/>
                  <w:tcBorders>
                    <w:tl2br w:val="nil"/>
                    <w:tr2bl w:val="nil"/>
                  </w:tcBorders>
                  <w:noWrap w:val="0"/>
                  <w:vAlign w:val="center"/>
                </w:tcPr>
                <w:p w14:paraId="1106C7FE">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200</w:t>
                  </w:r>
                  <w:r>
                    <w:rPr>
                      <w:rFonts w:hint="default" w:ascii="Times New Roman" w:hAnsi="Times New Roman" w:eastAsia="宋体" w:cs="Times New Roman"/>
                      <w:b w:val="0"/>
                      <w:bCs w:val="0"/>
                      <w:color w:val="auto"/>
                      <w:sz w:val="21"/>
                      <w:szCs w:val="21"/>
                      <w:highlight w:val="none"/>
                      <w:lang w:val="en-US" w:eastAsia="zh-CN"/>
                    </w:rPr>
                    <w:t>0</w:t>
                  </w:r>
                </w:p>
              </w:tc>
              <w:tc>
                <w:tcPr>
                  <w:tcW w:w="602" w:type="dxa"/>
                  <w:tcBorders>
                    <w:tl2br w:val="nil"/>
                    <w:tr2bl w:val="nil"/>
                  </w:tcBorders>
                  <w:noWrap w:val="0"/>
                  <w:vAlign w:val="center"/>
                </w:tcPr>
                <w:p w14:paraId="2318E58A">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rPr>
                    <w:t>达标</w:t>
                  </w:r>
                </w:p>
              </w:tc>
            </w:tr>
          </w:tbl>
          <w:p w14:paraId="635B33EB">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rPr>
            </w:pPr>
            <w:r>
              <w:rPr>
                <w:rFonts w:hint="default" w:ascii="Times New Roman" w:hAnsi="Times New Roman" w:eastAsia="宋体" w:cs="Times New Roman"/>
                <w:color w:val="auto"/>
                <w:kern w:val="0"/>
                <w:sz w:val="24"/>
                <w:szCs w:val="24"/>
                <w:highlight w:val="none"/>
              </w:rPr>
              <w:t>根据</w:t>
            </w:r>
            <w:r>
              <w:rPr>
                <w:rFonts w:hint="default" w:ascii="Times New Roman" w:hAnsi="Times New Roman" w:eastAsia="宋体" w:cs="Times New Roman"/>
                <w:color w:val="auto"/>
                <w:kern w:val="0"/>
                <w:sz w:val="24"/>
                <w:szCs w:val="24"/>
                <w:highlight w:val="none"/>
                <w:lang w:val="en-US" w:eastAsia="zh-CN"/>
              </w:rPr>
              <w:t>上文</w:t>
            </w:r>
            <w:r>
              <w:rPr>
                <w:rFonts w:hint="default" w:ascii="Times New Roman" w:hAnsi="Times New Roman" w:eastAsia="宋体" w:cs="Times New Roman"/>
                <w:color w:val="auto"/>
                <w:kern w:val="0"/>
                <w:sz w:val="24"/>
                <w:szCs w:val="24"/>
                <w:highlight w:val="none"/>
                <w:lang w:eastAsia="zh-CN"/>
              </w:rPr>
              <w:t>核算</w:t>
            </w:r>
            <w:r>
              <w:rPr>
                <w:rFonts w:hint="default" w:ascii="Times New Roman" w:hAnsi="Times New Roman" w:eastAsia="宋体" w:cs="Times New Roman"/>
                <w:color w:val="auto"/>
                <w:kern w:val="0"/>
                <w:sz w:val="24"/>
                <w:szCs w:val="24"/>
                <w:highlight w:val="none"/>
                <w:lang w:val="en-US" w:eastAsia="zh-CN"/>
              </w:rPr>
              <w:t>可知</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kern w:val="0"/>
                <w:sz w:val="24"/>
                <w:szCs w:val="24"/>
                <w:highlight w:val="none"/>
                <w:lang w:eastAsia="zh-CN"/>
              </w:rPr>
              <w:t>项目</w:t>
            </w:r>
            <w:r>
              <w:rPr>
                <w:rFonts w:hint="default" w:ascii="Times New Roman" w:hAnsi="Times New Roman" w:eastAsia="宋体" w:cs="Times New Roman"/>
                <w:color w:val="auto"/>
                <w:kern w:val="0"/>
                <w:sz w:val="24"/>
                <w:szCs w:val="24"/>
                <w:highlight w:val="none"/>
                <w:lang w:val="en-US" w:eastAsia="zh-CN"/>
              </w:rPr>
              <w:t>DA001及DA002排气筒中各污染物</w:t>
            </w:r>
            <w:r>
              <w:rPr>
                <w:rFonts w:hint="default" w:ascii="Times New Roman" w:hAnsi="Times New Roman" w:eastAsia="宋体" w:cs="Times New Roman"/>
                <w:color w:val="auto"/>
                <w:sz w:val="24"/>
                <w:szCs w:val="24"/>
                <w:highlight w:val="none"/>
                <w:lang w:val="en-US" w:eastAsia="zh-CN"/>
              </w:rPr>
              <w:t>排放浓度均能满足</w:t>
            </w:r>
            <w:r>
              <w:rPr>
                <w:rFonts w:hint="default" w:ascii="Times New Roman" w:hAnsi="Times New Roman" w:eastAsia="宋体" w:cs="Times New Roman"/>
                <w:color w:val="auto"/>
                <w:sz w:val="24"/>
                <w:szCs w:val="24"/>
                <w:highlight w:val="none"/>
                <w:lang w:val="zh-CN"/>
              </w:rPr>
              <w:t>《大气污染物综合排放标准》（GB16297</w:t>
            </w:r>
            <w:r>
              <w:rPr>
                <w:rFonts w:hint="default" w:ascii="Times New Roman" w:hAnsi="Times New Roman" w:eastAsia="宋体" w:cs="Times New Roman"/>
                <w:color w:val="auto"/>
                <w:sz w:val="24"/>
                <w:highlight w:val="none"/>
                <w:lang w:val="zh-CN"/>
              </w:rPr>
              <w:t>-1996）</w:t>
            </w:r>
            <w:r>
              <w:rPr>
                <w:rFonts w:hint="default" w:ascii="Times New Roman" w:hAnsi="Times New Roman" w:eastAsia="宋体" w:cs="Times New Roman"/>
                <w:color w:val="auto"/>
                <w:sz w:val="24"/>
                <w:szCs w:val="24"/>
                <w:highlight w:val="none"/>
              </w:rPr>
              <w:t>表2中</w:t>
            </w:r>
            <w:r>
              <w:rPr>
                <w:rFonts w:hint="default" w:ascii="Times New Roman" w:hAnsi="Times New Roman" w:eastAsia="宋体" w:cs="Times New Roman"/>
                <w:color w:val="auto"/>
                <w:sz w:val="24"/>
                <w:szCs w:val="24"/>
                <w:highlight w:val="none"/>
                <w:lang w:val="en-US" w:eastAsia="zh-CN"/>
              </w:rPr>
              <w:t>二级</w:t>
            </w:r>
            <w:r>
              <w:rPr>
                <w:rFonts w:hint="default" w:ascii="Times New Roman" w:hAnsi="Times New Roman" w:eastAsia="宋体" w:cs="Times New Roman"/>
                <w:color w:val="auto"/>
                <w:sz w:val="24"/>
                <w:szCs w:val="24"/>
                <w:highlight w:val="none"/>
                <w:lang w:eastAsia="zh-CN"/>
              </w:rPr>
              <w:t>浓度限值</w:t>
            </w:r>
            <w:r>
              <w:rPr>
                <w:rFonts w:hint="default" w:ascii="Times New Roman" w:hAnsi="Times New Roman" w:eastAsia="宋体" w:cs="Times New Roman"/>
                <w:color w:val="auto"/>
                <w:sz w:val="24"/>
                <w:szCs w:val="24"/>
                <w:highlight w:val="none"/>
                <w:lang w:val="en-US" w:eastAsia="zh-CN"/>
              </w:rPr>
              <w:t>要求，排放速率满足严格50%的要求；臭气浓度满足</w:t>
            </w:r>
            <w:r>
              <w:rPr>
                <w:rFonts w:hint="default" w:ascii="Times New Roman" w:hAnsi="Times New Roman" w:eastAsia="宋体" w:cs="Times New Roman"/>
                <w:color w:val="auto"/>
                <w:sz w:val="24"/>
                <w:szCs w:val="24"/>
                <w:highlight w:val="none"/>
                <w:lang w:val="zh-CN" w:eastAsia="zh-CN"/>
              </w:rPr>
              <w:t>《恶臭污染物排放标准》（GB14554-93）</w:t>
            </w:r>
            <w:r>
              <w:rPr>
                <w:rFonts w:hint="default" w:ascii="Times New Roman" w:hAnsi="Times New Roman" w:eastAsia="宋体" w:cs="Times New Roman"/>
                <w:color w:val="auto"/>
                <w:sz w:val="24"/>
                <w:szCs w:val="24"/>
                <w:highlight w:val="none"/>
                <w:lang w:val="en-US" w:eastAsia="zh-CN"/>
              </w:rPr>
              <w:t>中</w:t>
            </w:r>
            <w:r>
              <w:rPr>
                <w:rFonts w:hint="default" w:ascii="Times New Roman" w:hAnsi="Times New Roman" w:eastAsia="宋体" w:cs="Times New Roman"/>
                <w:color w:val="auto"/>
                <w:sz w:val="24"/>
                <w:szCs w:val="24"/>
                <w:highlight w:val="none"/>
                <w:lang w:val="zh-CN" w:eastAsia="zh-CN"/>
              </w:rPr>
              <w:t>标准</w:t>
            </w:r>
            <w:r>
              <w:rPr>
                <w:rFonts w:hint="default" w:ascii="Times New Roman" w:hAnsi="Times New Roman" w:eastAsia="宋体" w:cs="Times New Roman"/>
                <w:color w:val="auto"/>
                <w:sz w:val="24"/>
                <w:szCs w:val="24"/>
                <w:highlight w:val="none"/>
                <w:lang w:val="en-US" w:eastAsia="zh-CN"/>
              </w:rPr>
              <w:t>限值</w:t>
            </w:r>
            <w:r>
              <w:rPr>
                <w:rFonts w:hint="default" w:ascii="Times New Roman" w:hAnsi="Times New Roman" w:eastAsia="宋体" w:cs="Times New Roman"/>
                <w:color w:val="auto"/>
                <w:sz w:val="24"/>
                <w:szCs w:val="24"/>
                <w:highlight w:val="none"/>
                <w:lang w:val="zh-CN" w:eastAsia="zh-CN"/>
              </w:rPr>
              <w:t>要求</w:t>
            </w:r>
            <w:r>
              <w:rPr>
                <w:rFonts w:hint="default" w:ascii="Times New Roman" w:hAnsi="Times New Roman" w:eastAsia="宋体" w:cs="Times New Roman"/>
                <w:color w:val="auto"/>
                <w:sz w:val="24"/>
                <w:szCs w:val="24"/>
                <w:highlight w:val="none"/>
                <w:lang w:eastAsia="zh-CN"/>
              </w:rPr>
              <w:t>。</w:t>
            </w:r>
          </w:p>
          <w:p w14:paraId="5F97B20E">
            <w:pPr>
              <w:shd w:val="clear"/>
              <w:adjustRightInd w:val="0"/>
              <w:snapToGrid w:val="0"/>
              <w:spacing w:line="360" w:lineRule="auto"/>
              <w:ind w:firstLine="480" w:firstLineChars="200"/>
              <w:rPr>
                <w:rFonts w:hint="default" w:ascii="Times New Roman" w:hAnsi="Times New Roman" w:eastAsia="宋体" w:cs="Times New Roman"/>
                <w:b w:val="0"/>
                <w:bCs w:val="0"/>
                <w:color w:val="auto"/>
                <w:kern w:val="0"/>
                <w:sz w:val="24"/>
                <w:szCs w:val="24"/>
                <w:highlight w:val="none"/>
                <w:lang w:val="en-US" w:eastAsia="zh-CN"/>
              </w:rPr>
            </w:pPr>
            <w:r>
              <w:rPr>
                <w:rFonts w:hint="eastAsia" w:cs="Times New Roman"/>
                <w:b w:val="0"/>
                <w:bCs w:val="0"/>
                <w:color w:val="auto"/>
                <w:kern w:val="0"/>
                <w:sz w:val="24"/>
                <w:szCs w:val="24"/>
                <w:highlight w:val="none"/>
                <w:lang w:val="en-US" w:eastAsia="zh-CN"/>
              </w:rPr>
              <w:t>②</w:t>
            </w:r>
            <w:r>
              <w:rPr>
                <w:rFonts w:hint="default" w:ascii="Times New Roman" w:hAnsi="Times New Roman" w:eastAsia="宋体" w:cs="Times New Roman"/>
                <w:b w:val="0"/>
                <w:bCs w:val="0"/>
                <w:color w:val="auto"/>
                <w:kern w:val="0"/>
                <w:sz w:val="24"/>
                <w:szCs w:val="24"/>
                <w:highlight w:val="none"/>
                <w:lang w:val="en-US" w:eastAsia="zh-CN"/>
              </w:rPr>
              <w:t>无组织废气达标分析</w:t>
            </w:r>
          </w:p>
          <w:p w14:paraId="543321F6">
            <w:pPr>
              <w:shd w:val="clear"/>
              <w:adjustRightInd w:val="0"/>
              <w:snapToGrid w:val="0"/>
              <w:spacing w:line="360" w:lineRule="auto"/>
              <w:ind w:firstLine="480" w:firstLineChars="200"/>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rPr>
              <w:t>本环评采用AERSCREEN模型估算</w:t>
            </w:r>
            <w:r>
              <w:rPr>
                <w:rFonts w:hint="default" w:ascii="Times New Roman" w:hAnsi="Times New Roman" w:eastAsia="宋体" w:cs="Times New Roman"/>
                <w:b w:val="0"/>
                <w:bCs w:val="0"/>
                <w:color w:val="auto"/>
                <w:kern w:val="0"/>
                <w:sz w:val="24"/>
                <w:szCs w:val="24"/>
                <w:highlight w:val="none"/>
                <w:lang w:eastAsia="zh-CN"/>
              </w:rPr>
              <w:t>，</w:t>
            </w:r>
            <w:r>
              <w:rPr>
                <w:rFonts w:hint="default" w:ascii="Times New Roman" w:hAnsi="Times New Roman" w:eastAsia="宋体" w:cs="Times New Roman"/>
                <w:b w:val="0"/>
                <w:bCs w:val="0"/>
                <w:color w:val="auto"/>
                <w:kern w:val="0"/>
                <w:sz w:val="24"/>
                <w:szCs w:val="24"/>
                <w:highlight w:val="none"/>
              </w:rPr>
              <w:t>项目建成后排放的污染物对周围环境的影响，估算模式为国家环境保护部工程评估中心环境质量模拟重点实验室提供。根据估算模式估算结果，项目无</w:t>
            </w:r>
            <w:r>
              <w:rPr>
                <w:rFonts w:hint="default" w:ascii="Times New Roman" w:hAnsi="Times New Roman" w:eastAsia="宋体" w:cs="Times New Roman"/>
                <w:b w:val="0"/>
                <w:bCs w:val="0"/>
                <w:color w:val="auto"/>
                <w:sz w:val="24"/>
                <w:szCs w:val="24"/>
                <w:highlight w:val="none"/>
              </w:rPr>
              <w:t>组织排放的污染物最大地面落地浓度距源距离为源下风向</w:t>
            </w:r>
            <w:r>
              <w:rPr>
                <w:rFonts w:hint="eastAsia" w:cs="Times New Roman"/>
                <w:b w:val="0"/>
                <w:bCs w:val="0"/>
                <w:color w:val="auto"/>
                <w:sz w:val="24"/>
                <w:szCs w:val="24"/>
                <w:highlight w:val="none"/>
                <w:lang w:val="en-US" w:eastAsia="zh-CN"/>
              </w:rPr>
              <w:t>84</w:t>
            </w:r>
            <w:r>
              <w:rPr>
                <w:rFonts w:hint="default" w:ascii="Times New Roman" w:hAnsi="Times New Roman" w:eastAsia="宋体" w:cs="Times New Roman"/>
                <w:b w:val="0"/>
                <w:bCs w:val="0"/>
                <w:color w:val="auto"/>
                <w:sz w:val="24"/>
                <w:szCs w:val="24"/>
                <w:highlight w:val="none"/>
              </w:rPr>
              <w:t>m，</w:t>
            </w:r>
            <w:r>
              <w:rPr>
                <w:rFonts w:hint="default" w:ascii="Times New Roman" w:hAnsi="Times New Roman" w:eastAsia="宋体" w:cs="Times New Roman"/>
                <w:b w:val="0"/>
                <w:bCs w:val="0"/>
                <w:color w:val="auto"/>
                <w:sz w:val="24"/>
                <w:szCs w:val="24"/>
                <w:highlight w:val="none"/>
                <w:lang w:val="en-US" w:eastAsia="zh-CN"/>
              </w:rPr>
              <w:t>无组织颗粒物</w:t>
            </w:r>
            <w:r>
              <w:rPr>
                <w:rFonts w:hint="default" w:ascii="Times New Roman" w:hAnsi="Times New Roman" w:eastAsia="宋体" w:cs="Times New Roman"/>
                <w:b w:val="0"/>
                <w:bCs w:val="0"/>
                <w:iCs/>
                <w:color w:val="auto"/>
                <w:sz w:val="24"/>
                <w:szCs w:val="24"/>
                <w:highlight w:val="none"/>
              </w:rPr>
              <w:t>最大落地浓度为</w:t>
            </w:r>
            <w:r>
              <w:rPr>
                <w:rFonts w:hint="default" w:ascii="Times New Roman" w:hAnsi="Times New Roman" w:eastAsia="宋体" w:cs="Times New Roman"/>
                <w:b w:val="0"/>
                <w:bCs w:val="0"/>
                <w:color w:val="auto"/>
                <w:sz w:val="24"/>
                <w:szCs w:val="24"/>
                <w:highlight w:val="none"/>
                <w:vertAlign w:val="baseline"/>
                <w:lang w:val="en-US" w:eastAsia="zh-CN"/>
              </w:rPr>
              <w:t>0.0</w:t>
            </w:r>
            <w:r>
              <w:rPr>
                <w:rFonts w:hint="eastAsia" w:cs="Times New Roman"/>
                <w:b w:val="0"/>
                <w:bCs w:val="0"/>
                <w:color w:val="auto"/>
                <w:sz w:val="24"/>
                <w:szCs w:val="24"/>
                <w:highlight w:val="none"/>
                <w:vertAlign w:val="baseline"/>
                <w:lang w:val="en-US" w:eastAsia="zh-CN"/>
              </w:rPr>
              <w:t>453</w:t>
            </w:r>
            <w:r>
              <w:rPr>
                <w:rFonts w:hint="default" w:ascii="Times New Roman" w:hAnsi="Times New Roman" w:eastAsia="宋体" w:cs="Times New Roman"/>
                <w:b w:val="0"/>
                <w:bCs w:val="0"/>
                <w:color w:val="auto"/>
                <w:sz w:val="24"/>
                <w:szCs w:val="24"/>
                <w:highlight w:val="none"/>
                <w:vertAlign w:val="baseline"/>
                <w:lang w:val="en-US" w:eastAsia="zh-CN"/>
              </w:rPr>
              <w:t>m</w:t>
            </w:r>
            <w:r>
              <w:rPr>
                <w:rFonts w:hint="default" w:ascii="Times New Roman" w:hAnsi="Times New Roman" w:eastAsia="宋体" w:cs="Times New Roman"/>
                <w:b w:val="0"/>
                <w:bCs w:val="0"/>
                <w:color w:val="auto"/>
                <w:sz w:val="24"/>
                <w:szCs w:val="24"/>
                <w:highlight w:val="none"/>
              </w:rPr>
              <w:t>g/m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vertAlign w:val="baseline"/>
                <w:lang w:eastAsia="zh-CN"/>
              </w:rPr>
              <w:t>，</w:t>
            </w:r>
            <w:r>
              <w:rPr>
                <w:rFonts w:hint="default" w:ascii="Times New Roman" w:hAnsi="Times New Roman" w:eastAsia="宋体" w:cs="Times New Roman"/>
                <w:b w:val="0"/>
                <w:bCs w:val="0"/>
                <w:color w:val="auto"/>
                <w:sz w:val="24"/>
                <w:szCs w:val="24"/>
                <w:highlight w:val="none"/>
                <w:vertAlign w:val="baseline"/>
                <w:lang w:val="en-US" w:eastAsia="zh-CN"/>
              </w:rPr>
              <w:t>占标率为</w:t>
            </w:r>
            <w:r>
              <w:rPr>
                <w:rFonts w:hint="eastAsia" w:cs="Times New Roman"/>
                <w:b w:val="0"/>
                <w:bCs w:val="0"/>
                <w:color w:val="auto"/>
                <w:sz w:val="24"/>
                <w:szCs w:val="24"/>
                <w:highlight w:val="none"/>
                <w:vertAlign w:val="baseline"/>
                <w:lang w:val="en-US" w:eastAsia="zh-CN"/>
              </w:rPr>
              <w:t>5.04</w:t>
            </w:r>
            <w:r>
              <w:rPr>
                <w:rFonts w:hint="default" w:ascii="Times New Roman" w:hAnsi="Times New Roman" w:eastAsia="宋体" w:cs="Times New Roman"/>
                <w:b w:val="0"/>
                <w:bCs w:val="0"/>
                <w:color w:val="auto"/>
                <w:sz w:val="24"/>
                <w:szCs w:val="24"/>
                <w:highlight w:val="none"/>
                <w:vertAlign w:val="baseline"/>
                <w:lang w:val="en-US" w:eastAsia="zh-CN"/>
              </w:rPr>
              <w:t>%；</w:t>
            </w:r>
            <w:r>
              <w:rPr>
                <w:rFonts w:hint="eastAsia" w:cs="Times New Roman"/>
                <w:b w:val="0"/>
                <w:bCs w:val="0"/>
                <w:i w:val="0"/>
                <w:iCs w:val="0"/>
                <w:color w:val="auto"/>
                <w:kern w:val="0"/>
                <w:sz w:val="24"/>
                <w:szCs w:val="24"/>
                <w:highlight w:val="none"/>
                <w:u w:val="none"/>
                <w:lang w:val="en-US" w:eastAsia="zh-CN" w:bidi="ar"/>
              </w:rPr>
              <w:t>非甲烷总烃</w:t>
            </w:r>
            <w:r>
              <w:rPr>
                <w:rFonts w:hint="default" w:ascii="Times New Roman" w:hAnsi="Times New Roman" w:eastAsia="宋体" w:cs="Times New Roman"/>
                <w:b w:val="0"/>
                <w:bCs w:val="0"/>
                <w:iCs/>
                <w:color w:val="auto"/>
                <w:sz w:val="24"/>
                <w:szCs w:val="24"/>
                <w:highlight w:val="none"/>
              </w:rPr>
              <w:t>最大落地浓度为</w:t>
            </w:r>
            <w:r>
              <w:rPr>
                <w:rFonts w:hint="default" w:ascii="Times New Roman" w:hAnsi="Times New Roman" w:eastAsia="宋体" w:cs="Times New Roman"/>
                <w:b w:val="0"/>
                <w:bCs w:val="0"/>
                <w:color w:val="auto"/>
                <w:sz w:val="24"/>
                <w:szCs w:val="24"/>
                <w:highlight w:val="none"/>
                <w:vertAlign w:val="baseline"/>
                <w:lang w:val="en-US" w:eastAsia="zh-CN"/>
              </w:rPr>
              <w:t>0.0</w:t>
            </w:r>
            <w:r>
              <w:rPr>
                <w:rFonts w:hint="eastAsia" w:cs="Times New Roman"/>
                <w:b w:val="0"/>
                <w:bCs w:val="0"/>
                <w:color w:val="auto"/>
                <w:sz w:val="24"/>
                <w:szCs w:val="24"/>
                <w:highlight w:val="none"/>
                <w:vertAlign w:val="baseline"/>
                <w:lang w:val="en-US" w:eastAsia="zh-CN"/>
              </w:rPr>
              <w:t>563</w:t>
            </w:r>
            <w:r>
              <w:rPr>
                <w:rFonts w:hint="default" w:ascii="Times New Roman" w:hAnsi="Times New Roman" w:eastAsia="宋体" w:cs="Times New Roman"/>
                <w:b w:val="0"/>
                <w:bCs w:val="0"/>
                <w:color w:val="auto"/>
                <w:sz w:val="24"/>
                <w:szCs w:val="24"/>
                <w:highlight w:val="none"/>
                <w:vertAlign w:val="baseline"/>
                <w:lang w:val="en-US" w:eastAsia="zh-CN"/>
              </w:rPr>
              <w:t>m</w:t>
            </w:r>
            <w:r>
              <w:rPr>
                <w:rFonts w:hint="default" w:ascii="Times New Roman" w:hAnsi="Times New Roman" w:eastAsia="宋体" w:cs="Times New Roman"/>
                <w:b w:val="0"/>
                <w:bCs w:val="0"/>
                <w:color w:val="auto"/>
                <w:sz w:val="24"/>
                <w:szCs w:val="24"/>
                <w:highlight w:val="none"/>
              </w:rPr>
              <w:t>g/m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vertAlign w:val="baseline"/>
                <w:lang w:eastAsia="zh-CN"/>
              </w:rPr>
              <w:t>，</w:t>
            </w:r>
            <w:r>
              <w:rPr>
                <w:rFonts w:hint="default" w:ascii="Times New Roman" w:hAnsi="Times New Roman" w:eastAsia="宋体" w:cs="Times New Roman"/>
                <w:b w:val="0"/>
                <w:bCs w:val="0"/>
                <w:color w:val="auto"/>
                <w:sz w:val="24"/>
                <w:szCs w:val="24"/>
                <w:highlight w:val="none"/>
                <w:vertAlign w:val="baseline"/>
                <w:lang w:val="en-US" w:eastAsia="zh-CN"/>
              </w:rPr>
              <w:t>占标率为</w:t>
            </w:r>
            <w:r>
              <w:rPr>
                <w:rFonts w:hint="eastAsia" w:cs="Times New Roman"/>
                <w:b w:val="0"/>
                <w:bCs w:val="0"/>
                <w:color w:val="auto"/>
                <w:sz w:val="24"/>
                <w:szCs w:val="24"/>
                <w:highlight w:val="none"/>
                <w:vertAlign w:val="baseline"/>
                <w:lang w:val="en-US" w:eastAsia="zh-CN"/>
              </w:rPr>
              <w:t>2.82</w:t>
            </w:r>
            <w:r>
              <w:rPr>
                <w:rFonts w:hint="default" w:ascii="Times New Roman" w:hAnsi="Times New Roman" w:eastAsia="宋体" w:cs="Times New Roman"/>
                <w:b w:val="0"/>
                <w:bCs w:val="0"/>
                <w:color w:val="auto"/>
                <w:sz w:val="24"/>
                <w:szCs w:val="24"/>
                <w:highlight w:val="none"/>
                <w:vertAlign w:val="baseline"/>
                <w:lang w:val="en-US" w:eastAsia="zh-CN"/>
              </w:rPr>
              <w:t>%；</w:t>
            </w:r>
            <w:r>
              <w:rPr>
                <w:rFonts w:hint="eastAsia" w:cs="Times New Roman"/>
                <w:b w:val="0"/>
                <w:bCs w:val="0"/>
                <w:i w:val="0"/>
                <w:iCs w:val="0"/>
                <w:color w:val="auto"/>
                <w:kern w:val="0"/>
                <w:sz w:val="24"/>
                <w:szCs w:val="24"/>
                <w:highlight w:val="none"/>
                <w:u w:val="none"/>
                <w:lang w:val="en-US" w:eastAsia="zh-CN" w:bidi="ar"/>
              </w:rPr>
              <w:t>氯化氢</w:t>
            </w:r>
            <w:r>
              <w:rPr>
                <w:rFonts w:hint="default" w:ascii="Times New Roman" w:hAnsi="Times New Roman" w:eastAsia="宋体" w:cs="Times New Roman"/>
                <w:b w:val="0"/>
                <w:bCs w:val="0"/>
                <w:iCs/>
                <w:color w:val="auto"/>
                <w:sz w:val="24"/>
                <w:szCs w:val="24"/>
                <w:highlight w:val="none"/>
              </w:rPr>
              <w:t>最大落地浓度为</w:t>
            </w:r>
            <w:r>
              <w:rPr>
                <w:rFonts w:hint="default" w:ascii="Times New Roman" w:hAnsi="Times New Roman" w:eastAsia="宋体" w:cs="Times New Roman"/>
                <w:b w:val="0"/>
                <w:bCs w:val="0"/>
                <w:iCs/>
                <w:color w:val="auto"/>
                <w:sz w:val="24"/>
                <w:szCs w:val="24"/>
                <w:highlight w:val="none"/>
                <w:lang w:val="en-US" w:eastAsia="zh-CN"/>
              </w:rPr>
              <w:t>0.000</w:t>
            </w:r>
            <w:r>
              <w:rPr>
                <w:rFonts w:hint="eastAsia" w:cs="Times New Roman"/>
                <w:b w:val="0"/>
                <w:bCs w:val="0"/>
                <w:iCs/>
                <w:color w:val="auto"/>
                <w:sz w:val="24"/>
                <w:szCs w:val="24"/>
                <w:highlight w:val="none"/>
                <w:lang w:val="en-US" w:eastAsia="zh-CN"/>
              </w:rPr>
              <w:t>544</w:t>
            </w:r>
            <w:r>
              <w:rPr>
                <w:rFonts w:hint="default" w:ascii="Times New Roman" w:hAnsi="Times New Roman" w:eastAsia="宋体" w:cs="Times New Roman"/>
                <w:b w:val="0"/>
                <w:bCs w:val="0"/>
                <w:color w:val="auto"/>
                <w:sz w:val="24"/>
                <w:szCs w:val="24"/>
                <w:highlight w:val="none"/>
                <w:vertAlign w:val="baseline"/>
                <w:lang w:val="en-US" w:eastAsia="zh-CN"/>
              </w:rPr>
              <w:t>m</w:t>
            </w:r>
            <w:r>
              <w:rPr>
                <w:rFonts w:hint="default" w:ascii="Times New Roman" w:hAnsi="Times New Roman" w:eastAsia="宋体" w:cs="Times New Roman"/>
                <w:b w:val="0"/>
                <w:bCs w:val="0"/>
                <w:color w:val="auto"/>
                <w:sz w:val="24"/>
                <w:szCs w:val="24"/>
                <w:highlight w:val="none"/>
              </w:rPr>
              <w:t>g/m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vertAlign w:val="baseline"/>
                <w:lang w:eastAsia="zh-CN"/>
              </w:rPr>
              <w:t>，</w:t>
            </w:r>
            <w:r>
              <w:rPr>
                <w:rFonts w:hint="default" w:ascii="Times New Roman" w:hAnsi="Times New Roman" w:eastAsia="宋体" w:cs="Times New Roman"/>
                <w:b w:val="0"/>
                <w:bCs w:val="0"/>
                <w:color w:val="auto"/>
                <w:sz w:val="24"/>
                <w:szCs w:val="24"/>
                <w:highlight w:val="none"/>
                <w:vertAlign w:val="baseline"/>
                <w:lang w:val="en-US" w:eastAsia="zh-CN"/>
              </w:rPr>
              <w:t>占标率为</w:t>
            </w:r>
            <w:r>
              <w:rPr>
                <w:rFonts w:hint="eastAsia" w:cs="Times New Roman"/>
                <w:b w:val="0"/>
                <w:bCs w:val="0"/>
                <w:color w:val="auto"/>
                <w:sz w:val="24"/>
                <w:szCs w:val="24"/>
                <w:highlight w:val="none"/>
                <w:vertAlign w:val="baseline"/>
                <w:lang w:val="en-US" w:eastAsia="zh-CN"/>
              </w:rPr>
              <w:t>1.09</w:t>
            </w:r>
            <w:r>
              <w:rPr>
                <w:rFonts w:hint="default" w:ascii="Times New Roman" w:hAnsi="Times New Roman" w:eastAsia="宋体" w:cs="Times New Roman"/>
                <w:b w:val="0"/>
                <w:bCs w:val="0"/>
                <w:color w:val="auto"/>
                <w:sz w:val="24"/>
                <w:szCs w:val="24"/>
                <w:highlight w:val="none"/>
                <w:vertAlign w:val="baseline"/>
                <w:lang w:val="en-US" w:eastAsia="zh-CN"/>
              </w:rPr>
              <w:t>%；</w:t>
            </w:r>
            <w:r>
              <w:rPr>
                <w:rFonts w:hint="eastAsia" w:cs="Times New Roman"/>
                <w:b w:val="0"/>
                <w:bCs w:val="0"/>
                <w:color w:val="auto"/>
                <w:sz w:val="24"/>
                <w:szCs w:val="24"/>
                <w:highlight w:val="none"/>
                <w:lang w:val="en-US" w:eastAsia="zh-CN"/>
              </w:rPr>
              <w:t>氯乙烯</w:t>
            </w:r>
            <w:r>
              <w:rPr>
                <w:rFonts w:hint="default" w:ascii="Times New Roman" w:hAnsi="Times New Roman" w:eastAsia="宋体" w:cs="Times New Roman"/>
                <w:b w:val="0"/>
                <w:bCs w:val="0"/>
                <w:iCs/>
                <w:color w:val="auto"/>
                <w:sz w:val="24"/>
                <w:szCs w:val="24"/>
                <w:highlight w:val="none"/>
              </w:rPr>
              <w:t>最大落地浓度为</w:t>
            </w:r>
            <w:r>
              <w:rPr>
                <w:rFonts w:hint="default" w:ascii="Times New Roman" w:hAnsi="Times New Roman" w:eastAsia="宋体" w:cs="Times New Roman"/>
                <w:b w:val="0"/>
                <w:bCs w:val="0"/>
                <w:color w:val="auto"/>
                <w:sz w:val="24"/>
                <w:szCs w:val="24"/>
                <w:highlight w:val="none"/>
                <w:vertAlign w:val="baseline"/>
                <w:lang w:val="en-US" w:eastAsia="zh-CN"/>
              </w:rPr>
              <w:t>0.00</w:t>
            </w:r>
            <w:r>
              <w:rPr>
                <w:rFonts w:hint="eastAsia" w:cs="Times New Roman"/>
                <w:b w:val="0"/>
                <w:bCs w:val="0"/>
                <w:color w:val="auto"/>
                <w:sz w:val="24"/>
                <w:szCs w:val="24"/>
                <w:highlight w:val="none"/>
                <w:vertAlign w:val="baseline"/>
                <w:lang w:val="en-US" w:eastAsia="zh-CN"/>
              </w:rPr>
              <w:t>0672</w:t>
            </w:r>
            <w:r>
              <w:rPr>
                <w:rFonts w:hint="default" w:ascii="Times New Roman" w:hAnsi="Times New Roman" w:eastAsia="宋体" w:cs="Times New Roman"/>
                <w:b w:val="0"/>
                <w:bCs w:val="0"/>
                <w:color w:val="auto"/>
                <w:sz w:val="24"/>
                <w:szCs w:val="24"/>
                <w:highlight w:val="none"/>
                <w:vertAlign w:val="baseline"/>
                <w:lang w:val="en-US" w:eastAsia="zh-CN"/>
              </w:rPr>
              <w:t>m</w:t>
            </w:r>
            <w:r>
              <w:rPr>
                <w:rFonts w:hint="default" w:ascii="Times New Roman" w:hAnsi="Times New Roman" w:eastAsia="宋体" w:cs="Times New Roman"/>
                <w:b w:val="0"/>
                <w:bCs w:val="0"/>
                <w:color w:val="auto"/>
                <w:sz w:val="24"/>
                <w:szCs w:val="24"/>
                <w:highlight w:val="none"/>
              </w:rPr>
              <w:t>g/m</w:t>
            </w:r>
            <w:r>
              <w:rPr>
                <w:rFonts w:hint="default" w:ascii="Times New Roman" w:hAnsi="Times New Roman" w:eastAsia="宋体" w:cs="Times New Roman"/>
                <w:b w:val="0"/>
                <w:bCs w:val="0"/>
                <w:color w:val="auto"/>
                <w:sz w:val="24"/>
                <w:szCs w:val="24"/>
                <w:highlight w:val="none"/>
                <w:vertAlign w:val="superscript"/>
              </w:rPr>
              <w:t>3</w:t>
            </w:r>
            <w:r>
              <w:rPr>
                <w:rFonts w:hint="default" w:ascii="Times New Roman" w:hAnsi="Times New Roman" w:eastAsia="宋体" w:cs="Times New Roman"/>
                <w:b w:val="0"/>
                <w:bCs w:val="0"/>
                <w:color w:val="auto"/>
                <w:sz w:val="24"/>
                <w:szCs w:val="24"/>
                <w:highlight w:val="none"/>
                <w:vertAlign w:val="baseline"/>
                <w:lang w:eastAsia="zh-CN"/>
              </w:rPr>
              <w:t>，</w:t>
            </w:r>
            <w:r>
              <w:rPr>
                <w:rFonts w:hint="default" w:ascii="Times New Roman" w:hAnsi="Times New Roman" w:eastAsia="宋体" w:cs="Times New Roman"/>
                <w:b w:val="0"/>
                <w:bCs w:val="0"/>
                <w:color w:val="auto"/>
                <w:sz w:val="24"/>
                <w:szCs w:val="24"/>
                <w:highlight w:val="none"/>
                <w:vertAlign w:val="baseline"/>
                <w:lang w:val="en-US" w:eastAsia="zh-CN"/>
              </w:rPr>
              <w:t>占标率为0.</w:t>
            </w:r>
            <w:r>
              <w:rPr>
                <w:rFonts w:hint="eastAsia" w:cs="Times New Roman"/>
                <w:b w:val="0"/>
                <w:bCs w:val="0"/>
                <w:color w:val="auto"/>
                <w:sz w:val="24"/>
                <w:szCs w:val="24"/>
                <w:highlight w:val="none"/>
                <w:vertAlign w:val="baseline"/>
                <w:lang w:val="en-US" w:eastAsia="zh-CN"/>
              </w:rPr>
              <w:t>45</w:t>
            </w:r>
            <w:r>
              <w:rPr>
                <w:rFonts w:hint="default" w:ascii="Times New Roman" w:hAnsi="Times New Roman" w:eastAsia="宋体" w:cs="Times New Roman"/>
                <w:b w:val="0"/>
                <w:bCs w:val="0"/>
                <w:color w:val="auto"/>
                <w:sz w:val="24"/>
                <w:szCs w:val="24"/>
                <w:highlight w:val="none"/>
                <w:vertAlign w:val="baseline"/>
                <w:lang w:val="en-US" w:eastAsia="zh-CN"/>
              </w:rPr>
              <w:t>%</w:t>
            </w:r>
            <w:r>
              <w:rPr>
                <w:rFonts w:hint="default" w:ascii="Times New Roman" w:hAnsi="Times New Roman" w:eastAsia="宋体" w:cs="Times New Roman"/>
                <w:b w:val="0"/>
                <w:bCs w:val="0"/>
                <w:iCs/>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厂区内无组织非甲烷总烃满足《挥发性有机物无组织排放控制标准》</w:t>
            </w:r>
            <w:r>
              <w:rPr>
                <w:rFonts w:hint="default" w:ascii="Times New Roman" w:hAnsi="Times New Roman" w:eastAsia="宋体" w:cs="Times New Roman"/>
                <w:b w:val="0"/>
                <w:bCs w:val="0"/>
                <w:color w:val="auto"/>
                <w:sz w:val="24"/>
                <w:szCs w:val="24"/>
                <w:highlight w:val="none"/>
                <w:lang w:val="zh-CN"/>
              </w:rPr>
              <w:t>（GB</w:t>
            </w:r>
            <w:r>
              <w:rPr>
                <w:rFonts w:hint="default" w:ascii="Times New Roman" w:hAnsi="Times New Roman" w:eastAsia="宋体" w:cs="Times New Roman"/>
                <w:b w:val="0"/>
                <w:bCs w:val="0"/>
                <w:color w:val="auto"/>
                <w:sz w:val="24"/>
                <w:szCs w:val="24"/>
                <w:highlight w:val="none"/>
              </w:rPr>
              <w:t>37822</w:t>
            </w:r>
            <w:r>
              <w:rPr>
                <w:rFonts w:hint="default" w:ascii="Times New Roman" w:hAnsi="Times New Roman" w:eastAsia="宋体" w:cs="Times New Roman"/>
                <w:b w:val="0"/>
                <w:bCs w:val="0"/>
                <w:color w:val="auto"/>
                <w:sz w:val="24"/>
                <w:szCs w:val="24"/>
                <w:highlight w:val="none"/>
                <w:lang w:val="zh-CN"/>
              </w:rPr>
              <w:t>-</w:t>
            </w:r>
            <w:r>
              <w:rPr>
                <w:rFonts w:hint="default" w:ascii="Times New Roman" w:hAnsi="Times New Roman" w:eastAsia="宋体" w:cs="Times New Roman"/>
                <w:b w:val="0"/>
                <w:bCs w:val="0"/>
                <w:color w:val="auto"/>
                <w:sz w:val="24"/>
                <w:szCs w:val="24"/>
                <w:highlight w:val="none"/>
              </w:rPr>
              <w:t>2019</w:t>
            </w:r>
            <w:r>
              <w:rPr>
                <w:rFonts w:hint="default" w:ascii="Times New Roman" w:hAnsi="Times New Roman" w:eastAsia="宋体" w:cs="Times New Roman"/>
                <w:b w:val="0"/>
                <w:bCs w:val="0"/>
                <w:color w:val="auto"/>
                <w:sz w:val="24"/>
                <w:szCs w:val="24"/>
                <w:highlight w:val="none"/>
                <w:lang w:val="zh-CN"/>
              </w:rPr>
              <w:t>）</w:t>
            </w:r>
            <w:r>
              <w:rPr>
                <w:rFonts w:hint="default" w:ascii="Times New Roman" w:hAnsi="Times New Roman" w:eastAsia="宋体" w:cs="Times New Roman"/>
                <w:b w:val="0"/>
                <w:bCs w:val="0"/>
                <w:color w:val="auto"/>
                <w:sz w:val="24"/>
                <w:szCs w:val="24"/>
                <w:highlight w:val="none"/>
              </w:rPr>
              <w:t>中要求</w:t>
            </w:r>
            <w:r>
              <w:rPr>
                <w:rFonts w:hint="default" w:ascii="Times New Roman" w:hAnsi="Times New Roman" w:eastAsia="宋体" w:cs="Times New Roman"/>
                <w:b w:val="0"/>
                <w:bCs w:val="0"/>
                <w:color w:val="auto"/>
                <w:sz w:val="24"/>
                <w:szCs w:val="24"/>
                <w:highlight w:val="none"/>
                <w:lang w:val="zh-CN"/>
              </w:rPr>
              <w:t>；</w:t>
            </w:r>
            <w:r>
              <w:rPr>
                <w:rFonts w:hint="default" w:ascii="Times New Roman" w:hAnsi="Times New Roman" w:eastAsia="宋体" w:cs="Times New Roman"/>
                <w:b w:val="0"/>
                <w:bCs w:val="0"/>
                <w:color w:val="auto"/>
                <w:sz w:val="24"/>
                <w:szCs w:val="24"/>
                <w:highlight w:val="none"/>
                <w:lang w:val="en-US" w:eastAsia="zh-CN"/>
              </w:rPr>
              <w:t>厂界</w:t>
            </w:r>
            <w:r>
              <w:rPr>
                <w:rFonts w:hint="eastAsia" w:cs="Times New Roman"/>
                <w:b w:val="0"/>
                <w:bCs w:val="0"/>
                <w:i w:val="0"/>
                <w:iCs w:val="0"/>
                <w:color w:val="auto"/>
                <w:kern w:val="0"/>
                <w:sz w:val="24"/>
                <w:szCs w:val="24"/>
                <w:u w:val="none"/>
                <w:lang w:val="en-US" w:eastAsia="zh-CN" w:bidi="ar"/>
              </w:rPr>
              <w:t>颗粒物、非甲烷总烃、氯化氢、氯乙烯</w:t>
            </w:r>
            <w:r>
              <w:rPr>
                <w:rFonts w:hint="default" w:ascii="Times New Roman" w:hAnsi="Times New Roman" w:eastAsia="宋体" w:cs="Times New Roman"/>
                <w:b w:val="0"/>
                <w:bCs w:val="0"/>
                <w:i w:val="0"/>
                <w:iCs w:val="0"/>
                <w:color w:val="auto"/>
                <w:kern w:val="0"/>
                <w:sz w:val="24"/>
                <w:szCs w:val="24"/>
                <w:u w:val="none"/>
                <w:vertAlign w:val="baseline"/>
                <w:lang w:val="en-US" w:eastAsia="zh-CN" w:bidi="ar"/>
              </w:rPr>
              <w:t>满足</w:t>
            </w:r>
            <w:r>
              <w:rPr>
                <w:rFonts w:hint="default" w:ascii="Times New Roman" w:hAnsi="Times New Roman" w:eastAsia="宋体" w:cs="Times New Roman"/>
                <w:b w:val="0"/>
                <w:bCs w:val="0"/>
                <w:color w:val="auto"/>
                <w:sz w:val="24"/>
                <w:szCs w:val="24"/>
                <w:highlight w:val="none"/>
                <w:lang w:val="zh-CN"/>
              </w:rPr>
              <w:t>《大气污染物综合排放标准》（GB16297-1996）</w:t>
            </w:r>
            <w:r>
              <w:rPr>
                <w:rFonts w:hint="default" w:ascii="Times New Roman" w:hAnsi="Times New Roman" w:eastAsia="宋体" w:cs="Times New Roman"/>
                <w:b w:val="0"/>
                <w:bCs w:val="0"/>
                <w:color w:val="auto"/>
                <w:sz w:val="24"/>
                <w:szCs w:val="24"/>
                <w:highlight w:val="none"/>
              </w:rPr>
              <w:t>表2中无组织排放监控浓度限值</w:t>
            </w:r>
            <w:r>
              <w:rPr>
                <w:rFonts w:hint="default" w:ascii="Times New Roman" w:hAnsi="Times New Roman" w:eastAsia="宋体" w:cs="Times New Roman"/>
                <w:b w:val="0"/>
                <w:bCs w:val="0"/>
                <w:color w:val="auto"/>
                <w:sz w:val="24"/>
                <w:szCs w:val="24"/>
                <w:highlight w:val="none"/>
                <w:lang w:val="en-US" w:eastAsia="zh-CN"/>
              </w:rPr>
              <w:t>要求；厂界无组织臭气浓度满足</w:t>
            </w:r>
            <w:r>
              <w:rPr>
                <w:rFonts w:hint="default" w:ascii="Times New Roman" w:hAnsi="Times New Roman" w:eastAsia="宋体" w:cs="Times New Roman"/>
                <w:b w:val="0"/>
                <w:bCs w:val="0"/>
                <w:color w:val="auto"/>
                <w:sz w:val="24"/>
                <w:szCs w:val="24"/>
                <w:highlight w:val="none"/>
                <w:lang w:val="zh-CN" w:eastAsia="zh-CN"/>
              </w:rPr>
              <w:t>《恶臭污染物排放标准》（GB14554-93）</w:t>
            </w:r>
            <w:r>
              <w:rPr>
                <w:rFonts w:hint="default" w:ascii="Times New Roman" w:hAnsi="Times New Roman" w:eastAsia="宋体" w:cs="Times New Roman"/>
                <w:b w:val="0"/>
                <w:bCs w:val="0"/>
                <w:color w:val="auto"/>
                <w:sz w:val="24"/>
                <w:szCs w:val="24"/>
                <w:highlight w:val="none"/>
                <w:lang w:val="en-US" w:eastAsia="zh-CN"/>
              </w:rPr>
              <w:t>中</w:t>
            </w:r>
            <w:r>
              <w:rPr>
                <w:rFonts w:hint="default" w:ascii="Times New Roman" w:hAnsi="Times New Roman" w:eastAsia="宋体" w:cs="Times New Roman"/>
                <w:b w:val="0"/>
                <w:bCs w:val="0"/>
                <w:color w:val="auto"/>
                <w:sz w:val="24"/>
                <w:szCs w:val="24"/>
                <w:highlight w:val="none"/>
                <w:lang w:val="zh-CN" w:eastAsia="zh-CN"/>
              </w:rPr>
              <w:t>标准</w:t>
            </w:r>
            <w:r>
              <w:rPr>
                <w:rFonts w:hint="default" w:ascii="Times New Roman" w:hAnsi="Times New Roman" w:eastAsia="宋体" w:cs="Times New Roman"/>
                <w:b w:val="0"/>
                <w:bCs w:val="0"/>
                <w:color w:val="auto"/>
                <w:sz w:val="24"/>
                <w:szCs w:val="24"/>
                <w:highlight w:val="none"/>
                <w:lang w:val="en-US" w:eastAsia="zh-CN"/>
              </w:rPr>
              <w:t>限值</w:t>
            </w:r>
            <w:r>
              <w:rPr>
                <w:rFonts w:hint="default" w:ascii="Times New Roman" w:hAnsi="Times New Roman" w:eastAsia="宋体" w:cs="Times New Roman"/>
                <w:b w:val="0"/>
                <w:bCs w:val="0"/>
                <w:color w:val="auto"/>
                <w:sz w:val="24"/>
                <w:szCs w:val="24"/>
                <w:highlight w:val="none"/>
                <w:lang w:val="zh-CN" w:eastAsia="zh-CN"/>
              </w:rPr>
              <w:t>要求</w:t>
            </w:r>
            <w:r>
              <w:rPr>
                <w:rFonts w:hint="default" w:ascii="Times New Roman" w:hAnsi="Times New Roman" w:eastAsia="宋体" w:cs="Times New Roman"/>
                <w:b w:val="0"/>
                <w:bCs w:val="0"/>
                <w:color w:val="auto"/>
                <w:sz w:val="24"/>
                <w:szCs w:val="24"/>
                <w:highlight w:val="none"/>
                <w:vertAlign w:val="baseline"/>
                <w:lang w:val="zh-CN"/>
              </w:rPr>
              <w:t>。</w:t>
            </w:r>
          </w:p>
          <w:p w14:paraId="7EC4823A">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rPr>
              <w:t>综上，本项目废气对周边大气环境影响较小。</w:t>
            </w:r>
          </w:p>
          <w:p w14:paraId="11FD0CE3">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污染物排放量核算</w:t>
            </w:r>
          </w:p>
          <w:p w14:paraId="4266ACD2">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val="0"/>
                <w:bCs/>
                <w:color w:val="auto"/>
                <w:sz w:val="24"/>
                <w:szCs w:val="24"/>
                <w:highlight w:val="none"/>
                <w:lang w:val="en-US" w:eastAsia="zh-CN"/>
              </w:rPr>
              <w:t>根据《环境影响评价技术导则 大气环境》（HJ2.2-2018）中8.1.2内容，结合项目废气排放形式，根据附录C.6.2 无组织排放量核算，对项目污染物排放量进行核算，详见下表所示。</w:t>
            </w:r>
          </w:p>
          <w:p w14:paraId="673DCD68">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表</w:t>
            </w:r>
            <w:r>
              <w:rPr>
                <w:rFonts w:hint="default" w:ascii="Times New Roman" w:hAnsi="Times New Roman" w:eastAsia="宋体" w:cs="Times New Roman"/>
                <w:b/>
                <w:bCs/>
                <w:color w:val="auto"/>
                <w:sz w:val="21"/>
                <w:szCs w:val="21"/>
                <w:highlight w:val="none"/>
                <w:lang w:val="en-US" w:eastAsia="zh-CN"/>
              </w:rPr>
              <w:t>4-1</w:t>
            </w:r>
            <w:r>
              <w:rPr>
                <w:rFonts w:hint="eastAsia"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eastAsia="zh-CN"/>
              </w:rPr>
              <w:t xml:space="preserve"> 大气污染物有组织排放量核算表</w:t>
            </w:r>
          </w:p>
          <w:tbl>
            <w:tblPr>
              <w:tblStyle w:val="26"/>
              <w:tblW w:w="8400"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929"/>
              <w:gridCol w:w="1476"/>
              <w:gridCol w:w="1338"/>
              <w:gridCol w:w="1438"/>
              <w:gridCol w:w="1520"/>
            </w:tblGrid>
            <w:tr w14:paraId="6C966BB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9" w:type="dxa"/>
                  <w:vMerge w:val="restart"/>
                  <w:tcBorders>
                    <w:tl2br w:val="nil"/>
                    <w:tr2bl w:val="nil"/>
                  </w:tcBorders>
                  <w:noWrap w:val="0"/>
                  <w:vAlign w:val="center"/>
                </w:tcPr>
                <w:p w14:paraId="1C505217">
                  <w:pPr>
                    <w:shd w:val="clear"/>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产污环节</w:t>
                  </w:r>
                </w:p>
              </w:tc>
              <w:tc>
                <w:tcPr>
                  <w:tcW w:w="929" w:type="dxa"/>
                  <w:vMerge w:val="restart"/>
                  <w:tcBorders>
                    <w:tl2br w:val="nil"/>
                    <w:tr2bl w:val="nil"/>
                  </w:tcBorders>
                  <w:noWrap w:val="0"/>
                  <w:vAlign w:val="center"/>
                </w:tcPr>
                <w:p w14:paraId="73C18CC4">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color w:val="auto"/>
                      <w:sz w:val="21"/>
                      <w:szCs w:val="21"/>
                      <w:highlight w:val="none"/>
                      <w:vertAlign w:val="baseline"/>
                      <w:lang w:val="en-US" w:eastAsia="zh-CN"/>
                    </w:rPr>
                    <w:t>排放口编号</w:t>
                  </w:r>
                </w:p>
              </w:tc>
              <w:tc>
                <w:tcPr>
                  <w:tcW w:w="1476" w:type="dxa"/>
                  <w:vMerge w:val="restart"/>
                  <w:tcBorders>
                    <w:tl2br w:val="nil"/>
                    <w:tr2bl w:val="nil"/>
                  </w:tcBorders>
                  <w:noWrap w:val="0"/>
                  <w:vAlign w:val="center"/>
                </w:tcPr>
                <w:p w14:paraId="071A65C6">
                  <w:pPr>
                    <w:shd w:val="clea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污染因子</w:t>
                  </w:r>
                </w:p>
              </w:tc>
              <w:tc>
                <w:tcPr>
                  <w:tcW w:w="1338" w:type="dxa"/>
                  <w:vMerge w:val="restart"/>
                  <w:tcBorders>
                    <w:tl2br w:val="nil"/>
                    <w:tr2bl w:val="nil"/>
                  </w:tcBorders>
                  <w:noWrap w:val="0"/>
                  <w:vAlign w:val="center"/>
                </w:tcPr>
                <w:p w14:paraId="79F21E73">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color w:val="auto"/>
                      <w:sz w:val="21"/>
                      <w:szCs w:val="21"/>
                      <w:highlight w:val="none"/>
                      <w:vertAlign w:val="baseline"/>
                      <w:lang w:val="en-US" w:eastAsia="zh-CN"/>
                    </w:rPr>
                    <w:t>核算排放浓度（mg/m</w:t>
                  </w:r>
                  <w:r>
                    <w:rPr>
                      <w:rFonts w:hint="default" w:ascii="Times New Roman" w:hAnsi="Times New Roman" w:eastAsia="宋体" w:cs="Times New Roman"/>
                      <w:b/>
                      <w:bCs/>
                      <w:color w:val="auto"/>
                      <w:sz w:val="21"/>
                      <w:szCs w:val="21"/>
                      <w:highlight w:val="none"/>
                      <w:vertAlign w:val="superscript"/>
                      <w:lang w:val="en-US" w:eastAsia="zh-CN"/>
                    </w:rPr>
                    <w:t>3</w:t>
                  </w:r>
                  <w:r>
                    <w:rPr>
                      <w:rFonts w:hint="default" w:ascii="Times New Roman" w:hAnsi="Times New Roman" w:eastAsia="宋体" w:cs="Times New Roman"/>
                      <w:b/>
                      <w:bCs/>
                      <w:color w:val="auto"/>
                      <w:sz w:val="21"/>
                      <w:szCs w:val="21"/>
                      <w:highlight w:val="none"/>
                      <w:vertAlign w:val="baseline"/>
                      <w:lang w:val="en-US" w:eastAsia="zh-CN"/>
                    </w:rPr>
                    <w:t>）</w:t>
                  </w:r>
                </w:p>
              </w:tc>
              <w:tc>
                <w:tcPr>
                  <w:tcW w:w="1438" w:type="dxa"/>
                  <w:vMerge w:val="restart"/>
                  <w:tcBorders>
                    <w:tl2br w:val="nil"/>
                    <w:tr2bl w:val="nil"/>
                  </w:tcBorders>
                  <w:noWrap w:val="0"/>
                  <w:vAlign w:val="center"/>
                </w:tcPr>
                <w:p w14:paraId="23C5AC81">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color w:val="auto"/>
                      <w:sz w:val="21"/>
                      <w:szCs w:val="21"/>
                      <w:highlight w:val="none"/>
                      <w:vertAlign w:val="baseline"/>
                      <w:lang w:val="en-US" w:eastAsia="zh-CN"/>
                    </w:rPr>
                    <w:t>核算排放速率（kg/h）</w:t>
                  </w:r>
                </w:p>
              </w:tc>
              <w:tc>
                <w:tcPr>
                  <w:tcW w:w="1520" w:type="dxa"/>
                  <w:vMerge w:val="restart"/>
                  <w:tcBorders>
                    <w:tl2br w:val="nil"/>
                    <w:tr2bl w:val="nil"/>
                  </w:tcBorders>
                  <w:noWrap w:val="0"/>
                  <w:vAlign w:val="center"/>
                </w:tcPr>
                <w:p w14:paraId="32FED054">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color w:val="auto"/>
                      <w:sz w:val="21"/>
                      <w:szCs w:val="21"/>
                      <w:highlight w:val="none"/>
                      <w:vertAlign w:val="baseline"/>
                      <w:lang w:val="en-US" w:eastAsia="zh-CN"/>
                    </w:rPr>
                    <w:t>核算年排放量（t/a）</w:t>
                  </w:r>
                </w:p>
              </w:tc>
            </w:tr>
            <w:tr w14:paraId="3181A39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99" w:type="dxa"/>
                  <w:vMerge w:val="continue"/>
                  <w:tcBorders>
                    <w:tl2br w:val="nil"/>
                    <w:tr2bl w:val="nil"/>
                  </w:tcBorders>
                  <w:noWrap w:val="0"/>
                  <w:vAlign w:val="center"/>
                </w:tcPr>
                <w:p w14:paraId="795279E3">
                  <w:pPr>
                    <w:shd w:val="clear"/>
                    <w:jc w:val="center"/>
                    <w:rPr>
                      <w:rFonts w:hint="default" w:ascii="Times New Roman" w:hAnsi="Times New Roman" w:eastAsia="宋体" w:cs="Times New Roman"/>
                      <w:b/>
                      <w:bCs w:val="0"/>
                      <w:color w:val="auto"/>
                      <w:sz w:val="21"/>
                      <w:szCs w:val="21"/>
                      <w:highlight w:val="none"/>
                    </w:rPr>
                  </w:pPr>
                </w:p>
              </w:tc>
              <w:tc>
                <w:tcPr>
                  <w:tcW w:w="929" w:type="dxa"/>
                  <w:vMerge w:val="continue"/>
                  <w:tcBorders>
                    <w:tl2br w:val="nil"/>
                    <w:tr2bl w:val="nil"/>
                  </w:tcBorders>
                  <w:noWrap w:val="0"/>
                  <w:vAlign w:val="center"/>
                </w:tcPr>
                <w:p w14:paraId="1B524483">
                  <w:pPr>
                    <w:shd w:val="clear"/>
                    <w:jc w:val="center"/>
                    <w:rPr>
                      <w:rFonts w:hint="default" w:ascii="Times New Roman" w:hAnsi="Times New Roman" w:eastAsia="宋体" w:cs="Times New Roman"/>
                      <w:b/>
                      <w:bCs w:val="0"/>
                      <w:color w:val="auto"/>
                      <w:sz w:val="21"/>
                      <w:szCs w:val="21"/>
                      <w:highlight w:val="none"/>
                    </w:rPr>
                  </w:pPr>
                </w:p>
              </w:tc>
              <w:tc>
                <w:tcPr>
                  <w:tcW w:w="1476" w:type="dxa"/>
                  <w:vMerge w:val="continue"/>
                  <w:tcBorders>
                    <w:tl2br w:val="nil"/>
                    <w:tr2bl w:val="nil"/>
                  </w:tcBorders>
                  <w:noWrap w:val="0"/>
                  <w:vAlign w:val="center"/>
                </w:tcPr>
                <w:p w14:paraId="19B40217">
                  <w:pPr>
                    <w:shd w:val="clear"/>
                    <w:jc w:val="center"/>
                    <w:rPr>
                      <w:rFonts w:hint="default" w:ascii="Times New Roman" w:hAnsi="Times New Roman" w:eastAsia="宋体" w:cs="Times New Roman"/>
                      <w:b/>
                      <w:bCs w:val="0"/>
                      <w:color w:val="auto"/>
                      <w:sz w:val="21"/>
                      <w:szCs w:val="21"/>
                      <w:highlight w:val="none"/>
                    </w:rPr>
                  </w:pPr>
                </w:p>
              </w:tc>
              <w:tc>
                <w:tcPr>
                  <w:tcW w:w="1338" w:type="dxa"/>
                  <w:vMerge w:val="continue"/>
                  <w:tcBorders>
                    <w:tl2br w:val="nil"/>
                    <w:tr2bl w:val="nil"/>
                  </w:tcBorders>
                  <w:noWrap w:val="0"/>
                  <w:vAlign w:val="center"/>
                </w:tcPr>
                <w:p w14:paraId="1D0A6EC1">
                  <w:pPr>
                    <w:shd w:val="clear"/>
                    <w:jc w:val="center"/>
                    <w:rPr>
                      <w:rFonts w:hint="default" w:ascii="Times New Roman" w:hAnsi="Times New Roman" w:eastAsia="宋体" w:cs="Times New Roman"/>
                      <w:b/>
                      <w:bCs w:val="0"/>
                      <w:color w:val="auto"/>
                      <w:sz w:val="21"/>
                      <w:szCs w:val="21"/>
                      <w:highlight w:val="none"/>
                    </w:rPr>
                  </w:pPr>
                </w:p>
              </w:tc>
              <w:tc>
                <w:tcPr>
                  <w:tcW w:w="1438" w:type="dxa"/>
                  <w:vMerge w:val="continue"/>
                  <w:tcBorders>
                    <w:tl2br w:val="nil"/>
                    <w:tr2bl w:val="nil"/>
                  </w:tcBorders>
                  <w:noWrap w:val="0"/>
                  <w:vAlign w:val="center"/>
                </w:tcPr>
                <w:p w14:paraId="69E0091E">
                  <w:pPr>
                    <w:shd w:val="clear"/>
                    <w:jc w:val="center"/>
                    <w:rPr>
                      <w:rFonts w:hint="default" w:ascii="Times New Roman" w:hAnsi="Times New Roman" w:eastAsia="宋体" w:cs="Times New Roman"/>
                      <w:b/>
                      <w:bCs w:val="0"/>
                      <w:color w:val="auto"/>
                      <w:sz w:val="21"/>
                      <w:szCs w:val="21"/>
                      <w:highlight w:val="none"/>
                      <w:lang w:val="en-US" w:eastAsia="zh-CN"/>
                    </w:rPr>
                  </w:pPr>
                </w:p>
              </w:tc>
              <w:tc>
                <w:tcPr>
                  <w:tcW w:w="1520" w:type="dxa"/>
                  <w:vMerge w:val="continue"/>
                  <w:tcBorders>
                    <w:tl2br w:val="nil"/>
                    <w:tr2bl w:val="nil"/>
                  </w:tcBorders>
                  <w:noWrap w:val="0"/>
                  <w:vAlign w:val="center"/>
                </w:tcPr>
                <w:p w14:paraId="5EB99623">
                  <w:pPr>
                    <w:shd w:val="clear"/>
                    <w:jc w:val="center"/>
                    <w:rPr>
                      <w:rFonts w:hint="default" w:ascii="Times New Roman" w:hAnsi="Times New Roman" w:eastAsia="宋体" w:cs="Times New Roman"/>
                      <w:b/>
                      <w:bCs w:val="0"/>
                      <w:color w:val="auto"/>
                      <w:sz w:val="21"/>
                      <w:szCs w:val="21"/>
                      <w:highlight w:val="none"/>
                    </w:rPr>
                  </w:pPr>
                </w:p>
              </w:tc>
            </w:tr>
            <w:tr w14:paraId="5A269A9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699" w:type="dxa"/>
                  <w:tcBorders>
                    <w:tl2br w:val="nil"/>
                    <w:tr2bl w:val="nil"/>
                  </w:tcBorders>
                  <w:noWrap w:val="0"/>
                  <w:vAlign w:val="center"/>
                </w:tcPr>
                <w:p w14:paraId="06A09CD3">
                  <w:pPr>
                    <w:shd w:val="clear"/>
                    <w:jc w:val="center"/>
                    <w:rPr>
                      <w:rFonts w:hint="default" w:ascii="Times New Roman" w:hAnsi="Times New Roman" w:eastAsia="宋体" w:cs="Times New Roman"/>
                      <w:bCs/>
                      <w:color w:val="FF0000"/>
                      <w:sz w:val="21"/>
                      <w:szCs w:val="21"/>
                      <w:highlight w:val="none"/>
                      <w:lang w:val="en-US" w:eastAsia="zh-CN"/>
                    </w:rPr>
                  </w:pPr>
                  <w:r>
                    <w:rPr>
                      <w:rFonts w:hint="eastAsia" w:cs="Times New Roman"/>
                      <w:color w:val="auto"/>
                      <w:sz w:val="21"/>
                      <w:szCs w:val="21"/>
                      <w:highlight w:val="none"/>
                      <w:lang w:val="en-US" w:eastAsia="zh-CN"/>
                    </w:rPr>
                    <w:t>混料、破碎、磨粉</w:t>
                  </w:r>
                  <w:r>
                    <w:rPr>
                      <w:rFonts w:hint="default" w:ascii="Times New Roman" w:hAnsi="Times New Roman" w:eastAsia="宋体" w:cs="Times New Roman"/>
                      <w:color w:val="auto"/>
                      <w:sz w:val="21"/>
                      <w:szCs w:val="21"/>
                      <w:highlight w:val="none"/>
                      <w:lang w:val="en-US" w:eastAsia="zh-CN"/>
                    </w:rPr>
                    <w:t>废气</w:t>
                  </w:r>
                </w:p>
              </w:tc>
              <w:tc>
                <w:tcPr>
                  <w:tcW w:w="929" w:type="dxa"/>
                  <w:tcBorders>
                    <w:tl2br w:val="nil"/>
                    <w:tr2bl w:val="nil"/>
                  </w:tcBorders>
                  <w:noWrap w:val="0"/>
                  <w:vAlign w:val="center"/>
                </w:tcPr>
                <w:p w14:paraId="7233BC95">
                  <w:pPr>
                    <w:shd w:val="clea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DA00</w:t>
                  </w:r>
                  <w:r>
                    <w:rPr>
                      <w:rFonts w:hint="default" w:ascii="Times New Roman" w:hAnsi="Times New Roman" w:eastAsia="宋体" w:cs="Times New Roman"/>
                      <w:bCs/>
                      <w:color w:val="auto"/>
                      <w:sz w:val="21"/>
                      <w:szCs w:val="21"/>
                      <w:highlight w:val="none"/>
                      <w:lang w:val="en-US" w:eastAsia="zh-CN"/>
                    </w:rPr>
                    <w:t>1</w:t>
                  </w:r>
                </w:p>
              </w:tc>
              <w:tc>
                <w:tcPr>
                  <w:tcW w:w="1476" w:type="dxa"/>
                  <w:tcBorders>
                    <w:tl2br w:val="nil"/>
                    <w:tr2bl w:val="nil"/>
                  </w:tcBorders>
                  <w:noWrap w:val="0"/>
                  <w:vAlign w:val="center"/>
                </w:tcPr>
                <w:p w14:paraId="14D0340A">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338" w:type="dxa"/>
                  <w:tcBorders>
                    <w:tl2br w:val="nil"/>
                    <w:tr2bl w:val="nil"/>
                  </w:tcBorders>
                  <w:noWrap w:val="0"/>
                  <w:vAlign w:val="center"/>
                </w:tcPr>
                <w:p w14:paraId="79822464">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0.70</w:t>
                  </w:r>
                </w:p>
              </w:tc>
              <w:tc>
                <w:tcPr>
                  <w:tcW w:w="1438" w:type="dxa"/>
                  <w:tcBorders>
                    <w:tl2br w:val="nil"/>
                    <w:tr2bl w:val="nil"/>
                  </w:tcBorders>
                  <w:noWrap w:val="0"/>
                  <w:vAlign w:val="center"/>
                </w:tcPr>
                <w:p w14:paraId="0BFD8AD8">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189</w:t>
                  </w:r>
                </w:p>
              </w:tc>
              <w:tc>
                <w:tcPr>
                  <w:tcW w:w="1520" w:type="dxa"/>
                  <w:tcBorders>
                    <w:tl2br w:val="nil"/>
                    <w:tr2bl w:val="nil"/>
                  </w:tcBorders>
                  <w:noWrap w:val="0"/>
                  <w:vAlign w:val="center"/>
                </w:tcPr>
                <w:p w14:paraId="2F0FD26D">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680</w:t>
                  </w:r>
                </w:p>
              </w:tc>
            </w:tr>
            <w:tr w14:paraId="24381FE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699" w:type="dxa"/>
                  <w:vMerge w:val="restart"/>
                  <w:tcBorders>
                    <w:tl2br w:val="nil"/>
                    <w:tr2bl w:val="nil"/>
                  </w:tcBorders>
                  <w:noWrap w:val="0"/>
                  <w:vAlign w:val="center"/>
                </w:tcPr>
                <w:p w14:paraId="247F92F5">
                  <w:pPr>
                    <w:shd w:val="clear"/>
                    <w:jc w:val="center"/>
                    <w:rPr>
                      <w:rFonts w:hint="default" w:ascii="Times New Roman" w:hAnsi="Times New Roman" w:eastAsia="宋体" w:cs="Times New Roman"/>
                      <w:bCs/>
                      <w:color w:val="auto"/>
                      <w:sz w:val="21"/>
                      <w:szCs w:val="21"/>
                      <w:highlight w:val="none"/>
                    </w:rPr>
                  </w:pPr>
                  <w:r>
                    <w:rPr>
                      <w:rFonts w:hint="eastAsia" w:cs="Times New Roman"/>
                      <w:color w:val="auto"/>
                      <w:sz w:val="21"/>
                      <w:szCs w:val="21"/>
                      <w:highlight w:val="none"/>
                      <w:lang w:val="en-US" w:eastAsia="zh-CN"/>
                    </w:rPr>
                    <w:t>挤出、覆膜</w:t>
                  </w:r>
                  <w:r>
                    <w:rPr>
                      <w:rFonts w:hint="default" w:ascii="Times New Roman" w:hAnsi="Times New Roman" w:eastAsia="宋体" w:cs="Times New Roman"/>
                      <w:color w:val="auto"/>
                      <w:sz w:val="21"/>
                      <w:szCs w:val="21"/>
                      <w:highlight w:val="none"/>
                      <w:lang w:val="en-US" w:eastAsia="zh-CN"/>
                    </w:rPr>
                    <w:t>废气</w:t>
                  </w:r>
                </w:p>
              </w:tc>
              <w:tc>
                <w:tcPr>
                  <w:tcW w:w="929" w:type="dxa"/>
                  <w:vMerge w:val="restart"/>
                  <w:tcBorders>
                    <w:tl2br w:val="nil"/>
                    <w:tr2bl w:val="nil"/>
                  </w:tcBorders>
                  <w:noWrap w:val="0"/>
                  <w:vAlign w:val="center"/>
                </w:tcPr>
                <w:p w14:paraId="636D69D7">
                  <w:pPr>
                    <w:shd w:val="clea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DA00</w:t>
                  </w:r>
                  <w:r>
                    <w:rPr>
                      <w:rFonts w:hint="default" w:ascii="Times New Roman" w:hAnsi="Times New Roman" w:eastAsia="宋体" w:cs="Times New Roman"/>
                      <w:bCs/>
                      <w:color w:val="auto"/>
                      <w:sz w:val="21"/>
                      <w:szCs w:val="21"/>
                      <w:highlight w:val="none"/>
                      <w:lang w:val="en-US" w:eastAsia="zh-CN"/>
                    </w:rPr>
                    <w:t>2</w:t>
                  </w:r>
                </w:p>
              </w:tc>
              <w:tc>
                <w:tcPr>
                  <w:tcW w:w="1476" w:type="dxa"/>
                  <w:tcBorders>
                    <w:tl2br w:val="nil"/>
                    <w:tr2bl w:val="nil"/>
                  </w:tcBorders>
                  <w:noWrap w:val="0"/>
                  <w:vAlign w:val="center"/>
                </w:tcPr>
                <w:p w14:paraId="7E9AFB91">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非甲烷总烃</w:t>
                  </w:r>
                </w:p>
              </w:tc>
              <w:tc>
                <w:tcPr>
                  <w:tcW w:w="1338" w:type="dxa"/>
                  <w:tcBorders>
                    <w:tl2br w:val="nil"/>
                    <w:tr2bl w:val="nil"/>
                  </w:tcBorders>
                  <w:noWrap w:val="0"/>
                  <w:vAlign w:val="center"/>
                </w:tcPr>
                <w:p w14:paraId="0BA7EC79">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ascii="Times New Roman" w:hAnsi="Times New Roman" w:cs="Times New Roman"/>
                      <w:color w:val="auto"/>
                      <w:szCs w:val="21"/>
                      <w:lang w:val="en-US" w:eastAsia="zh-CN"/>
                    </w:rPr>
                    <w:t>8.</w:t>
                  </w:r>
                  <w:r>
                    <w:rPr>
                      <w:rFonts w:hint="eastAsia" w:cs="Times New Roman"/>
                      <w:color w:val="auto"/>
                      <w:szCs w:val="21"/>
                      <w:lang w:val="en-US" w:eastAsia="zh-CN"/>
                    </w:rPr>
                    <w:t>1</w:t>
                  </w:r>
                  <w:r>
                    <w:rPr>
                      <w:rFonts w:hint="eastAsia" w:ascii="Times New Roman" w:hAnsi="Times New Roman" w:cs="Times New Roman"/>
                      <w:color w:val="auto"/>
                      <w:szCs w:val="21"/>
                      <w:lang w:val="en-US" w:eastAsia="zh-CN"/>
                    </w:rPr>
                    <w:t>5</w:t>
                  </w:r>
                </w:p>
              </w:tc>
              <w:tc>
                <w:tcPr>
                  <w:tcW w:w="1438" w:type="dxa"/>
                  <w:tcBorders>
                    <w:tl2br w:val="nil"/>
                    <w:tr2bl w:val="nil"/>
                  </w:tcBorders>
                  <w:noWrap w:val="0"/>
                  <w:vAlign w:val="center"/>
                </w:tcPr>
                <w:p w14:paraId="41BD461B">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2113</w:t>
                  </w:r>
                </w:p>
              </w:tc>
              <w:tc>
                <w:tcPr>
                  <w:tcW w:w="1520" w:type="dxa"/>
                  <w:tcBorders>
                    <w:tl2br w:val="nil"/>
                    <w:tr2bl w:val="nil"/>
                  </w:tcBorders>
                  <w:noWrap w:val="0"/>
                  <w:vAlign w:val="center"/>
                </w:tcPr>
                <w:p w14:paraId="42661AB1">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0.7606</w:t>
                  </w:r>
                </w:p>
              </w:tc>
            </w:tr>
            <w:tr w14:paraId="5BF2578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699" w:type="dxa"/>
                  <w:vMerge w:val="continue"/>
                  <w:tcBorders>
                    <w:tl2br w:val="nil"/>
                    <w:tr2bl w:val="nil"/>
                  </w:tcBorders>
                  <w:noWrap w:val="0"/>
                  <w:vAlign w:val="center"/>
                </w:tcPr>
                <w:p w14:paraId="424AA9C4">
                  <w:pPr>
                    <w:shd w:val="clear"/>
                    <w:jc w:val="center"/>
                    <w:rPr>
                      <w:rFonts w:hint="default" w:ascii="Times New Roman" w:hAnsi="Times New Roman" w:eastAsia="宋体" w:cs="Times New Roman"/>
                      <w:bCs/>
                      <w:color w:val="auto"/>
                      <w:sz w:val="21"/>
                      <w:szCs w:val="21"/>
                      <w:highlight w:val="none"/>
                      <w:lang w:val="en-US" w:eastAsia="zh-CN"/>
                    </w:rPr>
                  </w:pPr>
                </w:p>
              </w:tc>
              <w:tc>
                <w:tcPr>
                  <w:tcW w:w="929" w:type="dxa"/>
                  <w:vMerge w:val="continue"/>
                  <w:tcBorders>
                    <w:tl2br w:val="nil"/>
                    <w:tr2bl w:val="nil"/>
                  </w:tcBorders>
                  <w:noWrap w:val="0"/>
                  <w:vAlign w:val="center"/>
                </w:tcPr>
                <w:p w14:paraId="296382BC">
                  <w:pPr>
                    <w:shd w:val="clear"/>
                    <w:jc w:val="center"/>
                    <w:rPr>
                      <w:rFonts w:hint="default" w:ascii="Times New Roman" w:hAnsi="Times New Roman" w:eastAsia="宋体" w:cs="Times New Roman"/>
                      <w:bCs/>
                      <w:color w:val="auto"/>
                      <w:sz w:val="21"/>
                      <w:szCs w:val="21"/>
                      <w:highlight w:val="none"/>
                      <w:lang w:val="en-US" w:eastAsia="zh-CN"/>
                    </w:rPr>
                  </w:pPr>
                </w:p>
              </w:tc>
              <w:tc>
                <w:tcPr>
                  <w:tcW w:w="1476" w:type="dxa"/>
                  <w:tcBorders>
                    <w:tl2br w:val="nil"/>
                    <w:tr2bl w:val="nil"/>
                  </w:tcBorders>
                  <w:noWrap w:val="0"/>
                  <w:vAlign w:val="center"/>
                </w:tcPr>
                <w:p w14:paraId="36A16409">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i w:val="0"/>
                      <w:iCs w:val="0"/>
                      <w:color w:val="auto"/>
                      <w:kern w:val="0"/>
                      <w:sz w:val="21"/>
                      <w:szCs w:val="21"/>
                      <w:u w:val="none"/>
                      <w:lang w:val="en-US" w:eastAsia="zh-CN" w:bidi="ar"/>
                    </w:rPr>
                    <w:t>氯化氢</w:t>
                  </w:r>
                </w:p>
              </w:tc>
              <w:tc>
                <w:tcPr>
                  <w:tcW w:w="1338" w:type="dxa"/>
                  <w:tcBorders>
                    <w:tl2br w:val="nil"/>
                    <w:tr2bl w:val="nil"/>
                  </w:tcBorders>
                  <w:noWrap w:val="0"/>
                  <w:vAlign w:val="center"/>
                </w:tcPr>
                <w:p w14:paraId="0731BE88">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0.27</w:t>
                  </w:r>
                </w:p>
              </w:tc>
              <w:tc>
                <w:tcPr>
                  <w:tcW w:w="1438" w:type="dxa"/>
                  <w:tcBorders>
                    <w:tl2br w:val="nil"/>
                    <w:tr2bl w:val="nil"/>
                  </w:tcBorders>
                  <w:noWrap w:val="0"/>
                  <w:vAlign w:val="center"/>
                </w:tcPr>
                <w:p w14:paraId="1586F0C4">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070</w:t>
                  </w:r>
                </w:p>
              </w:tc>
              <w:tc>
                <w:tcPr>
                  <w:tcW w:w="1520" w:type="dxa"/>
                  <w:tcBorders>
                    <w:tl2br w:val="nil"/>
                    <w:tr2bl w:val="nil"/>
                  </w:tcBorders>
                  <w:noWrap w:val="0"/>
                  <w:vAlign w:val="center"/>
                </w:tcPr>
                <w:p w14:paraId="28C33194">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ascii="Times New Roman" w:hAnsi="Times New Roman" w:cs="Times New Roman"/>
                      <w:color w:val="auto"/>
                      <w:szCs w:val="21"/>
                      <w:lang w:val="en-US" w:eastAsia="zh-CN"/>
                    </w:rPr>
                    <w:t>0.0250</w:t>
                  </w:r>
                </w:p>
              </w:tc>
            </w:tr>
            <w:tr w14:paraId="714EC0E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699" w:type="dxa"/>
                  <w:vMerge w:val="continue"/>
                  <w:tcBorders>
                    <w:tl2br w:val="nil"/>
                    <w:tr2bl w:val="nil"/>
                  </w:tcBorders>
                  <w:noWrap w:val="0"/>
                  <w:vAlign w:val="center"/>
                </w:tcPr>
                <w:p w14:paraId="40255D8E">
                  <w:pPr>
                    <w:shd w:val="clear"/>
                    <w:jc w:val="center"/>
                    <w:rPr>
                      <w:rFonts w:hint="default" w:ascii="Times New Roman" w:hAnsi="Times New Roman" w:eastAsia="宋体" w:cs="Times New Roman"/>
                      <w:bCs/>
                      <w:color w:val="auto"/>
                      <w:sz w:val="21"/>
                      <w:szCs w:val="21"/>
                      <w:highlight w:val="none"/>
                      <w:lang w:val="en-US" w:eastAsia="zh-CN"/>
                    </w:rPr>
                  </w:pPr>
                </w:p>
              </w:tc>
              <w:tc>
                <w:tcPr>
                  <w:tcW w:w="929" w:type="dxa"/>
                  <w:vMerge w:val="continue"/>
                  <w:tcBorders>
                    <w:tl2br w:val="nil"/>
                    <w:tr2bl w:val="nil"/>
                  </w:tcBorders>
                  <w:noWrap w:val="0"/>
                  <w:vAlign w:val="center"/>
                </w:tcPr>
                <w:p w14:paraId="5FC731AA">
                  <w:pPr>
                    <w:shd w:val="clear"/>
                    <w:jc w:val="center"/>
                    <w:rPr>
                      <w:rFonts w:hint="default" w:ascii="Times New Roman" w:hAnsi="Times New Roman" w:eastAsia="宋体" w:cs="Times New Roman"/>
                      <w:bCs/>
                      <w:color w:val="auto"/>
                      <w:sz w:val="21"/>
                      <w:szCs w:val="21"/>
                      <w:highlight w:val="none"/>
                      <w:lang w:val="en-US" w:eastAsia="zh-CN"/>
                    </w:rPr>
                  </w:pPr>
                </w:p>
              </w:tc>
              <w:tc>
                <w:tcPr>
                  <w:tcW w:w="1476" w:type="dxa"/>
                  <w:tcBorders>
                    <w:tl2br w:val="nil"/>
                    <w:tr2bl w:val="nil"/>
                  </w:tcBorders>
                  <w:noWrap w:val="0"/>
                  <w:vAlign w:val="center"/>
                </w:tcPr>
                <w:p w14:paraId="108F7846">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rPr>
                  </w:pPr>
                  <w:r>
                    <w:rPr>
                      <w:rFonts w:hint="eastAsia" w:ascii="Times New Roman" w:hAnsi="Times New Roman" w:cs="Times New Roman"/>
                      <w:i w:val="0"/>
                      <w:iCs w:val="0"/>
                      <w:color w:val="auto"/>
                      <w:kern w:val="0"/>
                      <w:sz w:val="21"/>
                      <w:szCs w:val="21"/>
                      <w:u w:val="none"/>
                      <w:lang w:val="en-US" w:eastAsia="zh-CN" w:bidi="ar"/>
                    </w:rPr>
                    <w:t>氯乙烯</w:t>
                  </w:r>
                </w:p>
              </w:tc>
              <w:tc>
                <w:tcPr>
                  <w:tcW w:w="1338" w:type="dxa"/>
                  <w:tcBorders>
                    <w:tl2br w:val="nil"/>
                    <w:tr2bl w:val="nil"/>
                  </w:tcBorders>
                  <w:noWrap w:val="0"/>
                  <w:vAlign w:val="center"/>
                </w:tcPr>
                <w:p w14:paraId="571EF3E6">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0.10</w:t>
                  </w:r>
                </w:p>
              </w:tc>
              <w:tc>
                <w:tcPr>
                  <w:tcW w:w="1438" w:type="dxa"/>
                  <w:tcBorders>
                    <w:tl2br w:val="nil"/>
                    <w:tr2bl w:val="nil"/>
                  </w:tcBorders>
                  <w:noWrap w:val="0"/>
                  <w:vAlign w:val="center"/>
                </w:tcPr>
                <w:p w14:paraId="12A644FC">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0026</w:t>
                  </w:r>
                </w:p>
              </w:tc>
              <w:tc>
                <w:tcPr>
                  <w:tcW w:w="1520" w:type="dxa"/>
                  <w:tcBorders>
                    <w:tl2br w:val="nil"/>
                    <w:tr2bl w:val="nil"/>
                  </w:tcBorders>
                  <w:noWrap w:val="0"/>
                  <w:vAlign w:val="center"/>
                </w:tcPr>
                <w:p w14:paraId="5F2435ED">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0092</w:t>
                  </w:r>
                </w:p>
              </w:tc>
            </w:tr>
            <w:tr w14:paraId="1BE74DD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699" w:type="dxa"/>
                  <w:vMerge w:val="continue"/>
                  <w:tcBorders>
                    <w:tl2br w:val="nil"/>
                    <w:tr2bl w:val="nil"/>
                  </w:tcBorders>
                  <w:noWrap w:val="0"/>
                  <w:vAlign w:val="center"/>
                </w:tcPr>
                <w:p w14:paraId="36562DB3">
                  <w:pPr>
                    <w:shd w:val="clear"/>
                    <w:jc w:val="center"/>
                    <w:rPr>
                      <w:rFonts w:hint="default" w:ascii="Times New Roman" w:hAnsi="Times New Roman" w:eastAsia="宋体" w:cs="Times New Roman"/>
                      <w:bCs/>
                      <w:color w:val="auto"/>
                      <w:sz w:val="21"/>
                      <w:szCs w:val="21"/>
                      <w:highlight w:val="none"/>
                      <w:lang w:val="en-US" w:eastAsia="zh-CN"/>
                    </w:rPr>
                  </w:pPr>
                </w:p>
              </w:tc>
              <w:tc>
                <w:tcPr>
                  <w:tcW w:w="929" w:type="dxa"/>
                  <w:vMerge w:val="continue"/>
                  <w:tcBorders>
                    <w:tl2br w:val="nil"/>
                    <w:tr2bl w:val="nil"/>
                  </w:tcBorders>
                  <w:noWrap w:val="0"/>
                  <w:vAlign w:val="center"/>
                </w:tcPr>
                <w:p w14:paraId="3E37E456">
                  <w:pPr>
                    <w:shd w:val="clear"/>
                    <w:jc w:val="center"/>
                    <w:rPr>
                      <w:rFonts w:hint="default" w:ascii="Times New Roman" w:hAnsi="Times New Roman" w:eastAsia="宋体" w:cs="Times New Roman"/>
                      <w:bCs/>
                      <w:color w:val="auto"/>
                      <w:sz w:val="21"/>
                      <w:szCs w:val="21"/>
                      <w:highlight w:val="none"/>
                      <w:lang w:val="en-US" w:eastAsia="zh-CN"/>
                    </w:rPr>
                  </w:pPr>
                </w:p>
              </w:tc>
              <w:tc>
                <w:tcPr>
                  <w:tcW w:w="1476" w:type="dxa"/>
                  <w:tcBorders>
                    <w:tl2br w:val="nil"/>
                    <w:tr2bl w:val="nil"/>
                  </w:tcBorders>
                  <w:noWrap w:val="0"/>
                  <w:vAlign w:val="center"/>
                </w:tcPr>
                <w:p w14:paraId="14706974">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i w:val="0"/>
                      <w:iCs w:val="0"/>
                      <w:color w:val="auto"/>
                      <w:kern w:val="0"/>
                      <w:sz w:val="21"/>
                      <w:szCs w:val="21"/>
                      <w:u w:val="none"/>
                      <w:lang w:val="en-US" w:eastAsia="zh-CN" w:bidi="ar"/>
                    </w:rPr>
                    <w:t>臭气浓度</w:t>
                  </w:r>
                </w:p>
              </w:tc>
              <w:tc>
                <w:tcPr>
                  <w:tcW w:w="1338" w:type="dxa"/>
                  <w:tcBorders>
                    <w:tl2br w:val="nil"/>
                    <w:tr2bl w:val="nil"/>
                  </w:tcBorders>
                  <w:noWrap w:val="0"/>
                  <w:vAlign w:val="center"/>
                </w:tcPr>
                <w:p w14:paraId="3462DBDE">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color w:val="auto"/>
                      <w:szCs w:val="21"/>
                      <w:lang w:val="en-US" w:eastAsia="zh-CN"/>
                    </w:rPr>
                    <w:t>950（无量纲）</w:t>
                  </w:r>
                </w:p>
              </w:tc>
              <w:tc>
                <w:tcPr>
                  <w:tcW w:w="1438" w:type="dxa"/>
                  <w:tcBorders>
                    <w:tl2br w:val="nil"/>
                    <w:tr2bl w:val="nil"/>
                  </w:tcBorders>
                  <w:noWrap w:val="0"/>
                  <w:vAlign w:val="center"/>
                </w:tcPr>
                <w:p w14:paraId="05C85475">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520" w:type="dxa"/>
                  <w:tcBorders>
                    <w:tl2br w:val="nil"/>
                    <w:tr2bl w:val="nil"/>
                  </w:tcBorders>
                  <w:noWrap w:val="0"/>
                  <w:vAlign w:val="center"/>
                </w:tcPr>
                <w:p w14:paraId="013D4C6B">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少量</w:t>
                  </w:r>
                </w:p>
              </w:tc>
            </w:tr>
            <w:tr w14:paraId="76CFAD0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28" w:type="dxa"/>
                  <w:gridSpan w:val="2"/>
                  <w:vMerge w:val="restart"/>
                  <w:tcBorders>
                    <w:tl2br w:val="nil"/>
                    <w:tr2bl w:val="nil"/>
                  </w:tcBorders>
                  <w:noWrap w:val="0"/>
                  <w:vAlign w:val="center"/>
                </w:tcPr>
                <w:p w14:paraId="32866D44">
                  <w:pPr>
                    <w:shd w:val="clea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有组织小计</w:t>
                  </w:r>
                </w:p>
              </w:tc>
              <w:tc>
                <w:tcPr>
                  <w:tcW w:w="1476" w:type="dxa"/>
                  <w:tcBorders>
                    <w:tl2br w:val="nil"/>
                    <w:tr2bl w:val="nil"/>
                  </w:tcBorders>
                  <w:noWrap w:val="0"/>
                  <w:vAlign w:val="center"/>
                </w:tcPr>
                <w:p w14:paraId="19A656ED">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338" w:type="dxa"/>
                  <w:tcBorders>
                    <w:tl2br w:val="nil"/>
                    <w:tr2bl w:val="nil"/>
                  </w:tcBorders>
                  <w:noWrap w:val="0"/>
                  <w:vAlign w:val="center"/>
                </w:tcPr>
                <w:p w14:paraId="29975F8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438" w:type="dxa"/>
                  <w:tcBorders>
                    <w:tl2br w:val="nil"/>
                    <w:tr2bl w:val="nil"/>
                  </w:tcBorders>
                  <w:noWrap w:val="0"/>
                  <w:vAlign w:val="center"/>
                </w:tcPr>
                <w:p w14:paraId="5BD76A6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520" w:type="dxa"/>
                  <w:tcBorders>
                    <w:tl2br w:val="nil"/>
                    <w:tr2bl w:val="nil"/>
                  </w:tcBorders>
                  <w:noWrap w:val="0"/>
                  <w:vAlign w:val="center"/>
                </w:tcPr>
                <w:p w14:paraId="6E5B75F1">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680</w:t>
                  </w:r>
                </w:p>
              </w:tc>
            </w:tr>
            <w:tr w14:paraId="483C4B2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28" w:type="dxa"/>
                  <w:gridSpan w:val="2"/>
                  <w:vMerge w:val="continue"/>
                  <w:tcBorders>
                    <w:tl2br w:val="nil"/>
                    <w:tr2bl w:val="nil"/>
                  </w:tcBorders>
                  <w:noWrap w:val="0"/>
                  <w:vAlign w:val="center"/>
                </w:tcPr>
                <w:p w14:paraId="3F27E764">
                  <w:pPr>
                    <w:shd w:val="clear"/>
                    <w:jc w:val="center"/>
                    <w:rPr>
                      <w:rFonts w:hint="default" w:ascii="Times New Roman" w:hAnsi="Times New Roman" w:eastAsia="宋体" w:cs="Times New Roman"/>
                      <w:bCs/>
                      <w:color w:val="auto"/>
                      <w:sz w:val="21"/>
                      <w:szCs w:val="21"/>
                      <w:highlight w:val="none"/>
                      <w:lang w:val="en-US" w:eastAsia="zh-CN"/>
                    </w:rPr>
                  </w:pPr>
                </w:p>
              </w:tc>
              <w:tc>
                <w:tcPr>
                  <w:tcW w:w="1476" w:type="dxa"/>
                  <w:tcBorders>
                    <w:tl2br w:val="nil"/>
                    <w:tr2bl w:val="nil"/>
                  </w:tcBorders>
                  <w:noWrap w:val="0"/>
                  <w:vAlign w:val="center"/>
                </w:tcPr>
                <w:p w14:paraId="78562859">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非甲烷总烃</w:t>
                  </w:r>
                </w:p>
              </w:tc>
              <w:tc>
                <w:tcPr>
                  <w:tcW w:w="1338" w:type="dxa"/>
                  <w:tcBorders>
                    <w:tl2br w:val="nil"/>
                    <w:tr2bl w:val="nil"/>
                  </w:tcBorders>
                  <w:noWrap w:val="0"/>
                  <w:vAlign w:val="center"/>
                </w:tcPr>
                <w:p w14:paraId="2430D1C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438" w:type="dxa"/>
                  <w:tcBorders>
                    <w:tl2br w:val="nil"/>
                    <w:tr2bl w:val="nil"/>
                  </w:tcBorders>
                  <w:noWrap w:val="0"/>
                  <w:vAlign w:val="center"/>
                </w:tcPr>
                <w:p w14:paraId="2FB7106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520" w:type="dxa"/>
                  <w:tcBorders>
                    <w:tl2br w:val="nil"/>
                    <w:tr2bl w:val="nil"/>
                  </w:tcBorders>
                  <w:noWrap w:val="0"/>
                  <w:vAlign w:val="center"/>
                </w:tcPr>
                <w:p w14:paraId="77430E6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0.7606</w:t>
                  </w:r>
                </w:p>
              </w:tc>
            </w:tr>
            <w:tr w14:paraId="2731CB9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28" w:type="dxa"/>
                  <w:gridSpan w:val="2"/>
                  <w:vMerge w:val="continue"/>
                  <w:tcBorders>
                    <w:tl2br w:val="nil"/>
                    <w:tr2bl w:val="nil"/>
                  </w:tcBorders>
                  <w:noWrap w:val="0"/>
                  <w:vAlign w:val="center"/>
                </w:tcPr>
                <w:p w14:paraId="20466A47">
                  <w:pPr>
                    <w:shd w:val="clear"/>
                    <w:jc w:val="center"/>
                    <w:rPr>
                      <w:rFonts w:hint="default" w:ascii="Times New Roman" w:hAnsi="Times New Roman" w:eastAsia="宋体" w:cs="Times New Roman"/>
                      <w:bCs/>
                      <w:color w:val="auto"/>
                      <w:sz w:val="21"/>
                      <w:szCs w:val="21"/>
                      <w:highlight w:val="none"/>
                      <w:lang w:val="en-US" w:eastAsia="zh-CN"/>
                    </w:rPr>
                  </w:pPr>
                </w:p>
              </w:tc>
              <w:tc>
                <w:tcPr>
                  <w:tcW w:w="1476" w:type="dxa"/>
                  <w:tcBorders>
                    <w:tl2br w:val="nil"/>
                    <w:tr2bl w:val="nil"/>
                  </w:tcBorders>
                  <w:noWrap w:val="0"/>
                  <w:vAlign w:val="center"/>
                </w:tcPr>
                <w:p w14:paraId="27905A64">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i w:val="0"/>
                      <w:iCs w:val="0"/>
                      <w:color w:val="auto"/>
                      <w:kern w:val="0"/>
                      <w:sz w:val="21"/>
                      <w:szCs w:val="21"/>
                      <w:u w:val="none"/>
                      <w:lang w:val="en-US" w:eastAsia="zh-CN" w:bidi="ar"/>
                    </w:rPr>
                    <w:t>氯化氢</w:t>
                  </w:r>
                </w:p>
              </w:tc>
              <w:tc>
                <w:tcPr>
                  <w:tcW w:w="1338" w:type="dxa"/>
                  <w:tcBorders>
                    <w:tl2br w:val="nil"/>
                    <w:tr2bl w:val="nil"/>
                  </w:tcBorders>
                  <w:noWrap w:val="0"/>
                  <w:vAlign w:val="center"/>
                </w:tcPr>
                <w:p w14:paraId="761EFE6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438" w:type="dxa"/>
                  <w:tcBorders>
                    <w:tl2br w:val="nil"/>
                    <w:tr2bl w:val="nil"/>
                  </w:tcBorders>
                  <w:noWrap w:val="0"/>
                  <w:vAlign w:val="center"/>
                </w:tcPr>
                <w:p w14:paraId="0B3A360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520" w:type="dxa"/>
                  <w:tcBorders>
                    <w:tl2br w:val="nil"/>
                    <w:tr2bl w:val="nil"/>
                  </w:tcBorders>
                  <w:noWrap w:val="0"/>
                  <w:vAlign w:val="center"/>
                </w:tcPr>
                <w:p w14:paraId="4B29A50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color w:val="auto"/>
                      <w:szCs w:val="21"/>
                      <w:lang w:val="en-US" w:eastAsia="zh-CN"/>
                    </w:rPr>
                    <w:t>0.0250</w:t>
                  </w:r>
                </w:p>
              </w:tc>
            </w:tr>
            <w:tr w14:paraId="2E82EB0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28" w:type="dxa"/>
                  <w:gridSpan w:val="2"/>
                  <w:vMerge w:val="continue"/>
                  <w:tcBorders>
                    <w:tl2br w:val="nil"/>
                    <w:tr2bl w:val="nil"/>
                  </w:tcBorders>
                  <w:noWrap w:val="0"/>
                  <w:vAlign w:val="center"/>
                </w:tcPr>
                <w:p w14:paraId="28E96A2D">
                  <w:pPr>
                    <w:shd w:val="clear"/>
                    <w:jc w:val="center"/>
                    <w:rPr>
                      <w:rFonts w:hint="default" w:ascii="Times New Roman" w:hAnsi="Times New Roman" w:eastAsia="宋体" w:cs="Times New Roman"/>
                      <w:bCs/>
                      <w:color w:val="auto"/>
                      <w:sz w:val="21"/>
                      <w:szCs w:val="21"/>
                      <w:highlight w:val="none"/>
                      <w:lang w:val="en-US" w:eastAsia="zh-CN"/>
                    </w:rPr>
                  </w:pPr>
                </w:p>
              </w:tc>
              <w:tc>
                <w:tcPr>
                  <w:tcW w:w="1476" w:type="dxa"/>
                  <w:tcBorders>
                    <w:tl2br w:val="nil"/>
                    <w:tr2bl w:val="nil"/>
                  </w:tcBorders>
                  <w:noWrap w:val="0"/>
                  <w:vAlign w:val="center"/>
                </w:tcPr>
                <w:p w14:paraId="64CA9EFA">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i w:val="0"/>
                      <w:iCs w:val="0"/>
                      <w:color w:val="auto"/>
                      <w:kern w:val="0"/>
                      <w:sz w:val="21"/>
                      <w:szCs w:val="21"/>
                      <w:u w:val="none"/>
                      <w:lang w:val="en-US" w:eastAsia="zh-CN" w:bidi="ar"/>
                    </w:rPr>
                    <w:t>氯乙烯</w:t>
                  </w:r>
                </w:p>
              </w:tc>
              <w:tc>
                <w:tcPr>
                  <w:tcW w:w="1338" w:type="dxa"/>
                  <w:tcBorders>
                    <w:tl2br w:val="nil"/>
                    <w:tr2bl w:val="nil"/>
                  </w:tcBorders>
                  <w:noWrap w:val="0"/>
                  <w:vAlign w:val="center"/>
                </w:tcPr>
                <w:p w14:paraId="28967D5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438" w:type="dxa"/>
                  <w:tcBorders>
                    <w:tl2br w:val="nil"/>
                    <w:tr2bl w:val="nil"/>
                  </w:tcBorders>
                  <w:noWrap w:val="0"/>
                  <w:vAlign w:val="center"/>
                </w:tcPr>
                <w:p w14:paraId="1A68DDA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520" w:type="dxa"/>
                  <w:tcBorders>
                    <w:tl2br w:val="nil"/>
                    <w:tr2bl w:val="nil"/>
                  </w:tcBorders>
                  <w:noWrap w:val="0"/>
                  <w:vAlign w:val="center"/>
                </w:tcPr>
                <w:p w14:paraId="1F4FDE9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0092</w:t>
                  </w:r>
                </w:p>
              </w:tc>
            </w:tr>
            <w:tr w14:paraId="1AF3339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628" w:type="dxa"/>
                  <w:gridSpan w:val="2"/>
                  <w:vMerge w:val="continue"/>
                  <w:tcBorders>
                    <w:tl2br w:val="nil"/>
                    <w:tr2bl w:val="nil"/>
                  </w:tcBorders>
                  <w:noWrap w:val="0"/>
                  <w:vAlign w:val="center"/>
                </w:tcPr>
                <w:p w14:paraId="00EC9981">
                  <w:pPr>
                    <w:shd w:val="clear"/>
                    <w:jc w:val="center"/>
                    <w:rPr>
                      <w:rFonts w:hint="default" w:ascii="Times New Roman" w:hAnsi="Times New Roman" w:eastAsia="宋体" w:cs="Times New Roman"/>
                      <w:bCs/>
                      <w:color w:val="auto"/>
                      <w:sz w:val="21"/>
                      <w:szCs w:val="21"/>
                      <w:highlight w:val="none"/>
                      <w:lang w:val="en-US" w:eastAsia="zh-CN"/>
                    </w:rPr>
                  </w:pPr>
                </w:p>
              </w:tc>
              <w:tc>
                <w:tcPr>
                  <w:tcW w:w="1476" w:type="dxa"/>
                  <w:tcBorders>
                    <w:tl2br w:val="nil"/>
                    <w:tr2bl w:val="nil"/>
                  </w:tcBorders>
                  <w:noWrap w:val="0"/>
                  <w:vAlign w:val="center"/>
                </w:tcPr>
                <w:p w14:paraId="12BF5DEB">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i w:val="0"/>
                      <w:iCs w:val="0"/>
                      <w:color w:val="auto"/>
                      <w:kern w:val="0"/>
                      <w:sz w:val="21"/>
                      <w:szCs w:val="21"/>
                      <w:u w:val="none"/>
                      <w:lang w:val="en-US" w:eastAsia="zh-CN" w:bidi="ar"/>
                    </w:rPr>
                    <w:t>臭气浓度</w:t>
                  </w:r>
                </w:p>
              </w:tc>
              <w:tc>
                <w:tcPr>
                  <w:tcW w:w="1338" w:type="dxa"/>
                  <w:tcBorders>
                    <w:tl2br w:val="nil"/>
                    <w:tr2bl w:val="nil"/>
                  </w:tcBorders>
                  <w:noWrap w:val="0"/>
                  <w:vAlign w:val="center"/>
                </w:tcPr>
                <w:p w14:paraId="761F10A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438" w:type="dxa"/>
                  <w:tcBorders>
                    <w:tl2br w:val="nil"/>
                    <w:tr2bl w:val="nil"/>
                  </w:tcBorders>
                  <w:noWrap w:val="0"/>
                  <w:vAlign w:val="center"/>
                </w:tcPr>
                <w:p w14:paraId="42D66AC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520" w:type="dxa"/>
                  <w:tcBorders>
                    <w:tl2br w:val="nil"/>
                    <w:tr2bl w:val="nil"/>
                  </w:tcBorders>
                  <w:noWrap w:val="0"/>
                  <w:vAlign w:val="center"/>
                </w:tcPr>
                <w:p w14:paraId="4FDDBAF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少量</w:t>
                  </w:r>
                </w:p>
              </w:tc>
            </w:tr>
          </w:tbl>
          <w:p w14:paraId="505AF2F3">
            <w:pPr>
              <w:pStyle w:val="86"/>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9"/>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b w:val="0"/>
                <w:bCs/>
                <w:color w:val="auto"/>
                <w:sz w:val="24"/>
                <w:szCs w:val="24"/>
                <w:highlight w:val="none"/>
              </w:rPr>
              <w:t>项目</w:t>
            </w:r>
            <w:r>
              <w:rPr>
                <w:rFonts w:hint="default" w:ascii="Times New Roman" w:hAnsi="Times New Roman" w:eastAsia="宋体" w:cs="Times New Roman"/>
                <w:b w:val="0"/>
                <w:bCs/>
                <w:color w:val="auto"/>
                <w:sz w:val="24"/>
                <w:szCs w:val="24"/>
                <w:highlight w:val="none"/>
                <w:lang w:eastAsia="zh-CN"/>
              </w:rPr>
              <w:t>大气污染物无</w:t>
            </w:r>
            <w:r>
              <w:rPr>
                <w:rFonts w:hint="default" w:ascii="Times New Roman" w:hAnsi="Times New Roman" w:eastAsia="宋体" w:cs="Times New Roman"/>
                <w:b w:val="0"/>
                <w:bCs/>
                <w:color w:val="auto"/>
                <w:sz w:val="24"/>
                <w:szCs w:val="24"/>
                <w:highlight w:val="none"/>
              </w:rPr>
              <w:t>组织排放</w:t>
            </w:r>
            <w:r>
              <w:rPr>
                <w:rFonts w:hint="default" w:ascii="Times New Roman" w:hAnsi="Times New Roman" w:eastAsia="宋体" w:cs="Times New Roman"/>
                <w:b w:val="0"/>
                <w:bCs/>
                <w:color w:val="auto"/>
                <w:sz w:val="24"/>
                <w:szCs w:val="24"/>
                <w:highlight w:val="none"/>
                <w:lang w:eastAsia="zh-CN"/>
              </w:rPr>
              <w:t>量</w:t>
            </w:r>
            <w:r>
              <w:rPr>
                <w:rFonts w:hint="default" w:ascii="Times New Roman" w:hAnsi="Times New Roman" w:eastAsia="宋体" w:cs="Times New Roman"/>
                <w:b w:val="0"/>
                <w:bCs/>
                <w:color w:val="auto"/>
                <w:sz w:val="24"/>
                <w:szCs w:val="24"/>
                <w:highlight w:val="none"/>
              </w:rPr>
              <w:t>情况见下表</w:t>
            </w:r>
            <w:r>
              <w:rPr>
                <w:rFonts w:hint="default" w:ascii="Times New Roman" w:hAnsi="Times New Roman" w:eastAsia="宋体" w:cs="Times New Roman"/>
                <w:b w:val="0"/>
                <w:bCs/>
                <w:color w:val="auto"/>
                <w:sz w:val="24"/>
                <w:szCs w:val="24"/>
                <w:highlight w:val="none"/>
                <w:lang w:val="en-US" w:eastAsia="zh-CN"/>
              </w:rPr>
              <w:t>4-1</w:t>
            </w:r>
            <w:r>
              <w:rPr>
                <w:rFonts w:hint="eastAsia" w:ascii="Times New Roman" w:hAnsi="Times New Roman" w:cs="Times New Roman"/>
                <w:b w:val="0"/>
                <w:bCs/>
                <w:color w:val="auto"/>
                <w:sz w:val="24"/>
                <w:szCs w:val="24"/>
                <w:highlight w:val="none"/>
                <w:lang w:val="en-US" w:eastAsia="zh-CN"/>
              </w:rPr>
              <w:t>4</w:t>
            </w:r>
            <w:r>
              <w:rPr>
                <w:rFonts w:hint="default" w:ascii="Times New Roman" w:hAnsi="Times New Roman" w:eastAsia="宋体" w:cs="Times New Roman"/>
                <w:b w:val="0"/>
                <w:bCs/>
                <w:color w:val="auto"/>
                <w:sz w:val="24"/>
                <w:szCs w:val="24"/>
                <w:highlight w:val="none"/>
                <w:lang w:eastAsia="zh-CN"/>
              </w:rPr>
              <w:t>。</w:t>
            </w:r>
          </w:p>
          <w:p w14:paraId="05FB3CCD">
            <w:pPr>
              <w:pStyle w:val="86"/>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rPr>
              <w:t>表</w:t>
            </w:r>
            <w:r>
              <w:rPr>
                <w:rFonts w:hint="default" w:ascii="Times New Roman" w:hAnsi="Times New Roman" w:eastAsia="宋体" w:cs="Times New Roman"/>
                <w:color w:val="auto"/>
                <w:sz w:val="21"/>
                <w:szCs w:val="21"/>
                <w:highlight w:val="none"/>
                <w:lang w:val="en-US" w:eastAsia="zh-CN"/>
              </w:rPr>
              <w:t>4-1</w:t>
            </w: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rPr>
              <w:t xml:space="preserve">  </w:t>
            </w:r>
            <w:r>
              <w:rPr>
                <w:rFonts w:hint="default" w:ascii="Times New Roman" w:hAnsi="Times New Roman" w:eastAsia="宋体" w:cs="Times New Roman"/>
                <w:color w:val="auto"/>
                <w:sz w:val="21"/>
                <w:szCs w:val="21"/>
                <w:highlight w:val="none"/>
                <w:lang w:val="en-US" w:eastAsia="zh-CN"/>
              </w:rPr>
              <w:t>废气</w:t>
            </w:r>
            <w:r>
              <w:rPr>
                <w:rFonts w:hint="default" w:ascii="Times New Roman" w:hAnsi="Times New Roman" w:eastAsia="宋体" w:cs="Times New Roman"/>
                <w:color w:val="auto"/>
                <w:sz w:val="21"/>
                <w:szCs w:val="21"/>
                <w:highlight w:val="none"/>
                <w:lang w:val="en-US"/>
              </w:rPr>
              <w:t>污染物无组织排放量核算表</w:t>
            </w:r>
          </w:p>
          <w:tbl>
            <w:tblPr>
              <w:tblStyle w:val="27"/>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327"/>
              <w:gridCol w:w="2059"/>
              <w:gridCol w:w="1767"/>
              <w:gridCol w:w="1372"/>
            </w:tblGrid>
            <w:tr w14:paraId="0AE2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69" w:type="dxa"/>
                  <w:vMerge w:val="restart"/>
                  <w:noWrap w:val="0"/>
                  <w:vAlign w:val="center"/>
                </w:tcPr>
                <w:p w14:paraId="38AA1778">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产污环节</w:t>
                  </w:r>
                </w:p>
              </w:tc>
              <w:tc>
                <w:tcPr>
                  <w:tcW w:w="1327" w:type="dxa"/>
                  <w:vMerge w:val="restart"/>
                  <w:noWrap w:val="0"/>
                  <w:vAlign w:val="center"/>
                </w:tcPr>
                <w:p w14:paraId="4027A016">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污染物名称</w:t>
                  </w:r>
                </w:p>
              </w:tc>
              <w:tc>
                <w:tcPr>
                  <w:tcW w:w="3826" w:type="dxa"/>
                  <w:gridSpan w:val="2"/>
                  <w:noWrap w:val="0"/>
                  <w:vAlign w:val="center"/>
                </w:tcPr>
                <w:p w14:paraId="6B914BB4">
                  <w:pPr>
                    <w:pStyle w:val="17"/>
                    <w:keepNext w:val="0"/>
                    <w:keepLines w:val="0"/>
                    <w:pageBreakBefore w:val="0"/>
                    <w:widowControl w:val="0"/>
                    <w:shd w:val="clear"/>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国家或地方污染物排放标准</w:t>
                  </w:r>
                </w:p>
              </w:tc>
              <w:tc>
                <w:tcPr>
                  <w:tcW w:w="1372" w:type="dxa"/>
                  <w:vMerge w:val="restart"/>
                  <w:noWrap w:val="0"/>
                  <w:vAlign w:val="center"/>
                </w:tcPr>
                <w:p w14:paraId="676890EE">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核算年排放量（t/a）</w:t>
                  </w:r>
                </w:p>
              </w:tc>
            </w:tr>
            <w:tr w14:paraId="329E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69" w:type="dxa"/>
                  <w:vMerge w:val="continue"/>
                  <w:noWrap w:val="0"/>
                  <w:vAlign w:val="center"/>
                </w:tcPr>
                <w:p w14:paraId="31F3CCF3">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1327" w:type="dxa"/>
                  <w:vMerge w:val="continue"/>
                  <w:noWrap w:val="0"/>
                  <w:vAlign w:val="center"/>
                </w:tcPr>
                <w:p w14:paraId="627E6A31">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2059" w:type="dxa"/>
                  <w:noWrap w:val="0"/>
                  <w:vAlign w:val="center"/>
                </w:tcPr>
                <w:p w14:paraId="1E33EA7B">
                  <w:pPr>
                    <w:pStyle w:val="17"/>
                    <w:keepNext w:val="0"/>
                    <w:keepLines w:val="0"/>
                    <w:pageBreakBefore w:val="0"/>
                    <w:widowControl w:val="0"/>
                    <w:shd w:val="clear"/>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标准名称</w:t>
                  </w:r>
                </w:p>
              </w:tc>
              <w:tc>
                <w:tcPr>
                  <w:tcW w:w="1767" w:type="dxa"/>
                  <w:noWrap w:val="0"/>
                  <w:vAlign w:val="center"/>
                </w:tcPr>
                <w:p w14:paraId="39CA9D1F">
                  <w:pPr>
                    <w:pStyle w:val="17"/>
                    <w:keepNext w:val="0"/>
                    <w:keepLines w:val="0"/>
                    <w:pageBreakBefore w:val="0"/>
                    <w:widowControl w:val="0"/>
                    <w:shd w:val="clear"/>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浓度限值</w:t>
                  </w:r>
                  <w:r>
                    <w:rPr>
                      <w:rFonts w:hint="default" w:ascii="Times New Roman" w:hAnsi="Times New Roman" w:eastAsia="宋体" w:cs="Times New Roman"/>
                      <w:b/>
                      <w:bCs/>
                      <w:color w:val="auto"/>
                      <w:sz w:val="21"/>
                      <w:szCs w:val="21"/>
                      <w:highlight w:val="none"/>
                      <w:lang w:val="en-US" w:eastAsia="zh-CN"/>
                    </w:rPr>
                    <w:t>/（m</w:t>
                  </w:r>
                  <w:r>
                    <w:rPr>
                      <w:rFonts w:hint="default" w:ascii="Times New Roman" w:hAnsi="Times New Roman" w:eastAsia="宋体" w:cs="Times New Roman"/>
                      <w:b/>
                      <w:bCs/>
                      <w:color w:val="auto"/>
                      <w:sz w:val="21"/>
                      <w:szCs w:val="21"/>
                      <w:highlight w:val="none"/>
                    </w:rPr>
                    <w:t>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lang w:val="en-US" w:eastAsia="zh-CN"/>
                    </w:rPr>
                    <w:t>）</w:t>
                  </w:r>
                </w:p>
              </w:tc>
              <w:tc>
                <w:tcPr>
                  <w:tcW w:w="1372" w:type="dxa"/>
                  <w:vMerge w:val="continue"/>
                  <w:noWrap w:val="0"/>
                  <w:vAlign w:val="center"/>
                </w:tcPr>
                <w:p w14:paraId="156F7C27">
                  <w:pPr>
                    <w:keepNext w:val="0"/>
                    <w:keepLines w:val="0"/>
                    <w:pageBreakBefore w:val="0"/>
                    <w:widowControl w:val="0"/>
                    <w:shd w:val="clea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p>
              </w:tc>
            </w:tr>
            <w:tr w14:paraId="2011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869" w:type="dxa"/>
                  <w:vMerge w:val="restart"/>
                  <w:noWrap w:val="0"/>
                  <w:vAlign w:val="center"/>
                </w:tcPr>
                <w:p w14:paraId="588C7C88">
                  <w:pPr>
                    <w:shd w:val="clea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混料、破碎、磨粉</w:t>
                  </w:r>
                  <w:r>
                    <w:rPr>
                      <w:rFonts w:hint="default" w:ascii="Times New Roman" w:hAnsi="Times New Roman" w:eastAsia="宋体" w:cs="Times New Roman"/>
                      <w:i w:val="0"/>
                      <w:iCs w:val="0"/>
                      <w:color w:val="auto"/>
                      <w:kern w:val="0"/>
                      <w:sz w:val="21"/>
                      <w:szCs w:val="21"/>
                      <w:highlight w:val="none"/>
                      <w:u w:val="none"/>
                      <w:lang w:val="en-US" w:eastAsia="zh-CN" w:bidi="ar"/>
                    </w:rPr>
                    <w:t>挤出</w:t>
                  </w:r>
                  <w:r>
                    <w:rPr>
                      <w:rFonts w:hint="eastAsia" w:cs="Times New Roman"/>
                      <w:i w:val="0"/>
                      <w:iCs w:val="0"/>
                      <w:color w:val="auto"/>
                      <w:kern w:val="0"/>
                      <w:sz w:val="21"/>
                      <w:szCs w:val="21"/>
                      <w:highlight w:val="none"/>
                      <w:u w:val="none"/>
                      <w:lang w:val="en-US" w:eastAsia="zh-CN" w:bidi="ar"/>
                    </w:rPr>
                    <w:t>、覆膜</w:t>
                  </w:r>
                  <w:r>
                    <w:rPr>
                      <w:rFonts w:hint="default" w:ascii="Times New Roman" w:hAnsi="Times New Roman" w:eastAsia="宋体" w:cs="Times New Roman"/>
                      <w:i w:val="0"/>
                      <w:iCs w:val="0"/>
                      <w:color w:val="auto"/>
                      <w:kern w:val="0"/>
                      <w:sz w:val="21"/>
                      <w:szCs w:val="21"/>
                      <w:highlight w:val="none"/>
                      <w:u w:val="none"/>
                      <w:lang w:val="en-US" w:eastAsia="zh-CN" w:bidi="ar"/>
                    </w:rPr>
                    <w:t>工段</w:t>
                  </w:r>
                </w:p>
              </w:tc>
              <w:tc>
                <w:tcPr>
                  <w:tcW w:w="1327" w:type="dxa"/>
                  <w:noWrap w:val="0"/>
                  <w:vAlign w:val="center"/>
                </w:tcPr>
                <w:p w14:paraId="70DB6DC5">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2059" w:type="dxa"/>
                  <w:vMerge w:val="restart"/>
                  <w:noWrap w:val="0"/>
                  <w:vAlign w:val="center"/>
                </w:tcPr>
                <w:p w14:paraId="72356CC7">
                  <w:pPr>
                    <w:keepNext w:val="0"/>
                    <w:keepLines w:val="0"/>
                    <w:pageBreakBefore w:val="0"/>
                    <w:widowControl/>
                    <w:suppressLineNumbers w:val="0"/>
                    <w:shd w:val="clear"/>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zh-CN"/>
                    </w:rPr>
                    <w:t>《大气污染物综合排放标准》（GB16297-1996）</w:t>
                  </w:r>
                  <w:r>
                    <w:rPr>
                      <w:rFonts w:hint="default" w:ascii="Times New Roman" w:hAnsi="Times New Roman" w:eastAsia="宋体" w:cs="Times New Roman"/>
                      <w:color w:val="auto"/>
                      <w:sz w:val="21"/>
                      <w:szCs w:val="21"/>
                      <w:highlight w:val="none"/>
                    </w:rPr>
                    <w:t>表2中</w:t>
                  </w:r>
                  <w:r>
                    <w:rPr>
                      <w:rFonts w:hint="default" w:ascii="Times New Roman" w:hAnsi="Times New Roman" w:eastAsia="宋体" w:cs="Times New Roman"/>
                      <w:color w:val="auto"/>
                      <w:sz w:val="21"/>
                      <w:szCs w:val="21"/>
                      <w:highlight w:val="none"/>
                      <w:lang w:val="en-US" w:eastAsia="zh-CN"/>
                    </w:rPr>
                    <w:t>二级</w:t>
                  </w:r>
                  <w:r>
                    <w:rPr>
                      <w:rFonts w:hint="default" w:ascii="Times New Roman" w:hAnsi="Times New Roman" w:eastAsia="宋体" w:cs="Times New Roman"/>
                      <w:color w:val="auto"/>
                      <w:sz w:val="21"/>
                      <w:szCs w:val="21"/>
                      <w:highlight w:val="none"/>
                      <w:lang w:eastAsia="zh-CN"/>
                    </w:rPr>
                    <w:t>浓度限值</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zh-CN" w:eastAsia="zh-CN"/>
                    </w:rPr>
                    <w:t>《恶臭污染物排放标准》（GB14554-93）</w:t>
                  </w:r>
                  <w:r>
                    <w:rPr>
                      <w:rFonts w:hint="default" w:ascii="Times New Roman" w:hAnsi="Times New Roman" w:eastAsia="宋体" w:cs="Times New Roman"/>
                      <w:color w:val="auto"/>
                      <w:sz w:val="21"/>
                      <w:szCs w:val="21"/>
                      <w:highlight w:val="none"/>
                      <w:lang w:val="en-US" w:eastAsia="zh-CN"/>
                    </w:rPr>
                    <w:t>中</w:t>
                  </w:r>
                  <w:r>
                    <w:rPr>
                      <w:rFonts w:hint="default" w:ascii="Times New Roman" w:hAnsi="Times New Roman" w:eastAsia="宋体" w:cs="Times New Roman"/>
                      <w:color w:val="auto"/>
                      <w:sz w:val="21"/>
                      <w:szCs w:val="21"/>
                      <w:highlight w:val="none"/>
                      <w:lang w:val="zh-CN" w:eastAsia="zh-CN"/>
                    </w:rPr>
                    <w:t>标准</w:t>
                  </w:r>
                  <w:r>
                    <w:rPr>
                      <w:rFonts w:hint="default" w:ascii="Times New Roman" w:hAnsi="Times New Roman" w:eastAsia="宋体" w:cs="Times New Roman"/>
                      <w:color w:val="auto"/>
                      <w:sz w:val="21"/>
                      <w:szCs w:val="21"/>
                      <w:highlight w:val="none"/>
                      <w:lang w:val="en-US" w:eastAsia="zh-CN"/>
                    </w:rPr>
                    <w:t>限值</w:t>
                  </w:r>
                  <w:r>
                    <w:rPr>
                      <w:rFonts w:hint="default" w:ascii="Times New Roman" w:hAnsi="Times New Roman" w:eastAsia="宋体" w:cs="Times New Roman"/>
                      <w:color w:val="auto"/>
                      <w:sz w:val="21"/>
                      <w:szCs w:val="21"/>
                      <w:highlight w:val="none"/>
                      <w:lang w:val="zh-CN" w:eastAsia="zh-CN"/>
                    </w:rPr>
                    <w:t>要求</w:t>
                  </w:r>
                  <w:r>
                    <w:rPr>
                      <w:rFonts w:hint="default" w:ascii="Times New Roman" w:hAnsi="Times New Roman" w:eastAsia="宋体" w:cs="Times New Roman"/>
                      <w:color w:val="auto"/>
                      <w:sz w:val="21"/>
                      <w:szCs w:val="21"/>
                      <w:highlight w:val="none"/>
                      <w:lang w:eastAsia="zh-CN"/>
                    </w:rPr>
                    <w:t>。</w:t>
                  </w:r>
                </w:p>
              </w:tc>
              <w:tc>
                <w:tcPr>
                  <w:tcW w:w="1767" w:type="dxa"/>
                  <w:noWrap w:val="0"/>
                  <w:vAlign w:val="center"/>
                </w:tcPr>
                <w:p w14:paraId="18C86BED">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372" w:type="dxa"/>
                  <w:noWrap w:val="0"/>
                  <w:vAlign w:val="center"/>
                </w:tcPr>
                <w:p w14:paraId="6832E734">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0.5103</w:t>
                  </w:r>
                </w:p>
              </w:tc>
            </w:tr>
            <w:tr w14:paraId="2212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869" w:type="dxa"/>
                  <w:vMerge w:val="continue"/>
                  <w:noWrap w:val="0"/>
                  <w:vAlign w:val="center"/>
                </w:tcPr>
                <w:p w14:paraId="4EA885D1">
                  <w:pPr>
                    <w:shd w:val="clear"/>
                    <w:jc w:val="center"/>
                    <w:rPr>
                      <w:rFonts w:hint="default" w:ascii="Times New Roman" w:hAnsi="Times New Roman" w:eastAsia="宋体" w:cs="Times New Roman"/>
                      <w:color w:val="auto"/>
                      <w:sz w:val="21"/>
                      <w:szCs w:val="21"/>
                      <w:highlight w:val="none"/>
                      <w:lang w:val="en-US" w:eastAsia="zh-CN"/>
                    </w:rPr>
                  </w:pPr>
                </w:p>
              </w:tc>
              <w:tc>
                <w:tcPr>
                  <w:tcW w:w="1327" w:type="dxa"/>
                  <w:noWrap w:val="0"/>
                  <w:vAlign w:val="center"/>
                </w:tcPr>
                <w:p w14:paraId="1E03E5E8">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非甲烷总烃</w:t>
                  </w:r>
                </w:p>
              </w:tc>
              <w:tc>
                <w:tcPr>
                  <w:tcW w:w="2059" w:type="dxa"/>
                  <w:vMerge w:val="continue"/>
                  <w:noWrap w:val="0"/>
                  <w:vAlign w:val="center"/>
                </w:tcPr>
                <w:p w14:paraId="53E5E548">
                  <w:pPr>
                    <w:keepNext w:val="0"/>
                    <w:keepLines w:val="0"/>
                    <w:pageBreakBefore w:val="0"/>
                    <w:widowControl/>
                    <w:suppressLineNumbers w:val="0"/>
                    <w:shd w:val="clear"/>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rPr>
                  </w:pPr>
                </w:p>
              </w:tc>
              <w:tc>
                <w:tcPr>
                  <w:tcW w:w="1767" w:type="dxa"/>
                  <w:noWrap w:val="0"/>
                  <w:vAlign w:val="center"/>
                </w:tcPr>
                <w:p w14:paraId="5D8EB824">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w:t>
                  </w:r>
                </w:p>
              </w:tc>
              <w:tc>
                <w:tcPr>
                  <w:tcW w:w="1372" w:type="dxa"/>
                  <w:noWrap w:val="0"/>
                  <w:vAlign w:val="center"/>
                </w:tcPr>
                <w:p w14:paraId="368E79A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0.6338</w:t>
                  </w:r>
                </w:p>
              </w:tc>
            </w:tr>
            <w:tr w14:paraId="4F61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869" w:type="dxa"/>
                  <w:vMerge w:val="continue"/>
                  <w:noWrap w:val="0"/>
                  <w:vAlign w:val="center"/>
                </w:tcPr>
                <w:p w14:paraId="0BB2F58D">
                  <w:pPr>
                    <w:shd w:val="clear"/>
                    <w:jc w:val="center"/>
                    <w:rPr>
                      <w:rFonts w:hint="default" w:ascii="Times New Roman" w:hAnsi="Times New Roman" w:eastAsia="宋体" w:cs="Times New Roman"/>
                      <w:color w:val="auto"/>
                      <w:sz w:val="21"/>
                      <w:szCs w:val="21"/>
                      <w:highlight w:val="none"/>
                      <w:lang w:val="en-US" w:eastAsia="zh-CN"/>
                    </w:rPr>
                  </w:pPr>
                </w:p>
              </w:tc>
              <w:tc>
                <w:tcPr>
                  <w:tcW w:w="1327" w:type="dxa"/>
                  <w:noWrap w:val="0"/>
                  <w:vAlign w:val="center"/>
                </w:tcPr>
                <w:p w14:paraId="2E108597">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cs="Times New Roman"/>
                      <w:i w:val="0"/>
                      <w:iCs w:val="0"/>
                      <w:color w:val="auto"/>
                      <w:kern w:val="0"/>
                      <w:sz w:val="21"/>
                      <w:szCs w:val="21"/>
                      <w:u w:val="none"/>
                      <w:lang w:val="en-US" w:eastAsia="zh-CN" w:bidi="ar"/>
                    </w:rPr>
                    <w:t>氯化氢</w:t>
                  </w:r>
                </w:p>
              </w:tc>
              <w:tc>
                <w:tcPr>
                  <w:tcW w:w="2059" w:type="dxa"/>
                  <w:vMerge w:val="continue"/>
                  <w:noWrap w:val="0"/>
                  <w:vAlign w:val="center"/>
                </w:tcPr>
                <w:p w14:paraId="32ACEDA8">
                  <w:pPr>
                    <w:keepNext w:val="0"/>
                    <w:keepLines w:val="0"/>
                    <w:pageBreakBefore w:val="0"/>
                    <w:widowControl/>
                    <w:suppressLineNumbers w:val="0"/>
                    <w:shd w:val="clear"/>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rPr>
                  </w:pPr>
                </w:p>
              </w:tc>
              <w:tc>
                <w:tcPr>
                  <w:tcW w:w="1767" w:type="dxa"/>
                  <w:noWrap w:val="0"/>
                  <w:vAlign w:val="center"/>
                </w:tcPr>
                <w:p w14:paraId="294D84A3">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20</w:t>
                  </w:r>
                </w:p>
              </w:tc>
              <w:tc>
                <w:tcPr>
                  <w:tcW w:w="1372" w:type="dxa"/>
                  <w:noWrap w:val="0"/>
                  <w:vAlign w:val="center"/>
                </w:tcPr>
                <w:p w14:paraId="2FA2B57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cs="Times New Roman"/>
                      <w:i w:val="0"/>
                      <w:iCs w:val="0"/>
                      <w:color w:val="auto"/>
                      <w:kern w:val="0"/>
                      <w:sz w:val="21"/>
                      <w:szCs w:val="21"/>
                      <w:u w:val="none"/>
                      <w:lang w:val="en-US" w:eastAsia="zh-CN" w:bidi="ar"/>
                    </w:rPr>
                    <w:t>63</w:t>
                  </w:r>
                </w:p>
              </w:tc>
            </w:tr>
            <w:tr w14:paraId="49F7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869" w:type="dxa"/>
                  <w:vMerge w:val="continue"/>
                  <w:noWrap w:val="0"/>
                  <w:vAlign w:val="center"/>
                </w:tcPr>
                <w:p w14:paraId="4FEBBBF0">
                  <w:pPr>
                    <w:shd w:val="clear"/>
                    <w:jc w:val="center"/>
                    <w:rPr>
                      <w:rFonts w:hint="default" w:ascii="Times New Roman" w:hAnsi="Times New Roman" w:eastAsia="宋体" w:cs="Times New Roman"/>
                      <w:color w:val="auto"/>
                      <w:sz w:val="21"/>
                      <w:szCs w:val="21"/>
                      <w:highlight w:val="none"/>
                      <w:lang w:val="en-US" w:eastAsia="zh-CN"/>
                    </w:rPr>
                  </w:pPr>
                </w:p>
              </w:tc>
              <w:tc>
                <w:tcPr>
                  <w:tcW w:w="1327" w:type="dxa"/>
                  <w:noWrap w:val="0"/>
                  <w:vAlign w:val="center"/>
                </w:tcPr>
                <w:p w14:paraId="1C8FB3B2">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i w:val="0"/>
                      <w:iCs w:val="0"/>
                      <w:color w:val="auto"/>
                      <w:kern w:val="0"/>
                      <w:sz w:val="21"/>
                      <w:szCs w:val="21"/>
                      <w:u w:val="none"/>
                      <w:lang w:val="en-US" w:eastAsia="zh-CN" w:bidi="ar"/>
                    </w:rPr>
                    <w:t>氯乙烯</w:t>
                  </w:r>
                </w:p>
              </w:tc>
              <w:tc>
                <w:tcPr>
                  <w:tcW w:w="2059" w:type="dxa"/>
                  <w:vMerge w:val="continue"/>
                  <w:noWrap w:val="0"/>
                  <w:vAlign w:val="center"/>
                </w:tcPr>
                <w:p w14:paraId="1D4CDA77">
                  <w:pPr>
                    <w:keepNext w:val="0"/>
                    <w:keepLines w:val="0"/>
                    <w:pageBreakBefore w:val="0"/>
                    <w:widowControl/>
                    <w:suppressLineNumbers w:val="0"/>
                    <w:shd w:val="clear"/>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rPr>
                  </w:pPr>
                </w:p>
              </w:tc>
              <w:tc>
                <w:tcPr>
                  <w:tcW w:w="1767" w:type="dxa"/>
                  <w:noWrap w:val="0"/>
                  <w:vAlign w:val="center"/>
                </w:tcPr>
                <w:p w14:paraId="3ECC7071">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0.60</w:t>
                  </w:r>
                </w:p>
              </w:tc>
              <w:tc>
                <w:tcPr>
                  <w:tcW w:w="1372" w:type="dxa"/>
                  <w:noWrap w:val="0"/>
                  <w:vAlign w:val="center"/>
                </w:tcPr>
                <w:p w14:paraId="3F17EDA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0.0076</w:t>
                  </w:r>
                </w:p>
              </w:tc>
            </w:tr>
            <w:tr w14:paraId="7DA9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869" w:type="dxa"/>
                  <w:vMerge w:val="continue"/>
                  <w:noWrap w:val="0"/>
                  <w:vAlign w:val="center"/>
                </w:tcPr>
                <w:p w14:paraId="10FC78B9">
                  <w:pPr>
                    <w:shd w:val="clear"/>
                    <w:jc w:val="center"/>
                    <w:rPr>
                      <w:rFonts w:hint="default" w:ascii="Times New Roman" w:hAnsi="Times New Roman" w:eastAsia="宋体" w:cs="Times New Roman"/>
                      <w:color w:val="auto"/>
                      <w:sz w:val="21"/>
                      <w:szCs w:val="21"/>
                      <w:highlight w:val="none"/>
                      <w:lang w:val="en-US" w:eastAsia="zh-CN"/>
                    </w:rPr>
                  </w:pPr>
                </w:p>
              </w:tc>
              <w:tc>
                <w:tcPr>
                  <w:tcW w:w="1327" w:type="dxa"/>
                  <w:noWrap w:val="0"/>
                  <w:vAlign w:val="center"/>
                </w:tcPr>
                <w:p w14:paraId="438EFEE5">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i w:val="0"/>
                      <w:iCs w:val="0"/>
                      <w:color w:val="auto"/>
                      <w:kern w:val="0"/>
                      <w:sz w:val="21"/>
                      <w:szCs w:val="21"/>
                      <w:u w:val="none"/>
                      <w:lang w:val="en-US" w:eastAsia="zh-CN" w:bidi="ar"/>
                    </w:rPr>
                    <w:t>臭气浓度</w:t>
                  </w:r>
                </w:p>
              </w:tc>
              <w:tc>
                <w:tcPr>
                  <w:tcW w:w="2059" w:type="dxa"/>
                  <w:vMerge w:val="continue"/>
                  <w:noWrap w:val="0"/>
                  <w:vAlign w:val="center"/>
                </w:tcPr>
                <w:p w14:paraId="7013B8CA">
                  <w:pPr>
                    <w:keepNext w:val="0"/>
                    <w:keepLines w:val="0"/>
                    <w:pageBreakBefore w:val="0"/>
                    <w:widowControl/>
                    <w:suppressLineNumbers w:val="0"/>
                    <w:shd w:val="clear"/>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rPr>
                  </w:pPr>
                </w:p>
              </w:tc>
              <w:tc>
                <w:tcPr>
                  <w:tcW w:w="1767" w:type="dxa"/>
                  <w:noWrap w:val="0"/>
                  <w:vAlign w:val="center"/>
                </w:tcPr>
                <w:p w14:paraId="27F941FC">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20（无量纲）</w:t>
                  </w:r>
                </w:p>
              </w:tc>
              <w:tc>
                <w:tcPr>
                  <w:tcW w:w="1372" w:type="dxa"/>
                  <w:noWrap w:val="0"/>
                  <w:vAlign w:val="center"/>
                </w:tcPr>
                <w:p w14:paraId="669405E9">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highlight w:val="none"/>
                      <w:u w:val="none"/>
                      <w:lang w:val="en-US" w:eastAsia="zh-CN" w:bidi="ar"/>
                    </w:rPr>
                    <w:t>少量</w:t>
                  </w:r>
                </w:p>
              </w:tc>
            </w:tr>
          </w:tbl>
          <w:p w14:paraId="5DC1CB9E">
            <w:pPr>
              <w:pStyle w:val="86"/>
              <w:keepNext w:val="0"/>
              <w:keepLines w:val="0"/>
              <w:pageBreakBefore w:val="0"/>
              <w:widowControl w:val="0"/>
              <w:shd w:val="clear"/>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9"/>
              <w:rPr>
                <w:rFonts w:hint="default" w:ascii="Times New Roman" w:hAnsi="Times New Roman" w:eastAsia="宋体" w:cs="Times New Roman"/>
                <w:b w:val="0"/>
                <w:bCs/>
                <w:color w:val="auto"/>
                <w:sz w:val="21"/>
                <w:szCs w:val="21"/>
                <w:highlight w:val="none"/>
                <w:lang w:val="en-US"/>
              </w:rPr>
            </w:pPr>
            <w:r>
              <w:rPr>
                <w:rFonts w:hint="default" w:ascii="Times New Roman" w:hAnsi="Times New Roman" w:eastAsia="宋体" w:cs="Times New Roman"/>
                <w:b w:val="0"/>
                <w:bCs/>
                <w:color w:val="auto"/>
                <w:sz w:val="24"/>
                <w:szCs w:val="24"/>
                <w:highlight w:val="none"/>
              </w:rPr>
              <w:t>项目运营过程中大气污染物年排放量核算表详见表</w:t>
            </w:r>
            <w:r>
              <w:rPr>
                <w:rFonts w:hint="default" w:ascii="Times New Roman" w:hAnsi="Times New Roman" w:eastAsia="宋体" w:cs="Times New Roman"/>
                <w:b w:val="0"/>
                <w:bCs/>
                <w:color w:val="auto"/>
                <w:sz w:val="24"/>
                <w:szCs w:val="24"/>
                <w:highlight w:val="none"/>
                <w:lang w:val="en-US" w:eastAsia="zh-CN"/>
              </w:rPr>
              <w:t>4-1</w:t>
            </w:r>
            <w:r>
              <w:rPr>
                <w:rFonts w:hint="eastAsia" w:ascii="Times New Roman" w:hAnsi="Times New Roman" w:cs="Times New Roman"/>
                <w:b w:val="0"/>
                <w:bCs/>
                <w:color w:val="auto"/>
                <w:sz w:val="24"/>
                <w:szCs w:val="24"/>
                <w:highlight w:val="none"/>
                <w:lang w:val="en-US" w:eastAsia="zh-CN"/>
              </w:rPr>
              <w:t>5</w:t>
            </w:r>
            <w:r>
              <w:rPr>
                <w:rFonts w:hint="default" w:ascii="Times New Roman" w:hAnsi="Times New Roman" w:eastAsia="宋体" w:cs="Times New Roman"/>
                <w:b w:val="0"/>
                <w:bCs/>
                <w:color w:val="auto"/>
                <w:sz w:val="24"/>
                <w:szCs w:val="24"/>
                <w:highlight w:val="none"/>
              </w:rPr>
              <w:t>。</w:t>
            </w:r>
          </w:p>
          <w:p w14:paraId="1ED9DC39">
            <w:pPr>
              <w:pStyle w:val="86"/>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val="0"/>
                <w:color w:val="FF0000"/>
                <w:sz w:val="21"/>
                <w:szCs w:val="21"/>
                <w:highlight w:val="none"/>
                <w:lang w:val="en-US"/>
              </w:rPr>
            </w:pPr>
            <w:r>
              <w:rPr>
                <w:rFonts w:hint="default" w:ascii="Times New Roman" w:hAnsi="Times New Roman" w:eastAsia="宋体" w:cs="Times New Roman"/>
                <w:color w:val="auto"/>
                <w:sz w:val="21"/>
                <w:szCs w:val="21"/>
                <w:highlight w:val="none"/>
                <w:lang w:val="en-US"/>
              </w:rPr>
              <w:t>表</w:t>
            </w:r>
            <w:r>
              <w:rPr>
                <w:rFonts w:hint="default" w:ascii="Times New Roman" w:hAnsi="Times New Roman" w:eastAsia="宋体" w:cs="Times New Roman"/>
                <w:color w:val="auto"/>
                <w:sz w:val="21"/>
                <w:szCs w:val="21"/>
                <w:highlight w:val="none"/>
                <w:lang w:val="en-US" w:eastAsia="zh-CN"/>
              </w:rPr>
              <w:t>4-1</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rPr>
              <w:t xml:space="preserve"> 大气污染物年排放量核算表</w:t>
            </w:r>
          </w:p>
          <w:tbl>
            <w:tblPr>
              <w:tblStyle w:val="26"/>
              <w:tblW w:w="839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2690"/>
              <w:gridCol w:w="3301"/>
            </w:tblGrid>
            <w:tr w14:paraId="23DE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03" w:type="dxa"/>
                  <w:noWrap w:val="0"/>
                  <w:vAlign w:val="center"/>
                </w:tcPr>
                <w:p w14:paraId="1849510D">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生产阶段</w:t>
                  </w:r>
                </w:p>
              </w:tc>
              <w:tc>
                <w:tcPr>
                  <w:tcW w:w="2690" w:type="dxa"/>
                  <w:noWrap w:val="0"/>
                  <w:vAlign w:val="center"/>
                </w:tcPr>
                <w:p w14:paraId="618F2156">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b/>
                      <w:bCs w:val="0"/>
                      <w:color w:val="FF0000"/>
                      <w:sz w:val="21"/>
                      <w:szCs w:val="21"/>
                      <w:highlight w:val="none"/>
                    </w:rPr>
                  </w:pPr>
                  <w:r>
                    <w:rPr>
                      <w:rFonts w:hint="default" w:ascii="Times New Roman" w:hAnsi="Times New Roman" w:eastAsia="宋体" w:cs="Times New Roman"/>
                      <w:b/>
                      <w:bCs w:val="0"/>
                      <w:color w:val="auto"/>
                      <w:sz w:val="21"/>
                      <w:szCs w:val="21"/>
                      <w:highlight w:val="none"/>
                    </w:rPr>
                    <w:t>污染物</w:t>
                  </w:r>
                </w:p>
              </w:tc>
              <w:tc>
                <w:tcPr>
                  <w:tcW w:w="3301" w:type="dxa"/>
                  <w:noWrap w:val="0"/>
                  <w:vAlign w:val="center"/>
                </w:tcPr>
                <w:p w14:paraId="15548E6C">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年排放量（t/a）</w:t>
                  </w:r>
                </w:p>
              </w:tc>
            </w:tr>
            <w:tr w14:paraId="06BA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403" w:type="dxa"/>
                  <w:vMerge w:val="restart"/>
                  <w:noWrap w:val="0"/>
                  <w:vAlign w:val="center"/>
                </w:tcPr>
                <w:p w14:paraId="0FEC2F45">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整个生产车间</w:t>
                  </w:r>
                </w:p>
              </w:tc>
              <w:tc>
                <w:tcPr>
                  <w:tcW w:w="2690" w:type="dxa"/>
                  <w:noWrap w:val="0"/>
                  <w:vAlign w:val="center"/>
                </w:tcPr>
                <w:p w14:paraId="3BCDF032">
                  <w:pPr>
                    <w:keepNext w:val="0"/>
                    <w:keepLines w:val="0"/>
                    <w:pageBreakBefore w:val="0"/>
                    <w:widowControl w:val="0"/>
                    <w:shd w:val="clear"/>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color w:val="0000FF"/>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3301" w:type="dxa"/>
                  <w:noWrap w:val="0"/>
                  <w:vAlign w:val="center"/>
                </w:tcPr>
                <w:p w14:paraId="6942D90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0.5783</w:t>
                  </w:r>
                </w:p>
              </w:tc>
            </w:tr>
            <w:tr w14:paraId="279A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403" w:type="dxa"/>
                  <w:vMerge w:val="continue"/>
                  <w:noWrap w:val="0"/>
                  <w:vAlign w:val="center"/>
                </w:tcPr>
                <w:p w14:paraId="0A992B95">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FF0000"/>
                      <w:sz w:val="21"/>
                      <w:szCs w:val="21"/>
                      <w:highlight w:val="none"/>
                      <w:lang w:eastAsia="zh-CN"/>
                    </w:rPr>
                  </w:pPr>
                </w:p>
              </w:tc>
              <w:tc>
                <w:tcPr>
                  <w:tcW w:w="2690" w:type="dxa"/>
                  <w:noWrap w:val="0"/>
                  <w:vAlign w:val="center"/>
                </w:tcPr>
                <w:p w14:paraId="7AA6C3C4">
                  <w:pPr>
                    <w:keepNext w:val="0"/>
                    <w:keepLines w:val="0"/>
                    <w:widowControl/>
                    <w:suppressLineNumbers w:val="0"/>
                    <w:jc w:val="center"/>
                    <w:textAlignment w:val="center"/>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非甲烷总烃</w:t>
                  </w:r>
                </w:p>
              </w:tc>
              <w:tc>
                <w:tcPr>
                  <w:tcW w:w="3301" w:type="dxa"/>
                  <w:noWrap w:val="0"/>
                  <w:vAlign w:val="center"/>
                </w:tcPr>
                <w:p w14:paraId="5433B9A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1.3944</w:t>
                  </w:r>
                </w:p>
              </w:tc>
            </w:tr>
            <w:tr w14:paraId="58C8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403" w:type="dxa"/>
                  <w:vMerge w:val="continue"/>
                  <w:noWrap w:val="0"/>
                  <w:vAlign w:val="center"/>
                </w:tcPr>
                <w:p w14:paraId="2FA5776A">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FF0000"/>
                      <w:sz w:val="21"/>
                      <w:szCs w:val="21"/>
                      <w:highlight w:val="none"/>
                      <w:lang w:eastAsia="zh-CN"/>
                    </w:rPr>
                  </w:pPr>
                </w:p>
              </w:tc>
              <w:tc>
                <w:tcPr>
                  <w:tcW w:w="2690" w:type="dxa"/>
                  <w:noWrap w:val="0"/>
                  <w:vAlign w:val="center"/>
                </w:tcPr>
                <w:p w14:paraId="3A21BE61">
                  <w:pPr>
                    <w:keepNext w:val="0"/>
                    <w:keepLines w:val="0"/>
                    <w:widowControl/>
                    <w:suppressLineNumbers w:val="0"/>
                    <w:jc w:val="center"/>
                    <w:textAlignment w:val="center"/>
                    <w:rPr>
                      <w:rFonts w:hint="default" w:ascii="Times New Roman" w:hAnsi="Times New Roman" w:eastAsia="宋体" w:cs="Times New Roman"/>
                      <w:b w:val="0"/>
                      <w:bCs/>
                      <w:color w:val="FF0000"/>
                      <w:spacing w:val="-10"/>
                      <w:sz w:val="21"/>
                      <w:szCs w:val="21"/>
                      <w:highlight w:val="none"/>
                      <w:vertAlign w:val="baseline"/>
                      <w:lang w:val="en-US" w:eastAsia="zh-CN"/>
                    </w:rPr>
                  </w:pPr>
                  <w:r>
                    <w:rPr>
                      <w:rFonts w:hint="eastAsia" w:ascii="Times New Roman" w:hAnsi="Times New Roman" w:cs="Times New Roman"/>
                      <w:i w:val="0"/>
                      <w:iCs w:val="0"/>
                      <w:color w:val="auto"/>
                      <w:kern w:val="0"/>
                      <w:sz w:val="21"/>
                      <w:szCs w:val="21"/>
                      <w:u w:val="none"/>
                      <w:lang w:val="en-US" w:eastAsia="zh-CN" w:bidi="ar"/>
                    </w:rPr>
                    <w:t>氯化氢</w:t>
                  </w:r>
                </w:p>
              </w:tc>
              <w:tc>
                <w:tcPr>
                  <w:tcW w:w="3301" w:type="dxa"/>
                  <w:noWrap w:val="0"/>
                  <w:vAlign w:val="center"/>
                </w:tcPr>
                <w:p w14:paraId="6C9973A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cs="Times New Roman"/>
                      <w:i w:val="0"/>
                      <w:iCs w:val="0"/>
                      <w:color w:val="auto"/>
                      <w:kern w:val="0"/>
                      <w:sz w:val="21"/>
                      <w:szCs w:val="21"/>
                      <w:highlight w:val="none"/>
                      <w:u w:val="none"/>
                      <w:lang w:val="en-US" w:eastAsia="zh-CN" w:bidi="ar"/>
                    </w:rPr>
                    <w:t>0313</w:t>
                  </w:r>
                </w:p>
              </w:tc>
            </w:tr>
            <w:tr w14:paraId="7825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403" w:type="dxa"/>
                  <w:vMerge w:val="continue"/>
                  <w:noWrap w:val="0"/>
                  <w:vAlign w:val="center"/>
                </w:tcPr>
                <w:p w14:paraId="57B32C53">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FF0000"/>
                      <w:sz w:val="21"/>
                      <w:szCs w:val="21"/>
                      <w:highlight w:val="none"/>
                      <w:lang w:eastAsia="zh-CN"/>
                    </w:rPr>
                  </w:pPr>
                </w:p>
              </w:tc>
              <w:tc>
                <w:tcPr>
                  <w:tcW w:w="2690" w:type="dxa"/>
                  <w:noWrap w:val="0"/>
                  <w:vAlign w:val="center"/>
                </w:tcPr>
                <w:p w14:paraId="4F0D0C80">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ascii="Times New Roman" w:hAnsi="Times New Roman" w:cs="Times New Roman"/>
                      <w:i w:val="0"/>
                      <w:iCs w:val="0"/>
                      <w:color w:val="auto"/>
                      <w:kern w:val="0"/>
                      <w:sz w:val="21"/>
                      <w:szCs w:val="21"/>
                      <w:u w:val="none"/>
                      <w:lang w:val="en-US" w:eastAsia="zh-CN" w:bidi="ar"/>
                    </w:rPr>
                    <w:t>氯乙烯</w:t>
                  </w:r>
                </w:p>
              </w:tc>
              <w:tc>
                <w:tcPr>
                  <w:tcW w:w="3301" w:type="dxa"/>
                  <w:noWrap w:val="0"/>
                  <w:vAlign w:val="center"/>
                </w:tcPr>
                <w:p w14:paraId="4356FDB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cs="Times New Roman"/>
                      <w:i w:val="0"/>
                      <w:iCs w:val="0"/>
                      <w:color w:val="auto"/>
                      <w:kern w:val="0"/>
                      <w:sz w:val="21"/>
                      <w:szCs w:val="21"/>
                      <w:highlight w:val="none"/>
                      <w:u w:val="none"/>
                      <w:lang w:val="en-US" w:eastAsia="zh-CN" w:bidi="ar"/>
                    </w:rPr>
                    <w:t>618</w:t>
                  </w:r>
                </w:p>
              </w:tc>
            </w:tr>
            <w:tr w14:paraId="3F9B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403" w:type="dxa"/>
                  <w:vMerge w:val="continue"/>
                  <w:noWrap w:val="0"/>
                  <w:vAlign w:val="center"/>
                </w:tcPr>
                <w:p w14:paraId="5B7EC0FB">
                  <w:pPr>
                    <w:keepNext w:val="0"/>
                    <w:keepLines w:val="0"/>
                    <w:pageBreakBefore w:val="0"/>
                    <w:shd w:val="clear"/>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FF0000"/>
                      <w:sz w:val="21"/>
                      <w:szCs w:val="21"/>
                      <w:highlight w:val="none"/>
                      <w:lang w:eastAsia="zh-CN"/>
                    </w:rPr>
                  </w:pPr>
                </w:p>
              </w:tc>
              <w:tc>
                <w:tcPr>
                  <w:tcW w:w="2690" w:type="dxa"/>
                  <w:noWrap w:val="0"/>
                  <w:vAlign w:val="center"/>
                </w:tcPr>
                <w:p w14:paraId="416B07FC">
                  <w:pPr>
                    <w:keepNext w:val="0"/>
                    <w:keepLines w:val="0"/>
                    <w:widowControl/>
                    <w:suppressLineNumbers w:val="0"/>
                    <w:jc w:val="center"/>
                    <w:textAlignment w:val="center"/>
                    <w:rPr>
                      <w:rFonts w:hint="default" w:ascii="Times New Roman" w:hAnsi="Times New Roman" w:eastAsia="宋体" w:cs="Times New Roman"/>
                      <w:color w:val="FF0000"/>
                      <w:sz w:val="21"/>
                      <w:szCs w:val="21"/>
                      <w:highlight w:val="none"/>
                      <w:lang w:val="en-US" w:eastAsia="zh-CN"/>
                    </w:rPr>
                  </w:pPr>
                  <w:r>
                    <w:rPr>
                      <w:rFonts w:hint="eastAsia" w:ascii="Times New Roman" w:hAnsi="Times New Roman" w:cs="Times New Roman"/>
                      <w:i w:val="0"/>
                      <w:iCs w:val="0"/>
                      <w:color w:val="auto"/>
                      <w:kern w:val="0"/>
                      <w:sz w:val="21"/>
                      <w:szCs w:val="21"/>
                      <w:u w:val="none"/>
                      <w:lang w:val="en-US" w:eastAsia="zh-CN" w:bidi="ar"/>
                    </w:rPr>
                    <w:t>臭气浓度</w:t>
                  </w:r>
                </w:p>
              </w:tc>
              <w:tc>
                <w:tcPr>
                  <w:tcW w:w="3301" w:type="dxa"/>
                  <w:noWrap w:val="0"/>
                  <w:vAlign w:val="center"/>
                </w:tcPr>
                <w:p w14:paraId="1BE3FDA3">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少量</w:t>
                  </w:r>
                </w:p>
              </w:tc>
            </w:tr>
          </w:tbl>
          <w:p w14:paraId="056CB05D">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zh-CN"/>
              </w:rPr>
            </w:pP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lang w:val="zh-CN"/>
              </w:rPr>
              <w:t>）食堂油烟</w:t>
            </w:r>
          </w:p>
          <w:p w14:paraId="795CE41E">
            <w:pPr>
              <w:shd w:val="clea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szCs w:val="24"/>
                <w:highlight w:val="none"/>
                <w:lang w:val="en-US" w:eastAsia="zh-CN"/>
              </w:rPr>
              <w:t>项目区食堂油烟</w:t>
            </w:r>
            <w:r>
              <w:rPr>
                <w:rFonts w:hint="default" w:ascii="Times New Roman" w:hAnsi="Times New Roman" w:eastAsia="宋体" w:cs="Times New Roman"/>
                <w:color w:val="auto"/>
                <w:sz w:val="24"/>
                <w:szCs w:val="24"/>
                <w:highlight w:val="none"/>
                <w:lang w:val="zh-CN" w:eastAsia="zh-CN"/>
              </w:rPr>
              <w:t>能达到</w:t>
            </w:r>
            <w:r>
              <w:rPr>
                <w:rFonts w:hint="default" w:ascii="Times New Roman" w:hAnsi="Times New Roman" w:eastAsia="宋体" w:cs="Times New Roman"/>
                <w:color w:val="auto"/>
                <w:sz w:val="24"/>
                <w:highlight w:val="none"/>
                <w:lang w:val="en-US" w:eastAsia="zh-CN"/>
              </w:rPr>
              <w:t>《饮食业油烟排放标准（试行）》（GB18483-2001）中的</w:t>
            </w:r>
            <w:r>
              <w:rPr>
                <w:rFonts w:hint="default" w:ascii="Times New Roman" w:hAnsi="Times New Roman" w:eastAsia="宋体" w:cs="Times New Roman"/>
                <w:color w:val="auto"/>
                <w:sz w:val="24"/>
                <w:szCs w:val="24"/>
                <w:highlight w:val="none"/>
                <w:lang w:val="en-US" w:eastAsia="zh-CN"/>
              </w:rPr>
              <w:t>小型规模</w:t>
            </w:r>
            <w:r>
              <w:rPr>
                <w:rFonts w:hint="default" w:ascii="Times New Roman" w:hAnsi="Times New Roman" w:eastAsia="宋体" w:cs="Times New Roman"/>
                <w:color w:val="auto"/>
                <w:sz w:val="24"/>
                <w:szCs w:val="24"/>
                <w:highlight w:val="none"/>
              </w:rPr>
              <w:t>最高允许排放浓度，即油烟≤</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.0mg/m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highlight w:val="none"/>
                <w:lang w:val="zh-CN"/>
              </w:rPr>
              <w:t>项目食堂油烟经净化器处理后可达标排放，油烟排放经空气扩散稀释后对环境影响较小。</w:t>
            </w:r>
          </w:p>
          <w:p w14:paraId="0939FD1F">
            <w:pPr>
              <w:keepNext w:val="0"/>
              <w:keepLines w:val="0"/>
              <w:pageBreakBefore w:val="0"/>
              <w:widowControl w:val="0"/>
              <w:shd w:val="clear"/>
              <w:kinsoku/>
              <w:wordWrap/>
              <w:overflowPunct/>
              <w:topLinePunct w:val="0"/>
              <w:autoSpaceDE/>
              <w:autoSpaceDN/>
              <w:bidi w:val="0"/>
              <w:spacing w:line="360" w:lineRule="auto"/>
              <w:ind w:left="0" w:right="0" w:firstLine="482" w:firstLineChars="200"/>
              <w:outlineLvl w:val="9"/>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异味环境影响分析</w:t>
            </w:r>
          </w:p>
          <w:p w14:paraId="181B05CA">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Cs/>
                <w:color w:val="auto"/>
                <w:sz w:val="24"/>
                <w:highlight w:val="none"/>
              </w:rPr>
              <w:t>项目</w:t>
            </w:r>
            <w:r>
              <w:rPr>
                <w:rFonts w:hint="default" w:ascii="Times New Roman" w:hAnsi="Times New Roman" w:eastAsia="宋体" w:cs="Times New Roman"/>
                <w:bCs/>
                <w:color w:val="auto"/>
                <w:sz w:val="24"/>
                <w:highlight w:val="none"/>
                <w:lang w:eastAsia="zh-CN"/>
              </w:rPr>
              <w:t>运营期异味主要来源于</w:t>
            </w:r>
            <w:r>
              <w:rPr>
                <w:rFonts w:hint="default" w:ascii="Times New Roman" w:hAnsi="Times New Roman" w:eastAsia="宋体" w:cs="Times New Roman"/>
                <w:b w:val="0"/>
                <w:bCs/>
                <w:color w:val="auto"/>
                <w:spacing w:val="6"/>
                <w:sz w:val="24"/>
                <w:highlight w:val="none"/>
                <w:lang w:val="en-US" w:eastAsia="zh-CN"/>
              </w:rPr>
              <w:t>生产过程</w:t>
            </w:r>
            <w:r>
              <w:rPr>
                <w:rFonts w:hint="eastAsia" w:ascii="Times New Roman" w:hAnsi="Times New Roman" w:eastAsia="宋体" w:cs="Times New Roman"/>
                <w:b w:val="0"/>
                <w:bCs/>
                <w:color w:val="auto"/>
                <w:spacing w:val="6"/>
                <w:sz w:val="24"/>
                <w:highlight w:val="none"/>
                <w:lang w:val="en-US" w:eastAsia="zh-CN"/>
              </w:rPr>
              <w:t>，</w:t>
            </w:r>
            <w:r>
              <w:rPr>
                <w:rFonts w:hint="default" w:ascii="Times New Roman" w:hAnsi="Times New Roman" w:eastAsia="宋体" w:cs="Times New Roman"/>
                <w:b w:val="0"/>
                <w:bCs/>
                <w:color w:val="auto"/>
                <w:spacing w:val="6"/>
                <w:sz w:val="24"/>
                <w:highlight w:val="none"/>
                <w:lang w:val="en-US" w:eastAsia="zh-CN"/>
              </w:rPr>
              <w:t>生产车间臭气浓度大部分随有机废气一同收集为有组织排放，</w:t>
            </w:r>
            <w:r>
              <w:rPr>
                <w:rFonts w:hint="eastAsia"/>
                <w:color w:val="auto"/>
                <w:sz w:val="24"/>
                <w:szCs w:val="20"/>
              </w:rPr>
              <w:t>其余少量有机废气呈无组织逸散</w:t>
            </w:r>
            <w:r>
              <w:rPr>
                <w:rFonts w:hint="eastAsia"/>
                <w:color w:val="auto"/>
                <w:sz w:val="24"/>
                <w:szCs w:val="20"/>
                <w:lang w:eastAsia="zh-CN"/>
              </w:rPr>
              <w:t>；</w:t>
            </w:r>
            <w:r>
              <w:rPr>
                <w:rFonts w:hint="eastAsia"/>
                <w:color w:val="auto"/>
                <w:sz w:val="24"/>
                <w:szCs w:val="20"/>
              </w:rPr>
              <w:t>从而产生少量异味。若建设单位有效落实废气治理设施的维护，做好车间的通风换气措施，</w:t>
            </w:r>
            <w:r>
              <w:rPr>
                <w:rFonts w:hint="default" w:ascii="Times New Roman" w:hAnsi="Times New Roman" w:eastAsia="宋体" w:cs="Times New Roman"/>
                <w:color w:val="auto"/>
                <w:sz w:val="24"/>
                <w:szCs w:val="24"/>
                <w:highlight w:val="none"/>
                <w:lang w:val="en-US" w:eastAsia="zh-CN"/>
              </w:rPr>
              <w:t>厂界臭气</w:t>
            </w:r>
            <w:r>
              <w:rPr>
                <w:rFonts w:hint="default" w:ascii="Times New Roman" w:hAnsi="Times New Roman" w:eastAsia="宋体" w:cs="Times New Roman"/>
                <w:color w:val="auto"/>
                <w:sz w:val="24"/>
                <w:highlight w:val="none"/>
              </w:rPr>
              <w:t>排放</w:t>
            </w:r>
            <w:r>
              <w:rPr>
                <w:rFonts w:hint="default" w:ascii="Times New Roman" w:hAnsi="Times New Roman" w:eastAsia="宋体" w:cs="Times New Roman"/>
                <w:color w:val="auto"/>
                <w:sz w:val="24"/>
                <w:highlight w:val="none"/>
                <w:lang w:eastAsia="zh-CN"/>
              </w:rPr>
              <w:t>浓度</w:t>
            </w:r>
            <w:r>
              <w:rPr>
                <w:rFonts w:hint="default" w:ascii="Times New Roman" w:hAnsi="Times New Roman" w:eastAsia="宋体" w:cs="Times New Roman"/>
                <w:color w:val="auto"/>
                <w:sz w:val="24"/>
                <w:highlight w:val="none"/>
              </w:rPr>
              <w:t>达到《恶臭污染物排放标准》（GB14554-93）</w:t>
            </w:r>
            <w:r>
              <w:rPr>
                <w:rFonts w:hint="default" w:ascii="Times New Roman" w:hAnsi="Times New Roman" w:eastAsia="宋体" w:cs="Times New Roman"/>
                <w:color w:val="auto"/>
                <w:sz w:val="24"/>
                <w:highlight w:val="none"/>
                <w:lang w:eastAsia="zh-CN"/>
              </w:rPr>
              <w:t>中相关标准</w:t>
            </w:r>
            <w:r>
              <w:rPr>
                <w:rFonts w:hint="default" w:ascii="Times New Roman" w:hAnsi="Times New Roman" w:eastAsia="宋体" w:cs="Times New Roman"/>
                <w:color w:val="auto"/>
                <w:sz w:val="24"/>
                <w:highlight w:val="none"/>
              </w:rPr>
              <w:t>。</w:t>
            </w:r>
          </w:p>
          <w:p w14:paraId="625FE7ED">
            <w:pPr>
              <w:pStyle w:val="6"/>
              <w:keepNext w:val="0"/>
              <w:keepLines w:val="0"/>
              <w:pageBreakBefore w:val="0"/>
              <w:shd w:val="clear"/>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综上</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highlight w:val="none"/>
              </w:rPr>
              <w:t>异味产生量很小，对环境的影响较小</w:t>
            </w:r>
            <w:r>
              <w:rPr>
                <w:rFonts w:hint="default" w:ascii="Times New Roman" w:hAnsi="Times New Roman" w:eastAsia="宋体" w:cs="Times New Roman"/>
                <w:color w:val="auto"/>
                <w:sz w:val="24"/>
                <w:szCs w:val="24"/>
                <w:highlight w:val="none"/>
                <w:lang w:eastAsia="zh-CN"/>
              </w:rPr>
              <w:t>。</w:t>
            </w:r>
          </w:p>
          <w:p w14:paraId="5236A2F4">
            <w:pPr>
              <w:keepNext w:val="0"/>
              <w:keepLines w:val="0"/>
              <w:pageBreakBefore w:val="0"/>
              <w:numPr>
                <w:ilvl w:val="0"/>
                <w:numId w:val="0"/>
              </w:numPr>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lang w:eastAsia="zh-CN"/>
              </w:rPr>
            </w:pPr>
            <w:r>
              <w:rPr>
                <w:rFonts w:hint="default" w:ascii="Times New Roman" w:hAnsi="Times New Roman" w:eastAsia="宋体" w:cs="Times New Roman"/>
                <w:b/>
                <w:color w:val="auto"/>
                <w:sz w:val="24"/>
                <w:szCs w:val="24"/>
                <w:highlight w:val="none"/>
                <w:lang w:val="en-US" w:eastAsia="zh-CN"/>
              </w:rPr>
              <w:t>3、废气处理措施可行性分析</w:t>
            </w:r>
          </w:p>
          <w:p w14:paraId="64B72B8D">
            <w:pPr>
              <w:keepNext w:val="0"/>
              <w:keepLines w:val="0"/>
              <w:pageBreakBefore w:val="0"/>
              <w:shd w:val="clear"/>
              <w:kinsoku/>
              <w:wordWrap/>
              <w:overflowPunct/>
              <w:topLinePunct w:val="0"/>
              <w:autoSpaceDE/>
              <w:autoSpaceDN/>
              <w:bidi w:val="0"/>
              <w:adjustRightInd/>
              <w:spacing w:line="360" w:lineRule="auto"/>
              <w:ind w:right="0"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（1）可行技术分析</w:t>
            </w:r>
          </w:p>
          <w:p w14:paraId="3E9448CD">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lang w:val="en-US" w:eastAsia="zh-CN"/>
              </w:rPr>
              <w:t>根据</w:t>
            </w:r>
            <w:r>
              <w:rPr>
                <w:rFonts w:hint="default" w:ascii="Times New Roman" w:hAnsi="Times New Roman" w:eastAsia="宋体" w:cs="Times New Roman"/>
                <w:color w:val="auto"/>
                <w:sz w:val="24"/>
                <w:highlight w:val="none"/>
              </w:rPr>
              <w:t>《排污许可证申请与核发技术规范</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总则》（HJ 942-2018）</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eastAsia="zh-CN"/>
              </w:rPr>
              <w:t>《排污许可证申请与核发技</w:t>
            </w:r>
            <w:r>
              <w:rPr>
                <w:rFonts w:hint="default" w:ascii="Times New Roman" w:hAnsi="Times New Roman" w:eastAsia="宋体" w:cs="Times New Roman"/>
                <w:color w:val="auto"/>
                <w:sz w:val="24"/>
                <w:szCs w:val="24"/>
                <w:highlight w:val="none"/>
                <w:lang w:eastAsia="zh-CN"/>
              </w:rPr>
              <w:t>术规范 橡胶和塑料制品工业》（HJ1122-2020）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颗粒物</w:t>
            </w:r>
            <w:r>
              <w:rPr>
                <w:rFonts w:hint="default" w:ascii="Times New Roman" w:hAnsi="Times New Roman" w:eastAsia="宋体" w:cs="Times New Roman"/>
                <w:color w:val="auto"/>
                <w:sz w:val="24"/>
                <w:szCs w:val="24"/>
                <w:highlight w:val="none"/>
              </w:rPr>
              <w:t>收集治理设施包括</w:t>
            </w:r>
            <w:r>
              <w:rPr>
                <w:rFonts w:hint="default" w:ascii="Times New Roman" w:hAnsi="Times New Roman" w:eastAsia="宋体" w:cs="Times New Roman"/>
                <w:color w:val="auto"/>
                <w:sz w:val="24"/>
                <w:szCs w:val="24"/>
                <w:highlight w:val="none"/>
                <w:lang w:val="en-US" w:eastAsia="zh-CN"/>
              </w:rPr>
              <w:t>袋式、滤筒、喷淋除尘，</w:t>
            </w:r>
            <w:r>
              <w:rPr>
                <w:rFonts w:hint="default" w:ascii="Times New Roman" w:hAnsi="Times New Roman" w:eastAsia="宋体" w:cs="Times New Roman"/>
                <w:color w:val="auto"/>
                <w:sz w:val="24"/>
                <w:szCs w:val="24"/>
                <w:highlight w:val="none"/>
              </w:rPr>
              <w:t>有机废气收集治理设施包括吸附</w:t>
            </w:r>
            <w:r>
              <w:rPr>
                <w:rFonts w:hint="default" w:ascii="Times New Roman" w:hAnsi="Times New Roman" w:eastAsia="宋体" w:cs="Times New Roman"/>
                <w:color w:val="auto"/>
                <w:sz w:val="24"/>
                <w:szCs w:val="24"/>
                <w:highlight w:val="none"/>
                <w:lang w:val="en-US" w:eastAsia="zh-CN"/>
              </w:rPr>
              <w:t>、燃烧、低温等离子体、UV光氧化/光催化、生物法</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以上组合技术，本项目</w:t>
            </w:r>
            <w:r>
              <w:rPr>
                <w:rFonts w:hint="eastAsia" w:cs="Times New Roman"/>
                <w:color w:val="auto"/>
                <w:sz w:val="24"/>
                <w:szCs w:val="24"/>
                <w:highlight w:val="none"/>
                <w:lang w:val="en-US" w:eastAsia="zh-CN"/>
              </w:rPr>
              <w:t>混料、破碎、磨粉工序产生的</w:t>
            </w:r>
            <w:r>
              <w:rPr>
                <w:rFonts w:hint="default" w:ascii="Times New Roman" w:hAnsi="Times New Roman" w:eastAsia="宋体" w:cs="Times New Roman"/>
                <w:color w:val="auto"/>
                <w:sz w:val="24"/>
                <w:szCs w:val="24"/>
                <w:highlight w:val="none"/>
                <w:lang w:val="en-US" w:eastAsia="zh-CN"/>
              </w:rPr>
              <w:t>颗粒物的治理措施为</w:t>
            </w:r>
            <w:r>
              <w:rPr>
                <w:rFonts w:hint="eastAsia" w:cs="Times New Roman"/>
                <w:color w:val="auto"/>
                <w:sz w:val="24"/>
                <w:szCs w:val="24"/>
                <w:highlight w:val="none"/>
                <w:lang w:val="en-US" w:eastAsia="zh-CN"/>
              </w:rPr>
              <w:t>布袋</w:t>
            </w:r>
            <w:r>
              <w:rPr>
                <w:rFonts w:hint="default" w:ascii="Times New Roman" w:hAnsi="Times New Roman" w:eastAsia="宋体" w:cs="Times New Roman"/>
                <w:color w:val="auto"/>
                <w:sz w:val="24"/>
                <w:szCs w:val="24"/>
                <w:highlight w:val="none"/>
                <w:lang w:val="en-US" w:eastAsia="zh-CN"/>
              </w:rPr>
              <w:t>除尘</w:t>
            </w:r>
            <w:r>
              <w:rPr>
                <w:rFonts w:hint="default" w:ascii="Times New Roman" w:hAnsi="Times New Roman" w:eastAsia="宋体" w:cs="Times New Roman"/>
                <w:color w:val="auto"/>
                <w:sz w:val="24"/>
                <w:szCs w:val="24"/>
                <w:highlight w:val="none"/>
              </w:rPr>
              <w:t>。本项目</w:t>
            </w:r>
            <w:r>
              <w:rPr>
                <w:rFonts w:hint="eastAsia" w:cs="Times New Roman"/>
                <w:color w:val="auto"/>
                <w:sz w:val="24"/>
                <w:szCs w:val="24"/>
                <w:highlight w:val="none"/>
                <w:lang w:val="en-US" w:eastAsia="zh-CN"/>
              </w:rPr>
              <w:t>混料、破碎、磨粉</w:t>
            </w:r>
            <w:r>
              <w:rPr>
                <w:rFonts w:hint="default" w:ascii="Times New Roman" w:hAnsi="Times New Roman" w:eastAsia="宋体" w:cs="Times New Roman"/>
                <w:color w:val="auto"/>
                <w:sz w:val="24"/>
                <w:szCs w:val="24"/>
                <w:highlight w:val="none"/>
                <w:lang w:val="en-US" w:eastAsia="zh-CN"/>
              </w:rPr>
              <w:t>废气经“</w:t>
            </w:r>
            <w:r>
              <w:rPr>
                <w:rFonts w:hint="eastAsia" w:cs="Times New Roman"/>
                <w:color w:val="auto"/>
                <w:sz w:val="24"/>
                <w:szCs w:val="24"/>
                <w:highlight w:val="none"/>
                <w:lang w:val="en-US" w:eastAsia="zh-CN"/>
              </w:rPr>
              <w:t>布袋</w:t>
            </w:r>
            <w:r>
              <w:rPr>
                <w:rFonts w:hint="default" w:ascii="Times New Roman" w:hAnsi="Times New Roman" w:eastAsia="宋体" w:cs="Times New Roman"/>
                <w:color w:val="auto"/>
                <w:sz w:val="24"/>
                <w:szCs w:val="24"/>
                <w:highlight w:val="none"/>
                <w:lang w:val="en-US" w:eastAsia="zh-CN"/>
              </w:rPr>
              <w:t>除尘器”处理后由1根15m高排气筒（DA001）排放，</w:t>
            </w:r>
            <w:r>
              <w:rPr>
                <w:rFonts w:hint="default" w:ascii="Times New Roman" w:hAnsi="Times New Roman" w:eastAsia="宋体" w:cs="Times New Roman"/>
                <w:color w:val="auto"/>
                <w:sz w:val="24"/>
                <w:szCs w:val="24"/>
                <w:highlight w:val="none"/>
              </w:rPr>
              <w:t>属于可行性技术中的</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袋式</w:t>
            </w:r>
            <w:r>
              <w:rPr>
                <w:rFonts w:hint="default" w:ascii="Times New Roman" w:hAnsi="Times New Roman" w:eastAsia="宋体" w:cs="Times New Roman"/>
                <w:color w:val="auto"/>
                <w:sz w:val="24"/>
                <w:szCs w:val="24"/>
                <w:highlight w:val="none"/>
                <w:lang w:val="en-US" w:eastAsia="zh-CN"/>
              </w:rPr>
              <w:t>除尘</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挤出、覆膜</w:t>
            </w:r>
            <w:r>
              <w:rPr>
                <w:rFonts w:hint="default" w:ascii="Times New Roman" w:hAnsi="Times New Roman" w:eastAsia="宋体" w:cs="Times New Roman"/>
                <w:color w:val="auto"/>
                <w:sz w:val="24"/>
                <w:szCs w:val="24"/>
                <w:highlight w:val="none"/>
                <w:lang w:val="en-US" w:eastAsia="zh-CN"/>
              </w:rPr>
              <w:t>过程</w:t>
            </w:r>
            <w:r>
              <w:rPr>
                <w:rFonts w:hint="default" w:ascii="Times New Roman" w:hAnsi="Times New Roman" w:eastAsia="宋体" w:cs="Times New Roman"/>
                <w:color w:val="auto"/>
                <w:sz w:val="24"/>
                <w:szCs w:val="24"/>
                <w:highlight w:val="none"/>
              </w:rPr>
              <w:t>产生的有机废气经集气罩收集后采用</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级活性炭吸附装置”</w:t>
            </w:r>
            <w:r>
              <w:rPr>
                <w:rFonts w:hint="default" w:ascii="Times New Roman" w:hAnsi="Times New Roman" w:eastAsia="宋体" w:cs="Times New Roman"/>
                <w:color w:val="auto"/>
                <w:sz w:val="24"/>
                <w:szCs w:val="24"/>
                <w:highlight w:val="none"/>
              </w:rPr>
              <w:t>处理后</w:t>
            </w:r>
            <w:r>
              <w:rPr>
                <w:rFonts w:hint="default" w:ascii="Times New Roman" w:hAnsi="Times New Roman" w:eastAsia="宋体" w:cs="Times New Roman"/>
                <w:color w:val="auto"/>
                <w:sz w:val="24"/>
                <w:szCs w:val="24"/>
                <w:highlight w:val="none"/>
                <w:lang w:val="en-US" w:eastAsia="zh-CN"/>
              </w:rPr>
              <w:t>由1根</w:t>
            </w:r>
            <w:r>
              <w:rPr>
                <w:rFonts w:hint="default" w:ascii="Times New Roman" w:hAnsi="Times New Roman" w:eastAsia="宋体" w:cs="Times New Roman"/>
                <w:color w:val="auto"/>
                <w:sz w:val="24"/>
                <w:szCs w:val="24"/>
                <w:highlight w:val="none"/>
              </w:rPr>
              <w:t>15m高的排气筒</w:t>
            </w:r>
            <w:r>
              <w:rPr>
                <w:rFonts w:hint="default" w:ascii="Times New Roman" w:hAnsi="Times New Roman" w:eastAsia="宋体" w:cs="Times New Roman"/>
                <w:color w:val="auto"/>
                <w:sz w:val="24"/>
                <w:szCs w:val="24"/>
                <w:highlight w:val="none"/>
                <w:lang w:val="en-US" w:eastAsia="zh-CN"/>
              </w:rPr>
              <w:t>（DA002）</w:t>
            </w:r>
            <w:r>
              <w:rPr>
                <w:rFonts w:hint="default" w:ascii="Times New Roman" w:hAnsi="Times New Roman" w:eastAsia="宋体" w:cs="Times New Roman"/>
                <w:color w:val="auto"/>
                <w:sz w:val="24"/>
                <w:szCs w:val="24"/>
                <w:highlight w:val="none"/>
              </w:rPr>
              <w:t>排放，属于可行性技术中的</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吸附</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4B928F97">
            <w:pPr>
              <w:keepNext w:val="0"/>
              <w:keepLines w:val="0"/>
              <w:pageBreakBefore w:val="0"/>
              <w:shd w:val="clear"/>
              <w:kinsoku/>
              <w:wordWrap/>
              <w:overflowPunct/>
              <w:topLinePunct w:val="0"/>
              <w:autoSpaceDE/>
              <w:autoSpaceDN/>
              <w:bidi w:val="0"/>
              <w:adjustRightInd/>
              <w:spacing w:line="360" w:lineRule="auto"/>
              <w:ind w:right="0"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lang w:val="en-US" w:eastAsia="zh-CN"/>
              </w:rPr>
              <w:t>处理装置原理</w:t>
            </w:r>
          </w:p>
          <w:p w14:paraId="1C539B44">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w:t>
            </w:r>
            <w:r>
              <w:rPr>
                <w:rFonts w:hint="eastAsia" w:cs="Times New Roman"/>
                <w:color w:val="auto"/>
                <w:sz w:val="24"/>
                <w:highlight w:val="none"/>
                <w:lang w:val="en-US" w:eastAsia="zh-CN"/>
              </w:rPr>
              <w:t>布袋</w:t>
            </w:r>
            <w:r>
              <w:rPr>
                <w:rFonts w:hint="default" w:ascii="Times New Roman" w:hAnsi="Times New Roman" w:eastAsia="宋体" w:cs="Times New Roman"/>
                <w:color w:val="auto"/>
                <w:sz w:val="24"/>
                <w:highlight w:val="none"/>
                <w:lang w:val="en-US" w:eastAsia="zh-CN"/>
              </w:rPr>
              <w:t>除尘器</w:t>
            </w:r>
          </w:p>
          <w:p w14:paraId="7217351E">
            <w:pPr>
              <w:pStyle w:val="25"/>
              <w:spacing w:before="0" w:beforeAutospacing="0" w:after="0" w:afterAutospacing="0" w:line="360" w:lineRule="auto"/>
              <w:ind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kern w:val="2"/>
              </w:rPr>
              <w:t>布袋除尘器有净化效率高、处理气体能力大、性能稳定、操作方便、滤袋寿命长、维修工作量小等优点。</w:t>
            </w:r>
            <w:r>
              <w:rPr>
                <w:rFonts w:hint="default" w:ascii="Times New Roman" w:hAnsi="Times New Roman" w:eastAsia="宋体" w:cs="Times New Roman"/>
                <w:color w:val="auto"/>
              </w:rPr>
              <w:t>由灰斗、上箱体、中箱体、下箱体等部分组成，上、中、下箱体为分室结构。工作时，含尘气体由进风道进入灰斗，粗尘粒直接落入灰斗底部，细尘粒随气流转折向上进入中、下箱体，粉尘积附在滤袋外表面，过滤后的气体进入上箱体至净气集合管-排风道，经排风机排至大气。清灰时先切断该室的净气出口风道，使该室的布袋处于无气流通过的状态(分室停风清灰)。然后开启脉冲阀用压缩空气进行脉冲喷吹清灰，切断阀关闭时间足以保证在喷吹后从滤袋上剥离的粉尘沉降至灰斗，避免了粉尘在脱离滤袋表面后又随气流附集到相邻滤袋表面的现象，使滤袋清灰彻底，并由可编程序控制仪对排气阀、脉冲阀及卸灰阀等进行全自动控制。同时，布袋除尘器工艺属于国家推荐的常用除尘设备，除尘效率有保证，可达9</w:t>
            </w:r>
            <w:r>
              <w:rPr>
                <w:rFonts w:hint="eastAsia" w:ascii="Times New Roman" w:hAnsi="Times New Roman" w:cs="Times New Roman"/>
                <w:color w:val="auto"/>
                <w:lang w:val="en-US" w:eastAsia="zh-CN"/>
              </w:rPr>
              <w:t>5</w:t>
            </w:r>
            <w:r>
              <w:rPr>
                <w:rFonts w:hint="default" w:ascii="Times New Roman" w:hAnsi="Times New Roman" w:eastAsia="宋体" w:cs="Times New Roman"/>
                <w:color w:val="auto"/>
              </w:rPr>
              <w:t>%以上。</w:t>
            </w:r>
          </w:p>
          <w:p w14:paraId="5D0B55EF">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布袋除尘技术除尘效率一般为95%-99.7%，本项目</w:t>
            </w:r>
            <w:r>
              <w:rPr>
                <w:rFonts w:hint="eastAsia" w:ascii="Times New Roman" w:hAnsi="Times New Roman" w:eastAsia="宋体" w:cs="Times New Roman"/>
                <w:color w:val="auto"/>
                <w:sz w:val="24"/>
                <w:highlight w:val="none"/>
                <w:lang w:val="en-US" w:eastAsia="zh-CN"/>
              </w:rPr>
              <w:t>废气经</w:t>
            </w:r>
            <w:r>
              <w:rPr>
                <w:rFonts w:hint="default" w:ascii="Times New Roman" w:hAnsi="Times New Roman" w:eastAsia="宋体" w:cs="Times New Roman"/>
                <w:color w:val="auto"/>
                <w:sz w:val="24"/>
                <w:highlight w:val="none"/>
                <w:lang w:val="en-US" w:eastAsia="zh-CN"/>
              </w:rPr>
              <w:t>“布袋除尘器”处理</w:t>
            </w:r>
            <w:r>
              <w:rPr>
                <w:rFonts w:hint="eastAsia" w:ascii="Times New Roman" w:hAnsi="Times New Roman" w:eastAsia="宋体" w:cs="Times New Roman"/>
                <w:color w:val="auto"/>
                <w:sz w:val="24"/>
                <w:highlight w:val="none"/>
                <w:lang w:val="en-US" w:eastAsia="zh-CN"/>
              </w:rPr>
              <w:t>后</w:t>
            </w:r>
            <w:r>
              <w:rPr>
                <w:rFonts w:hint="default" w:ascii="Times New Roman" w:hAnsi="Times New Roman" w:eastAsia="宋体" w:cs="Times New Roman"/>
                <w:color w:val="auto"/>
                <w:sz w:val="24"/>
                <w:szCs w:val="24"/>
                <w:highlight w:val="none"/>
              </w:rPr>
              <w:t>可达标排放，故环保</w:t>
            </w:r>
            <w:r>
              <w:rPr>
                <w:rFonts w:hint="eastAsia" w:cs="Times New Roman"/>
                <w:color w:val="auto"/>
                <w:sz w:val="24"/>
                <w:szCs w:val="24"/>
                <w:highlight w:val="none"/>
                <w:lang w:eastAsia="zh-CN"/>
              </w:rPr>
              <w:t>设施</w:t>
            </w:r>
            <w:r>
              <w:rPr>
                <w:rFonts w:hint="default" w:ascii="Times New Roman" w:hAnsi="Times New Roman" w:eastAsia="宋体" w:cs="Times New Roman"/>
                <w:color w:val="auto"/>
                <w:sz w:val="24"/>
                <w:szCs w:val="24"/>
                <w:highlight w:val="none"/>
              </w:rPr>
              <w:t>设置合理。</w:t>
            </w:r>
          </w:p>
          <w:p w14:paraId="185EB112">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②活性炭吸附装置</w:t>
            </w:r>
          </w:p>
          <w:p w14:paraId="79B326E1">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活性炭吸附装置</w:t>
            </w:r>
            <w:r>
              <w:rPr>
                <w:rFonts w:hint="default" w:ascii="Times New Roman" w:hAnsi="Times New Roman" w:eastAsia="宋体" w:cs="Times New Roman"/>
                <w:color w:val="auto"/>
                <w:sz w:val="24"/>
                <w:highlight w:val="none"/>
              </w:rPr>
              <w:t>原理：利用活性炭或</w:t>
            </w:r>
            <w:r>
              <w:rPr>
                <w:rFonts w:hint="eastAsia" w:cs="Times New Roman"/>
                <w:color w:val="auto"/>
                <w:sz w:val="24"/>
                <w:highlight w:val="none"/>
                <w:lang w:eastAsia="zh-CN"/>
              </w:rPr>
              <w:t>碳纤维</w:t>
            </w:r>
            <w:r>
              <w:rPr>
                <w:rFonts w:hint="default" w:ascii="Times New Roman" w:hAnsi="Times New Roman" w:eastAsia="宋体" w:cs="Times New Roman"/>
                <w:color w:val="auto"/>
                <w:sz w:val="24"/>
                <w:highlight w:val="none"/>
              </w:rPr>
              <w:t>表面的高比表面积对废气中挥发性有机化合物进行吸附，从而达到净化效果。</w:t>
            </w:r>
          </w:p>
          <w:p w14:paraId="76BA8A16">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优点：在短时间内能吸附一定的污染物，主要是针对总挥发性有机物和异味。物理吸附，产品本身无二次污染。</w:t>
            </w:r>
          </w:p>
          <w:p w14:paraId="4C22EAA1">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rPr>
              <w:t>缺点：活性炭很容易达到吸附饱和，吸附达到饱和不再具有吸附能力时，就必须更换过滤材料，如不及时更换，其所吸附的污染物等将随时被释放出来形成二次污染。活性吸附饱和后，需要经过活化处理才能二次使用。活性炭吸附装置由活</w:t>
            </w:r>
            <w:r>
              <w:rPr>
                <w:rFonts w:hint="default" w:ascii="Times New Roman" w:hAnsi="Times New Roman" w:eastAsia="宋体" w:cs="Times New Roman"/>
                <w:color w:val="auto"/>
                <w:sz w:val="24"/>
                <w:szCs w:val="24"/>
                <w:highlight w:val="none"/>
              </w:rPr>
              <w:t>性炭、排气管和排风机、排气筒等组成。该装置在系统主风机的作用下，废气从塔进风口处进入吸附塔体内的各吸附单元，利用高性能活性炭吸附剂固体本身的表面作用力将有机废气分子吸附质吸附附着在吸附剂表面，经吸附后干净气体透过吸附单元进入塔体内的净化室并汇集至风口排出。</w:t>
            </w:r>
          </w:p>
          <w:p w14:paraId="08EF351A">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本项目采用</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级活性炭吸附装置”</w:t>
            </w:r>
            <w:r>
              <w:rPr>
                <w:rFonts w:hint="default" w:ascii="Times New Roman" w:hAnsi="Times New Roman" w:eastAsia="宋体" w:cs="Times New Roman"/>
                <w:color w:val="auto"/>
                <w:sz w:val="24"/>
                <w:szCs w:val="24"/>
                <w:highlight w:val="none"/>
              </w:rPr>
              <w:t>对项目产生的有机废气进行处置，采用多级活性炭吸附装置（由1层吸附处理提高到</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层吸附处理），通过增加有机废气的停留时间，能有效提高处置效率，</w:t>
            </w:r>
            <w:r>
              <w:rPr>
                <w:rFonts w:hint="default" w:ascii="Times New Roman" w:hAnsi="Times New Roman" w:eastAsia="宋体" w:cs="Times New Roman"/>
                <w:color w:val="auto"/>
                <w:sz w:val="24"/>
                <w:szCs w:val="24"/>
                <w:highlight w:val="none"/>
                <w:lang w:val="en-US" w:eastAsia="zh-CN"/>
              </w:rPr>
              <w:t>则经</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级活性炭吸附装置”</w:t>
            </w:r>
            <w:r>
              <w:rPr>
                <w:rFonts w:hint="default" w:ascii="Times New Roman" w:hAnsi="Times New Roman" w:eastAsia="宋体" w:cs="Times New Roman"/>
                <w:color w:val="auto"/>
                <w:sz w:val="24"/>
                <w:highlight w:val="none"/>
              </w:rPr>
              <w:t>处理</w:t>
            </w:r>
            <w:r>
              <w:rPr>
                <w:rFonts w:hint="default" w:ascii="Times New Roman" w:hAnsi="Times New Roman" w:eastAsia="宋体" w:cs="Times New Roman"/>
                <w:color w:val="auto"/>
                <w:sz w:val="24"/>
                <w:highlight w:val="none"/>
                <w:lang w:val="en-US" w:eastAsia="zh-CN"/>
              </w:rPr>
              <w:t>后</w:t>
            </w:r>
            <w:r>
              <w:rPr>
                <w:rFonts w:hint="default" w:ascii="Times New Roman" w:hAnsi="Times New Roman" w:eastAsia="宋体" w:cs="Times New Roman"/>
                <w:color w:val="auto"/>
                <w:sz w:val="24"/>
                <w:szCs w:val="24"/>
                <w:highlight w:val="none"/>
              </w:rPr>
              <w:t>有机废气处置率可达</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p>
          <w:p w14:paraId="7BA4B8AD">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综上所述，项目采用</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级活性炭吸附装置”</w:t>
            </w:r>
            <w:r>
              <w:rPr>
                <w:rFonts w:hint="default" w:ascii="Times New Roman" w:hAnsi="Times New Roman" w:eastAsia="宋体" w:cs="Times New Roman"/>
                <w:color w:val="auto"/>
                <w:sz w:val="24"/>
                <w:szCs w:val="24"/>
                <w:highlight w:val="none"/>
              </w:rPr>
              <w:t>处理废气可达标排放，故环保</w:t>
            </w:r>
            <w:r>
              <w:rPr>
                <w:rFonts w:hint="eastAsia" w:cs="Times New Roman"/>
                <w:color w:val="auto"/>
                <w:sz w:val="24"/>
                <w:szCs w:val="24"/>
                <w:highlight w:val="none"/>
                <w:lang w:eastAsia="zh-CN"/>
              </w:rPr>
              <w:t>设施</w:t>
            </w:r>
            <w:r>
              <w:rPr>
                <w:rFonts w:hint="default" w:ascii="Times New Roman" w:hAnsi="Times New Roman" w:eastAsia="宋体" w:cs="Times New Roman"/>
                <w:color w:val="auto"/>
                <w:sz w:val="24"/>
                <w:szCs w:val="24"/>
                <w:highlight w:val="none"/>
              </w:rPr>
              <w:t>设置合理。</w:t>
            </w:r>
          </w:p>
          <w:p w14:paraId="02A5C2BA">
            <w:pPr>
              <w:widowControl/>
              <w:shd w:val="clear"/>
              <w:spacing w:line="360" w:lineRule="auto"/>
              <w:ind w:firstLine="482" w:firstLineChars="200"/>
              <w:jc w:val="left"/>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4、无组织排放废气防治措施</w:t>
            </w:r>
          </w:p>
          <w:p w14:paraId="2E46A8BF">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本项目无组织废气为未收集的颗粒物</w:t>
            </w:r>
            <w:r>
              <w:rPr>
                <w:rFonts w:hint="default" w:ascii="Times New Roman" w:hAnsi="Times New Roman" w:eastAsia="宋体" w:cs="Times New Roman"/>
                <w:color w:val="auto"/>
                <w:sz w:val="24"/>
                <w:highlight w:val="none"/>
                <w:vertAlign w:val="baseline"/>
                <w:lang w:val="en-US" w:eastAsia="zh-CN"/>
              </w:rPr>
              <w:t>及</w:t>
            </w:r>
            <w:r>
              <w:rPr>
                <w:rFonts w:hint="default" w:ascii="Times New Roman" w:hAnsi="Times New Roman" w:eastAsia="宋体" w:cs="Times New Roman"/>
                <w:color w:val="auto"/>
                <w:sz w:val="24"/>
                <w:highlight w:val="none"/>
                <w:lang w:val="en-US" w:eastAsia="zh-CN"/>
              </w:rPr>
              <w:t>有机废气。为了进一步减少废气对生产车间环境空气的影响和保障工人健康，建议建设单位采取下列措施：</w:t>
            </w:r>
          </w:p>
          <w:p w14:paraId="3E1D4805">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①加强生产车间内通风，并设置较强的排风系统；</w:t>
            </w:r>
          </w:p>
          <w:p w14:paraId="382EA149">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②提高集气罩废气收集效率，加强</w:t>
            </w:r>
            <w:r>
              <w:rPr>
                <w:rFonts w:hint="eastAsia" w:cs="Times New Roman"/>
                <w:color w:val="auto"/>
                <w:sz w:val="24"/>
                <w:highlight w:val="none"/>
                <w:lang w:val="en-US" w:eastAsia="zh-CN"/>
              </w:rPr>
              <w:t>混料、</w:t>
            </w:r>
            <w:r>
              <w:rPr>
                <w:rFonts w:hint="default" w:ascii="Times New Roman" w:hAnsi="Times New Roman" w:eastAsia="宋体" w:cs="Times New Roman"/>
                <w:color w:val="auto"/>
                <w:sz w:val="24"/>
                <w:highlight w:val="none"/>
                <w:lang w:val="en-US" w:eastAsia="zh-CN"/>
              </w:rPr>
              <w:t>挤出</w:t>
            </w:r>
            <w:r>
              <w:rPr>
                <w:rFonts w:hint="eastAsia" w:cs="Times New Roman"/>
                <w:color w:val="auto"/>
                <w:sz w:val="24"/>
                <w:highlight w:val="none"/>
                <w:lang w:val="en-US" w:eastAsia="zh-CN"/>
              </w:rPr>
              <w:t>、覆膜</w:t>
            </w:r>
            <w:r>
              <w:rPr>
                <w:rFonts w:hint="default" w:ascii="Times New Roman" w:hAnsi="Times New Roman" w:eastAsia="宋体" w:cs="Times New Roman"/>
                <w:color w:val="auto"/>
                <w:sz w:val="24"/>
                <w:highlight w:val="none"/>
                <w:lang w:val="en-US" w:eastAsia="zh-CN"/>
              </w:rPr>
              <w:t>等工段的风量控制，确保生产过程产生的废气能够有效收集；</w:t>
            </w:r>
          </w:p>
          <w:p w14:paraId="0D0490B7">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③加强设备维护，防止不良工况下的有机废气产生；</w:t>
            </w:r>
          </w:p>
          <w:p w14:paraId="05F2E755">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④建议生产车间操作人员操作时佩戴口罩；</w:t>
            </w:r>
          </w:p>
          <w:p w14:paraId="67C67BC4">
            <w:pPr>
              <w:keepNext w:val="0"/>
              <w:keepLines w:val="0"/>
              <w:pageBreakBefore w:val="0"/>
              <w:shd w:val="clear"/>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⑤加强操作工的培训和管理，所有操作严格按照既定的规程进行，以减少人为造成的对环境的污染。</w:t>
            </w:r>
          </w:p>
          <w:p w14:paraId="0E355BDD">
            <w:pPr>
              <w:widowControl/>
              <w:shd w:val="clear"/>
              <w:spacing w:line="360" w:lineRule="auto"/>
              <w:ind w:firstLine="482" w:firstLineChars="200"/>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、监测要求</w:t>
            </w:r>
          </w:p>
          <w:p w14:paraId="20318091">
            <w:pPr>
              <w:shd w:val="clear"/>
              <w:adjustRightInd w:val="0"/>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根</w:t>
            </w:r>
            <w:r>
              <w:rPr>
                <w:rFonts w:hint="default" w:ascii="Times New Roman" w:hAnsi="Times New Roman" w:eastAsia="宋体" w:cs="Times New Roman"/>
                <w:bCs/>
                <w:color w:val="auto"/>
                <w:sz w:val="24"/>
                <w:szCs w:val="24"/>
                <w:highlight w:val="none"/>
              </w:rPr>
              <w:t>据</w:t>
            </w:r>
            <w:r>
              <w:rPr>
                <w:rFonts w:hint="default" w:ascii="Times New Roman" w:hAnsi="Times New Roman" w:eastAsia="宋体" w:cs="Times New Roman"/>
                <w:color w:val="auto"/>
                <w:sz w:val="24"/>
                <w:szCs w:val="24"/>
                <w:highlight w:val="none"/>
                <w:lang w:bidi="ar"/>
              </w:rPr>
              <w:t>《排污单位自行监测技术指南</w:t>
            </w:r>
            <w:r>
              <w:rPr>
                <w:rFonts w:hint="default" w:ascii="Times New Roman" w:hAnsi="Times New Roman" w:eastAsia="宋体" w:cs="Times New Roman"/>
                <w:color w:val="auto"/>
                <w:sz w:val="24"/>
                <w:szCs w:val="24"/>
                <w:highlight w:val="none"/>
                <w:lang w:val="en-US" w:eastAsia="zh-CN" w:bidi="ar"/>
              </w:rPr>
              <w:t xml:space="preserve"> 总则</w:t>
            </w:r>
            <w:r>
              <w:rPr>
                <w:rFonts w:hint="default" w:ascii="Times New Roman" w:hAnsi="Times New Roman" w:eastAsia="宋体" w:cs="Times New Roman"/>
                <w:color w:val="auto"/>
                <w:sz w:val="24"/>
                <w:szCs w:val="24"/>
                <w:highlight w:val="none"/>
                <w:lang w:bidi="ar"/>
              </w:rPr>
              <w:t>》（HJ</w:t>
            </w:r>
            <w:r>
              <w:rPr>
                <w:rFonts w:hint="default" w:ascii="Times New Roman" w:hAnsi="Times New Roman" w:eastAsia="宋体" w:cs="Times New Roman"/>
                <w:color w:val="auto"/>
                <w:sz w:val="24"/>
                <w:szCs w:val="24"/>
                <w:highlight w:val="none"/>
                <w:lang w:val="en-US" w:eastAsia="zh-CN" w:bidi="ar"/>
              </w:rPr>
              <w:t>819-2017</w:t>
            </w: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color w:val="auto"/>
                <w:sz w:val="24"/>
                <w:szCs w:val="24"/>
                <w:highlight w:val="none"/>
                <w:lang w:val="en-US" w:eastAsia="zh-CN" w:bidi="ar"/>
              </w:rPr>
              <w:t>、</w:t>
            </w:r>
            <w:r>
              <w:rPr>
                <w:rFonts w:hint="default" w:ascii="Times New Roman" w:hAnsi="Times New Roman" w:eastAsia="宋体" w:cs="Times New Roman"/>
                <w:color w:val="auto"/>
                <w:sz w:val="24"/>
                <w:szCs w:val="24"/>
                <w:highlight w:val="none"/>
                <w:lang w:bidi="ar"/>
              </w:rPr>
              <w:t>《排污单位自行监测技术指南</w:t>
            </w:r>
            <w:r>
              <w:rPr>
                <w:rFonts w:hint="default" w:ascii="Times New Roman" w:hAnsi="Times New Roman" w:eastAsia="宋体" w:cs="Times New Roman"/>
                <w:color w:val="auto"/>
                <w:sz w:val="24"/>
                <w:szCs w:val="24"/>
                <w:highlight w:val="none"/>
                <w:lang w:val="en-US" w:eastAsia="zh-CN" w:bidi="ar"/>
              </w:rPr>
              <w:t xml:space="preserve"> 橡胶和塑料制品</w:t>
            </w:r>
            <w:r>
              <w:rPr>
                <w:rFonts w:hint="default" w:ascii="Times New Roman" w:hAnsi="Times New Roman" w:eastAsia="宋体" w:cs="Times New Roman"/>
                <w:color w:val="auto"/>
                <w:sz w:val="24"/>
                <w:szCs w:val="24"/>
                <w:highlight w:val="none"/>
                <w:lang w:bidi="ar"/>
              </w:rPr>
              <w:t>》（HJ</w:t>
            </w:r>
            <w:r>
              <w:rPr>
                <w:rFonts w:hint="default" w:ascii="Times New Roman" w:hAnsi="Times New Roman" w:eastAsia="宋体" w:cs="Times New Roman"/>
                <w:color w:val="auto"/>
                <w:sz w:val="24"/>
                <w:szCs w:val="24"/>
                <w:highlight w:val="none"/>
                <w:lang w:val="en-US" w:eastAsia="zh-CN" w:bidi="ar"/>
              </w:rPr>
              <w:t>1207-2021</w:t>
            </w: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bCs/>
                <w:color w:val="auto"/>
                <w:sz w:val="24"/>
                <w:szCs w:val="24"/>
                <w:highlight w:val="none"/>
              </w:rPr>
              <w:t>，项</w:t>
            </w:r>
            <w:r>
              <w:rPr>
                <w:rFonts w:hint="default" w:ascii="Times New Roman" w:hAnsi="Times New Roman" w:eastAsia="宋体" w:cs="Times New Roman"/>
                <w:bCs/>
                <w:color w:val="auto"/>
                <w:sz w:val="24"/>
                <w:highlight w:val="none"/>
              </w:rPr>
              <w:t>目的监测计划如表4-</w:t>
            </w:r>
            <w:r>
              <w:rPr>
                <w:rFonts w:hint="default" w:ascii="Times New Roman" w:hAnsi="Times New Roman" w:eastAsia="宋体" w:cs="Times New Roman"/>
                <w:bCs/>
                <w:color w:val="auto"/>
                <w:sz w:val="24"/>
                <w:highlight w:val="none"/>
                <w:lang w:val="en-US" w:eastAsia="zh-CN"/>
              </w:rPr>
              <w:t>1</w:t>
            </w:r>
            <w:r>
              <w:rPr>
                <w:rFonts w:hint="eastAsia" w:cs="Times New Roman"/>
                <w:bCs/>
                <w:color w:val="auto"/>
                <w:sz w:val="24"/>
                <w:highlight w:val="none"/>
                <w:lang w:val="en-US" w:eastAsia="zh-CN"/>
              </w:rPr>
              <w:t>6</w:t>
            </w:r>
            <w:r>
              <w:rPr>
                <w:rFonts w:hint="default" w:ascii="Times New Roman" w:hAnsi="Times New Roman" w:eastAsia="宋体" w:cs="Times New Roman"/>
                <w:bCs/>
                <w:color w:val="auto"/>
                <w:sz w:val="24"/>
                <w:highlight w:val="none"/>
              </w:rPr>
              <w:t>。</w:t>
            </w:r>
          </w:p>
          <w:p w14:paraId="17EA1046">
            <w:pPr>
              <w:shd w:val="clear"/>
              <w:tabs>
                <w:tab w:val="left" w:pos="630"/>
              </w:tabs>
              <w:adjustRightInd w:val="0"/>
              <w:snapToGrid w:val="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表4-</w:t>
            </w:r>
            <w:r>
              <w:rPr>
                <w:rFonts w:hint="default" w:ascii="Times New Roman" w:hAnsi="Times New Roman" w:eastAsia="宋体" w:cs="Times New Roman"/>
                <w:b/>
                <w:color w:val="auto"/>
                <w:sz w:val="21"/>
                <w:szCs w:val="21"/>
                <w:highlight w:val="none"/>
                <w:lang w:val="en-US" w:eastAsia="zh-CN"/>
              </w:rPr>
              <w:t>1</w:t>
            </w:r>
            <w:r>
              <w:rPr>
                <w:rFonts w:hint="eastAsia" w:cs="Times New Roman"/>
                <w:b/>
                <w:color w:val="auto"/>
                <w:sz w:val="21"/>
                <w:szCs w:val="21"/>
                <w:highlight w:val="none"/>
                <w:lang w:val="en-US" w:eastAsia="zh-CN"/>
              </w:rPr>
              <w:t>6</w:t>
            </w:r>
            <w:r>
              <w:rPr>
                <w:rFonts w:hint="default" w:ascii="Times New Roman" w:hAnsi="Times New Roman" w:eastAsia="宋体" w:cs="Times New Roman"/>
                <w:b/>
                <w:color w:val="auto"/>
                <w:sz w:val="21"/>
                <w:szCs w:val="21"/>
                <w:highlight w:val="none"/>
              </w:rPr>
              <w:t xml:space="preserve">  自行监测计划</w:t>
            </w:r>
          </w:p>
          <w:tbl>
            <w:tblPr>
              <w:tblStyle w:val="27"/>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522"/>
              <w:gridCol w:w="991"/>
              <w:gridCol w:w="2002"/>
              <w:gridCol w:w="2404"/>
              <w:gridCol w:w="1053"/>
            </w:tblGrid>
            <w:tr w14:paraId="5EE5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Align w:val="center"/>
                </w:tcPr>
                <w:p w14:paraId="546246EC">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w:t>
                  </w:r>
                </w:p>
              </w:tc>
              <w:tc>
                <w:tcPr>
                  <w:tcW w:w="1522" w:type="dxa"/>
                  <w:vAlign w:val="center"/>
                </w:tcPr>
                <w:p w14:paraId="1419F9F2">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排放源</w:t>
                  </w:r>
                </w:p>
              </w:tc>
              <w:tc>
                <w:tcPr>
                  <w:tcW w:w="991" w:type="dxa"/>
                  <w:vAlign w:val="center"/>
                </w:tcPr>
                <w:p w14:paraId="4585D093">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排放方式</w:t>
                  </w:r>
                </w:p>
              </w:tc>
              <w:tc>
                <w:tcPr>
                  <w:tcW w:w="2002" w:type="dxa"/>
                  <w:vAlign w:val="center"/>
                </w:tcPr>
                <w:p w14:paraId="2D13C5A1">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监测点位</w:t>
                  </w:r>
                </w:p>
              </w:tc>
              <w:tc>
                <w:tcPr>
                  <w:tcW w:w="2404" w:type="dxa"/>
                  <w:vAlign w:val="center"/>
                </w:tcPr>
                <w:p w14:paraId="12B6A1B1">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监测项目</w:t>
                  </w:r>
                </w:p>
              </w:tc>
              <w:tc>
                <w:tcPr>
                  <w:tcW w:w="1053" w:type="dxa"/>
                  <w:vAlign w:val="center"/>
                </w:tcPr>
                <w:p w14:paraId="3282480E">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监测频次</w:t>
                  </w:r>
                </w:p>
              </w:tc>
            </w:tr>
            <w:tr w14:paraId="5509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22" w:type="dxa"/>
                  <w:vMerge w:val="restart"/>
                  <w:vAlign w:val="center"/>
                </w:tcPr>
                <w:p w14:paraId="08E235C1">
                  <w:pPr>
                    <w:shd w:val="clea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废气</w:t>
                  </w:r>
                </w:p>
              </w:tc>
              <w:tc>
                <w:tcPr>
                  <w:tcW w:w="1522" w:type="dxa"/>
                  <w:vAlign w:val="center"/>
                </w:tcPr>
                <w:p w14:paraId="4381C164">
                  <w:pPr>
                    <w:shd w:val="clear"/>
                    <w:jc w:val="center"/>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color w:val="auto"/>
                      <w:sz w:val="21"/>
                      <w:szCs w:val="21"/>
                      <w:highlight w:val="none"/>
                      <w:lang w:val="en-US" w:eastAsia="zh-CN"/>
                    </w:rPr>
                    <w:t>混料、破碎、磨粉</w:t>
                  </w:r>
                </w:p>
              </w:tc>
              <w:tc>
                <w:tcPr>
                  <w:tcW w:w="991" w:type="dxa"/>
                  <w:vAlign w:val="center"/>
                </w:tcPr>
                <w:p w14:paraId="0EDCF5AF">
                  <w:pPr>
                    <w:shd w:val="clear"/>
                    <w:jc w:val="center"/>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有组织</w:t>
                  </w:r>
                </w:p>
              </w:tc>
              <w:tc>
                <w:tcPr>
                  <w:tcW w:w="2002" w:type="dxa"/>
                  <w:vAlign w:val="center"/>
                </w:tcPr>
                <w:p w14:paraId="0A757EB8">
                  <w:pPr>
                    <w:shd w:val="clear"/>
                    <w:jc w:val="center"/>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排气口（DA001）</w:t>
                  </w:r>
                </w:p>
              </w:tc>
              <w:tc>
                <w:tcPr>
                  <w:tcW w:w="2404" w:type="dxa"/>
                  <w:vAlign w:val="center"/>
                </w:tcPr>
                <w:p w14:paraId="7ED1A097">
                  <w:pPr>
                    <w:shd w:val="clea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颗粒物</w:t>
                  </w:r>
                </w:p>
              </w:tc>
              <w:tc>
                <w:tcPr>
                  <w:tcW w:w="1053" w:type="dxa"/>
                  <w:vAlign w:val="center"/>
                </w:tcPr>
                <w:p w14:paraId="6E7671AD">
                  <w:pPr>
                    <w:shd w:val="clea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1次/年</w:t>
                  </w:r>
                </w:p>
              </w:tc>
            </w:tr>
            <w:tr w14:paraId="4238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22" w:type="dxa"/>
                  <w:vMerge w:val="continue"/>
                  <w:vAlign w:val="center"/>
                </w:tcPr>
                <w:p w14:paraId="51EAE34A">
                  <w:pPr>
                    <w:shd w:val="clear"/>
                    <w:jc w:val="center"/>
                    <w:rPr>
                      <w:rFonts w:hint="default" w:ascii="Times New Roman" w:hAnsi="Times New Roman" w:eastAsia="宋体" w:cs="Times New Roman"/>
                      <w:bCs/>
                      <w:color w:val="auto"/>
                      <w:sz w:val="21"/>
                      <w:szCs w:val="21"/>
                      <w:highlight w:val="none"/>
                    </w:rPr>
                  </w:pPr>
                </w:p>
              </w:tc>
              <w:tc>
                <w:tcPr>
                  <w:tcW w:w="1522" w:type="dxa"/>
                  <w:vMerge w:val="restart"/>
                  <w:vAlign w:val="center"/>
                </w:tcPr>
                <w:p w14:paraId="4CB4CC34">
                  <w:pPr>
                    <w:shd w:val="clear"/>
                    <w:jc w:val="center"/>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color w:val="auto"/>
                      <w:sz w:val="21"/>
                      <w:szCs w:val="21"/>
                      <w:highlight w:val="none"/>
                      <w:lang w:val="en-US" w:eastAsia="zh-CN"/>
                    </w:rPr>
                    <w:t>挤出、覆膜</w:t>
                  </w:r>
                </w:p>
              </w:tc>
              <w:tc>
                <w:tcPr>
                  <w:tcW w:w="991" w:type="dxa"/>
                  <w:vMerge w:val="restart"/>
                  <w:vAlign w:val="center"/>
                </w:tcPr>
                <w:p w14:paraId="215C71C3">
                  <w:pPr>
                    <w:shd w:val="clear"/>
                    <w:jc w:val="center"/>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有组织</w:t>
                  </w:r>
                </w:p>
              </w:tc>
              <w:tc>
                <w:tcPr>
                  <w:tcW w:w="2002" w:type="dxa"/>
                  <w:vMerge w:val="restart"/>
                  <w:vAlign w:val="center"/>
                </w:tcPr>
                <w:p w14:paraId="5CD0999B">
                  <w:pPr>
                    <w:shd w:val="clear"/>
                    <w:jc w:val="center"/>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排气口（DA00</w:t>
                  </w:r>
                  <w:r>
                    <w:rPr>
                      <w:rFonts w:hint="default" w:ascii="Times New Roman" w:hAnsi="Times New Roman" w:eastAsia="宋体" w:cs="Times New Roman"/>
                      <w:bCs/>
                      <w:snapToGrid w:val="0"/>
                      <w:color w:val="auto"/>
                      <w:kern w:val="0"/>
                      <w:sz w:val="21"/>
                      <w:szCs w:val="21"/>
                      <w:highlight w:val="none"/>
                      <w:lang w:val="en-US" w:eastAsia="zh-CN"/>
                    </w:rPr>
                    <w:t>2</w:t>
                  </w:r>
                  <w:r>
                    <w:rPr>
                      <w:rFonts w:hint="default" w:ascii="Times New Roman" w:hAnsi="Times New Roman" w:eastAsia="宋体" w:cs="Times New Roman"/>
                      <w:bCs/>
                      <w:snapToGrid w:val="0"/>
                      <w:color w:val="auto"/>
                      <w:kern w:val="0"/>
                      <w:sz w:val="21"/>
                      <w:szCs w:val="21"/>
                      <w:highlight w:val="none"/>
                    </w:rPr>
                    <w:t>）</w:t>
                  </w:r>
                </w:p>
              </w:tc>
              <w:tc>
                <w:tcPr>
                  <w:tcW w:w="2404" w:type="dxa"/>
                  <w:vAlign w:val="center"/>
                </w:tcPr>
                <w:p w14:paraId="5B2ED399">
                  <w:pPr>
                    <w:shd w:val="clea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非甲烷总烃</w:t>
                  </w:r>
                </w:p>
              </w:tc>
              <w:tc>
                <w:tcPr>
                  <w:tcW w:w="1053" w:type="dxa"/>
                  <w:vAlign w:val="center"/>
                </w:tcPr>
                <w:p w14:paraId="6E7D03B7">
                  <w:pPr>
                    <w:shd w:val="clea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1次/</w:t>
                  </w:r>
                  <w:r>
                    <w:rPr>
                      <w:rFonts w:hint="eastAsia" w:cs="Times New Roman"/>
                      <w:bCs/>
                      <w:color w:val="auto"/>
                      <w:sz w:val="21"/>
                      <w:szCs w:val="21"/>
                      <w:highlight w:val="none"/>
                      <w:lang w:val="en-US" w:eastAsia="zh-CN"/>
                    </w:rPr>
                    <w:t>半</w:t>
                  </w:r>
                  <w:r>
                    <w:rPr>
                      <w:rFonts w:hint="default" w:ascii="Times New Roman" w:hAnsi="Times New Roman" w:eastAsia="宋体" w:cs="Times New Roman"/>
                      <w:bCs/>
                      <w:color w:val="auto"/>
                      <w:sz w:val="21"/>
                      <w:szCs w:val="21"/>
                      <w:highlight w:val="none"/>
                      <w:lang w:val="en-US" w:eastAsia="zh-CN"/>
                    </w:rPr>
                    <w:t>年</w:t>
                  </w:r>
                </w:p>
              </w:tc>
            </w:tr>
            <w:tr w14:paraId="5734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22" w:type="dxa"/>
                  <w:vMerge w:val="continue"/>
                  <w:vAlign w:val="center"/>
                </w:tcPr>
                <w:p w14:paraId="2152F4BD">
                  <w:pPr>
                    <w:shd w:val="clear"/>
                    <w:jc w:val="center"/>
                  </w:pPr>
                </w:p>
              </w:tc>
              <w:tc>
                <w:tcPr>
                  <w:tcW w:w="1522" w:type="dxa"/>
                  <w:vMerge w:val="continue"/>
                  <w:vAlign w:val="center"/>
                </w:tcPr>
                <w:p w14:paraId="5C9C1B63">
                  <w:pPr>
                    <w:shd w:val="clear"/>
                    <w:jc w:val="center"/>
                  </w:pPr>
                </w:p>
              </w:tc>
              <w:tc>
                <w:tcPr>
                  <w:tcW w:w="991" w:type="dxa"/>
                  <w:vMerge w:val="continue"/>
                  <w:vAlign w:val="center"/>
                </w:tcPr>
                <w:p w14:paraId="2ECB3930">
                  <w:pPr>
                    <w:shd w:val="clear"/>
                    <w:jc w:val="center"/>
                  </w:pPr>
                </w:p>
              </w:tc>
              <w:tc>
                <w:tcPr>
                  <w:tcW w:w="2002" w:type="dxa"/>
                  <w:vMerge w:val="continue"/>
                  <w:vAlign w:val="center"/>
                </w:tcPr>
                <w:p w14:paraId="0B2E87F6">
                  <w:pPr>
                    <w:shd w:val="clear"/>
                    <w:jc w:val="center"/>
                  </w:pPr>
                </w:p>
              </w:tc>
              <w:tc>
                <w:tcPr>
                  <w:tcW w:w="2404" w:type="dxa"/>
                  <w:vAlign w:val="center"/>
                </w:tcPr>
                <w:p w14:paraId="307C87DD">
                  <w:pPr>
                    <w:shd w:val="clea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氯化氢、氯乙烯、臭气浓度</w:t>
                  </w:r>
                </w:p>
              </w:tc>
              <w:tc>
                <w:tcPr>
                  <w:tcW w:w="1053" w:type="dxa"/>
                  <w:vAlign w:val="center"/>
                </w:tcPr>
                <w:p w14:paraId="64A66AEA">
                  <w:pPr>
                    <w:shd w:val="clea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1次/年</w:t>
                  </w:r>
                </w:p>
              </w:tc>
            </w:tr>
            <w:tr w14:paraId="106D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422" w:type="dxa"/>
                  <w:vMerge w:val="continue"/>
                  <w:vAlign w:val="center"/>
                </w:tcPr>
                <w:p w14:paraId="36DC357E">
                  <w:pPr>
                    <w:shd w:val="clear"/>
                    <w:jc w:val="center"/>
                    <w:rPr>
                      <w:rFonts w:hint="default" w:ascii="Times New Roman" w:hAnsi="Times New Roman" w:eastAsia="宋体" w:cs="Times New Roman"/>
                      <w:bCs/>
                      <w:color w:val="auto"/>
                      <w:sz w:val="21"/>
                      <w:szCs w:val="21"/>
                      <w:highlight w:val="none"/>
                    </w:rPr>
                  </w:pPr>
                </w:p>
              </w:tc>
              <w:tc>
                <w:tcPr>
                  <w:tcW w:w="1522" w:type="dxa"/>
                  <w:vAlign w:val="center"/>
                </w:tcPr>
                <w:p w14:paraId="52286F53">
                  <w:pPr>
                    <w:shd w:val="clear"/>
                    <w:jc w:val="center"/>
                    <w:rPr>
                      <w:rFonts w:hint="default" w:ascii="Times New Roman" w:hAnsi="Times New Roman" w:eastAsia="宋体" w:cs="Times New Roman"/>
                      <w:bCs/>
                      <w:color w:val="auto"/>
                      <w:sz w:val="21"/>
                      <w:szCs w:val="21"/>
                      <w:highlight w:val="none"/>
                      <w:lang w:val="en-US" w:eastAsia="zh-CN"/>
                    </w:rPr>
                  </w:pPr>
                  <w:r>
                    <w:rPr>
                      <w:rFonts w:hint="eastAsia" w:cs="Times New Roman"/>
                      <w:color w:val="auto"/>
                      <w:sz w:val="21"/>
                      <w:szCs w:val="21"/>
                      <w:highlight w:val="none"/>
                      <w:lang w:val="en-US" w:eastAsia="zh-CN"/>
                    </w:rPr>
                    <w:t>混料、破碎、磨粉</w:t>
                  </w:r>
                  <w:r>
                    <w:rPr>
                      <w:rFonts w:hint="default" w:ascii="Times New Roman" w:hAnsi="Times New Roman" w:eastAsia="宋体" w:cs="Times New Roman"/>
                      <w:i w:val="0"/>
                      <w:iCs w:val="0"/>
                      <w:color w:val="auto"/>
                      <w:kern w:val="0"/>
                      <w:sz w:val="21"/>
                      <w:szCs w:val="21"/>
                      <w:highlight w:val="none"/>
                      <w:u w:val="none"/>
                      <w:lang w:val="en-US" w:eastAsia="zh-CN" w:bidi="ar"/>
                    </w:rPr>
                    <w:t>挤出</w:t>
                  </w:r>
                  <w:r>
                    <w:rPr>
                      <w:rFonts w:hint="eastAsia" w:cs="Times New Roman"/>
                      <w:i w:val="0"/>
                      <w:iCs w:val="0"/>
                      <w:color w:val="auto"/>
                      <w:kern w:val="0"/>
                      <w:sz w:val="21"/>
                      <w:szCs w:val="21"/>
                      <w:highlight w:val="none"/>
                      <w:u w:val="none"/>
                      <w:lang w:val="en-US" w:eastAsia="zh-CN" w:bidi="ar"/>
                    </w:rPr>
                    <w:t>、覆膜</w:t>
                  </w:r>
                  <w:r>
                    <w:rPr>
                      <w:rFonts w:hint="default" w:ascii="Times New Roman" w:hAnsi="Times New Roman" w:eastAsia="宋体" w:cs="Times New Roman"/>
                      <w:i w:val="0"/>
                      <w:iCs w:val="0"/>
                      <w:color w:val="auto"/>
                      <w:kern w:val="0"/>
                      <w:sz w:val="21"/>
                      <w:szCs w:val="21"/>
                      <w:highlight w:val="none"/>
                      <w:u w:val="none"/>
                      <w:lang w:val="en-US" w:eastAsia="zh-CN" w:bidi="ar"/>
                    </w:rPr>
                    <w:t>工段</w:t>
                  </w:r>
                </w:p>
              </w:tc>
              <w:tc>
                <w:tcPr>
                  <w:tcW w:w="991" w:type="dxa"/>
                  <w:vAlign w:val="center"/>
                </w:tcPr>
                <w:p w14:paraId="66B05162">
                  <w:pPr>
                    <w:shd w:val="clear"/>
                    <w:jc w:val="center"/>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厂界无组织</w:t>
                  </w:r>
                </w:p>
              </w:tc>
              <w:tc>
                <w:tcPr>
                  <w:tcW w:w="2002" w:type="dxa"/>
                  <w:vAlign w:val="center"/>
                </w:tcPr>
                <w:p w14:paraId="726B6FFB">
                  <w:pPr>
                    <w:shd w:val="clear"/>
                    <w:jc w:val="center"/>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厂址上风向设1个对照点、厂址下风向设2个监控点</w:t>
                  </w:r>
                </w:p>
              </w:tc>
              <w:tc>
                <w:tcPr>
                  <w:tcW w:w="2404" w:type="dxa"/>
                  <w:vAlign w:val="center"/>
                </w:tcPr>
                <w:p w14:paraId="40F4672D">
                  <w:pPr>
                    <w:shd w:val="clea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颗粒物、</w:t>
                  </w:r>
                  <w:r>
                    <w:rPr>
                      <w:rFonts w:hint="default" w:ascii="Times New Roman" w:hAnsi="Times New Roman" w:eastAsia="宋体" w:cs="Times New Roman"/>
                      <w:color w:val="auto"/>
                      <w:sz w:val="21"/>
                      <w:szCs w:val="21"/>
                      <w:highlight w:val="none"/>
                      <w:lang w:val="en-US" w:eastAsia="zh-CN"/>
                    </w:rPr>
                    <w:t>非甲烷总烃</w:t>
                  </w:r>
                  <w:r>
                    <w:rPr>
                      <w:rFonts w:hint="default" w:ascii="Times New Roman" w:hAnsi="Times New Roman" w:eastAsia="宋体" w:cs="Times New Roman"/>
                      <w:bCs/>
                      <w:color w:val="auto"/>
                      <w:sz w:val="21"/>
                      <w:szCs w:val="21"/>
                      <w:highlight w:val="none"/>
                      <w:lang w:val="en-US" w:eastAsia="zh-CN"/>
                    </w:rPr>
                    <w:t>、</w:t>
                  </w:r>
                  <w:r>
                    <w:rPr>
                      <w:rFonts w:hint="eastAsia" w:cs="Times New Roman"/>
                      <w:bCs/>
                      <w:color w:val="auto"/>
                      <w:sz w:val="21"/>
                      <w:szCs w:val="21"/>
                      <w:highlight w:val="none"/>
                      <w:lang w:val="en-US" w:eastAsia="zh-CN"/>
                    </w:rPr>
                    <w:t>氯化氢、氯乙烯、臭气浓度</w:t>
                  </w:r>
                </w:p>
              </w:tc>
              <w:tc>
                <w:tcPr>
                  <w:tcW w:w="1053" w:type="dxa"/>
                  <w:vAlign w:val="center"/>
                </w:tcPr>
                <w:p w14:paraId="6094A35F">
                  <w:pPr>
                    <w:shd w:val="clea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1次/年</w:t>
                  </w:r>
                </w:p>
              </w:tc>
            </w:tr>
            <w:tr w14:paraId="4BD1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14:paraId="1EC24238">
                  <w:pPr>
                    <w:shd w:val="clear"/>
                    <w:jc w:val="center"/>
                    <w:rPr>
                      <w:rFonts w:hint="default" w:ascii="Times New Roman" w:hAnsi="Times New Roman" w:eastAsia="宋体" w:cs="Times New Roman"/>
                      <w:bCs/>
                      <w:color w:val="auto"/>
                      <w:sz w:val="21"/>
                      <w:szCs w:val="21"/>
                      <w:highlight w:val="none"/>
                    </w:rPr>
                  </w:pPr>
                </w:p>
              </w:tc>
              <w:tc>
                <w:tcPr>
                  <w:tcW w:w="2513" w:type="dxa"/>
                  <w:gridSpan w:val="2"/>
                  <w:vAlign w:val="center"/>
                </w:tcPr>
                <w:p w14:paraId="6A616198">
                  <w:pPr>
                    <w:shd w:val="clear"/>
                    <w:jc w:val="center"/>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厂内无组织</w:t>
                  </w:r>
                </w:p>
              </w:tc>
              <w:tc>
                <w:tcPr>
                  <w:tcW w:w="2002" w:type="dxa"/>
                  <w:vAlign w:val="center"/>
                </w:tcPr>
                <w:p w14:paraId="5816DBF9">
                  <w:pPr>
                    <w:shd w:val="clear"/>
                    <w:jc w:val="center"/>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生产车间内设置1个监测点</w:t>
                  </w:r>
                </w:p>
              </w:tc>
              <w:tc>
                <w:tcPr>
                  <w:tcW w:w="2404" w:type="dxa"/>
                  <w:vAlign w:val="center"/>
                </w:tcPr>
                <w:p w14:paraId="719DF6A5">
                  <w:pPr>
                    <w:shd w:val="clea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挥发性有机物（以</w:t>
                  </w:r>
                  <w:r>
                    <w:rPr>
                      <w:rFonts w:hint="default" w:ascii="Times New Roman" w:hAnsi="Times New Roman" w:eastAsia="宋体" w:cs="Times New Roman"/>
                      <w:bCs/>
                      <w:color w:val="auto"/>
                      <w:sz w:val="21"/>
                      <w:szCs w:val="21"/>
                      <w:highlight w:val="none"/>
                    </w:rPr>
                    <w:t>非甲烷总烃</w:t>
                  </w:r>
                  <w:r>
                    <w:rPr>
                      <w:rFonts w:hint="default" w:ascii="Times New Roman" w:hAnsi="Times New Roman" w:eastAsia="宋体" w:cs="Times New Roman"/>
                      <w:bCs/>
                      <w:color w:val="auto"/>
                      <w:sz w:val="21"/>
                      <w:szCs w:val="21"/>
                      <w:highlight w:val="none"/>
                      <w:lang w:val="en-US" w:eastAsia="zh-CN"/>
                    </w:rPr>
                    <w:t>计）</w:t>
                  </w:r>
                </w:p>
              </w:tc>
              <w:tc>
                <w:tcPr>
                  <w:tcW w:w="1053" w:type="dxa"/>
                  <w:vAlign w:val="center"/>
                </w:tcPr>
                <w:p w14:paraId="706FCB27">
                  <w:pPr>
                    <w:shd w:val="clea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bidi="ar"/>
                    </w:rPr>
                    <w:t>1次/</w:t>
                  </w:r>
                  <w:r>
                    <w:rPr>
                      <w:rFonts w:hint="default" w:ascii="Times New Roman" w:hAnsi="Times New Roman" w:eastAsia="宋体" w:cs="Times New Roman"/>
                      <w:color w:val="auto"/>
                      <w:sz w:val="21"/>
                      <w:szCs w:val="21"/>
                      <w:highlight w:val="none"/>
                      <w:lang w:val="en-US" w:eastAsia="zh-CN" w:bidi="ar"/>
                    </w:rPr>
                    <w:t>年</w:t>
                  </w:r>
                </w:p>
              </w:tc>
            </w:tr>
          </w:tbl>
          <w:p w14:paraId="0E2454FB">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0"/>
                <w:highlight w:val="none"/>
                <w:lang w:val="zh-CN" w:bidi="ar"/>
              </w:rPr>
            </w:pPr>
            <w:r>
              <w:rPr>
                <w:rFonts w:hint="default" w:ascii="Times New Roman" w:hAnsi="Times New Roman" w:eastAsia="宋体" w:cs="Times New Roman"/>
                <w:b/>
                <w:color w:val="auto"/>
                <w:sz w:val="24"/>
                <w:szCs w:val="20"/>
                <w:highlight w:val="none"/>
                <w:lang w:val="en-US" w:eastAsia="zh-CN" w:bidi="ar"/>
              </w:rPr>
              <w:t>二</w:t>
            </w:r>
            <w:r>
              <w:rPr>
                <w:rFonts w:hint="default" w:ascii="Times New Roman" w:hAnsi="Times New Roman" w:eastAsia="宋体" w:cs="Times New Roman"/>
                <w:b/>
                <w:color w:val="auto"/>
                <w:sz w:val="24"/>
                <w:szCs w:val="20"/>
                <w:highlight w:val="none"/>
                <w:lang w:val="zh-CN" w:bidi="ar"/>
              </w:rPr>
              <w:t>、地表水环境影响分析</w:t>
            </w:r>
          </w:p>
          <w:p w14:paraId="0638C76B">
            <w:pPr>
              <w:shd w:val="clear"/>
              <w:adjustRightInd w:val="0"/>
              <w:snapToGrid w:val="0"/>
              <w:spacing w:line="360" w:lineRule="auto"/>
              <w:ind w:firstLine="482" w:firstLineChars="200"/>
              <w:rPr>
                <w:rFonts w:hint="default" w:ascii="Times New Roman" w:hAnsi="Times New Roman" w:eastAsia="宋体" w:cs="Times New Roman"/>
                <w:b/>
                <w:color w:val="auto"/>
                <w:sz w:val="24"/>
                <w:szCs w:val="20"/>
                <w:highlight w:val="none"/>
                <w:lang w:val="en-US" w:bidi="ar"/>
              </w:rPr>
            </w:pPr>
            <w:r>
              <w:rPr>
                <w:rFonts w:hint="default" w:ascii="Times New Roman" w:hAnsi="Times New Roman" w:eastAsia="宋体" w:cs="Times New Roman"/>
                <w:b/>
                <w:bCs/>
                <w:color w:val="auto"/>
                <w:sz w:val="24"/>
                <w:szCs w:val="24"/>
                <w:highlight w:val="none"/>
                <w:lang w:val="en-US" w:eastAsia="zh-CN"/>
              </w:rPr>
              <w:t>1、污染源分析</w:t>
            </w:r>
          </w:p>
          <w:p w14:paraId="6E60210A">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b/>
                <w:bCs w:val="0"/>
                <w:color w:val="auto"/>
                <w:spacing w:val="-10"/>
                <w:sz w:val="21"/>
                <w:szCs w:val="21"/>
                <w:highlight w:val="none"/>
                <w:lang w:val="en-US" w:eastAsia="zh-CN"/>
              </w:rPr>
              <w:t>表4-1</w:t>
            </w:r>
            <w:r>
              <w:rPr>
                <w:rFonts w:hint="eastAsia" w:cs="Times New Roman"/>
                <w:b/>
                <w:bCs w:val="0"/>
                <w:color w:val="auto"/>
                <w:spacing w:val="-10"/>
                <w:sz w:val="21"/>
                <w:szCs w:val="21"/>
                <w:highlight w:val="none"/>
                <w:lang w:val="en-US" w:eastAsia="zh-CN"/>
              </w:rPr>
              <w:t>7</w:t>
            </w:r>
            <w:r>
              <w:rPr>
                <w:rFonts w:hint="default" w:ascii="Times New Roman" w:hAnsi="Times New Roman" w:eastAsia="宋体" w:cs="Times New Roman"/>
                <w:b/>
                <w:bCs w:val="0"/>
                <w:color w:val="auto"/>
                <w:spacing w:val="-10"/>
                <w:sz w:val="21"/>
                <w:szCs w:val="21"/>
                <w:highlight w:val="none"/>
                <w:lang w:val="en-US" w:eastAsia="zh-CN"/>
              </w:rPr>
              <w:t xml:space="preserve">  项目区废水产排情况统计表</w:t>
            </w:r>
          </w:p>
          <w:tbl>
            <w:tblPr>
              <w:tblStyle w:val="27"/>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525"/>
              <w:gridCol w:w="970"/>
              <w:gridCol w:w="757"/>
              <w:gridCol w:w="797"/>
              <w:gridCol w:w="811"/>
              <w:gridCol w:w="762"/>
              <w:gridCol w:w="774"/>
              <w:gridCol w:w="816"/>
              <w:gridCol w:w="1383"/>
            </w:tblGrid>
            <w:tr w14:paraId="36E9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2" w:type="dxa"/>
                  <w:gridSpan w:val="3"/>
                  <w:noWrap w:val="0"/>
                  <w:vAlign w:val="center"/>
                </w:tcPr>
                <w:p w14:paraId="74879B5C">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4717" w:type="dxa"/>
                  <w:gridSpan w:val="6"/>
                  <w:noWrap w:val="0"/>
                  <w:vAlign w:val="center"/>
                </w:tcPr>
                <w:p w14:paraId="6B257931">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生活污水</w:t>
                  </w:r>
                </w:p>
              </w:tc>
              <w:tc>
                <w:tcPr>
                  <w:tcW w:w="1383" w:type="dxa"/>
                  <w:noWrap w:val="0"/>
                  <w:vAlign w:val="center"/>
                </w:tcPr>
                <w:p w14:paraId="191CA135">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冷却</w:t>
                  </w:r>
                  <w:r>
                    <w:rPr>
                      <w:rFonts w:hint="default" w:ascii="Times New Roman" w:hAnsi="Times New Roman" w:eastAsia="宋体" w:cs="Times New Roman"/>
                      <w:b w:val="0"/>
                      <w:bCs/>
                      <w:color w:val="auto"/>
                      <w:spacing w:val="-10"/>
                      <w:sz w:val="21"/>
                      <w:szCs w:val="21"/>
                      <w:highlight w:val="none"/>
                      <w:vertAlign w:val="baseline"/>
                      <w:lang w:val="en-US" w:eastAsia="zh-CN"/>
                    </w:rPr>
                    <w:t>废水</w:t>
                  </w:r>
                </w:p>
              </w:tc>
            </w:tr>
            <w:tr w14:paraId="3E30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2" w:type="dxa"/>
                  <w:gridSpan w:val="3"/>
                  <w:noWrap w:val="0"/>
                  <w:vAlign w:val="center"/>
                </w:tcPr>
                <w:p w14:paraId="2314A6A1">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产生量（</w:t>
                  </w:r>
                  <w:r>
                    <w:rPr>
                      <w:rFonts w:hint="default" w:ascii="Times New Roman" w:hAnsi="Times New Roman" w:eastAsia="宋体" w:cs="Times New Roman"/>
                      <w:b/>
                      <w:bCs w:val="0"/>
                      <w:color w:val="auto"/>
                      <w:kern w:val="2"/>
                      <w:sz w:val="21"/>
                      <w:szCs w:val="21"/>
                      <w:highlight w:val="none"/>
                      <w:lang w:val="zh-CN" w:eastAsia="zh-CN" w:bidi="ar"/>
                    </w:rPr>
                    <w:t>m</w:t>
                  </w:r>
                  <w:r>
                    <w:rPr>
                      <w:rFonts w:hint="default" w:ascii="Times New Roman" w:hAnsi="Times New Roman" w:eastAsia="宋体" w:cs="Times New Roman"/>
                      <w:b/>
                      <w:bCs w:val="0"/>
                      <w:color w:val="auto"/>
                      <w:kern w:val="2"/>
                      <w:sz w:val="21"/>
                      <w:szCs w:val="21"/>
                      <w:highlight w:val="none"/>
                      <w:vertAlign w:val="superscript"/>
                      <w:lang w:val="zh-CN" w:eastAsia="zh-CN" w:bidi="ar"/>
                    </w:rPr>
                    <w:t>3</w:t>
                  </w:r>
                  <w:r>
                    <w:rPr>
                      <w:rFonts w:hint="default" w:ascii="Times New Roman" w:hAnsi="Times New Roman" w:eastAsia="宋体" w:cs="Times New Roman"/>
                      <w:b/>
                      <w:bCs w:val="0"/>
                      <w:color w:val="auto"/>
                      <w:kern w:val="2"/>
                      <w:sz w:val="21"/>
                      <w:szCs w:val="21"/>
                      <w:highlight w:val="none"/>
                      <w:lang w:val="zh-CN" w:eastAsia="zh-CN" w:bidi="ar"/>
                    </w:rPr>
                    <w:t>/a</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4717" w:type="dxa"/>
                  <w:gridSpan w:val="6"/>
                  <w:noWrap w:val="0"/>
                  <w:vAlign w:val="center"/>
                </w:tcPr>
                <w:p w14:paraId="1AE9CA0E">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pacing w:val="11"/>
                      <w:sz w:val="21"/>
                      <w:szCs w:val="21"/>
                      <w:highlight w:val="none"/>
                      <w:lang w:val="en-US" w:eastAsia="zh-CN"/>
                    </w:rPr>
                    <w:t>480</w:t>
                  </w:r>
                </w:p>
              </w:tc>
              <w:tc>
                <w:tcPr>
                  <w:tcW w:w="1383" w:type="dxa"/>
                  <w:noWrap w:val="0"/>
                  <w:vAlign w:val="center"/>
                </w:tcPr>
                <w:p w14:paraId="2D6F2D9C">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spacing w:val="11"/>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0</w:t>
                  </w:r>
                </w:p>
              </w:tc>
            </w:tr>
            <w:tr w14:paraId="602A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2" w:type="dxa"/>
                  <w:gridSpan w:val="3"/>
                  <w:noWrap w:val="0"/>
                  <w:vAlign w:val="center"/>
                </w:tcPr>
                <w:p w14:paraId="0E9A9BD0">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757" w:type="dxa"/>
                  <w:noWrap w:val="0"/>
                  <w:vAlign w:val="center"/>
                </w:tcPr>
                <w:p w14:paraId="73D04749">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COD</w:t>
                  </w:r>
                </w:p>
              </w:tc>
              <w:tc>
                <w:tcPr>
                  <w:tcW w:w="797" w:type="dxa"/>
                  <w:noWrap w:val="0"/>
                  <w:vAlign w:val="center"/>
                </w:tcPr>
                <w:p w14:paraId="05A39352">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BOD</w:t>
                  </w:r>
                  <w:r>
                    <w:rPr>
                      <w:rFonts w:hint="default" w:ascii="Times New Roman" w:hAnsi="Times New Roman" w:eastAsia="宋体" w:cs="Times New Roman"/>
                      <w:b w:val="0"/>
                      <w:bCs/>
                      <w:color w:val="auto"/>
                      <w:spacing w:val="-10"/>
                      <w:sz w:val="21"/>
                      <w:szCs w:val="21"/>
                      <w:highlight w:val="none"/>
                      <w:vertAlign w:val="subscript"/>
                      <w:lang w:val="en-US" w:eastAsia="zh-CN"/>
                    </w:rPr>
                    <w:t>5</w:t>
                  </w:r>
                </w:p>
              </w:tc>
              <w:tc>
                <w:tcPr>
                  <w:tcW w:w="811" w:type="dxa"/>
                  <w:noWrap w:val="0"/>
                  <w:vAlign w:val="center"/>
                </w:tcPr>
                <w:p w14:paraId="421C2513">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SS</w:t>
                  </w:r>
                </w:p>
              </w:tc>
              <w:tc>
                <w:tcPr>
                  <w:tcW w:w="762" w:type="dxa"/>
                  <w:noWrap w:val="0"/>
                  <w:vAlign w:val="center"/>
                </w:tcPr>
                <w:p w14:paraId="0952BEB2">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氨氮</w:t>
                  </w:r>
                </w:p>
              </w:tc>
              <w:tc>
                <w:tcPr>
                  <w:tcW w:w="774" w:type="dxa"/>
                  <w:noWrap w:val="0"/>
                  <w:vAlign w:val="center"/>
                </w:tcPr>
                <w:p w14:paraId="64EF40EB">
                  <w:pPr>
                    <w:keepNext w:val="0"/>
                    <w:keepLines w:val="0"/>
                    <w:pageBreakBefore w:val="0"/>
                    <w:numPr>
                      <w:ilvl w:val="0"/>
                      <w:numId w:val="0"/>
                    </w:numPr>
                    <w:tabs>
                      <w:tab w:val="left" w:pos="342"/>
                    </w:tabs>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总磷</w:t>
                  </w:r>
                </w:p>
              </w:tc>
              <w:tc>
                <w:tcPr>
                  <w:tcW w:w="816" w:type="dxa"/>
                  <w:noWrap w:val="0"/>
                  <w:vAlign w:val="center"/>
                </w:tcPr>
                <w:p w14:paraId="59B18279">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动植物油</w:t>
                  </w:r>
                </w:p>
              </w:tc>
              <w:tc>
                <w:tcPr>
                  <w:tcW w:w="1383" w:type="dxa"/>
                  <w:noWrap w:val="0"/>
                  <w:vAlign w:val="center"/>
                </w:tcPr>
                <w:p w14:paraId="1CB6CFE4">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w:t>
                  </w:r>
                </w:p>
              </w:tc>
            </w:tr>
            <w:tr w14:paraId="66BE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2" w:type="dxa"/>
                  <w:gridSpan w:val="3"/>
                  <w:noWrap w:val="0"/>
                  <w:vAlign w:val="center"/>
                </w:tcPr>
                <w:p w14:paraId="1882A1F3">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kern w:val="2"/>
                      <w:sz w:val="21"/>
                      <w:szCs w:val="21"/>
                      <w:highlight w:val="none"/>
                      <w:vertAlign w:val="baseline"/>
                      <w:lang w:val="en-US" w:eastAsia="zh-CN" w:bidi="ar-SA"/>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757" w:type="dxa"/>
                  <w:noWrap w:val="0"/>
                  <w:vAlign w:val="center"/>
                </w:tcPr>
                <w:p w14:paraId="324FCF34">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w:t>
                  </w:r>
                  <w:r>
                    <w:rPr>
                      <w:rFonts w:hint="eastAsia" w:ascii="Times New Roman" w:hAnsi="Times New Roman" w:eastAsia="宋体" w:cs="Times New Roman"/>
                      <w:b w:val="0"/>
                      <w:bCs/>
                      <w:color w:val="auto"/>
                      <w:spacing w:val="-10"/>
                      <w:kern w:val="2"/>
                      <w:sz w:val="21"/>
                      <w:szCs w:val="21"/>
                      <w:highlight w:val="none"/>
                      <w:vertAlign w:val="baseline"/>
                      <w:lang w:val="en-US" w:eastAsia="zh-CN" w:bidi="ar-SA"/>
                    </w:rPr>
                    <w:t>2057</w:t>
                  </w:r>
                </w:p>
              </w:tc>
              <w:tc>
                <w:tcPr>
                  <w:tcW w:w="797" w:type="dxa"/>
                  <w:noWrap w:val="0"/>
                  <w:vAlign w:val="center"/>
                </w:tcPr>
                <w:p w14:paraId="782D8CC1">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w:t>
                  </w:r>
                  <w:r>
                    <w:rPr>
                      <w:rFonts w:hint="eastAsia" w:ascii="Times New Roman" w:hAnsi="Times New Roman" w:eastAsia="宋体" w:cs="Times New Roman"/>
                      <w:b w:val="0"/>
                      <w:bCs/>
                      <w:color w:val="auto"/>
                      <w:spacing w:val="-10"/>
                      <w:kern w:val="2"/>
                      <w:sz w:val="21"/>
                      <w:szCs w:val="21"/>
                      <w:highlight w:val="none"/>
                      <w:vertAlign w:val="baseline"/>
                      <w:lang w:val="en-US" w:eastAsia="zh-CN" w:bidi="ar-SA"/>
                    </w:rPr>
                    <w:t>0859</w:t>
                  </w:r>
                </w:p>
              </w:tc>
              <w:tc>
                <w:tcPr>
                  <w:tcW w:w="811" w:type="dxa"/>
                  <w:noWrap w:val="0"/>
                  <w:vAlign w:val="center"/>
                </w:tcPr>
                <w:p w14:paraId="4717D432">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w:t>
                  </w:r>
                  <w:r>
                    <w:rPr>
                      <w:rFonts w:hint="eastAsia" w:ascii="Times New Roman" w:hAnsi="Times New Roman" w:eastAsia="宋体" w:cs="Times New Roman"/>
                      <w:b w:val="0"/>
                      <w:bCs/>
                      <w:color w:val="auto"/>
                      <w:spacing w:val="-10"/>
                      <w:kern w:val="2"/>
                      <w:sz w:val="21"/>
                      <w:szCs w:val="21"/>
                      <w:highlight w:val="none"/>
                      <w:vertAlign w:val="baseline"/>
                      <w:lang w:val="en-US" w:eastAsia="zh-CN" w:bidi="ar-SA"/>
                    </w:rPr>
                    <w:t>1371</w:t>
                  </w:r>
                </w:p>
              </w:tc>
              <w:tc>
                <w:tcPr>
                  <w:tcW w:w="762" w:type="dxa"/>
                  <w:noWrap w:val="0"/>
                  <w:vAlign w:val="center"/>
                </w:tcPr>
                <w:p w14:paraId="3B2FA5B4">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0.0</w:t>
                  </w:r>
                  <w:r>
                    <w:rPr>
                      <w:rFonts w:hint="eastAsia" w:ascii="Times New Roman" w:hAnsi="Times New Roman" w:eastAsia="宋体" w:cs="Times New Roman"/>
                      <w:b w:val="0"/>
                      <w:bCs/>
                      <w:color w:val="auto"/>
                      <w:spacing w:val="-10"/>
                      <w:kern w:val="2"/>
                      <w:sz w:val="21"/>
                      <w:szCs w:val="21"/>
                      <w:highlight w:val="none"/>
                      <w:vertAlign w:val="baseline"/>
                      <w:lang w:val="en-US" w:eastAsia="zh-CN" w:bidi="ar-SA"/>
                    </w:rPr>
                    <w:t>300</w:t>
                  </w:r>
                </w:p>
              </w:tc>
              <w:tc>
                <w:tcPr>
                  <w:tcW w:w="774" w:type="dxa"/>
                  <w:noWrap w:val="0"/>
                  <w:vAlign w:val="center"/>
                </w:tcPr>
                <w:p w14:paraId="4551C208">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0.0</w:t>
                  </w:r>
                  <w:r>
                    <w:rPr>
                      <w:rFonts w:hint="eastAsia" w:ascii="Times New Roman" w:hAnsi="Times New Roman" w:eastAsia="宋体" w:cs="Times New Roman"/>
                      <w:b w:val="0"/>
                      <w:bCs/>
                      <w:color w:val="auto"/>
                      <w:spacing w:val="-10"/>
                      <w:kern w:val="2"/>
                      <w:sz w:val="21"/>
                      <w:szCs w:val="21"/>
                      <w:highlight w:val="none"/>
                      <w:vertAlign w:val="baseline"/>
                      <w:lang w:val="en-US" w:eastAsia="zh-CN" w:bidi="ar-SA"/>
                    </w:rPr>
                    <w:t>034</w:t>
                  </w:r>
                </w:p>
              </w:tc>
              <w:tc>
                <w:tcPr>
                  <w:tcW w:w="816" w:type="dxa"/>
                  <w:noWrap w:val="0"/>
                  <w:vAlign w:val="center"/>
                </w:tcPr>
                <w:p w14:paraId="3AF9F27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0.0</w:t>
                  </w:r>
                  <w:r>
                    <w:rPr>
                      <w:rFonts w:hint="eastAsia" w:ascii="Times New Roman" w:hAnsi="Times New Roman" w:eastAsia="宋体" w:cs="Times New Roman"/>
                      <w:bCs/>
                      <w:color w:val="auto"/>
                      <w:kern w:val="0"/>
                      <w:sz w:val="21"/>
                      <w:szCs w:val="21"/>
                      <w:highlight w:val="none"/>
                      <w:lang w:val="en-US" w:eastAsia="zh-CN"/>
                    </w:rPr>
                    <w:t>053</w:t>
                  </w:r>
                </w:p>
              </w:tc>
              <w:tc>
                <w:tcPr>
                  <w:tcW w:w="1383" w:type="dxa"/>
                  <w:noWrap w:val="0"/>
                  <w:vAlign w:val="center"/>
                </w:tcPr>
                <w:p w14:paraId="43447A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w:t>
                  </w:r>
                </w:p>
              </w:tc>
            </w:tr>
            <w:tr w14:paraId="5759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2" w:type="dxa"/>
                  <w:gridSpan w:val="3"/>
                  <w:noWrap w:val="0"/>
                  <w:vAlign w:val="center"/>
                </w:tcPr>
                <w:p w14:paraId="3825E3E3">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w:t>
                  </w:r>
                  <w:r>
                    <w:rPr>
                      <w:rFonts w:hint="default" w:ascii="Times New Roman" w:hAnsi="Times New Roman" w:eastAsia="宋体" w:cs="Times New Roman"/>
                      <w:b/>
                      <w:bCs w:val="0"/>
                      <w:color w:val="auto"/>
                      <w:kern w:val="2"/>
                      <w:sz w:val="21"/>
                      <w:szCs w:val="21"/>
                      <w:highlight w:val="none"/>
                      <w:lang w:val="en-US" w:eastAsia="zh-CN" w:bidi="ar"/>
                    </w:rPr>
                    <w:t>mg/L</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757" w:type="dxa"/>
                  <w:noWrap w:val="0"/>
                  <w:vAlign w:val="center"/>
                </w:tcPr>
                <w:p w14:paraId="6C501E5D">
                  <w:pPr>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bCs/>
                      <w:color w:val="auto"/>
                      <w:spacing w:val="-10"/>
                      <w:szCs w:val="21"/>
                      <w:lang w:val="en-US" w:eastAsia="zh-CN"/>
                    </w:rPr>
                    <w:t>428.57</w:t>
                  </w:r>
                </w:p>
              </w:tc>
              <w:tc>
                <w:tcPr>
                  <w:tcW w:w="797" w:type="dxa"/>
                  <w:noWrap w:val="0"/>
                  <w:vAlign w:val="center"/>
                </w:tcPr>
                <w:p w14:paraId="703D1FD0">
                  <w:pPr>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bCs/>
                      <w:color w:val="auto"/>
                      <w:spacing w:val="-10"/>
                      <w:szCs w:val="21"/>
                      <w:lang w:val="en-US" w:eastAsia="zh-CN"/>
                    </w:rPr>
                    <w:t>178.87</w:t>
                  </w:r>
                </w:p>
              </w:tc>
              <w:tc>
                <w:tcPr>
                  <w:tcW w:w="811" w:type="dxa"/>
                  <w:noWrap w:val="0"/>
                  <w:vAlign w:val="center"/>
                </w:tcPr>
                <w:p w14:paraId="492DAA18">
                  <w:pPr>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bCs/>
                      <w:color w:val="auto"/>
                      <w:spacing w:val="-10"/>
                      <w:szCs w:val="21"/>
                      <w:lang w:val="en-US" w:eastAsia="zh-CN"/>
                    </w:rPr>
                    <w:t>285.71</w:t>
                  </w:r>
                </w:p>
              </w:tc>
              <w:tc>
                <w:tcPr>
                  <w:tcW w:w="762" w:type="dxa"/>
                  <w:noWrap w:val="0"/>
                  <w:vAlign w:val="center"/>
                </w:tcPr>
                <w:p w14:paraId="191EBF97">
                  <w:pPr>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bCs/>
                      <w:color w:val="auto"/>
                      <w:spacing w:val="-10"/>
                      <w:szCs w:val="21"/>
                      <w:lang w:val="en-US" w:eastAsia="zh-CN"/>
                    </w:rPr>
                    <w:t>62.57</w:t>
                  </w:r>
                </w:p>
              </w:tc>
              <w:tc>
                <w:tcPr>
                  <w:tcW w:w="774" w:type="dxa"/>
                  <w:noWrap w:val="0"/>
                  <w:vAlign w:val="center"/>
                </w:tcPr>
                <w:p w14:paraId="64FFA612">
                  <w:pPr>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bCs/>
                      <w:color w:val="auto"/>
                      <w:spacing w:val="-10"/>
                      <w:szCs w:val="21"/>
                      <w:lang w:val="en-US" w:eastAsia="zh-CN"/>
                    </w:rPr>
                    <w:t>7.14</w:t>
                  </w:r>
                </w:p>
              </w:tc>
              <w:tc>
                <w:tcPr>
                  <w:tcW w:w="816" w:type="dxa"/>
                  <w:noWrap w:val="0"/>
                  <w:vAlign w:val="center"/>
                </w:tcPr>
                <w:p w14:paraId="04F3B65B">
                  <w:pPr>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bCs/>
                      <w:color w:val="auto"/>
                      <w:spacing w:val="-10"/>
                      <w:szCs w:val="21"/>
                      <w:lang w:val="en-US" w:eastAsia="zh-CN"/>
                    </w:rPr>
                    <w:t>11.07</w:t>
                  </w:r>
                </w:p>
              </w:tc>
              <w:tc>
                <w:tcPr>
                  <w:tcW w:w="1383" w:type="dxa"/>
                  <w:noWrap w:val="0"/>
                  <w:vAlign w:val="center"/>
                </w:tcPr>
                <w:p w14:paraId="6E6AEDD2">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14:paraId="77BA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2" w:type="dxa"/>
                  <w:gridSpan w:val="3"/>
                  <w:noWrap w:val="0"/>
                  <w:vAlign w:val="center"/>
                </w:tcPr>
                <w:p w14:paraId="25B2C64F">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4717" w:type="dxa"/>
                  <w:gridSpan w:val="6"/>
                  <w:noWrap w:val="0"/>
                  <w:vAlign w:val="center"/>
                </w:tcPr>
                <w:p w14:paraId="2FABC525">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c>
                <w:tcPr>
                  <w:tcW w:w="1383" w:type="dxa"/>
                  <w:noWrap w:val="0"/>
                  <w:vAlign w:val="center"/>
                </w:tcPr>
                <w:p w14:paraId="13F4E83B">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14:paraId="1660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vMerge w:val="restart"/>
                  <w:noWrap w:val="0"/>
                  <w:vAlign w:val="center"/>
                </w:tcPr>
                <w:p w14:paraId="452D4A0F">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495" w:type="dxa"/>
                  <w:gridSpan w:val="2"/>
                  <w:noWrap w:val="0"/>
                  <w:vAlign w:val="center"/>
                </w:tcPr>
                <w:p w14:paraId="34E312BC">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4717" w:type="dxa"/>
                  <w:gridSpan w:val="6"/>
                  <w:noWrap w:val="0"/>
                  <w:vAlign w:val="center"/>
                </w:tcPr>
                <w:p w14:paraId="01987D2C">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/d</w:t>
                  </w:r>
                </w:p>
              </w:tc>
              <w:tc>
                <w:tcPr>
                  <w:tcW w:w="1383" w:type="dxa"/>
                  <w:noWrap w:val="0"/>
                  <w:vAlign w:val="center"/>
                </w:tcPr>
                <w:p w14:paraId="6BEBED4F">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0406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vMerge w:val="continue"/>
                  <w:noWrap w:val="0"/>
                  <w:vAlign w:val="center"/>
                </w:tcPr>
                <w:p w14:paraId="7F8621F0">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95" w:type="dxa"/>
                  <w:gridSpan w:val="2"/>
                  <w:noWrap w:val="0"/>
                  <w:vAlign w:val="center"/>
                </w:tcPr>
                <w:p w14:paraId="242FB7D9">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4717" w:type="dxa"/>
                  <w:gridSpan w:val="6"/>
                  <w:noWrap w:val="0"/>
                  <w:vAlign w:val="center"/>
                </w:tcPr>
                <w:p w14:paraId="082F2F62">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100</w:t>
                  </w:r>
                </w:p>
              </w:tc>
              <w:tc>
                <w:tcPr>
                  <w:tcW w:w="1383" w:type="dxa"/>
                  <w:noWrap w:val="0"/>
                  <w:vAlign w:val="center"/>
                </w:tcPr>
                <w:p w14:paraId="7AEDD52E">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100</w:t>
                  </w:r>
                </w:p>
              </w:tc>
            </w:tr>
            <w:tr w14:paraId="2E1F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vMerge w:val="continue"/>
                  <w:noWrap w:val="0"/>
                  <w:vAlign w:val="center"/>
                </w:tcPr>
                <w:p w14:paraId="4323F7AE">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95" w:type="dxa"/>
                  <w:gridSpan w:val="2"/>
                  <w:noWrap w:val="0"/>
                  <w:vAlign w:val="center"/>
                </w:tcPr>
                <w:p w14:paraId="0682B7C1">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4717" w:type="dxa"/>
                  <w:gridSpan w:val="6"/>
                  <w:noWrap w:val="0"/>
                  <w:vAlign w:val="center"/>
                </w:tcPr>
                <w:p w14:paraId="7E565673">
                  <w:pPr>
                    <w:pStyle w:val="4"/>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食堂废水经容积为0.</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的隔油池处理后，与其他生活污水一并进入</w:t>
                  </w:r>
                  <w:r>
                    <w:rPr>
                      <w:rFonts w:hint="eastAsia" w:ascii="Times New Roman" w:hAnsi="Times New Roman" w:eastAsia="宋体" w:cs="Times New Roman"/>
                      <w:color w:val="auto"/>
                      <w:sz w:val="21"/>
                      <w:szCs w:val="21"/>
                      <w:highlight w:val="none"/>
                      <w:lang w:val="en-US" w:eastAsia="zh-CN"/>
                    </w:rPr>
                    <w:t>依托的</w:t>
                  </w:r>
                  <w:r>
                    <w:rPr>
                      <w:rFonts w:hint="default" w:ascii="Times New Roman" w:hAnsi="Times New Roman" w:eastAsia="宋体" w:cs="Times New Roman"/>
                      <w:color w:val="auto"/>
                      <w:sz w:val="21"/>
                      <w:szCs w:val="21"/>
                      <w:highlight w:val="none"/>
                      <w:lang w:val="en-US" w:eastAsia="zh-CN"/>
                    </w:rPr>
                    <w:t>容积为</w:t>
                  </w: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的化粪池、处理规模为</w:t>
                  </w: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/d的</w:t>
                  </w:r>
                  <w:r>
                    <w:rPr>
                      <w:rFonts w:hint="default" w:ascii="Times New Roman" w:hAnsi="Times New Roman" w:eastAsia="宋体" w:cs="Times New Roman"/>
                      <w:color w:val="auto"/>
                      <w:sz w:val="21"/>
                      <w:szCs w:val="21"/>
                      <w:highlight w:val="none"/>
                      <w:lang w:eastAsia="zh-CN" w:bidi="ar"/>
                    </w:rPr>
                    <w:t>一体化</w:t>
                  </w:r>
                  <w:r>
                    <w:rPr>
                      <w:rFonts w:hint="default" w:ascii="Times New Roman" w:hAnsi="Times New Roman" w:eastAsia="宋体" w:cs="Times New Roman"/>
                      <w:color w:val="auto"/>
                      <w:sz w:val="21"/>
                      <w:szCs w:val="21"/>
                      <w:highlight w:val="none"/>
                      <w:lang w:val="en-US" w:eastAsia="zh-CN"/>
                    </w:rPr>
                    <w:t>污水处理站（处理工艺为MBR）处理达《城市污水再生利用 城市杂用水水质》（GB/T18920-2020）中的城市绿化、道路清扫、消防、建筑施工标准。</w:t>
                  </w:r>
                </w:p>
              </w:tc>
              <w:tc>
                <w:tcPr>
                  <w:tcW w:w="1383" w:type="dxa"/>
                  <w:noWrap w:val="0"/>
                  <w:vAlign w:val="center"/>
                </w:tcPr>
                <w:p w14:paraId="0B56E9EE">
                  <w:pPr>
                    <w:pStyle w:val="4"/>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冷却废水经循环水冷却池冷却后循环使用，不外排。</w:t>
                  </w:r>
                </w:p>
              </w:tc>
            </w:tr>
            <w:tr w14:paraId="7463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97" w:type="dxa"/>
                  <w:vMerge w:val="continue"/>
                  <w:noWrap w:val="0"/>
                  <w:vAlign w:val="center"/>
                </w:tcPr>
                <w:p w14:paraId="23CE0EE1">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525" w:type="dxa"/>
                  <w:vMerge w:val="restart"/>
                  <w:noWrap w:val="0"/>
                  <w:vAlign w:val="center"/>
                </w:tcPr>
                <w:p w14:paraId="102CAFEF">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治理效率</w:t>
                  </w:r>
                </w:p>
              </w:tc>
              <w:tc>
                <w:tcPr>
                  <w:tcW w:w="970" w:type="dxa"/>
                  <w:noWrap w:val="0"/>
                  <w:vAlign w:val="center"/>
                </w:tcPr>
                <w:p w14:paraId="1DC1AB34">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隔油池</w:t>
                  </w:r>
                </w:p>
              </w:tc>
              <w:tc>
                <w:tcPr>
                  <w:tcW w:w="757" w:type="dxa"/>
                  <w:noWrap w:val="0"/>
                  <w:vAlign w:val="center"/>
                </w:tcPr>
                <w:p w14:paraId="55AF3A20">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0</w:t>
                  </w:r>
                </w:p>
              </w:tc>
              <w:tc>
                <w:tcPr>
                  <w:tcW w:w="797" w:type="dxa"/>
                  <w:noWrap w:val="0"/>
                  <w:vAlign w:val="center"/>
                </w:tcPr>
                <w:p w14:paraId="1C7C540E">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0</w:t>
                  </w:r>
                </w:p>
              </w:tc>
              <w:tc>
                <w:tcPr>
                  <w:tcW w:w="811" w:type="dxa"/>
                  <w:noWrap w:val="0"/>
                  <w:vAlign w:val="center"/>
                </w:tcPr>
                <w:p w14:paraId="2453136D">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0</w:t>
                  </w:r>
                </w:p>
              </w:tc>
              <w:tc>
                <w:tcPr>
                  <w:tcW w:w="762" w:type="dxa"/>
                  <w:noWrap w:val="0"/>
                  <w:vAlign w:val="center"/>
                </w:tcPr>
                <w:p w14:paraId="13CB009C">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0</w:t>
                  </w:r>
                </w:p>
              </w:tc>
              <w:tc>
                <w:tcPr>
                  <w:tcW w:w="774" w:type="dxa"/>
                  <w:noWrap w:val="0"/>
                  <w:vAlign w:val="center"/>
                </w:tcPr>
                <w:p w14:paraId="0F3BD9E9">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0</w:t>
                  </w:r>
                </w:p>
              </w:tc>
              <w:tc>
                <w:tcPr>
                  <w:tcW w:w="816" w:type="dxa"/>
                  <w:noWrap w:val="0"/>
                  <w:vAlign w:val="center"/>
                </w:tcPr>
                <w:p w14:paraId="32296FFC">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80</w:t>
                  </w:r>
                </w:p>
              </w:tc>
              <w:tc>
                <w:tcPr>
                  <w:tcW w:w="1383" w:type="dxa"/>
                  <w:vMerge w:val="restart"/>
                  <w:noWrap w:val="0"/>
                  <w:vAlign w:val="center"/>
                </w:tcPr>
                <w:p w14:paraId="6ABBD40E">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14:paraId="5721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97" w:type="dxa"/>
                  <w:vMerge w:val="continue"/>
                  <w:noWrap w:val="0"/>
                  <w:vAlign w:val="center"/>
                </w:tcPr>
                <w:p w14:paraId="4189BA16">
                  <w:pPr>
                    <w:keepNext w:val="0"/>
                    <w:keepLines w:val="0"/>
                    <w:pageBreakBefore w:val="0"/>
                    <w:kinsoku/>
                    <w:wordWrap/>
                    <w:overflowPunct/>
                    <w:topLinePunct w:val="0"/>
                    <w:bidi w:val="0"/>
                    <w:adjustRightInd w:val="0"/>
                    <w:snapToGrid w:val="0"/>
                    <w:jc w:val="center"/>
                    <w:rPr>
                      <w:color w:val="auto"/>
                    </w:rPr>
                  </w:pPr>
                </w:p>
              </w:tc>
              <w:tc>
                <w:tcPr>
                  <w:tcW w:w="525" w:type="dxa"/>
                  <w:vMerge w:val="continue"/>
                  <w:noWrap w:val="0"/>
                  <w:vAlign w:val="center"/>
                </w:tcPr>
                <w:p w14:paraId="4A432CD9">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970" w:type="dxa"/>
                  <w:noWrap w:val="0"/>
                  <w:vAlign w:val="center"/>
                </w:tcPr>
                <w:p w14:paraId="6BD57494">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化粪池</w:t>
                  </w:r>
                </w:p>
              </w:tc>
              <w:tc>
                <w:tcPr>
                  <w:tcW w:w="757" w:type="dxa"/>
                  <w:noWrap w:val="0"/>
                  <w:vAlign w:val="center"/>
                </w:tcPr>
                <w:p w14:paraId="10275B80">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w:t>
                  </w:r>
                </w:p>
              </w:tc>
              <w:tc>
                <w:tcPr>
                  <w:tcW w:w="797" w:type="dxa"/>
                  <w:noWrap w:val="0"/>
                  <w:vAlign w:val="center"/>
                </w:tcPr>
                <w:p w14:paraId="6EE3053E">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w:t>
                  </w:r>
                </w:p>
              </w:tc>
              <w:tc>
                <w:tcPr>
                  <w:tcW w:w="811" w:type="dxa"/>
                  <w:noWrap w:val="0"/>
                  <w:vAlign w:val="center"/>
                </w:tcPr>
                <w:p w14:paraId="3FDE4015">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30</w:t>
                  </w:r>
                </w:p>
              </w:tc>
              <w:tc>
                <w:tcPr>
                  <w:tcW w:w="762" w:type="dxa"/>
                  <w:noWrap w:val="0"/>
                  <w:vAlign w:val="center"/>
                </w:tcPr>
                <w:p w14:paraId="508168AB">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w:t>
                  </w:r>
                </w:p>
              </w:tc>
              <w:tc>
                <w:tcPr>
                  <w:tcW w:w="774" w:type="dxa"/>
                  <w:noWrap w:val="0"/>
                  <w:vAlign w:val="center"/>
                </w:tcPr>
                <w:p w14:paraId="3C02D17B">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w:t>
                  </w:r>
                </w:p>
              </w:tc>
              <w:tc>
                <w:tcPr>
                  <w:tcW w:w="816" w:type="dxa"/>
                  <w:noWrap w:val="0"/>
                  <w:vAlign w:val="center"/>
                </w:tcPr>
                <w:p w14:paraId="40CF8A36">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w:t>
                  </w:r>
                </w:p>
              </w:tc>
              <w:tc>
                <w:tcPr>
                  <w:tcW w:w="1383" w:type="dxa"/>
                  <w:vMerge w:val="continue"/>
                  <w:noWrap w:val="0"/>
                  <w:vAlign w:val="center"/>
                </w:tcPr>
                <w:p w14:paraId="04726BF1">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r>
            <w:tr w14:paraId="269D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97" w:type="dxa"/>
                  <w:vMerge w:val="continue"/>
                  <w:noWrap w:val="0"/>
                  <w:vAlign w:val="center"/>
                </w:tcPr>
                <w:p w14:paraId="79B10F3E">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525" w:type="dxa"/>
                  <w:vMerge w:val="continue"/>
                  <w:noWrap w:val="0"/>
                  <w:vAlign w:val="center"/>
                </w:tcPr>
                <w:p w14:paraId="39C661B0">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970" w:type="dxa"/>
                  <w:noWrap w:val="0"/>
                  <w:vAlign w:val="center"/>
                </w:tcPr>
                <w:p w14:paraId="188AA099">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污水处理站</w:t>
                  </w:r>
                </w:p>
              </w:tc>
              <w:tc>
                <w:tcPr>
                  <w:tcW w:w="757" w:type="dxa"/>
                  <w:noWrap w:val="0"/>
                  <w:vAlign w:val="center"/>
                </w:tcPr>
                <w:p w14:paraId="6CD64CD2">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val="0"/>
                      <w:color w:val="auto"/>
                      <w:spacing w:val="-10"/>
                      <w:sz w:val="21"/>
                      <w:szCs w:val="21"/>
                      <w:highlight w:val="none"/>
                      <w:vertAlign w:val="baseline"/>
                      <w:lang w:val="en-US" w:eastAsia="zh-CN"/>
                    </w:rPr>
                    <w:t>85</w:t>
                  </w:r>
                </w:p>
              </w:tc>
              <w:tc>
                <w:tcPr>
                  <w:tcW w:w="797" w:type="dxa"/>
                  <w:noWrap w:val="0"/>
                  <w:vAlign w:val="center"/>
                </w:tcPr>
                <w:p w14:paraId="1FAE6281">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95</w:t>
                  </w:r>
                </w:p>
              </w:tc>
              <w:tc>
                <w:tcPr>
                  <w:tcW w:w="811" w:type="dxa"/>
                  <w:noWrap w:val="0"/>
                  <w:vAlign w:val="center"/>
                </w:tcPr>
                <w:p w14:paraId="649C6C80">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val="0"/>
                      <w:color w:val="auto"/>
                      <w:spacing w:val="-10"/>
                      <w:sz w:val="21"/>
                      <w:szCs w:val="21"/>
                      <w:highlight w:val="none"/>
                      <w:vertAlign w:val="baseline"/>
                      <w:lang w:val="en-US" w:eastAsia="zh-CN"/>
                    </w:rPr>
                    <w:t>85</w:t>
                  </w:r>
                </w:p>
              </w:tc>
              <w:tc>
                <w:tcPr>
                  <w:tcW w:w="762" w:type="dxa"/>
                  <w:noWrap w:val="0"/>
                  <w:vAlign w:val="center"/>
                </w:tcPr>
                <w:p w14:paraId="0DA12FDA">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c>
                <w:tcPr>
                  <w:tcW w:w="774" w:type="dxa"/>
                  <w:noWrap w:val="0"/>
                  <w:vAlign w:val="center"/>
                </w:tcPr>
                <w:p w14:paraId="1A28C1C1">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val="0"/>
                      <w:color w:val="auto"/>
                      <w:spacing w:val="-10"/>
                      <w:sz w:val="21"/>
                      <w:szCs w:val="21"/>
                      <w:highlight w:val="none"/>
                      <w:vertAlign w:val="baseline"/>
                      <w:lang w:val="en-US" w:eastAsia="zh-CN"/>
                    </w:rPr>
                    <w:t>6</w:t>
                  </w:r>
                  <w:r>
                    <w:rPr>
                      <w:rFonts w:hint="default" w:ascii="Times New Roman" w:hAnsi="Times New Roman" w:eastAsia="宋体" w:cs="Times New Roman"/>
                      <w:b w:val="0"/>
                      <w:bCs w:val="0"/>
                      <w:color w:val="auto"/>
                      <w:spacing w:val="-10"/>
                      <w:sz w:val="21"/>
                      <w:szCs w:val="21"/>
                      <w:highlight w:val="none"/>
                      <w:vertAlign w:val="baseline"/>
                      <w:lang w:val="en-US" w:eastAsia="zh-CN"/>
                    </w:rPr>
                    <w:t>0</w:t>
                  </w:r>
                </w:p>
              </w:tc>
              <w:tc>
                <w:tcPr>
                  <w:tcW w:w="816" w:type="dxa"/>
                  <w:noWrap w:val="0"/>
                  <w:vAlign w:val="center"/>
                </w:tcPr>
                <w:p w14:paraId="7DF8B94B">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85</w:t>
                  </w:r>
                </w:p>
              </w:tc>
              <w:tc>
                <w:tcPr>
                  <w:tcW w:w="1383" w:type="dxa"/>
                  <w:vMerge w:val="continue"/>
                  <w:noWrap w:val="0"/>
                  <w:vAlign w:val="center"/>
                </w:tcPr>
                <w:p w14:paraId="27165EA1">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r>
            <w:tr w14:paraId="32DF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vMerge w:val="continue"/>
                  <w:noWrap w:val="0"/>
                  <w:vAlign w:val="center"/>
                </w:tcPr>
                <w:p w14:paraId="5789CA2A">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95" w:type="dxa"/>
                  <w:gridSpan w:val="2"/>
                  <w:noWrap w:val="0"/>
                  <w:vAlign w:val="center"/>
                </w:tcPr>
                <w:p w14:paraId="386508DA">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6100" w:type="dxa"/>
                  <w:gridSpan w:val="7"/>
                  <w:noWrap w:val="0"/>
                  <w:vAlign w:val="center"/>
                </w:tcPr>
                <w:p w14:paraId="26390176">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r>
            <w:tr w14:paraId="6375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2" w:type="dxa"/>
                  <w:gridSpan w:val="3"/>
                  <w:noWrap w:val="0"/>
                  <w:vAlign w:val="center"/>
                </w:tcPr>
                <w:p w14:paraId="761EFF57">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污染物处理后的量（t/a）</w:t>
                  </w:r>
                </w:p>
              </w:tc>
              <w:tc>
                <w:tcPr>
                  <w:tcW w:w="757" w:type="dxa"/>
                  <w:noWrap w:val="0"/>
                  <w:vAlign w:val="center"/>
                </w:tcPr>
                <w:p w14:paraId="2FDAE57E">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ascii="Times New Roman" w:hAnsi="Times New Roman" w:eastAsia="宋体" w:cs="Times New Roman"/>
                      <w:b w:val="0"/>
                      <w:bCs/>
                      <w:color w:val="auto"/>
                      <w:spacing w:val="-10"/>
                      <w:sz w:val="21"/>
                      <w:szCs w:val="21"/>
                      <w:highlight w:val="none"/>
                      <w:vertAlign w:val="baseline"/>
                      <w:lang w:val="en-US" w:eastAsia="zh-CN"/>
                    </w:rPr>
                    <w:t>262</w:t>
                  </w:r>
                </w:p>
              </w:tc>
              <w:tc>
                <w:tcPr>
                  <w:tcW w:w="797" w:type="dxa"/>
                  <w:noWrap w:val="0"/>
                  <w:vAlign w:val="center"/>
                </w:tcPr>
                <w:p w14:paraId="218675E4">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147</w:t>
                  </w:r>
                </w:p>
              </w:tc>
              <w:tc>
                <w:tcPr>
                  <w:tcW w:w="811" w:type="dxa"/>
                  <w:noWrap w:val="0"/>
                  <w:vAlign w:val="center"/>
                </w:tcPr>
                <w:p w14:paraId="4698B01D">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0.00</w:t>
                  </w:r>
                  <w:r>
                    <w:rPr>
                      <w:rFonts w:hint="eastAsia" w:cs="Times New Roman"/>
                      <w:b w:val="0"/>
                      <w:bCs/>
                      <w:color w:val="auto"/>
                      <w:spacing w:val="-10"/>
                      <w:sz w:val="21"/>
                      <w:szCs w:val="21"/>
                      <w:highlight w:val="none"/>
                      <w:vertAlign w:val="baseline"/>
                      <w:lang w:val="en-US" w:eastAsia="zh-CN"/>
                    </w:rPr>
                    <w:t>24</w:t>
                  </w:r>
                </w:p>
              </w:tc>
              <w:tc>
                <w:tcPr>
                  <w:tcW w:w="762" w:type="dxa"/>
                  <w:noWrap w:val="0"/>
                  <w:vAlign w:val="center"/>
                </w:tcPr>
                <w:p w14:paraId="42879A12">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0.00</w:t>
                  </w:r>
                  <w:r>
                    <w:rPr>
                      <w:rFonts w:hint="eastAsia" w:cs="Times New Roman"/>
                      <w:b w:val="0"/>
                      <w:bCs/>
                      <w:color w:val="auto"/>
                      <w:spacing w:val="-10"/>
                      <w:sz w:val="21"/>
                      <w:szCs w:val="21"/>
                      <w:highlight w:val="none"/>
                      <w:vertAlign w:val="baseline"/>
                      <w:lang w:val="en-US" w:eastAsia="zh-CN"/>
                    </w:rPr>
                    <w:t>69</w:t>
                  </w:r>
                </w:p>
              </w:tc>
              <w:tc>
                <w:tcPr>
                  <w:tcW w:w="774" w:type="dxa"/>
                  <w:noWrap w:val="0"/>
                  <w:vAlign w:val="center"/>
                </w:tcPr>
                <w:p w14:paraId="11893082">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0.00</w:t>
                  </w:r>
                  <w:r>
                    <w:rPr>
                      <w:rFonts w:hint="eastAsia" w:cs="Times New Roman"/>
                      <w:b w:val="0"/>
                      <w:bCs/>
                      <w:color w:val="auto"/>
                      <w:spacing w:val="-10"/>
                      <w:sz w:val="21"/>
                      <w:szCs w:val="21"/>
                      <w:highlight w:val="none"/>
                      <w:vertAlign w:val="baseline"/>
                      <w:lang w:val="en-US" w:eastAsia="zh-CN"/>
                    </w:rPr>
                    <w:t>14</w:t>
                  </w:r>
                </w:p>
              </w:tc>
              <w:tc>
                <w:tcPr>
                  <w:tcW w:w="816" w:type="dxa"/>
                  <w:noWrap w:val="0"/>
                  <w:vAlign w:val="center"/>
                </w:tcPr>
                <w:p w14:paraId="52D93EA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ascii="Times New Roman" w:hAnsi="Times New Roman" w:eastAsia="宋体" w:cs="Times New Roman"/>
                      <w:i w:val="0"/>
                      <w:iCs w:val="0"/>
                      <w:color w:val="auto"/>
                      <w:kern w:val="0"/>
                      <w:sz w:val="21"/>
                      <w:szCs w:val="21"/>
                      <w:highlight w:val="none"/>
                      <w:u w:val="none"/>
                      <w:lang w:val="en-US" w:eastAsia="zh-CN" w:bidi="ar"/>
                    </w:rPr>
                    <w:t>002</w:t>
                  </w:r>
                </w:p>
              </w:tc>
              <w:tc>
                <w:tcPr>
                  <w:tcW w:w="1383" w:type="dxa"/>
                  <w:noWrap w:val="0"/>
                  <w:vAlign w:val="center"/>
                </w:tcPr>
                <w:p w14:paraId="10C333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14:paraId="3DCD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2" w:type="dxa"/>
                  <w:gridSpan w:val="3"/>
                  <w:noWrap w:val="0"/>
                  <w:vAlign w:val="center"/>
                </w:tcPr>
                <w:p w14:paraId="00DDA7DC">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污染物出水浓度（</w:t>
                  </w:r>
                  <w:r>
                    <w:rPr>
                      <w:rFonts w:hint="default" w:ascii="Times New Roman" w:hAnsi="Times New Roman" w:eastAsia="宋体" w:cs="Times New Roman"/>
                      <w:b/>
                      <w:bCs w:val="0"/>
                      <w:color w:val="auto"/>
                      <w:kern w:val="2"/>
                      <w:sz w:val="21"/>
                      <w:szCs w:val="21"/>
                      <w:highlight w:val="none"/>
                      <w:lang w:val="en-US" w:eastAsia="zh-CN" w:bidi="ar"/>
                    </w:rPr>
                    <w:t>mg/L</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757" w:type="dxa"/>
                  <w:noWrap w:val="0"/>
                  <w:vAlign w:val="center"/>
                </w:tcPr>
                <w:p w14:paraId="51D0AB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54.64</w:t>
                  </w:r>
                </w:p>
              </w:tc>
              <w:tc>
                <w:tcPr>
                  <w:tcW w:w="797" w:type="dxa"/>
                  <w:noWrap w:val="0"/>
                  <w:vAlign w:val="center"/>
                </w:tcPr>
                <w:p w14:paraId="4571E8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7.60</w:t>
                  </w:r>
                </w:p>
              </w:tc>
              <w:tc>
                <w:tcPr>
                  <w:tcW w:w="811" w:type="dxa"/>
                  <w:noWrap w:val="0"/>
                  <w:vAlign w:val="center"/>
                </w:tcPr>
                <w:p w14:paraId="5367DFC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30.00</w:t>
                  </w:r>
                </w:p>
              </w:tc>
              <w:tc>
                <w:tcPr>
                  <w:tcW w:w="762" w:type="dxa"/>
                  <w:noWrap w:val="0"/>
                  <w:vAlign w:val="center"/>
                </w:tcPr>
                <w:p w14:paraId="7958B9B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6.26</w:t>
                  </w:r>
                </w:p>
              </w:tc>
              <w:tc>
                <w:tcPr>
                  <w:tcW w:w="774" w:type="dxa"/>
                  <w:noWrap w:val="0"/>
                  <w:vAlign w:val="center"/>
                </w:tcPr>
                <w:p w14:paraId="19F94F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ascii="Times New Roman" w:hAnsi="Times New Roman" w:eastAsia="宋体" w:cs="Times New Roman"/>
                      <w:b w:val="0"/>
                      <w:bCs/>
                      <w:color w:val="auto"/>
                      <w:spacing w:val="-10"/>
                      <w:sz w:val="21"/>
                      <w:szCs w:val="21"/>
                      <w:highlight w:val="none"/>
                      <w:vertAlign w:val="baseline"/>
                      <w:lang w:val="en-US" w:eastAsia="zh-CN"/>
                    </w:rPr>
                    <w:t>2.86</w:t>
                  </w:r>
                </w:p>
              </w:tc>
              <w:tc>
                <w:tcPr>
                  <w:tcW w:w="816" w:type="dxa"/>
                  <w:noWrap w:val="0"/>
                  <w:vAlign w:val="center"/>
                </w:tcPr>
                <w:p w14:paraId="2CABC05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0.33</w:t>
                  </w:r>
                </w:p>
              </w:tc>
              <w:tc>
                <w:tcPr>
                  <w:tcW w:w="1383" w:type="dxa"/>
                  <w:noWrap w:val="0"/>
                  <w:vAlign w:val="center"/>
                </w:tcPr>
                <w:p w14:paraId="385EE2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14:paraId="0C10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2" w:type="dxa"/>
                  <w:gridSpan w:val="3"/>
                  <w:noWrap w:val="0"/>
                  <w:vAlign w:val="center"/>
                </w:tcPr>
                <w:p w14:paraId="644C14F8">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排放去向</w:t>
                  </w:r>
                </w:p>
              </w:tc>
              <w:tc>
                <w:tcPr>
                  <w:tcW w:w="4717" w:type="dxa"/>
                  <w:gridSpan w:val="6"/>
                  <w:noWrap w:val="0"/>
                  <w:vAlign w:val="center"/>
                </w:tcPr>
                <w:p w14:paraId="76C54AB9">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c>
                <w:tcPr>
                  <w:tcW w:w="1383" w:type="dxa"/>
                  <w:noWrap w:val="0"/>
                  <w:vAlign w:val="center"/>
                </w:tcPr>
                <w:p w14:paraId="7DB9A13E">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14:paraId="1638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2" w:type="dxa"/>
                  <w:gridSpan w:val="3"/>
                  <w:noWrap w:val="0"/>
                  <w:vAlign w:val="center"/>
                </w:tcPr>
                <w:p w14:paraId="4102302B">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排放规律</w:t>
                  </w:r>
                </w:p>
              </w:tc>
              <w:tc>
                <w:tcPr>
                  <w:tcW w:w="4717" w:type="dxa"/>
                  <w:gridSpan w:val="6"/>
                  <w:noWrap w:val="0"/>
                  <w:vAlign w:val="center"/>
                </w:tcPr>
                <w:p w14:paraId="25CCD1C7">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c>
                <w:tcPr>
                  <w:tcW w:w="1383" w:type="dxa"/>
                  <w:noWrap w:val="0"/>
                  <w:vAlign w:val="center"/>
                </w:tcPr>
                <w:p w14:paraId="1241F2BF">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14:paraId="47CF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vMerge w:val="restart"/>
                  <w:noWrap w:val="0"/>
                  <w:vAlign w:val="center"/>
                </w:tcPr>
                <w:p w14:paraId="17EA5C74">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495" w:type="dxa"/>
                  <w:gridSpan w:val="2"/>
                  <w:noWrap w:val="0"/>
                  <w:vAlign w:val="center"/>
                </w:tcPr>
                <w:p w14:paraId="0CCFF2CC">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编号及名称</w:t>
                  </w:r>
                </w:p>
              </w:tc>
              <w:tc>
                <w:tcPr>
                  <w:tcW w:w="4717" w:type="dxa"/>
                  <w:gridSpan w:val="6"/>
                  <w:noWrap w:val="0"/>
                  <w:vAlign w:val="center"/>
                </w:tcPr>
                <w:p w14:paraId="5C512F6D">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DW001</w:t>
                  </w:r>
                </w:p>
              </w:tc>
              <w:tc>
                <w:tcPr>
                  <w:tcW w:w="1383" w:type="dxa"/>
                  <w:noWrap w:val="0"/>
                  <w:vAlign w:val="center"/>
                </w:tcPr>
                <w:p w14:paraId="3C9FF91A">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14:paraId="1F8E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vMerge w:val="continue"/>
                  <w:noWrap w:val="0"/>
                  <w:vAlign w:val="center"/>
                </w:tcPr>
                <w:p w14:paraId="3BCC9B24">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95" w:type="dxa"/>
                  <w:gridSpan w:val="2"/>
                  <w:noWrap w:val="0"/>
                  <w:vAlign w:val="center"/>
                </w:tcPr>
                <w:p w14:paraId="1FAF267B">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4717" w:type="dxa"/>
                  <w:gridSpan w:val="6"/>
                  <w:noWrap w:val="0"/>
                  <w:vAlign w:val="center"/>
                </w:tcPr>
                <w:p w14:paraId="445EFF10">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生活污水</w:t>
                  </w:r>
                </w:p>
              </w:tc>
              <w:tc>
                <w:tcPr>
                  <w:tcW w:w="1383" w:type="dxa"/>
                  <w:noWrap w:val="0"/>
                  <w:vAlign w:val="center"/>
                </w:tcPr>
                <w:p w14:paraId="4210C19E">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生产废水</w:t>
                  </w:r>
                </w:p>
              </w:tc>
            </w:tr>
            <w:tr w14:paraId="05AF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vMerge w:val="continue"/>
                  <w:noWrap w:val="0"/>
                  <w:vAlign w:val="center"/>
                </w:tcPr>
                <w:p w14:paraId="1493B4E4">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95" w:type="dxa"/>
                  <w:gridSpan w:val="2"/>
                  <w:noWrap w:val="0"/>
                  <w:vAlign w:val="center"/>
                </w:tcPr>
                <w:p w14:paraId="0C9A559B">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4717" w:type="dxa"/>
                  <w:gridSpan w:val="6"/>
                  <w:noWrap w:val="0"/>
                  <w:vAlign w:val="center"/>
                </w:tcPr>
                <w:p w14:paraId="7A5D2644">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1383" w:type="dxa"/>
                  <w:noWrap w:val="0"/>
                  <w:vAlign w:val="center"/>
                </w:tcPr>
                <w:p w14:paraId="3F921DDF">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14:paraId="638F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2" w:type="dxa"/>
                  <w:gridSpan w:val="3"/>
                  <w:noWrap w:val="0"/>
                  <w:vAlign w:val="center"/>
                </w:tcPr>
                <w:p w14:paraId="3FACB915">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执行标准</w:t>
                  </w:r>
                </w:p>
              </w:tc>
              <w:tc>
                <w:tcPr>
                  <w:tcW w:w="4717" w:type="dxa"/>
                  <w:gridSpan w:val="6"/>
                  <w:noWrap w:val="0"/>
                  <w:vAlign w:val="center"/>
                </w:tcPr>
                <w:p w14:paraId="2CC57653">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《城市污水再生利用 城市杂用水水质》（GB/T18920-2020）中的城市绿化、道路清扫、消防、建筑施工标准</w:t>
                  </w:r>
                </w:p>
              </w:tc>
              <w:tc>
                <w:tcPr>
                  <w:tcW w:w="1383" w:type="dxa"/>
                  <w:noWrap w:val="0"/>
                  <w:vAlign w:val="center"/>
                </w:tcPr>
                <w:p w14:paraId="32746430">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72B0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vMerge w:val="restart"/>
                  <w:noWrap w:val="0"/>
                  <w:vAlign w:val="center"/>
                </w:tcPr>
                <w:p w14:paraId="09D0B9E1">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495" w:type="dxa"/>
                  <w:gridSpan w:val="2"/>
                  <w:noWrap w:val="0"/>
                  <w:vAlign w:val="center"/>
                </w:tcPr>
                <w:p w14:paraId="0A9A9EDD">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4717" w:type="dxa"/>
                  <w:gridSpan w:val="6"/>
                  <w:noWrap w:val="0"/>
                  <w:vAlign w:val="center"/>
                </w:tcPr>
                <w:p w14:paraId="427DAC4F">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一体化污水处理站出口</w:t>
                  </w:r>
                </w:p>
              </w:tc>
              <w:tc>
                <w:tcPr>
                  <w:tcW w:w="1383" w:type="dxa"/>
                  <w:noWrap w:val="0"/>
                  <w:vAlign w:val="center"/>
                </w:tcPr>
                <w:p w14:paraId="714FFBA1">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14:paraId="709E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vMerge w:val="continue"/>
                  <w:noWrap w:val="0"/>
                  <w:vAlign w:val="center"/>
                </w:tcPr>
                <w:p w14:paraId="783F4716">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95" w:type="dxa"/>
                  <w:gridSpan w:val="2"/>
                  <w:noWrap w:val="0"/>
                  <w:vAlign w:val="center"/>
                </w:tcPr>
                <w:p w14:paraId="6DACBE6F">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4717" w:type="dxa"/>
                  <w:gridSpan w:val="6"/>
                  <w:noWrap w:val="0"/>
                  <w:vAlign w:val="center"/>
                </w:tcPr>
                <w:p w14:paraId="675123A3">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COD、BOD</w:t>
                  </w:r>
                  <w:r>
                    <w:rPr>
                      <w:rFonts w:hint="default" w:ascii="Times New Roman" w:hAnsi="Times New Roman" w:eastAsia="宋体" w:cs="Times New Roman"/>
                      <w:b w:val="0"/>
                      <w:bCs/>
                      <w:color w:val="auto"/>
                      <w:spacing w:val="-10"/>
                      <w:sz w:val="21"/>
                      <w:szCs w:val="21"/>
                      <w:highlight w:val="none"/>
                      <w:vertAlign w:val="subscript"/>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、SS、氨氮、总磷、动植物油</w:t>
                  </w:r>
                </w:p>
              </w:tc>
              <w:tc>
                <w:tcPr>
                  <w:tcW w:w="1383" w:type="dxa"/>
                  <w:noWrap w:val="0"/>
                  <w:vAlign w:val="center"/>
                </w:tcPr>
                <w:p w14:paraId="0C532AA5">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14:paraId="15B8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vMerge w:val="continue"/>
                  <w:noWrap w:val="0"/>
                  <w:vAlign w:val="center"/>
                </w:tcPr>
                <w:p w14:paraId="76F429F2">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95" w:type="dxa"/>
                  <w:gridSpan w:val="2"/>
                  <w:noWrap w:val="0"/>
                  <w:vAlign w:val="center"/>
                </w:tcPr>
                <w:p w14:paraId="34774BE6">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4717" w:type="dxa"/>
                  <w:gridSpan w:val="6"/>
                  <w:noWrap w:val="0"/>
                  <w:vAlign w:val="center"/>
                </w:tcPr>
                <w:p w14:paraId="2AFDCCE1">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验收时监测一次，后根据国家相关技术规范进行</w:t>
                  </w:r>
                </w:p>
              </w:tc>
              <w:tc>
                <w:tcPr>
                  <w:tcW w:w="1383" w:type="dxa"/>
                  <w:noWrap w:val="0"/>
                  <w:vAlign w:val="center"/>
                </w:tcPr>
                <w:p w14:paraId="058B8CC5">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bl>
          <w:p w14:paraId="1322A62A">
            <w:pPr>
              <w:pStyle w:val="72"/>
              <w:adjustRightInd w:val="0"/>
              <w:snapToGrid w:val="0"/>
              <w:ind w:firstLine="600" w:firstLineChars="25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本</w:t>
            </w:r>
            <w:r>
              <w:rPr>
                <w:rFonts w:hint="default" w:ascii="Times New Roman" w:hAnsi="Times New Roman" w:eastAsia="宋体" w:cs="Times New Roman"/>
                <w:b w:val="0"/>
                <w:bCs w:val="0"/>
                <w:color w:val="auto"/>
                <w:sz w:val="24"/>
                <w:szCs w:val="24"/>
                <w:highlight w:val="none"/>
              </w:rPr>
              <w:t>项目</w:t>
            </w:r>
            <w:r>
              <w:rPr>
                <w:rFonts w:hint="default" w:ascii="Times New Roman" w:hAnsi="Times New Roman" w:eastAsia="宋体" w:cs="Times New Roman"/>
                <w:b w:val="0"/>
                <w:bCs w:val="0"/>
                <w:color w:val="auto"/>
                <w:sz w:val="24"/>
                <w:szCs w:val="24"/>
                <w:highlight w:val="none"/>
                <w:lang w:val="en-US" w:eastAsia="zh-CN"/>
              </w:rPr>
              <w:t>排水采用雨污分流的排水方式，项目区建筑物屋面及地面雨水经厂区雨水沟收</w:t>
            </w:r>
            <w:r>
              <w:rPr>
                <w:rFonts w:hint="default" w:ascii="Times New Roman" w:hAnsi="Times New Roman" w:eastAsia="宋体" w:cs="Times New Roman"/>
                <w:color w:val="auto"/>
                <w:sz w:val="24"/>
                <w:szCs w:val="24"/>
                <w:highlight w:val="none"/>
                <w:lang w:val="en-US" w:eastAsia="zh-CN"/>
              </w:rPr>
              <w:t>集后排入园区雨水市政管网；冷却废水经循环水冷却池冷却后循环使用，不外排；食堂废水经隔油池处理后，与生活污水一同进入</w:t>
            </w:r>
            <w:r>
              <w:rPr>
                <w:rFonts w:hint="eastAsia" w:ascii="Times New Roman" w:hAnsi="Times New Roman" w:eastAsia="宋体" w:cs="Times New Roman"/>
                <w:color w:val="auto"/>
                <w:sz w:val="24"/>
                <w:szCs w:val="24"/>
                <w:highlight w:val="none"/>
                <w:lang w:val="en-US" w:eastAsia="zh-CN"/>
              </w:rPr>
              <w:t>依托的</w:t>
            </w:r>
            <w:r>
              <w:rPr>
                <w:rFonts w:hint="default" w:ascii="Times New Roman" w:hAnsi="Times New Roman" w:eastAsia="宋体" w:cs="Times New Roman"/>
                <w:color w:val="auto"/>
                <w:sz w:val="24"/>
                <w:szCs w:val="24"/>
                <w:highlight w:val="none"/>
                <w:lang w:val="en-US" w:eastAsia="zh-CN"/>
              </w:rPr>
              <w:t>化粪池处理</w:t>
            </w:r>
            <w:r>
              <w:rPr>
                <w:rFonts w:hint="eastAsia" w:ascii="Times New Roman" w:hAnsi="Times New Roman" w:eastAsia="宋体" w:cs="Times New Roman"/>
                <w:color w:val="auto"/>
                <w:sz w:val="24"/>
                <w:szCs w:val="24"/>
                <w:highlight w:val="none"/>
                <w:lang w:val="en-US" w:eastAsia="zh-CN"/>
              </w:rPr>
              <w:t>后</w:t>
            </w:r>
            <w:r>
              <w:rPr>
                <w:rFonts w:hint="default" w:ascii="Times New Roman" w:hAnsi="Times New Roman" w:eastAsia="宋体" w:cs="Times New Roman"/>
                <w:color w:val="auto"/>
                <w:sz w:val="24"/>
                <w:szCs w:val="24"/>
                <w:highlight w:val="none"/>
                <w:lang w:val="en-US" w:eastAsia="zh-CN"/>
              </w:rPr>
              <w:t>再进入到厂区</w:t>
            </w:r>
            <w:r>
              <w:rPr>
                <w:rFonts w:hint="eastAsia" w:ascii="Times New Roman" w:hAnsi="Times New Roman" w:eastAsia="宋体" w:cs="Times New Roman"/>
                <w:color w:val="auto"/>
                <w:sz w:val="24"/>
                <w:szCs w:val="24"/>
                <w:highlight w:val="none"/>
                <w:lang w:val="en-US" w:eastAsia="zh-CN"/>
              </w:rPr>
              <w:t>依托的一体化污水处理站</w:t>
            </w:r>
            <w:r>
              <w:rPr>
                <w:rFonts w:hint="default" w:ascii="Times New Roman" w:hAnsi="Times New Roman" w:eastAsia="宋体" w:cs="Times New Roman"/>
                <w:color w:val="auto"/>
                <w:sz w:val="24"/>
                <w:szCs w:val="24"/>
                <w:highlight w:val="none"/>
                <w:lang w:val="en-US" w:eastAsia="zh-CN"/>
              </w:rPr>
              <w:t>处理后，达到《城市污水再生利用 城市杂用水水质》（GB/T18920-2020）中的城市绿化、道路清扫、消防、建筑施工标准后，用于项目区内绿化及道路场地洒水降尘，不外排。</w:t>
            </w:r>
          </w:p>
          <w:p w14:paraId="5908E855">
            <w:pPr>
              <w:keepNext w:val="0"/>
              <w:keepLines w:val="0"/>
              <w:pageBreakBefore w:val="0"/>
              <w:widowControl w:val="0"/>
              <w:shd w:val="clear"/>
              <w:kinsoku/>
              <w:wordWrap/>
              <w:overflowPunct/>
              <w:topLinePunct w:val="0"/>
              <w:autoSpaceDE/>
              <w:autoSpaceDN/>
              <w:bidi w:val="0"/>
              <w:adjustRightInd w:val="0"/>
              <w:snapToGrid w:val="0"/>
              <w:spacing w:line="360" w:lineRule="auto"/>
              <w:ind w:firstLine="524" w:firstLineChars="200"/>
              <w:textAlignment w:val="auto"/>
              <w:rPr>
                <w:rFonts w:hint="default" w:ascii="Times New Roman" w:hAnsi="Times New Roman" w:eastAsia="宋体" w:cs="Times New Roman"/>
                <w:b w:val="0"/>
                <w:bCs w:val="0"/>
                <w:snapToGrid w:val="0"/>
                <w:color w:val="auto"/>
                <w:kern w:val="0"/>
                <w:sz w:val="24"/>
                <w:highlight w:val="none"/>
                <w:lang w:val="en-US" w:eastAsia="zh-CN"/>
              </w:rPr>
            </w:pPr>
            <w:r>
              <w:rPr>
                <w:rFonts w:hint="default" w:ascii="Times New Roman" w:hAnsi="Times New Roman" w:eastAsia="宋体" w:cs="Times New Roman"/>
                <w:color w:val="auto"/>
                <w:spacing w:val="11"/>
                <w:sz w:val="24"/>
                <w:szCs w:val="24"/>
                <w:highlight w:val="none"/>
                <w:lang w:val="en-US" w:eastAsia="zh-CN"/>
              </w:rPr>
              <w:t>根据水</w:t>
            </w:r>
            <w:r>
              <w:rPr>
                <w:rFonts w:hint="default" w:ascii="Times New Roman" w:hAnsi="Times New Roman" w:eastAsia="宋体" w:cs="Times New Roman"/>
                <w:color w:val="auto"/>
                <w:spacing w:val="11"/>
                <w:sz w:val="24"/>
                <w:highlight w:val="none"/>
                <w:lang w:val="en-US" w:eastAsia="zh-CN"/>
              </w:rPr>
              <w:t>平衡可知，本项目运营期办公生活污水量为</w:t>
            </w:r>
            <w:r>
              <w:rPr>
                <w:rFonts w:hint="eastAsia" w:cs="Times New Roman"/>
                <w:caps w:val="0"/>
                <w:snapToGrid w:val="0"/>
                <w:color w:val="auto"/>
                <w:spacing w:val="0"/>
                <w:w w:val="100"/>
                <w:kern w:val="2"/>
                <w:position w:val="0"/>
                <w:sz w:val="24"/>
                <w:szCs w:val="24"/>
                <w:highlight w:val="none"/>
                <w:lang w:val="en-US" w:eastAsia="zh-CN" w:bidi="ar-SA"/>
              </w:rPr>
              <w:t>1</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.6m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/d、</w:t>
            </w:r>
            <w:r>
              <w:rPr>
                <w:rFonts w:hint="eastAsia" w:cs="Times New Roman"/>
                <w:caps w:val="0"/>
                <w:snapToGrid w:val="0"/>
                <w:color w:val="auto"/>
                <w:spacing w:val="0"/>
                <w:w w:val="100"/>
                <w:kern w:val="2"/>
                <w:position w:val="0"/>
                <w:sz w:val="24"/>
                <w:szCs w:val="24"/>
                <w:highlight w:val="none"/>
                <w:lang w:val="en-US" w:eastAsia="zh-CN" w:bidi="ar-SA"/>
              </w:rPr>
              <w:t>4</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80m</w:t>
            </w:r>
            <w:r>
              <w:rPr>
                <w:rFonts w:hint="default" w:ascii="Times New Roman" w:hAnsi="Times New Roman" w:eastAsia="宋体" w:cs="Times New Roman"/>
                <w:caps w:val="0"/>
                <w:snapToGrid w:val="0"/>
                <w:color w:val="auto"/>
                <w:spacing w:val="0"/>
                <w:w w:val="100"/>
                <w:kern w:val="2"/>
                <w:position w:val="0"/>
                <w:sz w:val="24"/>
                <w:szCs w:val="24"/>
                <w:highlight w:val="none"/>
                <w:vertAlign w:val="superscript"/>
                <w:lang w:val="en-US" w:eastAsia="zh-CN" w:bidi="ar-SA"/>
              </w:rPr>
              <w:t>3</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/a</w:t>
            </w:r>
            <w:r>
              <w:rPr>
                <w:rFonts w:hint="default" w:ascii="Times New Roman" w:hAnsi="Times New Roman" w:eastAsia="宋体" w:cs="Times New Roman"/>
                <w:color w:val="auto"/>
                <w:spacing w:val="11"/>
                <w:sz w:val="24"/>
                <w:highlight w:val="none"/>
                <w:lang w:val="en-US" w:eastAsia="zh-CN"/>
              </w:rPr>
              <w:t>。</w:t>
            </w:r>
          </w:p>
          <w:p w14:paraId="224AF948">
            <w:pPr>
              <w:keepNext w:val="0"/>
              <w:keepLines w:val="0"/>
              <w:pageBreakBefore w:val="0"/>
              <w:widowControl w:val="0"/>
              <w:shd w:val="clear"/>
              <w:kinsoku/>
              <w:wordWrap/>
              <w:overflowPunct/>
              <w:topLinePunct w:val="0"/>
              <w:autoSpaceDE/>
              <w:autoSpaceDN/>
              <w:bidi w:val="0"/>
              <w:adjustRightInd/>
              <w:spacing w:line="360" w:lineRule="auto"/>
              <w:ind w:firstLine="526" w:firstLineChars="200"/>
              <w:textAlignment w:val="auto"/>
              <w:rPr>
                <w:rFonts w:hint="default" w:ascii="Times New Roman" w:hAnsi="Times New Roman" w:eastAsia="宋体" w:cs="Times New Roman"/>
                <w:b/>
                <w:bCs/>
                <w:color w:val="auto"/>
                <w:spacing w:val="11"/>
                <w:sz w:val="24"/>
                <w:highlight w:val="none"/>
                <w:lang w:val="zh-CN"/>
              </w:rPr>
            </w:pPr>
            <w:r>
              <w:rPr>
                <w:rFonts w:hint="default" w:ascii="Times New Roman" w:hAnsi="Times New Roman" w:eastAsia="宋体" w:cs="Times New Roman"/>
                <w:b/>
                <w:bCs/>
                <w:color w:val="auto"/>
                <w:spacing w:val="11"/>
                <w:sz w:val="24"/>
                <w:highlight w:val="none"/>
                <w:lang w:val="en-US" w:eastAsia="zh-CN"/>
              </w:rPr>
              <w:t>2、</w:t>
            </w:r>
            <w:r>
              <w:rPr>
                <w:rFonts w:hint="default" w:ascii="Times New Roman" w:hAnsi="Times New Roman" w:eastAsia="宋体" w:cs="Times New Roman"/>
                <w:b/>
                <w:bCs/>
                <w:color w:val="auto"/>
                <w:spacing w:val="11"/>
                <w:sz w:val="24"/>
                <w:highlight w:val="none"/>
              </w:rPr>
              <w:t>提出措施后污染物分析</w:t>
            </w:r>
          </w:p>
          <w:p w14:paraId="1FA8A4EB">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1"/>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（1）综合生活污水</w:t>
            </w:r>
          </w:p>
          <w:p w14:paraId="7F00C174">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color w:val="auto"/>
              </w:rPr>
            </w:pPr>
            <w:r>
              <w:rPr>
                <w:color w:val="auto"/>
                <w:sz w:val="24"/>
              </w:rPr>
              <w:t>项目生活废水水质产生情况</w:t>
            </w:r>
            <w:r>
              <w:rPr>
                <w:rFonts w:hint="eastAsia" w:ascii="宋体" w:hAnsi="宋体" w:eastAsia="宋体" w:cs="宋体"/>
                <w:color w:val="auto"/>
                <w:kern w:val="0"/>
                <w:sz w:val="24"/>
                <w:szCs w:val="24"/>
                <w:lang w:val="en-US" w:eastAsia="zh-CN" w:bidi="ar"/>
              </w:rPr>
              <w:t>参考《生活源产排污系数及使用说明》（环境保护部华南环境科学研究所，</w:t>
            </w:r>
            <w:r>
              <w:rPr>
                <w:rFonts w:hint="default" w:ascii="Times New Roman" w:hAnsi="Times New Roman" w:eastAsia="宋体" w:cs="Times New Roman"/>
                <w:color w:val="auto"/>
                <w:kern w:val="0"/>
                <w:sz w:val="24"/>
                <w:szCs w:val="24"/>
                <w:lang w:val="en-US" w:eastAsia="zh-CN" w:bidi="ar"/>
              </w:rPr>
              <w:t>2010.1.13</w:t>
            </w:r>
            <w:r>
              <w:rPr>
                <w:rFonts w:hint="eastAsia" w:ascii="宋体" w:hAnsi="宋体" w:eastAsia="宋体" w:cs="宋体"/>
                <w:color w:val="auto"/>
                <w:kern w:val="0"/>
                <w:sz w:val="24"/>
                <w:szCs w:val="24"/>
                <w:lang w:val="en-US" w:eastAsia="zh-CN" w:bidi="ar"/>
              </w:rPr>
              <w:t>）中“生活源污水污染物人均产生系数”，云南省昆明市生活源污水污染物人均产生系数为</w:t>
            </w:r>
            <w:r>
              <w:rPr>
                <w:rFonts w:hint="default" w:ascii="Times New Roman" w:hAnsi="Times New Roman" w:eastAsia="宋体" w:cs="Times New Roman"/>
                <w:color w:val="auto"/>
                <w:kern w:val="0"/>
                <w:sz w:val="24"/>
                <w:szCs w:val="24"/>
                <w:lang w:val="en-US" w:eastAsia="zh-CN" w:bidi="ar"/>
              </w:rPr>
              <w:t>COD 60g/</w:t>
            </w:r>
            <w:r>
              <w:rPr>
                <w:rFonts w:hint="eastAsia" w:ascii="宋体" w:hAnsi="宋体" w:eastAsia="宋体" w:cs="宋体"/>
                <w:color w:val="auto"/>
                <w:kern w:val="0"/>
                <w:sz w:val="24"/>
                <w:szCs w:val="24"/>
                <w:lang w:val="en-US" w:eastAsia="zh-CN" w:bidi="ar"/>
              </w:rPr>
              <w:t>人</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天，</w:t>
            </w:r>
            <w:r>
              <w:rPr>
                <w:rFonts w:hint="default" w:ascii="Times New Roman" w:hAnsi="Times New Roman" w:eastAsia="宋体" w:cs="Times New Roman"/>
                <w:color w:val="auto"/>
                <w:kern w:val="0"/>
                <w:sz w:val="24"/>
                <w:szCs w:val="24"/>
                <w:lang w:val="en-US" w:eastAsia="zh-CN" w:bidi="ar"/>
              </w:rPr>
              <w:t>NH</w:t>
            </w:r>
            <w:r>
              <w:rPr>
                <w:rFonts w:hint="default" w:ascii="Times New Roman" w:hAnsi="Times New Roman" w:eastAsia="宋体" w:cs="Times New Roman"/>
                <w:color w:val="auto"/>
                <w:kern w:val="0"/>
                <w:sz w:val="15"/>
                <w:szCs w:val="15"/>
                <w:lang w:val="en-US" w:eastAsia="zh-CN" w:bidi="ar"/>
              </w:rPr>
              <w:t>3</w:t>
            </w:r>
            <w:r>
              <w:rPr>
                <w:rFonts w:hint="default" w:ascii="Times New Roman" w:hAnsi="Times New Roman" w:eastAsia="宋体" w:cs="Times New Roman"/>
                <w:color w:val="auto"/>
                <w:kern w:val="0"/>
                <w:sz w:val="24"/>
                <w:szCs w:val="24"/>
                <w:lang w:val="en-US" w:eastAsia="zh-CN" w:bidi="ar"/>
              </w:rPr>
              <w:t>-N8.76g/</w:t>
            </w:r>
            <w:r>
              <w:rPr>
                <w:rFonts w:hint="eastAsia" w:ascii="宋体" w:hAnsi="宋体" w:eastAsia="宋体" w:cs="宋体"/>
                <w:color w:val="auto"/>
                <w:kern w:val="0"/>
                <w:sz w:val="24"/>
                <w:szCs w:val="24"/>
                <w:lang w:val="en-US" w:eastAsia="zh-CN" w:bidi="ar"/>
              </w:rPr>
              <w:t>人</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天，</w:t>
            </w:r>
            <w:r>
              <w:rPr>
                <w:rFonts w:hint="default" w:ascii="Times New Roman" w:hAnsi="Times New Roman" w:eastAsia="宋体" w:cs="Times New Roman"/>
                <w:color w:val="auto"/>
                <w:kern w:val="0"/>
                <w:sz w:val="24"/>
                <w:szCs w:val="24"/>
                <w:lang w:val="en-US" w:eastAsia="zh-CN" w:bidi="ar"/>
              </w:rPr>
              <w:t>TN11.28g/</w:t>
            </w:r>
            <w:r>
              <w:rPr>
                <w:rFonts w:hint="eastAsia" w:ascii="宋体" w:hAnsi="宋体" w:eastAsia="宋体" w:cs="宋体"/>
                <w:color w:val="auto"/>
                <w:kern w:val="0"/>
                <w:sz w:val="24"/>
                <w:szCs w:val="24"/>
                <w:lang w:val="en-US" w:eastAsia="zh-CN" w:bidi="ar"/>
              </w:rPr>
              <w:t>人</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天，</w:t>
            </w:r>
            <w:r>
              <w:rPr>
                <w:rFonts w:hint="default" w:ascii="Times New Roman" w:hAnsi="Times New Roman" w:eastAsia="宋体" w:cs="Times New Roman"/>
                <w:color w:val="auto"/>
                <w:kern w:val="0"/>
                <w:sz w:val="24"/>
                <w:szCs w:val="24"/>
                <w:lang w:val="en-US" w:eastAsia="zh-CN" w:bidi="ar"/>
              </w:rPr>
              <w:t>TP1g/</w:t>
            </w:r>
            <w:r>
              <w:rPr>
                <w:rFonts w:hint="eastAsia" w:ascii="宋体" w:hAnsi="宋体" w:eastAsia="宋体" w:cs="宋体"/>
                <w:color w:val="auto"/>
                <w:kern w:val="0"/>
                <w:sz w:val="24"/>
                <w:szCs w:val="24"/>
                <w:lang w:val="en-US" w:eastAsia="zh-CN" w:bidi="ar"/>
              </w:rPr>
              <w:t>人</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天，动植物油</w:t>
            </w:r>
            <w:r>
              <w:rPr>
                <w:rFonts w:hint="default" w:ascii="Times New Roman" w:hAnsi="Times New Roman" w:eastAsia="宋体" w:cs="Times New Roman"/>
                <w:color w:val="auto"/>
                <w:kern w:val="0"/>
                <w:sz w:val="24"/>
                <w:szCs w:val="24"/>
                <w:lang w:val="en-US" w:eastAsia="zh-CN" w:bidi="ar"/>
              </w:rPr>
              <w:t>1.55g/</w:t>
            </w:r>
            <w:r>
              <w:rPr>
                <w:rFonts w:hint="eastAsia" w:ascii="宋体" w:hAnsi="宋体" w:eastAsia="宋体" w:cs="宋体"/>
                <w:color w:val="auto"/>
                <w:kern w:val="0"/>
                <w:sz w:val="24"/>
                <w:szCs w:val="24"/>
                <w:lang w:val="en-US" w:eastAsia="zh-CN" w:bidi="ar"/>
              </w:rPr>
              <w:t>人</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天，</w:t>
            </w:r>
            <w:r>
              <w:rPr>
                <w:rFonts w:hint="default" w:ascii="Times New Roman" w:hAnsi="Times New Roman" w:eastAsia="宋体" w:cs="Times New Roman"/>
                <w:color w:val="auto"/>
                <w:kern w:val="0"/>
                <w:sz w:val="24"/>
                <w:szCs w:val="24"/>
                <w:lang w:val="en-US" w:eastAsia="zh-CN" w:bidi="ar"/>
              </w:rPr>
              <w:t>BOD</w:t>
            </w:r>
            <w:r>
              <w:rPr>
                <w:rFonts w:hint="default" w:ascii="Times New Roman" w:hAnsi="Times New Roman" w:eastAsia="宋体" w:cs="Times New Roman"/>
                <w:color w:val="auto"/>
                <w:kern w:val="0"/>
                <w:sz w:val="15"/>
                <w:szCs w:val="15"/>
                <w:lang w:val="en-US" w:eastAsia="zh-CN" w:bidi="ar"/>
              </w:rPr>
              <w:t xml:space="preserve">5 </w:t>
            </w:r>
            <w:r>
              <w:rPr>
                <w:rFonts w:hint="default" w:ascii="Times New Roman" w:hAnsi="Times New Roman" w:eastAsia="宋体" w:cs="Times New Roman"/>
                <w:color w:val="auto"/>
                <w:kern w:val="0"/>
                <w:sz w:val="24"/>
                <w:szCs w:val="24"/>
                <w:lang w:val="en-US" w:eastAsia="zh-CN" w:bidi="ar"/>
              </w:rPr>
              <w:t>25g/</w:t>
            </w:r>
            <w:r>
              <w:rPr>
                <w:rFonts w:hint="eastAsia" w:ascii="宋体" w:hAnsi="宋体" w:eastAsia="宋体" w:cs="宋体"/>
                <w:color w:val="auto"/>
                <w:kern w:val="0"/>
                <w:sz w:val="24"/>
                <w:szCs w:val="24"/>
                <w:lang w:val="en-US" w:eastAsia="zh-CN" w:bidi="ar"/>
              </w:rPr>
              <w:t>人</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天，</w:t>
            </w:r>
            <w:r>
              <w:rPr>
                <w:rFonts w:hint="default" w:ascii="Times New Roman" w:hAnsi="Times New Roman" w:eastAsia="宋体" w:cs="Times New Roman"/>
                <w:color w:val="auto"/>
                <w:kern w:val="0"/>
                <w:sz w:val="24"/>
                <w:szCs w:val="24"/>
                <w:lang w:val="en-US" w:eastAsia="zh-CN" w:bidi="ar"/>
              </w:rPr>
              <w:t>SS</w:t>
            </w:r>
            <w:r>
              <w:rPr>
                <w:rFonts w:hint="eastAsia" w:ascii="宋体" w:hAnsi="宋体" w:eastAsia="宋体" w:cs="宋体"/>
                <w:color w:val="auto"/>
                <w:kern w:val="0"/>
                <w:sz w:val="24"/>
                <w:szCs w:val="24"/>
                <w:lang w:val="en-US" w:eastAsia="zh-CN" w:bidi="ar"/>
              </w:rPr>
              <w:t>参考《室外排水设计规范》（</w:t>
            </w:r>
            <w:r>
              <w:rPr>
                <w:rFonts w:hint="default" w:ascii="Times New Roman" w:hAnsi="Times New Roman" w:eastAsia="宋体" w:cs="Times New Roman"/>
                <w:color w:val="auto"/>
                <w:kern w:val="0"/>
                <w:sz w:val="24"/>
                <w:szCs w:val="24"/>
                <w:lang w:val="en-US" w:eastAsia="zh-CN" w:bidi="ar"/>
              </w:rPr>
              <w:t>GB50101-2005</w:t>
            </w:r>
            <w:r>
              <w:rPr>
                <w:rFonts w:hint="eastAsia" w:ascii="宋体" w:hAnsi="宋体" w:eastAsia="宋体" w:cs="宋体"/>
                <w:color w:val="auto"/>
                <w:kern w:val="0"/>
                <w:sz w:val="24"/>
                <w:szCs w:val="24"/>
                <w:lang w:val="en-US" w:eastAsia="zh-CN" w:bidi="ar"/>
              </w:rPr>
              <w:t>）中“生活污水的悬浮固体量可按每人每天</w:t>
            </w:r>
            <w:r>
              <w:rPr>
                <w:rFonts w:hint="default" w:ascii="Times New Roman" w:hAnsi="Times New Roman" w:eastAsia="宋体" w:cs="Times New Roman"/>
                <w:color w:val="auto"/>
                <w:kern w:val="0"/>
                <w:sz w:val="24"/>
                <w:szCs w:val="24"/>
                <w:lang w:val="en-US" w:eastAsia="zh-CN" w:bidi="ar"/>
              </w:rPr>
              <w:t>40~65g</w:t>
            </w:r>
            <w:r>
              <w:rPr>
                <w:rFonts w:hint="eastAsia" w:ascii="宋体" w:hAnsi="宋体" w:eastAsia="宋体" w:cs="宋体"/>
                <w:color w:val="auto"/>
                <w:kern w:val="0"/>
                <w:sz w:val="24"/>
                <w:szCs w:val="24"/>
                <w:lang w:val="en-US" w:eastAsia="zh-CN" w:bidi="ar"/>
              </w:rPr>
              <w:t>计算”，环评取</w:t>
            </w:r>
            <w:r>
              <w:rPr>
                <w:rFonts w:hint="default" w:ascii="Times New Roman" w:hAnsi="Times New Roman" w:eastAsia="宋体" w:cs="Times New Roman"/>
                <w:color w:val="auto"/>
                <w:kern w:val="0"/>
                <w:sz w:val="24"/>
                <w:szCs w:val="24"/>
                <w:lang w:val="en-US" w:eastAsia="zh-CN" w:bidi="ar"/>
              </w:rPr>
              <w:t>40g/</w:t>
            </w:r>
            <w:r>
              <w:rPr>
                <w:rFonts w:hint="eastAsia" w:ascii="宋体" w:hAnsi="宋体" w:eastAsia="宋体" w:cs="宋体"/>
                <w:color w:val="auto"/>
                <w:kern w:val="0"/>
                <w:sz w:val="24"/>
                <w:szCs w:val="24"/>
                <w:lang w:val="en-US" w:eastAsia="zh-CN" w:bidi="ar"/>
              </w:rPr>
              <w:t>人</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天。根据《生活源产排污系数及使用说明》中昆明市居民生活人均排水量（</w:t>
            </w:r>
            <w:r>
              <w:rPr>
                <w:rFonts w:hint="default" w:ascii="Times New Roman" w:hAnsi="Times New Roman" w:eastAsia="宋体" w:cs="Times New Roman"/>
                <w:color w:val="auto"/>
                <w:kern w:val="0"/>
                <w:sz w:val="24"/>
                <w:szCs w:val="24"/>
                <w:lang w:val="en-US" w:eastAsia="zh-CN" w:bidi="ar"/>
              </w:rPr>
              <w:t>140L/</w:t>
            </w:r>
            <w:r>
              <w:rPr>
                <w:rFonts w:hint="eastAsia" w:ascii="宋体" w:hAnsi="宋体" w:eastAsia="宋体" w:cs="宋体"/>
                <w:color w:val="auto"/>
                <w:kern w:val="0"/>
                <w:sz w:val="24"/>
                <w:szCs w:val="24"/>
                <w:lang w:val="en-US" w:eastAsia="zh-CN" w:bidi="ar"/>
              </w:rPr>
              <w:t>人</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天）折算，项目生活污水中各污染物浓度为</w:t>
            </w:r>
            <w:r>
              <w:rPr>
                <w:rFonts w:hint="default" w:ascii="Times New Roman" w:hAnsi="Times New Roman" w:eastAsia="宋体" w:cs="Times New Roman"/>
                <w:color w:val="auto"/>
                <w:kern w:val="0"/>
                <w:sz w:val="24"/>
                <w:szCs w:val="24"/>
                <w:lang w:val="en-US" w:eastAsia="zh-CN" w:bidi="ar"/>
              </w:rPr>
              <w:t>COD428.57mg/L</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BOD</w:t>
            </w:r>
            <w:r>
              <w:rPr>
                <w:rFonts w:hint="default" w:ascii="Times New Roman" w:hAnsi="Times New Roman" w:eastAsia="宋体" w:cs="Times New Roman"/>
                <w:color w:val="auto"/>
                <w:kern w:val="0"/>
                <w:sz w:val="15"/>
                <w:szCs w:val="15"/>
                <w:lang w:val="en-US" w:eastAsia="zh-CN" w:bidi="ar"/>
              </w:rPr>
              <w:t>5</w:t>
            </w:r>
            <w:r>
              <w:rPr>
                <w:rFonts w:hint="default" w:ascii="Times New Roman" w:hAnsi="Times New Roman" w:eastAsia="宋体" w:cs="Times New Roman"/>
                <w:color w:val="auto"/>
                <w:kern w:val="0"/>
                <w:sz w:val="24"/>
                <w:szCs w:val="24"/>
                <w:lang w:val="en-US" w:eastAsia="zh-CN" w:bidi="ar"/>
              </w:rPr>
              <w:t>178.57mg/L</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NH</w:t>
            </w:r>
            <w:r>
              <w:rPr>
                <w:rFonts w:hint="default" w:ascii="Times New Roman" w:hAnsi="Times New Roman" w:eastAsia="宋体" w:cs="Times New Roman"/>
                <w:color w:val="auto"/>
                <w:kern w:val="0"/>
                <w:sz w:val="15"/>
                <w:szCs w:val="15"/>
                <w:lang w:val="en-US" w:eastAsia="zh-CN" w:bidi="ar"/>
              </w:rPr>
              <w:t>3</w:t>
            </w:r>
            <w:r>
              <w:rPr>
                <w:rFonts w:hint="default" w:ascii="Times New Roman" w:hAnsi="Times New Roman" w:eastAsia="宋体" w:cs="Times New Roman"/>
                <w:color w:val="auto"/>
                <w:kern w:val="0"/>
                <w:sz w:val="24"/>
                <w:szCs w:val="24"/>
                <w:lang w:val="en-US" w:eastAsia="zh-CN" w:bidi="ar"/>
              </w:rPr>
              <w:t>-N62.57mg/L</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TP7.14mg/L</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TN80.57mg/L</w:t>
            </w:r>
            <w:r>
              <w:rPr>
                <w:rFonts w:hint="eastAsia" w:ascii="宋体" w:hAnsi="宋体" w:eastAsia="宋体" w:cs="宋体"/>
                <w:color w:val="auto"/>
                <w:kern w:val="0"/>
                <w:sz w:val="24"/>
                <w:szCs w:val="24"/>
                <w:lang w:val="en-US" w:eastAsia="zh-CN" w:bidi="ar"/>
              </w:rPr>
              <w:t>，动植物油</w:t>
            </w:r>
            <w:r>
              <w:rPr>
                <w:rFonts w:hint="default" w:ascii="Times New Roman" w:hAnsi="Times New Roman" w:eastAsia="宋体" w:cs="Times New Roman"/>
                <w:color w:val="auto"/>
                <w:kern w:val="0"/>
                <w:sz w:val="24"/>
                <w:szCs w:val="24"/>
                <w:lang w:val="en-US" w:eastAsia="zh-CN" w:bidi="ar"/>
              </w:rPr>
              <w:t>11.07mg/L</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SS285.71mg/L</w:t>
            </w:r>
            <w:r>
              <w:rPr>
                <w:rFonts w:hint="eastAsia" w:ascii="宋体" w:hAnsi="宋体" w:eastAsia="宋体" w:cs="宋体"/>
                <w:color w:val="auto"/>
                <w:kern w:val="0"/>
                <w:sz w:val="24"/>
                <w:szCs w:val="24"/>
                <w:lang w:val="en-US" w:eastAsia="zh-CN" w:bidi="ar"/>
              </w:rPr>
              <w:t>。</w:t>
            </w:r>
          </w:p>
          <w:p w14:paraId="54F8710A">
            <w:pPr>
              <w:pStyle w:val="72"/>
              <w:adjustRightInd w:val="0"/>
              <w:snapToGrid w:val="0"/>
              <w:ind w:firstLine="600" w:firstLineChars="25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0"/>
                <w:sz w:val="24"/>
                <w:szCs w:val="20"/>
                <w:highlight w:val="none"/>
                <w:lang w:val="en-US" w:eastAsia="zh-CN"/>
              </w:rPr>
              <w:t>因此，本次环评提出</w:t>
            </w:r>
            <w:r>
              <w:rPr>
                <w:rFonts w:hint="default" w:ascii="Times New Roman" w:hAnsi="Times New Roman" w:eastAsia="宋体" w:cs="Times New Roman"/>
                <w:color w:val="auto"/>
                <w:sz w:val="24"/>
                <w:szCs w:val="24"/>
                <w:highlight w:val="none"/>
                <w:lang w:val="en-US" w:eastAsia="zh-CN"/>
              </w:rPr>
              <w:t>食堂废水经隔油池处理后，与生活污水一同进入</w:t>
            </w:r>
            <w:r>
              <w:rPr>
                <w:rFonts w:hint="eastAsia" w:ascii="Times New Roman" w:hAnsi="Times New Roman" w:eastAsia="宋体" w:cs="Times New Roman"/>
                <w:color w:val="auto"/>
                <w:sz w:val="24"/>
                <w:szCs w:val="24"/>
                <w:highlight w:val="none"/>
                <w:lang w:val="en-US" w:eastAsia="zh-CN"/>
              </w:rPr>
              <w:t>依托的</w:t>
            </w:r>
            <w:r>
              <w:rPr>
                <w:rFonts w:hint="default" w:ascii="Times New Roman" w:hAnsi="Times New Roman" w:eastAsia="宋体" w:cs="Times New Roman"/>
                <w:color w:val="auto"/>
                <w:sz w:val="24"/>
                <w:szCs w:val="24"/>
                <w:highlight w:val="none"/>
                <w:lang w:val="en-US" w:eastAsia="zh-CN"/>
              </w:rPr>
              <w:t>化粪池处理</w:t>
            </w:r>
            <w:r>
              <w:rPr>
                <w:rFonts w:hint="eastAsia" w:ascii="Times New Roman" w:hAnsi="Times New Roman" w:eastAsia="宋体" w:cs="Times New Roman"/>
                <w:color w:val="auto"/>
                <w:sz w:val="24"/>
                <w:szCs w:val="24"/>
                <w:highlight w:val="none"/>
                <w:lang w:val="en-US" w:eastAsia="zh-CN"/>
              </w:rPr>
              <w:t>后</w:t>
            </w:r>
            <w:r>
              <w:rPr>
                <w:rFonts w:hint="default" w:ascii="Times New Roman" w:hAnsi="Times New Roman" w:eastAsia="宋体" w:cs="Times New Roman"/>
                <w:color w:val="auto"/>
                <w:sz w:val="24"/>
                <w:szCs w:val="24"/>
                <w:highlight w:val="none"/>
                <w:lang w:val="en-US" w:eastAsia="zh-CN"/>
              </w:rPr>
              <w:t>再进入到厂区</w:t>
            </w:r>
            <w:r>
              <w:rPr>
                <w:rFonts w:hint="eastAsia" w:ascii="Times New Roman" w:hAnsi="Times New Roman" w:eastAsia="宋体" w:cs="Times New Roman"/>
                <w:color w:val="auto"/>
                <w:sz w:val="24"/>
                <w:szCs w:val="24"/>
                <w:highlight w:val="none"/>
                <w:lang w:val="en-US" w:eastAsia="zh-CN"/>
              </w:rPr>
              <w:t>依托的一体化污水处理站</w:t>
            </w:r>
            <w:r>
              <w:rPr>
                <w:rFonts w:hint="default" w:ascii="Times New Roman" w:hAnsi="Times New Roman" w:eastAsia="宋体" w:cs="Times New Roman"/>
                <w:color w:val="auto"/>
                <w:sz w:val="24"/>
                <w:szCs w:val="24"/>
                <w:highlight w:val="none"/>
                <w:lang w:val="en-US" w:eastAsia="zh-CN"/>
              </w:rPr>
              <w:t>处理后，达到《城市污水再生利用 城市杂用水水质》（GB/T18920-2020）中的城市绿化、道路清扫、消防、建筑施工标准后，用于项目区内绿化及道路场地洒水降尘，不外排。</w:t>
            </w:r>
          </w:p>
          <w:p w14:paraId="0CADA646">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aps w:val="0"/>
                <w:snapToGrid w:val="0"/>
                <w:color w:val="auto"/>
                <w:spacing w:val="0"/>
                <w:w w:val="100"/>
                <w:position w:val="0"/>
                <w:sz w:val="24"/>
                <w:szCs w:val="24"/>
                <w:highlight w:val="none"/>
                <w:lang w:val="zh-CN"/>
              </w:rPr>
            </w:pPr>
            <w:r>
              <w:rPr>
                <w:color w:val="auto"/>
                <w:sz w:val="24"/>
              </w:rPr>
              <w:t>项</w:t>
            </w:r>
            <w:r>
              <w:rPr>
                <w:rFonts w:hint="eastAsia"/>
                <w:color w:val="auto"/>
                <w:sz w:val="24"/>
              </w:rPr>
              <w:t>目依托的污水处理站</w:t>
            </w:r>
            <w:r>
              <w:rPr>
                <w:color w:val="auto"/>
                <w:sz w:val="24"/>
              </w:rPr>
              <w:t>采取“</w:t>
            </w:r>
            <w:r>
              <w:rPr>
                <w:rFonts w:hint="eastAsia"/>
                <w:color w:val="auto"/>
                <w:sz w:val="24"/>
              </w:rPr>
              <w:t>A/O+消毒工艺</w:t>
            </w:r>
            <w:r>
              <w:rPr>
                <w:color w:val="auto"/>
                <w:sz w:val="24"/>
              </w:rPr>
              <w:t>”工艺处理项目运营过程中产生的</w:t>
            </w:r>
            <w:r>
              <w:rPr>
                <w:rFonts w:hint="eastAsia"/>
                <w:color w:val="auto"/>
                <w:sz w:val="24"/>
              </w:rPr>
              <w:t>生活</w:t>
            </w:r>
            <w:r>
              <w:rPr>
                <w:color w:val="auto"/>
                <w:sz w:val="24"/>
              </w:rPr>
              <w:t>废水</w:t>
            </w:r>
            <w:r>
              <w:rPr>
                <w:rFonts w:hint="eastAsia"/>
                <w:color w:val="auto"/>
                <w:sz w:val="24"/>
              </w:rPr>
              <w:t>，</w:t>
            </w:r>
            <w:r>
              <w:rPr>
                <w:rFonts w:hint="eastAsia"/>
                <w:color w:val="auto"/>
                <w:sz w:val="24"/>
                <w:lang w:val="en-US" w:eastAsia="zh-CN"/>
              </w:rPr>
              <w:t>去除效率</w:t>
            </w:r>
            <w:r>
              <w:rPr>
                <w:rFonts w:hint="eastAsia" w:ascii="宋体" w:hAnsi="宋体" w:eastAsia="宋体" w:cs="宋体"/>
                <w:color w:val="auto"/>
                <w:kern w:val="0"/>
                <w:sz w:val="24"/>
                <w:szCs w:val="24"/>
                <w:lang w:val="en-US" w:eastAsia="zh-CN" w:bidi="ar"/>
              </w:rPr>
              <w:t>参考《生物接触氧化法污水处理工程技术规范》（</w:t>
            </w:r>
            <w:r>
              <w:rPr>
                <w:rFonts w:hint="default" w:ascii="Times New Roman" w:hAnsi="Times New Roman" w:eastAsia="宋体" w:cs="Times New Roman"/>
                <w:color w:val="auto"/>
                <w:kern w:val="0"/>
                <w:sz w:val="24"/>
                <w:szCs w:val="24"/>
                <w:lang w:val="en-US" w:eastAsia="zh-CN" w:bidi="ar"/>
              </w:rPr>
              <w:t>HJ2009-2011</w:t>
            </w:r>
            <w:r>
              <w:rPr>
                <w:rFonts w:hint="eastAsia" w:ascii="宋体" w:hAnsi="宋体" w:eastAsia="宋体" w:cs="宋体"/>
                <w:color w:val="auto"/>
                <w:kern w:val="0"/>
                <w:sz w:val="24"/>
                <w:szCs w:val="24"/>
                <w:lang w:val="en-US" w:eastAsia="zh-CN" w:bidi="ar"/>
              </w:rPr>
              <w:t>），生物接触氧化法对污染物的去除率为</w:t>
            </w:r>
            <w:r>
              <w:rPr>
                <w:rFonts w:hint="default" w:ascii="Times New Roman" w:hAnsi="Times New Roman" w:eastAsia="宋体" w:cs="Times New Roman"/>
                <w:color w:val="auto"/>
                <w:kern w:val="0"/>
                <w:sz w:val="24"/>
                <w:szCs w:val="24"/>
                <w:lang w:val="en-US" w:eastAsia="zh-CN" w:bidi="ar"/>
              </w:rPr>
              <w:t>SS70~90%</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BOD</w:t>
            </w:r>
            <w:r>
              <w:rPr>
                <w:rFonts w:hint="default" w:ascii="Times New Roman" w:hAnsi="Times New Roman" w:eastAsia="宋体" w:cs="Times New Roman"/>
                <w:color w:val="auto"/>
                <w:kern w:val="0"/>
                <w:sz w:val="24"/>
                <w:szCs w:val="24"/>
                <w:vertAlign w:val="subscript"/>
                <w:lang w:val="en-US" w:eastAsia="zh-CN" w:bidi="ar"/>
              </w:rPr>
              <w:t>5</w:t>
            </w:r>
            <w:r>
              <w:rPr>
                <w:rFonts w:hint="default" w:ascii="Times New Roman" w:hAnsi="Times New Roman" w:eastAsia="宋体" w:cs="Times New Roman"/>
                <w:color w:val="auto"/>
                <w:kern w:val="0"/>
                <w:sz w:val="24"/>
                <w:szCs w:val="24"/>
                <w:lang w:val="en-US" w:eastAsia="zh-CN" w:bidi="ar"/>
              </w:rPr>
              <w:t>80~95%</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COD 80~90%</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NH</w:t>
            </w:r>
            <w:r>
              <w:rPr>
                <w:rFonts w:hint="default" w:ascii="Times New Roman" w:hAnsi="Times New Roman" w:eastAsia="宋体" w:cs="Times New Roman"/>
                <w:color w:val="auto"/>
                <w:kern w:val="0"/>
                <w:sz w:val="24"/>
                <w:szCs w:val="24"/>
                <w:vertAlign w:val="subscript"/>
                <w:lang w:val="en-US" w:eastAsia="zh-CN" w:bidi="ar"/>
              </w:rPr>
              <w:t>3</w:t>
            </w:r>
            <w:r>
              <w:rPr>
                <w:rFonts w:hint="default" w:ascii="Times New Roman" w:hAnsi="Times New Roman" w:eastAsia="宋体" w:cs="Times New Roman"/>
                <w:color w:val="auto"/>
                <w:kern w:val="0"/>
                <w:sz w:val="24"/>
                <w:szCs w:val="24"/>
                <w:lang w:val="en-US" w:eastAsia="zh-CN" w:bidi="ar"/>
              </w:rPr>
              <w:t>-N60~90%</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TN50~80%</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其中SS</w:t>
            </w:r>
            <w:r>
              <w:rPr>
                <w:rFonts w:hint="eastAsia" w:ascii="Times New Roman" w:hAnsi="Times New Roman" w:eastAsia="宋体" w:cs="Times New Roman"/>
                <w:color w:val="auto"/>
                <w:kern w:val="0"/>
                <w:sz w:val="24"/>
                <w:szCs w:val="24"/>
                <w:lang w:val="en-US" w:eastAsia="zh-CN" w:bidi="ar"/>
              </w:rPr>
              <w:t>取85</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BOD</w:t>
            </w:r>
            <w:r>
              <w:rPr>
                <w:rFonts w:hint="default" w:ascii="Times New Roman" w:hAnsi="Times New Roman" w:eastAsia="宋体" w:cs="Times New Roman"/>
                <w:color w:val="auto"/>
                <w:kern w:val="0"/>
                <w:sz w:val="24"/>
                <w:szCs w:val="24"/>
                <w:vertAlign w:val="subscript"/>
                <w:lang w:val="en-US" w:eastAsia="zh-CN" w:bidi="ar"/>
              </w:rPr>
              <w:t>5</w:t>
            </w:r>
            <w:r>
              <w:rPr>
                <w:rFonts w:hint="eastAsia" w:ascii="Times New Roman" w:hAnsi="Times New Roman" w:eastAsia="宋体" w:cs="Times New Roman"/>
                <w:color w:val="auto"/>
                <w:kern w:val="0"/>
                <w:sz w:val="24"/>
                <w:szCs w:val="24"/>
                <w:lang w:val="en-US" w:eastAsia="zh-CN" w:bidi="ar"/>
              </w:rPr>
              <w:t>取95</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COD</w:t>
            </w:r>
            <w:r>
              <w:rPr>
                <w:rFonts w:hint="eastAsia" w:ascii="Times New Roman" w:hAnsi="Times New Roman" w:eastAsia="宋体" w:cs="Times New Roman"/>
                <w:color w:val="auto"/>
                <w:kern w:val="0"/>
                <w:sz w:val="24"/>
                <w:szCs w:val="24"/>
                <w:lang w:val="en-US" w:eastAsia="zh-CN" w:bidi="ar"/>
              </w:rPr>
              <w:t>取85</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NH</w:t>
            </w:r>
            <w:r>
              <w:rPr>
                <w:rFonts w:hint="default" w:ascii="Times New Roman" w:hAnsi="Times New Roman" w:eastAsia="宋体" w:cs="Times New Roman"/>
                <w:color w:val="auto"/>
                <w:kern w:val="0"/>
                <w:sz w:val="24"/>
                <w:szCs w:val="24"/>
                <w:vertAlign w:val="subscript"/>
                <w:lang w:val="en-US" w:eastAsia="zh-CN" w:bidi="ar"/>
              </w:rPr>
              <w:t>3</w:t>
            </w:r>
            <w:r>
              <w:rPr>
                <w:rFonts w:hint="default" w:ascii="Times New Roman" w:hAnsi="Times New Roman" w:eastAsia="宋体" w:cs="Times New Roman"/>
                <w:color w:val="auto"/>
                <w:kern w:val="0"/>
                <w:sz w:val="24"/>
                <w:szCs w:val="24"/>
                <w:lang w:val="en-US" w:eastAsia="zh-CN" w:bidi="ar"/>
              </w:rPr>
              <w:t>-N</w:t>
            </w:r>
            <w:r>
              <w:rPr>
                <w:rFonts w:hint="eastAsia" w:ascii="Times New Roman" w:hAnsi="Times New Roman" w:eastAsia="宋体" w:cs="Times New Roman"/>
                <w:color w:val="auto"/>
                <w:kern w:val="0"/>
                <w:sz w:val="24"/>
                <w:szCs w:val="24"/>
                <w:lang w:val="en-US" w:eastAsia="zh-CN" w:bidi="ar"/>
              </w:rPr>
              <w:t>取90</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TP去除效率取60%，动植物油取85%。污水</w:t>
            </w:r>
            <w:r>
              <w:rPr>
                <w:rFonts w:hint="eastAsia" w:ascii="宋体" w:hAnsi="宋体" w:eastAsia="宋体" w:cs="宋体"/>
                <w:color w:val="auto"/>
                <w:kern w:val="0"/>
                <w:sz w:val="24"/>
                <w:szCs w:val="24"/>
                <w:lang w:val="en-US" w:eastAsia="zh-CN" w:bidi="ar"/>
              </w:rPr>
              <w:t>处</w:t>
            </w:r>
            <w:r>
              <w:rPr>
                <w:rFonts w:hint="eastAsia"/>
                <w:color w:val="auto"/>
                <w:sz w:val="24"/>
              </w:rPr>
              <w:t>理站对污染物的去除效率如下</w:t>
            </w:r>
            <w:r>
              <w:rPr>
                <w:color w:val="auto"/>
                <w:sz w:val="24"/>
              </w:rPr>
              <w:t>。</w:t>
            </w:r>
          </w:p>
          <w:p w14:paraId="627431C1">
            <w:pPr>
              <w:keepNext w:val="0"/>
              <w:keepLines w:val="0"/>
              <w:pageBreakBefore w:val="0"/>
              <w:widowControl w:val="0"/>
              <w:shd w:val="clear"/>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p>
          <w:p w14:paraId="1726C76B">
            <w:pPr>
              <w:keepNext w:val="0"/>
              <w:keepLines w:val="0"/>
              <w:pageBreakBefore w:val="0"/>
              <w:widowControl w:val="0"/>
              <w:shd w:val="clear"/>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p>
          <w:p w14:paraId="381973A1">
            <w:pPr>
              <w:keepNext w:val="0"/>
              <w:keepLines w:val="0"/>
              <w:pageBreakBefore w:val="0"/>
              <w:widowControl w:val="0"/>
              <w:shd w:val="clear"/>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p>
          <w:p w14:paraId="1652B278">
            <w:pPr>
              <w:keepNext w:val="0"/>
              <w:keepLines w:val="0"/>
              <w:pageBreakBefore w:val="0"/>
              <w:widowControl w:val="0"/>
              <w:shd w:val="clear"/>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p>
          <w:p w14:paraId="295EE36C">
            <w:pPr>
              <w:keepNext w:val="0"/>
              <w:keepLines w:val="0"/>
              <w:pageBreakBefore w:val="0"/>
              <w:widowControl w:val="0"/>
              <w:shd w:val="clear"/>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p>
          <w:p w14:paraId="6DDCF7B7">
            <w:pPr>
              <w:keepNext w:val="0"/>
              <w:keepLines w:val="0"/>
              <w:pageBreakBefore w:val="0"/>
              <w:widowControl w:val="0"/>
              <w:shd w:val="clear"/>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p>
          <w:p w14:paraId="21F87197">
            <w:pPr>
              <w:keepNext w:val="0"/>
              <w:keepLines w:val="0"/>
              <w:pageBreakBefore w:val="0"/>
              <w:widowControl w:val="0"/>
              <w:shd w:val="clear"/>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p>
          <w:p w14:paraId="41975F14">
            <w:pPr>
              <w:keepNext w:val="0"/>
              <w:keepLines w:val="0"/>
              <w:pageBreakBefore w:val="0"/>
              <w:widowControl w:val="0"/>
              <w:shd w:val="clear"/>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表</w:t>
            </w:r>
            <w:r>
              <w:rPr>
                <w:rFonts w:hint="default" w:ascii="Times New Roman" w:hAnsi="Times New Roman" w:eastAsia="宋体" w:cs="Times New Roman"/>
                <w:b/>
                <w:caps w:val="0"/>
                <w:snapToGrid w:val="0"/>
                <w:color w:val="auto"/>
                <w:spacing w:val="0"/>
                <w:w w:val="100"/>
                <w:position w:val="0"/>
                <w:sz w:val="21"/>
                <w:szCs w:val="21"/>
                <w:highlight w:val="none"/>
                <w:lang w:val="en-US" w:eastAsia="zh-CN"/>
              </w:rPr>
              <w:t>4-</w:t>
            </w:r>
            <w:r>
              <w:rPr>
                <w:rFonts w:hint="eastAsia" w:cs="Times New Roman"/>
                <w:b/>
                <w:caps w:val="0"/>
                <w:snapToGrid w:val="0"/>
                <w:color w:val="auto"/>
                <w:spacing w:val="0"/>
                <w:w w:val="100"/>
                <w:position w:val="0"/>
                <w:sz w:val="21"/>
                <w:szCs w:val="21"/>
                <w:highlight w:val="none"/>
                <w:lang w:val="en-US" w:eastAsia="zh-CN"/>
              </w:rPr>
              <w:t>18</w:t>
            </w:r>
            <w:r>
              <w:rPr>
                <w:rFonts w:hint="default" w:ascii="Times New Roman" w:hAnsi="Times New Roman" w:eastAsia="宋体" w:cs="Times New Roman"/>
                <w:b/>
                <w:caps w:val="0"/>
                <w:snapToGrid w:val="0"/>
                <w:color w:val="auto"/>
                <w:spacing w:val="0"/>
                <w:w w:val="100"/>
                <w:position w:val="0"/>
                <w:sz w:val="21"/>
                <w:szCs w:val="21"/>
                <w:highlight w:val="none"/>
              </w:rPr>
              <w:t xml:space="preserve">  项目</w:t>
            </w:r>
            <w:r>
              <w:rPr>
                <w:rFonts w:hint="default" w:ascii="Times New Roman" w:hAnsi="Times New Roman" w:eastAsia="宋体" w:cs="Times New Roman"/>
                <w:b/>
                <w:caps w:val="0"/>
                <w:snapToGrid w:val="0"/>
                <w:color w:val="auto"/>
                <w:spacing w:val="0"/>
                <w:w w:val="100"/>
                <w:position w:val="0"/>
                <w:sz w:val="21"/>
                <w:szCs w:val="21"/>
                <w:highlight w:val="none"/>
                <w:lang w:eastAsia="zh-CN"/>
              </w:rPr>
              <w:t>生活污水</w:t>
            </w:r>
            <w:r>
              <w:rPr>
                <w:rFonts w:hint="default" w:ascii="Times New Roman" w:hAnsi="Times New Roman" w:eastAsia="宋体" w:cs="Times New Roman"/>
                <w:b/>
                <w:caps w:val="0"/>
                <w:snapToGrid w:val="0"/>
                <w:color w:val="auto"/>
                <w:spacing w:val="0"/>
                <w:w w:val="100"/>
                <w:position w:val="0"/>
                <w:sz w:val="21"/>
                <w:szCs w:val="21"/>
                <w:highlight w:val="none"/>
              </w:rPr>
              <w:t>污染物产排情况汇总表</w:t>
            </w:r>
          </w:p>
          <w:tbl>
            <w:tblPr>
              <w:tblStyle w:val="26"/>
              <w:tblW w:w="8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780"/>
              <w:gridCol w:w="766"/>
              <w:gridCol w:w="839"/>
              <w:gridCol w:w="817"/>
              <w:gridCol w:w="672"/>
              <w:gridCol w:w="817"/>
              <w:gridCol w:w="839"/>
              <w:gridCol w:w="672"/>
              <w:gridCol w:w="839"/>
              <w:gridCol w:w="417"/>
              <w:gridCol w:w="417"/>
            </w:tblGrid>
            <w:tr w14:paraId="5AE1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16" w:type="dxa"/>
                  <w:noWrap w:val="0"/>
                  <w:vAlign w:val="center"/>
                </w:tcPr>
                <w:p w14:paraId="553959ED">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污染源编号</w:t>
                  </w:r>
                </w:p>
              </w:tc>
              <w:tc>
                <w:tcPr>
                  <w:tcW w:w="780" w:type="dxa"/>
                  <w:noWrap w:val="0"/>
                  <w:vAlign w:val="center"/>
                </w:tcPr>
                <w:p w14:paraId="10AB0240">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污染物</w:t>
                  </w:r>
                </w:p>
              </w:tc>
              <w:tc>
                <w:tcPr>
                  <w:tcW w:w="766" w:type="dxa"/>
                  <w:noWrap w:val="0"/>
                  <w:vAlign w:val="center"/>
                </w:tcPr>
                <w:p w14:paraId="7EB5360B">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产生浓度mg/L</w:t>
                  </w:r>
                </w:p>
              </w:tc>
              <w:tc>
                <w:tcPr>
                  <w:tcW w:w="839" w:type="dxa"/>
                  <w:noWrap w:val="0"/>
                  <w:vAlign w:val="center"/>
                </w:tcPr>
                <w:p w14:paraId="50086129">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产生量（t/a）</w:t>
                  </w:r>
                </w:p>
              </w:tc>
              <w:tc>
                <w:tcPr>
                  <w:tcW w:w="817" w:type="dxa"/>
                  <w:noWrap w:val="0"/>
                  <w:vAlign w:val="center"/>
                </w:tcPr>
                <w:p w14:paraId="0131D59B">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化粪池去除效率（%）</w:t>
                  </w:r>
                </w:p>
              </w:tc>
              <w:tc>
                <w:tcPr>
                  <w:tcW w:w="672" w:type="dxa"/>
                  <w:noWrap w:val="0"/>
                  <w:vAlign w:val="center"/>
                </w:tcPr>
                <w:p w14:paraId="021112B0">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化粪池处理后浓度mg/L</w:t>
                  </w:r>
                </w:p>
              </w:tc>
              <w:tc>
                <w:tcPr>
                  <w:tcW w:w="817" w:type="dxa"/>
                  <w:noWrap w:val="0"/>
                  <w:vAlign w:val="center"/>
                </w:tcPr>
                <w:p w14:paraId="71F71283">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污水处理站去除效率（%）</w:t>
                  </w:r>
                </w:p>
              </w:tc>
              <w:tc>
                <w:tcPr>
                  <w:tcW w:w="839" w:type="dxa"/>
                  <w:noWrap w:val="0"/>
                  <w:vAlign w:val="center"/>
                </w:tcPr>
                <w:p w14:paraId="0D8BA0D2">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削减量（t/a）</w:t>
                  </w:r>
                </w:p>
              </w:tc>
              <w:tc>
                <w:tcPr>
                  <w:tcW w:w="672" w:type="dxa"/>
                  <w:noWrap w:val="0"/>
                  <w:vAlign w:val="center"/>
                </w:tcPr>
                <w:p w14:paraId="4B65EE28">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处理后浓度mg/L</w:t>
                  </w:r>
                </w:p>
              </w:tc>
              <w:tc>
                <w:tcPr>
                  <w:tcW w:w="839" w:type="dxa"/>
                  <w:noWrap w:val="0"/>
                  <w:vAlign w:val="center"/>
                </w:tcPr>
                <w:p w14:paraId="76BD37DC">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处理后量（t/a）</w:t>
                  </w:r>
                </w:p>
              </w:tc>
              <w:tc>
                <w:tcPr>
                  <w:tcW w:w="417" w:type="dxa"/>
                  <w:noWrap w:val="0"/>
                  <w:vAlign w:val="center"/>
                </w:tcPr>
                <w:p w14:paraId="3D5F3A53">
                  <w:pPr>
                    <w:keepNext w:val="0"/>
                    <w:keepLines w:val="0"/>
                    <w:widowControl/>
                    <w:suppressLineNumbers w:val="0"/>
                    <w:shd w:val="clear"/>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标准值</w:t>
                  </w:r>
                </w:p>
              </w:tc>
              <w:tc>
                <w:tcPr>
                  <w:tcW w:w="417" w:type="dxa"/>
                  <w:noWrap w:val="0"/>
                  <w:vAlign w:val="center"/>
                </w:tcPr>
                <w:p w14:paraId="1DFAA94D">
                  <w:pPr>
                    <w:keepNext w:val="0"/>
                    <w:keepLines w:val="0"/>
                    <w:widowControl/>
                    <w:suppressLineNumbers w:val="0"/>
                    <w:shd w:val="clear"/>
                    <w:jc w:val="center"/>
                    <w:textAlignment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i w:val="0"/>
                      <w:iCs w:val="0"/>
                      <w:color w:val="auto"/>
                      <w:kern w:val="0"/>
                      <w:sz w:val="21"/>
                      <w:szCs w:val="21"/>
                      <w:highlight w:val="none"/>
                      <w:u w:val="none"/>
                      <w:lang w:val="en-US" w:eastAsia="zh-CN" w:bidi="ar"/>
                    </w:rPr>
                    <w:t>达标情况</w:t>
                  </w:r>
                </w:p>
              </w:tc>
            </w:tr>
            <w:tr w14:paraId="158B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restart"/>
                  <w:noWrap w:val="0"/>
                  <w:vAlign w:val="center"/>
                </w:tcPr>
                <w:p w14:paraId="3263905D">
                  <w:pPr>
                    <w:keepNext w:val="0"/>
                    <w:keepLines w:val="0"/>
                    <w:widowControl/>
                    <w:suppressLineNumbers w:val="0"/>
                    <w:shd w:val="clear"/>
                    <w:jc w:val="center"/>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综合污水（食堂、冲厕、盥洗、办公）</w:t>
                  </w:r>
                </w:p>
              </w:tc>
              <w:tc>
                <w:tcPr>
                  <w:tcW w:w="780" w:type="dxa"/>
                  <w:noWrap w:val="0"/>
                  <w:vAlign w:val="center"/>
                </w:tcPr>
                <w:p w14:paraId="2191B60D">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废水</w:t>
                  </w:r>
                </w:p>
              </w:tc>
              <w:tc>
                <w:tcPr>
                  <w:tcW w:w="766" w:type="dxa"/>
                  <w:noWrap w:val="0"/>
                  <w:vAlign w:val="center"/>
                </w:tcPr>
                <w:p w14:paraId="41A0DF7D">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39" w:type="dxa"/>
                  <w:noWrap w:val="0"/>
                  <w:vAlign w:val="center"/>
                </w:tcPr>
                <w:p w14:paraId="5D2E1D8C">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480</w:t>
                  </w:r>
                </w:p>
              </w:tc>
              <w:tc>
                <w:tcPr>
                  <w:tcW w:w="817" w:type="dxa"/>
                  <w:noWrap w:val="0"/>
                  <w:vAlign w:val="center"/>
                </w:tcPr>
                <w:p w14:paraId="1252C027">
                  <w:pPr>
                    <w:keepNext w:val="0"/>
                    <w:keepLines w:val="0"/>
                    <w:widowControl/>
                    <w:suppressLineNumbers w:val="0"/>
                    <w:shd w:val="clear"/>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2" w:type="dxa"/>
                  <w:noWrap w:val="0"/>
                  <w:vAlign w:val="center"/>
                </w:tcPr>
                <w:p w14:paraId="5BAC1D0C">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17" w:type="dxa"/>
                  <w:noWrap w:val="0"/>
                  <w:vAlign w:val="center"/>
                </w:tcPr>
                <w:p w14:paraId="73DD5428">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39" w:type="dxa"/>
                  <w:noWrap w:val="0"/>
                  <w:vAlign w:val="center"/>
                </w:tcPr>
                <w:p w14:paraId="3BC722C1">
                  <w:pPr>
                    <w:keepNext w:val="0"/>
                    <w:keepLines w:val="0"/>
                    <w:widowControl/>
                    <w:suppressLineNumbers w:val="0"/>
                    <w:shd w:val="clear"/>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72" w:type="dxa"/>
                  <w:noWrap w:val="0"/>
                  <w:vAlign w:val="center"/>
                </w:tcPr>
                <w:p w14:paraId="7FBE78AB">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839" w:type="dxa"/>
                  <w:noWrap w:val="0"/>
                  <w:vAlign w:val="center"/>
                </w:tcPr>
                <w:p w14:paraId="47287A56">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i w:val="0"/>
                      <w:iCs w:val="0"/>
                      <w:color w:val="auto"/>
                      <w:kern w:val="0"/>
                      <w:sz w:val="21"/>
                      <w:szCs w:val="21"/>
                      <w:highlight w:val="none"/>
                      <w:u w:val="none"/>
                      <w:lang w:val="en-US" w:eastAsia="zh-CN" w:bidi="ar"/>
                    </w:rPr>
                    <w:t>4</w:t>
                  </w:r>
                  <w:r>
                    <w:rPr>
                      <w:rFonts w:hint="default" w:ascii="Times New Roman" w:hAnsi="Times New Roman" w:eastAsia="宋体" w:cs="Times New Roman"/>
                      <w:i w:val="0"/>
                      <w:iCs w:val="0"/>
                      <w:color w:val="auto"/>
                      <w:kern w:val="0"/>
                      <w:sz w:val="21"/>
                      <w:szCs w:val="21"/>
                      <w:highlight w:val="none"/>
                      <w:u w:val="none"/>
                      <w:lang w:val="en-US" w:eastAsia="zh-CN" w:bidi="ar"/>
                    </w:rPr>
                    <w:t>80</w:t>
                  </w:r>
                </w:p>
              </w:tc>
              <w:tc>
                <w:tcPr>
                  <w:tcW w:w="417" w:type="dxa"/>
                  <w:noWrap w:val="0"/>
                  <w:vAlign w:val="center"/>
                </w:tcPr>
                <w:p w14:paraId="3D9CAFE7">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17" w:type="dxa"/>
                  <w:noWrap w:val="0"/>
                  <w:vAlign w:val="center"/>
                </w:tcPr>
                <w:p w14:paraId="08DCA323">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14:paraId="6048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noWrap w:val="0"/>
                  <w:vAlign w:val="center"/>
                </w:tcPr>
                <w:p w14:paraId="04A8717A">
                  <w:pPr>
                    <w:shd w:val="clear"/>
                    <w:jc w:val="center"/>
                    <w:rPr>
                      <w:rFonts w:hint="default" w:ascii="Times New Roman" w:hAnsi="Times New Roman" w:eastAsia="宋体" w:cs="Times New Roman"/>
                      <w:color w:val="auto"/>
                      <w:highlight w:val="none"/>
                    </w:rPr>
                  </w:pPr>
                </w:p>
              </w:tc>
              <w:tc>
                <w:tcPr>
                  <w:tcW w:w="780" w:type="dxa"/>
                  <w:noWrap w:val="0"/>
                  <w:vAlign w:val="center"/>
                </w:tcPr>
                <w:p w14:paraId="21A1F229">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COD</w:t>
                  </w:r>
                </w:p>
              </w:tc>
              <w:tc>
                <w:tcPr>
                  <w:tcW w:w="766" w:type="dxa"/>
                  <w:noWrap w:val="0"/>
                  <w:vAlign w:val="center"/>
                </w:tcPr>
                <w:p w14:paraId="38753C97">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olor w:val="auto"/>
                      <w:kern w:val="0"/>
                      <w:szCs w:val="21"/>
                      <w:lang w:val="en-US" w:eastAsia="zh-CN"/>
                    </w:rPr>
                    <w:t>428.57</w:t>
                  </w:r>
                </w:p>
              </w:tc>
              <w:tc>
                <w:tcPr>
                  <w:tcW w:w="839" w:type="dxa"/>
                  <w:noWrap w:val="0"/>
                  <w:vAlign w:val="center"/>
                </w:tcPr>
                <w:p w14:paraId="7A80B675">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eastAsia" w:cs="Times New Roman"/>
                      <w:i w:val="0"/>
                      <w:iCs w:val="0"/>
                      <w:color w:val="auto"/>
                      <w:kern w:val="0"/>
                      <w:sz w:val="21"/>
                      <w:szCs w:val="21"/>
                      <w:u w:val="none"/>
                      <w:lang w:val="en-US" w:eastAsia="zh-CN" w:bidi="ar"/>
                    </w:rPr>
                    <w:t>0.2057</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817" w:type="dxa"/>
                  <w:noWrap w:val="0"/>
                  <w:vAlign w:val="center"/>
                </w:tcPr>
                <w:p w14:paraId="0E6B53BE">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672" w:type="dxa"/>
                  <w:noWrap w:val="0"/>
                  <w:vAlign w:val="center"/>
                </w:tcPr>
                <w:p w14:paraId="59FBC286">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364.28</w:t>
                  </w:r>
                </w:p>
              </w:tc>
              <w:tc>
                <w:tcPr>
                  <w:tcW w:w="817" w:type="dxa"/>
                  <w:noWrap w:val="0"/>
                  <w:vAlign w:val="center"/>
                </w:tcPr>
                <w:p w14:paraId="4F2C48FA">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85</w:t>
                  </w:r>
                </w:p>
              </w:tc>
              <w:tc>
                <w:tcPr>
                  <w:tcW w:w="839" w:type="dxa"/>
                  <w:noWrap w:val="0"/>
                  <w:vAlign w:val="center"/>
                </w:tcPr>
                <w:p w14:paraId="2649435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0.1795</w:t>
                  </w:r>
                </w:p>
              </w:tc>
              <w:tc>
                <w:tcPr>
                  <w:tcW w:w="672" w:type="dxa"/>
                  <w:noWrap w:val="0"/>
                  <w:vAlign w:val="center"/>
                </w:tcPr>
                <w:p w14:paraId="7BCF8DE0">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i w:val="0"/>
                      <w:iCs w:val="0"/>
                      <w:color w:val="auto"/>
                      <w:kern w:val="0"/>
                      <w:sz w:val="21"/>
                      <w:szCs w:val="21"/>
                      <w:highlight w:val="none"/>
                      <w:u w:val="none"/>
                      <w:lang w:val="en-US" w:eastAsia="zh-CN" w:bidi="ar"/>
                    </w:rPr>
                    <w:t>54.64</w:t>
                  </w:r>
                </w:p>
              </w:tc>
              <w:tc>
                <w:tcPr>
                  <w:tcW w:w="839" w:type="dxa"/>
                  <w:noWrap w:val="0"/>
                  <w:vAlign w:val="center"/>
                </w:tcPr>
                <w:p w14:paraId="4BCEB79B">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eastAsia" w:cs="Times New Roman"/>
                      <w:i w:val="0"/>
                      <w:iCs w:val="0"/>
                      <w:color w:val="auto"/>
                      <w:kern w:val="0"/>
                      <w:sz w:val="21"/>
                      <w:szCs w:val="21"/>
                      <w:u w:val="none"/>
                      <w:lang w:val="en-US" w:eastAsia="zh-CN" w:bidi="ar"/>
                    </w:rPr>
                    <w:t>0.0262</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417" w:type="dxa"/>
                  <w:noWrap w:val="0"/>
                  <w:vAlign w:val="center"/>
                </w:tcPr>
                <w:p w14:paraId="3FD01B33">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17" w:type="dxa"/>
                  <w:noWrap w:val="0"/>
                  <w:vAlign w:val="center"/>
                </w:tcPr>
                <w:p w14:paraId="62584AFE">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14:paraId="7771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noWrap w:val="0"/>
                  <w:vAlign w:val="center"/>
                </w:tcPr>
                <w:p w14:paraId="06606968">
                  <w:pPr>
                    <w:shd w:val="clear"/>
                    <w:jc w:val="center"/>
                    <w:rPr>
                      <w:rFonts w:hint="default" w:ascii="Times New Roman" w:hAnsi="Times New Roman" w:eastAsia="宋体" w:cs="Times New Roman"/>
                      <w:color w:val="auto"/>
                      <w:highlight w:val="none"/>
                    </w:rPr>
                  </w:pPr>
                </w:p>
              </w:tc>
              <w:tc>
                <w:tcPr>
                  <w:tcW w:w="780" w:type="dxa"/>
                  <w:noWrap w:val="0"/>
                  <w:vAlign w:val="center"/>
                </w:tcPr>
                <w:p w14:paraId="1384D6A7">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BOD</w:t>
                  </w:r>
                  <w:r>
                    <w:rPr>
                      <w:rStyle w:val="105"/>
                      <w:rFonts w:hint="default" w:ascii="Times New Roman" w:hAnsi="Times New Roman" w:eastAsia="宋体" w:cs="Times New Roman"/>
                      <w:color w:val="auto"/>
                      <w:highlight w:val="none"/>
                      <w:lang w:val="en-US" w:eastAsia="zh-CN" w:bidi="ar"/>
                    </w:rPr>
                    <w:t>5</w:t>
                  </w:r>
                </w:p>
              </w:tc>
              <w:tc>
                <w:tcPr>
                  <w:tcW w:w="766" w:type="dxa"/>
                  <w:noWrap w:val="0"/>
                  <w:vAlign w:val="center"/>
                </w:tcPr>
                <w:p w14:paraId="23C54188">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olor w:val="auto"/>
                      <w:kern w:val="0"/>
                      <w:szCs w:val="21"/>
                      <w:lang w:val="en-US" w:eastAsia="zh-CN"/>
                    </w:rPr>
                    <w:t>178.57</w:t>
                  </w:r>
                </w:p>
              </w:tc>
              <w:tc>
                <w:tcPr>
                  <w:tcW w:w="839" w:type="dxa"/>
                  <w:noWrap w:val="0"/>
                  <w:vAlign w:val="center"/>
                </w:tcPr>
                <w:p w14:paraId="123BAA5A">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0859</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817" w:type="dxa"/>
                  <w:noWrap w:val="0"/>
                  <w:vAlign w:val="center"/>
                </w:tcPr>
                <w:p w14:paraId="695AA6A2">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672" w:type="dxa"/>
                  <w:noWrap w:val="0"/>
                  <w:vAlign w:val="center"/>
                </w:tcPr>
                <w:p w14:paraId="78359179">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151.78</w:t>
                  </w:r>
                </w:p>
              </w:tc>
              <w:tc>
                <w:tcPr>
                  <w:tcW w:w="817" w:type="dxa"/>
                  <w:noWrap w:val="0"/>
                  <w:vAlign w:val="center"/>
                </w:tcPr>
                <w:p w14:paraId="50ED17C3">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95</w:t>
                  </w:r>
                </w:p>
              </w:tc>
              <w:tc>
                <w:tcPr>
                  <w:tcW w:w="839" w:type="dxa"/>
                  <w:noWrap w:val="0"/>
                  <w:vAlign w:val="center"/>
                </w:tcPr>
                <w:p w14:paraId="73A06AE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0.0712</w:t>
                  </w:r>
                </w:p>
              </w:tc>
              <w:tc>
                <w:tcPr>
                  <w:tcW w:w="672" w:type="dxa"/>
                  <w:noWrap w:val="0"/>
                  <w:vAlign w:val="center"/>
                </w:tcPr>
                <w:p w14:paraId="59A0D29C">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i w:val="0"/>
                      <w:iCs w:val="0"/>
                      <w:color w:val="auto"/>
                      <w:kern w:val="0"/>
                      <w:sz w:val="21"/>
                      <w:szCs w:val="21"/>
                      <w:highlight w:val="none"/>
                      <w:u w:val="none"/>
                      <w:lang w:val="en-US" w:eastAsia="zh-CN" w:bidi="ar"/>
                    </w:rPr>
                    <w:t>7.60</w:t>
                  </w:r>
                </w:p>
              </w:tc>
              <w:tc>
                <w:tcPr>
                  <w:tcW w:w="839" w:type="dxa"/>
                  <w:noWrap w:val="0"/>
                  <w:vAlign w:val="center"/>
                </w:tcPr>
                <w:p w14:paraId="5E27585D">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0147</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417" w:type="dxa"/>
                  <w:noWrap w:val="0"/>
                  <w:vAlign w:val="center"/>
                </w:tcPr>
                <w:p w14:paraId="3CAE3A24">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417" w:type="dxa"/>
                  <w:noWrap w:val="0"/>
                  <w:vAlign w:val="center"/>
                </w:tcPr>
                <w:p w14:paraId="71864DC0">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14:paraId="5736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noWrap w:val="0"/>
                  <w:vAlign w:val="center"/>
                </w:tcPr>
                <w:p w14:paraId="21E48C48">
                  <w:pPr>
                    <w:shd w:val="clear"/>
                    <w:jc w:val="center"/>
                    <w:rPr>
                      <w:rFonts w:hint="default" w:ascii="Times New Roman" w:hAnsi="Times New Roman" w:eastAsia="宋体" w:cs="Times New Roman"/>
                      <w:color w:val="auto"/>
                      <w:highlight w:val="none"/>
                    </w:rPr>
                  </w:pPr>
                </w:p>
              </w:tc>
              <w:tc>
                <w:tcPr>
                  <w:tcW w:w="780" w:type="dxa"/>
                  <w:noWrap w:val="0"/>
                  <w:vAlign w:val="center"/>
                </w:tcPr>
                <w:p w14:paraId="095E5A71">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SS</w:t>
                  </w:r>
                </w:p>
              </w:tc>
              <w:tc>
                <w:tcPr>
                  <w:tcW w:w="766" w:type="dxa"/>
                  <w:noWrap w:val="0"/>
                  <w:vAlign w:val="center"/>
                </w:tcPr>
                <w:p w14:paraId="162A5048">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olor w:val="auto"/>
                      <w:kern w:val="0"/>
                      <w:szCs w:val="21"/>
                      <w:lang w:val="en-US" w:eastAsia="zh-CN"/>
                    </w:rPr>
                    <w:t>285.71</w:t>
                  </w:r>
                </w:p>
              </w:tc>
              <w:tc>
                <w:tcPr>
                  <w:tcW w:w="839" w:type="dxa"/>
                  <w:noWrap w:val="0"/>
                  <w:vAlign w:val="center"/>
                </w:tcPr>
                <w:p w14:paraId="5DC92C78">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1371</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817" w:type="dxa"/>
                  <w:noWrap w:val="0"/>
                  <w:vAlign w:val="center"/>
                </w:tcPr>
                <w:p w14:paraId="6B260217">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30</w:t>
                  </w:r>
                </w:p>
              </w:tc>
              <w:tc>
                <w:tcPr>
                  <w:tcW w:w="672" w:type="dxa"/>
                  <w:noWrap w:val="0"/>
                  <w:vAlign w:val="center"/>
                </w:tcPr>
                <w:p w14:paraId="5AC9CCA2">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200.0</w:t>
                  </w:r>
                </w:p>
              </w:tc>
              <w:tc>
                <w:tcPr>
                  <w:tcW w:w="817" w:type="dxa"/>
                  <w:noWrap w:val="0"/>
                  <w:vAlign w:val="center"/>
                </w:tcPr>
                <w:p w14:paraId="3728A755">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85</w:t>
                  </w:r>
                </w:p>
              </w:tc>
              <w:tc>
                <w:tcPr>
                  <w:tcW w:w="839" w:type="dxa"/>
                  <w:noWrap w:val="0"/>
                  <w:vAlign w:val="center"/>
                </w:tcPr>
                <w:p w14:paraId="4ACD09D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0.1347</w:t>
                  </w:r>
                </w:p>
              </w:tc>
              <w:tc>
                <w:tcPr>
                  <w:tcW w:w="672" w:type="dxa"/>
                  <w:noWrap w:val="0"/>
                  <w:vAlign w:val="center"/>
                </w:tcPr>
                <w:p w14:paraId="41BE16EA">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30.00</w:t>
                  </w:r>
                </w:p>
              </w:tc>
              <w:tc>
                <w:tcPr>
                  <w:tcW w:w="839" w:type="dxa"/>
                  <w:noWrap w:val="0"/>
                  <w:vAlign w:val="center"/>
                </w:tcPr>
                <w:p w14:paraId="3F366938">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0024</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417" w:type="dxa"/>
                  <w:noWrap w:val="0"/>
                  <w:vAlign w:val="center"/>
                </w:tcPr>
                <w:p w14:paraId="46F735BF">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17" w:type="dxa"/>
                  <w:noWrap w:val="0"/>
                  <w:vAlign w:val="center"/>
                </w:tcPr>
                <w:p w14:paraId="3E27967C">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14:paraId="1087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noWrap w:val="0"/>
                  <w:vAlign w:val="center"/>
                </w:tcPr>
                <w:p w14:paraId="6DD30551">
                  <w:pPr>
                    <w:shd w:val="clear"/>
                    <w:jc w:val="center"/>
                    <w:rPr>
                      <w:rFonts w:hint="default" w:ascii="Times New Roman" w:hAnsi="Times New Roman" w:eastAsia="宋体" w:cs="Times New Roman"/>
                      <w:color w:val="auto"/>
                      <w:highlight w:val="none"/>
                    </w:rPr>
                  </w:pPr>
                </w:p>
              </w:tc>
              <w:tc>
                <w:tcPr>
                  <w:tcW w:w="780" w:type="dxa"/>
                  <w:noWrap w:val="0"/>
                  <w:vAlign w:val="center"/>
                </w:tcPr>
                <w:p w14:paraId="28D6D499">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NH</w:t>
                  </w:r>
                  <w:r>
                    <w:rPr>
                      <w:rStyle w:val="105"/>
                      <w:rFonts w:hint="default" w:ascii="Times New Roman" w:hAnsi="Times New Roman" w:eastAsia="宋体" w:cs="Times New Roman"/>
                      <w:color w:val="auto"/>
                      <w:highlight w:val="none"/>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-N</w:t>
                  </w:r>
                </w:p>
              </w:tc>
              <w:tc>
                <w:tcPr>
                  <w:tcW w:w="766" w:type="dxa"/>
                  <w:noWrap w:val="0"/>
                  <w:vAlign w:val="center"/>
                </w:tcPr>
                <w:p w14:paraId="4267B03C">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olor w:val="auto"/>
                      <w:kern w:val="0"/>
                      <w:szCs w:val="21"/>
                      <w:lang w:val="en-US" w:eastAsia="zh-CN"/>
                    </w:rPr>
                    <w:t>62.57</w:t>
                  </w:r>
                </w:p>
              </w:tc>
              <w:tc>
                <w:tcPr>
                  <w:tcW w:w="839" w:type="dxa"/>
                  <w:noWrap w:val="0"/>
                  <w:vAlign w:val="center"/>
                </w:tcPr>
                <w:p w14:paraId="6CB59172">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0300</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817" w:type="dxa"/>
                  <w:noWrap w:val="0"/>
                  <w:vAlign w:val="center"/>
                </w:tcPr>
                <w:p w14:paraId="62A8CC47">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72" w:type="dxa"/>
                  <w:noWrap w:val="0"/>
                  <w:vAlign w:val="center"/>
                </w:tcPr>
                <w:p w14:paraId="3D11C7CD">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olor w:val="auto"/>
                      <w:kern w:val="0"/>
                      <w:szCs w:val="21"/>
                      <w:lang w:val="en-US" w:eastAsia="zh-CN"/>
                    </w:rPr>
                    <w:t>62.57</w:t>
                  </w:r>
                </w:p>
              </w:tc>
              <w:tc>
                <w:tcPr>
                  <w:tcW w:w="817" w:type="dxa"/>
                  <w:noWrap w:val="0"/>
                  <w:vAlign w:val="center"/>
                </w:tcPr>
                <w:p w14:paraId="19387F47">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90</w:t>
                  </w:r>
                </w:p>
              </w:tc>
              <w:tc>
                <w:tcPr>
                  <w:tcW w:w="839" w:type="dxa"/>
                  <w:noWrap w:val="0"/>
                  <w:vAlign w:val="center"/>
                </w:tcPr>
                <w:p w14:paraId="705211C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0.0231</w:t>
                  </w:r>
                </w:p>
              </w:tc>
              <w:tc>
                <w:tcPr>
                  <w:tcW w:w="672" w:type="dxa"/>
                  <w:noWrap w:val="0"/>
                  <w:vAlign w:val="center"/>
                </w:tcPr>
                <w:p w14:paraId="48BFC50B">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i w:val="0"/>
                      <w:iCs w:val="0"/>
                      <w:color w:val="auto"/>
                      <w:kern w:val="0"/>
                      <w:sz w:val="21"/>
                      <w:szCs w:val="21"/>
                      <w:highlight w:val="none"/>
                      <w:u w:val="none"/>
                      <w:lang w:val="en-US" w:eastAsia="zh-CN" w:bidi="ar"/>
                    </w:rPr>
                    <w:t>6.26</w:t>
                  </w:r>
                </w:p>
              </w:tc>
              <w:tc>
                <w:tcPr>
                  <w:tcW w:w="839" w:type="dxa"/>
                  <w:noWrap w:val="0"/>
                  <w:vAlign w:val="center"/>
                </w:tcPr>
                <w:p w14:paraId="57BA26CF">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0069</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417" w:type="dxa"/>
                  <w:noWrap w:val="0"/>
                  <w:vAlign w:val="center"/>
                </w:tcPr>
                <w:p w14:paraId="149BFDBC">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417" w:type="dxa"/>
                  <w:noWrap w:val="0"/>
                  <w:vAlign w:val="center"/>
                </w:tcPr>
                <w:p w14:paraId="7BAF6398">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14:paraId="36E3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noWrap w:val="0"/>
                  <w:vAlign w:val="center"/>
                </w:tcPr>
                <w:p w14:paraId="1121A156">
                  <w:pPr>
                    <w:shd w:val="clear"/>
                    <w:jc w:val="center"/>
                    <w:rPr>
                      <w:rFonts w:hint="default" w:ascii="Times New Roman" w:hAnsi="Times New Roman" w:eastAsia="宋体" w:cs="Times New Roman"/>
                      <w:color w:val="auto"/>
                      <w:highlight w:val="none"/>
                    </w:rPr>
                  </w:pPr>
                </w:p>
              </w:tc>
              <w:tc>
                <w:tcPr>
                  <w:tcW w:w="780" w:type="dxa"/>
                  <w:noWrap w:val="0"/>
                  <w:vAlign w:val="center"/>
                </w:tcPr>
                <w:p w14:paraId="06F45495">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TP</w:t>
                  </w:r>
                </w:p>
              </w:tc>
              <w:tc>
                <w:tcPr>
                  <w:tcW w:w="766" w:type="dxa"/>
                  <w:noWrap w:val="0"/>
                  <w:vAlign w:val="center"/>
                </w:tcPr>
                <w:p w14:paraId="44F84033">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olor w:val="auto"/>
                      <w:kern w:val="0"/>
                      <w:szCs w:val="21"/>
                      <w:lang w:val="en-US" w:eastAsia="zh-CN"/>
                    </w:rPr>
                    <w:t>7.14</w:t>
                  </w:r>
                </w:p>
              </w:tc>
              <w:tc>
                <w:tcPr>
                  <w:tcW w:w="839" w:type="dxa"/>
                  <w:noWrap w:val="0"/>
                  <w:vAlign w:val="center"/>
                </w:tcPr>
                <w:p w14:paraId="2B898F34">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034</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817" w:type="dxa"/>
                  <w:noWrap w:val="0"/>
                  <w:vAlign w:val="center"/>
                </w:tcPr>
                <w:p w14:paraId="42FC9F66">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672" w:type="dxa"/>
                  <w:noWrap w:val="0"/>
                  <w:vAlign w:val="center"/>
                </w:tcPr>
                <w:p w14:paraId="4A48FA55">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olor w:val="auto"/>
                      <w:kern w:val="0"/>
                      <w:szCs w:val="21"/>
                      <w:lang w:val="en-US" w:eastAsia="zh-CN"/>
                    </w:rPr>
                    <w:t>7.14</w:t>
                  </w:r>
                </w:p>
              </w:tc>
              <w:tc>
                <w:tcPr>
                  <w:tcW w:w="817" w:type="dxa"/>
                  <w:noWrap w:val="0"/>
                  <w:vAlign w:val="center"/>
                </w:tcPr>
                <w:p w14:paraId="3BF3006B">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60</w:t>
                  </w:r>
                </w:p>
              </w:tc>
              <w:tc>
                <w:tcPr>
                  <w:tcW w:w="839" w:type="dxa"/>
                  <w:noWrap w:val="0"/>
                  <w:vAlign w:val="center"/>
                </w:tcPr>
                <w:p w14:paraId="1695E4F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0.0020</w:t>
                  </w:r>
                </w:p>
              </w:tc>
              <w:tc>
                <w:tcPr>
                  <w:tcW w:w="672" w:type="dxa"/>
                  <w:noWrap w:val="0"/>
                  <w:vAlign w:val="center"/>
                </w:tcPr>
                <w:p w14:paraId="190987CF">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2.86</w:t>
                  </w:r>
                </w:p>
              </w:tc>
              <w:tc>
                <w:tcPr>
                  <w:tcW w:w="839" w:type="dxa"/>
                  <w:noWrap w:val="0"/>
                  <w:vAlign w:val="center"/>
                </w:tcPr>
                <w:p w14:paraId="5158A686">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014</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417" w:type="dxa"/>
                  <w:noWrap w:val="0"/>
                  <w:vAlign w:val="center"/>
                </w:tcPr>
                <w:p w14:paraId="313CD8C1">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17" w:type="dxa"/>
                  <w:noWrap w:val="0"/>
                  <w:vAlign w:val="center"/>
                </w:tcPr>
                <w:p w14:paraId="5FAAFBA7">
                  <w:pPr>
                    <w:keepNext w:val="0"/>
                    <w:keepLines w:val="0"/>
                    <w:widowControl/>
                    <w:suppressLineNumbers w:val="0"/>
                    <w:shd w:val="clear"/>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r w14:paraId="456C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continue"/>
                  <w:noWrap w:val="0"/>
                  <w:vAlign w:val="center"/>
                </w:tcPr>
                <w:p w14:paraId="0D521938">
                  <w:pPr>
                    <w:shd w:val="clear"/>
                    <w:jc w:val="center"/>
                    <w:rPr>
                      <w:rFonts w:hint="default" w:ascii="Times New Roman" w:hAnsi="Times New Roman" w:eastAsia="宋体" w:cs="Times New Roman"/>
                      <w:color w:val="auto"/>
                      <w:highlight w:val="none"/>
                    </w:rPr>
                  </w:pPr>
                </w:p>
              </w:tc>
              <w:tc>
                <w:tcPr>
                  <w:tcW w:w="780" w:type="dxa"/>
                  <w:noWrap w:val="0"/>
                  <w:vAlign w:val="center"/>
                </w:tcPr>
                <w:p w14:paraId="16B4D0BE">
                  <w:pPr>
                    <w:keepNext w:val="0"/>
                    <w:keepLines w:val="0"/>
                    <w:widowControl/>
                    <w:suppressLineNumbers w:val="0"/>
                    <w:shd w:val="clear"/>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动植物油</w:t>
                  </w:r>
                </w:p>
              </w:tc>
              <w:tc>
                <w:tcPr>
                  <w:tcW w:w="766" w:type="dxa"/>
                  <w:noWrap w:val="0"/>
                  <w:vAlign w:val="center"/>
                </w:tcPr>
                <w:p w14:paraId="0CD0A889">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rPr>
                  </w:pPr>
                  <w:r>
                    <w:rPr>
                      <w:rFonts w:hint="eastAsia"/>
                      <w:color w:val="auto"/>
                      <w:kern w:val="0"/>
                      <w:szCs w:val="21"/>
                      <w:lang w:val="en-US" w:eastAsia="zh-CN"/>
                    </w:rPr>
                    <w:t>11.07</w:t>
                  </w:r>
                </w:p>
              </w:tc>
              <w:tc>
                <w:tcPr>
                  <w:tcW w:w="839" w:type="dxa"/>
                  <w:noWrap w:val="0"/>
                  <w:vAlign w:val="center"/>
                </w:tcPr>
                <w:p w14:paraId="5684064C">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0053</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817" w:type="dxa"/>
                  <w:noWrap w:val="0"/>
                  <w:vAlign w:val="center"/>
                </w:tcPr>
                <w:p w14:paraId="07E81292">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80</w:t>
                  </w:r>
                </w:p>
              </w:tc>
              <w:tc>
                <w:tcPr>
                  <w:tcW w:w="672" w:type="dxa"/>
                  <w:noWrap w:val="0"/>
                  <w:vAlign w:val="center"/>
                </w:tcPr>
                <w:p w14:paraId="13B3B095">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olor w:val="auto"/>
                      <w:kern w:val="0"/>
                      <w:szCs w:val="21"/>
                      <w:lang w:val="en-US" w:eastAsia="zh-CN"/>
                    </w:rPr>
                    <w:t>11.07</w:t>
                  </w:r>
                </w:p>
              </w:tc>
              <w:tc>
                <w:tcPr>
                  <w:tcW w:w="817" w:type="dxa"/>
                  <w:noWrap w:val="0"/>
                  <w:vAlign w:val="center"/>
                </w:tcPr>
                <w:p w14:paraId="1EC135E2">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85</w:t>
                  </w:r>
                </w:p>
              </w:tc>
              <w:tc>
                <w:tcPr>
                  <w:tcW w:w="839" w:type="dxa"/>
                  <w:noWrap w:val="0"/>
                  <w:vAlign w:val="center"/>
                </w:tcPr>
                <w:p w14:paraId="6FEF57B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0.0051</w:t>
                  </w:r>
                </w:p>
              </w:tc>
              <w:tc>
                <w:tcPr>
                  <w:tcW w:w="672" w:type="dxa"/>
                  <w:noWrap w:val="0"/>
                  <w:vAlign w:val="center"/>
                </w:tcPr>
                <w:p w14:paraId="7C93E8EE">
                  <w:pPr>
                    <w:keepNext w:val="0"/>
                    <w:keepLines w:val="0"/>
                    <w:widowControl/>
                    <w:suppressLineNumbers w:val="0"/>
                    <w:shd w:val="clear"/>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0.33</w:t>
                  </w:r>
                </w:p>
              </w:tc>
              <w:tc>
                <w:tcPr>
                  <w:tcW w:w="839" w:type="dxa"/>
                  <w:noWrap w:val="0"/>
                  <w:vAlign w:val="center"/>
                </w:tcPr>
                <w:p w14:paraId="280C3687">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002</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417" w:type="dxa"/>
                  <w:noWrap w:val="0"/>
                  <w:vAlign w:val="center"/>
                </w:tcPr>
                <w:p w14:paraId="6DBD82BF">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417" w:type="dxa"/>
                  <w:noWrap w:val="0"/>
                  <w:vAlign w:val="center"/>
                </w:tcPr>
                <w:p w14:paraId="4779002E">
                  <w:pPr>
                    <w:keepNext w:val="0"/>
                    <w:keepLines w:val="0"/>
                    <w:widowControl/>
                    <w:suppressLineNumbers w:val="0"/>
                    <w:shd w:val="clear"/>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达标</w:t>
                  </w:r>
                </w:p>
              </w:tc>
            </w:tr>
          </w:tbl>
          <w:p w14:paraId="0F370F52">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b w:val="0"/>
                <w:bCs/>
                <w:color w:val="auto"/>
                <w:sz w:val="24"/>
                <w:szCs w:val="24"/>
                <w:highlight w:val="none"/>
                <w:lang w:val="en-US" w:eastAsia="zh-CN" w:bidi="ar"/>
              </w:rPr>
            </w:pPr>
            <w:r>
              <w:rPr>
                <w:rFonts w:hint="eastAsia"/>
                <w:color w:val="auto"/>
                <w:sz w:val="24"/>
              </w:rPr>
              <w:t>根据上表，项目生活废水经一体化污水处理设备处理后水质能够满足</w:t>
            </w:r>
            <w:r>
              <w:rPr>
                <w:color w:val="auto"/>
                <w:sz w:val="24"/>
              </w:rPr>
              <w:t>《城市污水再生利用 城市杂用水水质》（GB/T18920-2020）中的城市绿化、道路清扫、消防、建筑施工标准</w:t>
            </w:r>
            <w:r>
              <w:rPr>
                <w:rFonts w:hint="eastAsia"/>
                <w:color w:val="auto"/>
                <w:sz w:val="24"/>
              </w:rPr>
              <w:t>。</w:t>
            </w:r>
          </w:p>
          <w:p w14:paraId="01FF047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szCs w:val="24"/>
                <w:highlight w:val="none"/>
                <w:lang w:val="en-US" w:eastAsia="zh-CN" w:bidi="ar"/>
              </w:rPr>
            </w:pPr>
            <w:r>
              <w:rPr>
                <w:rFonts w:hint="default" w:ascii="Times New Roman" w:hAnsi="Times New Roman" w:eastAsia="宋体" w:cs="Times New Roman"/>
                <w:b w:val="0"/>
                <w:bCs/>
                <w:color w:val="auto"/>
                <w:sz w:val="24"/>
                <w:szCs w:val="24"/>
                <w:highlight w:val="none"/>
                <w:lang w:val="en-US" w:eastAsia="zh-CN" w:bidi="ar"/>
              </w:rPr>
              <w:t>（2）生产废水</w:t>
            </w:r>
          </w:p>
          <w:p w14:paraId="0151AC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color w:val="auto"/>
                <w:sz w:val="24"/>
                <w:szCs w:val="24"/>
                <w:highlight w:val="none"/>
              </w:rPr>
              <w:t>项目</w:t>
            </w:r>
            <w:r>
              <w:rPr>
                <w:rFonts w:hint="default" w:ascii="Times New Roman" w:hAnsi="Times New Roman" w:eastAsia="宋体" w:cs="Times New Roman"/>
                <w:b w:val="0"/>
                <w:bCs/>
                <w:color w:val="auto"/>
                <w:sz w:val="24"/>
                <w:szCs w:val="24"/>
                <w:highlight w:val="none"/>
                <w:lang w:val="en-US" w:eastAsia="zh-CN"/>
              </w:rPr>
              <w:t>生产</w:t>
            </w:r>
            <w:r>
              <w:rPr>
                <w:rFonts w:hint="default" w:ascii="Times New Roman" w:hAnsi="Times New Roman" w:eastAsia="宋体" w:cs="Times New Roman"/>
                <w:color w:val="auto"/>
                <w:sz w:val="24"/>
                <w:szCs w:val="24"/>
                <w:highlight w:val="none"/>
              </w:rPr>
              <w:t>废水</w:t>
            </w:r>
            <w:r>
              <w:rPr>
                <w:rFonts w:hint="eastAsia" w:ascii="Times New Roman" w:hAnsi="Times New Roman" w:eastAsia="宋体" w:cs="Times New Roman"/>
                <w:color w:val="auto"/>
                <w:sz w:val="24"/>
                <w:szCs w:val="24"/>
                <w:highlight w:val="none"/>
                <w:lang w:val="en-US" w:eastAsia="zh-CN"/>
              </w:rPr>
              <w:t>主要为</w:t>
            </w:r>
            <w:r>
              <w:rPr>
                <w:rFonts w:hint="default" w:ascii="Times New Roman" w:hAnsi="Times New Roman" w:eastAsia="宋体" w:cs="Times New Roman"/>
                <w:color w:val="auto"/>
                <w:sz w:val="24"/>
                <w:lang w:val="en-US" w:eastAsia="zh-CN"/>
              </w:rPr>
              <w:t>生产过程</w:t>
            </w:r>
            <w:r>
              <w:rPr>
                <w:rFonts w:hint="default" w:ascii="Times New Roman" w:hAnsi="Times New Roman" w:eastAsia="宋体" w:cs="Times New Roman"/>
                <w:color w:val="auto"/>
                <w:sz w:val="24"/>
              </w:rPr>
              <w:t>冷却废水</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bCs/>
                <w:color w:val="auto"/>
                <w:kern w:val="2"/>
                <w:sz w:val="24"/>
                <w:szCs w:val="24"/>
                <w:lang w:val="en-US" w:eastAsia="zh-CN" w:bidi="ar-SA"/>
              </w:rPr>
              <w:t>建设单位拟在项目生产</w:t>
            </w:r>
            <w:r>
              <w:rPr>
                <w:rFonts w:hint="eastAsia" w:ascii="Times New Roman" w:hAnsi="Times New Roman" w:eastAsia="宋体" w:cs="Times New Roman"/>
                <w:bCs/>
                <w:color w:val="auto"/>
                <w:kern w:val="2"/>
                <w:sz w:val="24"/>
                <w:szCs w:val="24"/>
                <w:lang w:val="en-US" w:eastAsia="zh-CN" w:bidi="ar-SA"/>
              </w:rPr>
              <w:t>厂房</w:t>
            </w:r>
            <w:r>
              <w:rPr>
                <w:rFonts w:hint="default" w:ascii="Times New Roman" w:hAnsi="Times New Roman" w:eastAsia="宋体" w:cs="Times New Roman"/>
                <w:bCs/>
                <w:color w:val="auto"/>
                <w:kern w:val="2"/>
                <w:sz w:val="24"/>
                <w:szCs w:val="24"/>
                <w:lang w:val="en-US" w:eastAsia="zh-CN" w:bidi="ar-SA"/>
              </w:rPr>
              <w:t>内设置1套循环水处理系统；冷却废水经循环水冷却</w:t>
            </w:r>
            <w:r>
              <w:rPr>
                <w:rFonts w:hint="default" w:ascii="Times New Roman" w:hAnsi="Times New Roman" w:eastAsia="宋体" w:cs="Times New Roman"/>
                <w:color w:val="auto"/>
                <w:sz w:val="24"/>
              </w:rPr>
              <w:t>池冷却后循环使用</w:t>
            </w:r>
            <w:r>
              <w:rPr>
                <w:rFonts w:hint="default" w:ascii="Times New Roman" w:hAnsi="Times New Roman" w:eastAsia="宋体" w:cs="Times New Roman"/>
                <w:color w:val="auto"/>
                <w:sz w:val="24"/>
                <w:highlight w:val="none"/>
              </w:rPr>
              <w:t>，不外排</w:t>
            </w:r>
            <w:r>
              <w:rPr>
                <w:rFonts w:hint="default" w:ascii="Times New Roman" w:hAnsi="Times New Roman" w:eastAsia="宋体" w:cs="Times New Roman"/>
                <w:color w:val="auto"/>
                <w:sz w:val="24"/>
                <w:lang w:val="en-US" w:eastAsia="zh-CN"/>
              </w:rPr>
              <w:t>，定期补充蒸发损耗量即可</w:t>
            </w:r>
            <w:r>
              <w:rPr>
                <w:rFonts w:hint="default" w:ascii="Times New Roman" w:hAnsi="Times New Roman" w:eastAsia="宋体" w:cs="Times New Roman"/>
                <w:b w:val="0"/>
                <w:bCs w:val="0"/>
                <w:color w:val="auto"/>
                <w:sz w:val="24"/>
                <w:szCs w:val="24"/>
                <w:highlight w:val="none"/>
                <w:lang w:val="en-US" w:eastAsia="zh-CN"/>
              </w:rPr>
              <w:t>。</w:t>
            </w:r>
          </w:p>
          <w:p w14:paraId="09A7866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val="en-US" w:bidi="ar"/>
              </w:rPr>
            </w:pPr>
            <w:r>
              <w:rPr>
                <w:rFonts w:hint="default" w:ascii="Times New Roman" w:hAnsi="Times New Roman" w:eastAsia="宋体" w:cs="Times New Roman"/>
                <w:b/>
                <w:color w:val="auto"/>
                <w:sz w:val="24"/>
                <w:szCs w:val="24"/>
                <w:highlight w:val="none"/>
                <w:lang w:val="en-US" w:eastAsia="zh-CN" w:bidi="ar"/>
              </w:rPr>
              <w:t>3、</w:t>
            </w:r>
            <w:r>
              <w:rPr>
                <w:rFonts w:hint="default" w:ascii="Times New Roman" w:hAnsi="Times New Roman" w:eastAsia="宋体" w:cs="Times New Roman"/>
                <w:b/>
                <w:color w:val="auto"/>
                <w:spacing w:val="-10"/>
                <w:sz w:val="24"/>
                <w:highlight w:val="none"/>
              </w:rPr>
              <w:t>污水处理设施的可行性</w:t>
            </w:r>
          </w:p>
          <w:p w14:paraId="1C1184A9">
            <w:pPr>
              <w:keepNext w:val="0"/>
              <w:keepLines w:val="0"/>
              <w:pageBreakBefore w:val="0"/>
              <w:widowControl/>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lang w:val="zh-CN"/>
              </w:rPr>
              <w:t>隔油池</w:t>
            </w:r>
          </w:p>
          <w:p w14:paraId="339A910D">
            <w:pPr>
              <w:keepNext w:val="0"/>
              <w:keepLines w:val="0"/>
              <w:pageBreakBefore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根据工程分析可知，</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项目食堂废水产生量为</w:t>
            </w:r>
            <w:r>
              <w:rPr>
                <w:rFonts w:hint="eastAsia" w:cs="Times New Roman"/>
                <w:color w:val="auto"/>
                <w:sz w:val="24"/>
                <w:szCs w:val="24"/>
                <w:highlight w:val="none"/>
                <w:lang w:val="en-US" w:eastAsia="zh-CN"/>
              </w:rPr>
              <w:t>0.3</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/d。根据中华人民共和国国家环境保护标准《饮食业环境保护技术规范》（HJ554-2010），隔油池设计符合下列规定：</w:t>
            </w:r>
          </w:p>
          <w:p w14:paraId="49887FD4">
            <w:pPr>
              <w:keepNext w:val="0"/>
              <w:keepLines w:val="0"/>
              <w:pageBreakBefore w:val="0"/>
              <w:shd w:val="clear"/>
              <w:kinsoku/>
              <w:wordWrap/>
              <w:overflowPunct/>
              <w:topLinePunct w:val="0"/>
              <w:autoSpaceDE/>
              <w:autoSpaceDN/>
              <w:bidi w:val="0"/>
              <w:spacing w:line="360" w:lineRule="auto"/>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a、含油污水的水力停留时间不宜小于0.5h；</w:t>
            </w:r>
          </w:p>
          <w:p w14:paraId="70CB1DCC">
            <w:pPr>
              <w:keepNext w:val="0"/>
              <w:keepLines w:val="0"/>
              <w:pageBreakBefore w:val="0"/>
              <w:shd w:val="clear"/>
              <w:kinsoku/>
              <w:wordWrap/>
              <w:overflowPunct/>
              <w:topLinePunct w:val="0"/>
              <w:autoSpaceDE/>
              <w:autoSpaceDN/>
              <w:bidi w:val="0"/>
              <w:spacing w:line="360" w:lineRule="auto"/>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b、池内水流流速不宜大于0.005m/s；</w:t>
            </w:r>
          </w:p>
          <w:p w14:paraId="65834507">
            <w:pPr>
              <w:keepNext w:val="0"/>
              <w:keepLines w:val="0"/>
              <w:pageBreakBefore w:val="0"/>
              <w:shd w:val="clear"/>
              <w:kinsoku/>
              <w:wordWrap/>
              <w:overflowPunct/>
              <w:topLinePunct w:val="0"/>
              <w:autoSpaceDE/>
              <w:autoSpaceDN/>
              <w:bidi w:val="0"/>
              <w:spacing w:line="360" w:lineRule="auto"/>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c、池内分格宜取两档三格；</w:t>
            </w:r>
          </w:p>
          <w:p w14:paraId="242D6A0C">
            <w:pPr>
              <w:keepNext w:val="0"/>
              <w:keepLines w:val="0"/>
              <w:pageBreakBefore w:val="0"/>
              <w:shd w:val="clear"/>
              <w:kinsoku/>
              <w:wordWrap/>
              <w:overflowPunct/>
              <w:topLinePunct w:val="0"/>
              <w:autoSpaceDE/>
              <w:autoSpaceDN/>
              <w:bidi w:val="0"/>
              <w:spacing w:line="360" w:lineRule="auto"/>
              <w:ind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d、人工除油的隔油池内存油部分的容积不得小于该池有效容积的25%，隔油池出水管管底至池底的深度，不得小于0.6m。</w:t>
            </w:r>
          </w:p>
          <w:p w14:paraId="2FF54CB0">
            <w:pPr>
              <w:pStyle w:val="6"/>
              <w:keepNext w:val="0"/>
              <w:keepLines w:val="0"/>
              <w:pageBreakBefore w:val="0"/>
              <w:shd w:val="clear"/>
              <w:kinsoku/>
              <w:wordWrap/>
              <w:overflowPunct/>
              <w:topLinePunct w:val="0"/>
              <w:autoSpaceDE/>
              <w:autoSpaceDN/>
              <w:bidi w:val="0"/>
              <w:adjustRightInd w:val="0"/>
              <w:snapToGrid w:val="0"/>
              <w:spacing w:after="0" w:line="360" w:lineRule="auto"/>
              <w:ind w:firstLine="464" w:firstLineChars="200"/>
              <w:textAlignment w:val="auto"/>
              <w:rPr>
                <w:rFonts w:hint="default" w:ascii="Times New Roman" w:hAnsi="Times New Roman" w:eastAsia="宋体" w:cs="Times New Roman"/>
                <w:color w:val="auto"/>
                <w:spacing w:val="-4"/>
                <w:sz w:val="24"/>
                <w:szCs w:val="24"/>
                <w:highlight w:val="none"/>
              </w:rPr>
            </w:pPr>
            <w:r>
              <w:rPr>
                <w:rFonts w:hint="default" w:ascii="Times New Roman" w:hAnsi="Times New Roman" w:eastAsia="宋体" w:cs="Times New Roman"/>
                <w:color w:val="auto"/>
                <w:spacing w:val="-4"/>
                <w:sz w:val="24"/>
                <w:szCs w:val="24"/>
                <w:highlight w:val="none"/>
                <w:lang w:val="en-US" w:eastAsia="zh-CN"/>
              </w:rPr>
              <w:t>项目</w:t>
            </w:r>
            <w:r>
              <w:rPr>
                <w:rFonts w:hint="default" w:ascii="Times New Roman" w:hAnsi="Times New Roman" w:eastAsia="宋体" w:cs="Times New Roman"/>
                <w:color w:val="auto"/>
                <w:sz w:val="24"/>
                <w:szCs w:val="24"/>
                <w:highlight w:val="none"/>
              </w:rPr>
              <w:t>食堂</w:t>
            </w:r>
            <w:r>
              <w:rPr>
                <w:rFonts w:hint="default" w:ascii="Times New Roman" w:hAnsi="Times New Roman" w:eastAsia="宋体" w:cs="Times New Roman"/>
                <w:color w:val="auto"/>
                <w:sz w:val="24"/>
                <w:szCs w:val="24"/>
                <w:highlight w:val="none"/>
                <w:lang w:val="en-US" w:eastAsia="zh-CN"/>
              </w:rPr>
              <w:t>拟</w:t>
            </w:r>
            <w:r>
              <w:rPr>
                <w:rFonts w:hint="default" w:ascii="Times New Roman" w:hAnsi="Times New Roman" w:eastAsia="宋体" w:cs="Times New Roman"/>
                <w:color w:val="auto"/>
                <w:sz w:val="24"/>
                <w:szCs w:val="24"/>
                <w:highlight w:val="none"/>
              </w:rPr>
              <w:t>配套设置</w:t>
            </w:r>
            <w:r>
              <w:rPr>
                <w:rFonts w:hint="default" w:ascii="Times New Roman" w:hAnsi="Times New Roman" w:eastAsia="宋体" w:cs="Times New Roman"/>
                <w:color w:val="auto"/>
                <w:sz w:val="24"/>
                <w:szCs w:val="24"/>
                <w:highlight w:val="none"/>
                <w:lang w:val="en-US" w:eastAsia="zh-CN"/>
              </w:rPr>
              <w:t>1个</w:t>
            </w:r>
            <w:r>
              <w:rPr>
                <w:rFonts w:hint="default" w:ascii="Times New Roman" w:hAnsi="Times New Roman" w:eastAsia="宋体" w:cs="Times New Roman"/>
                <w:color w:val="auto"/>
                <w:sz w:val="24"/>
                <w:szCs w:val="24"/>
                <w:highlight w:val="none"/>
              </w:rPr>
              <w:t>容积</w:t>
            </w:r>
            <w:r>
              <w:rPr>
                <w:rFonts w:hint="default" w:ascii="Times New Roman" w:hAnsi="Times New Roman" w:eastAsia="宋体" w:cs="Times New Roman"/>
                <w:color w:val="auto"/>
                <w:sz w:val="24"/>
                <w:szCs w:val="24"/>
                <w:highlight w:val="none"/>
                <w:lang w:val="en-US" w:eastAsia="zh-CN"/>
              </w:rPr>
              <w:t>约为0.</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的隔油池</w:t>
            </w:r>
            <w:r>
              <w:rPr>
                <w:rFonts w:hint="default" w:ascii="Times New Roman" w:hAnsi="Times New Roman" w:eastAsia="宋体" w:cs="Times New Roman"/>
                <w:color w:val="auto"/>
                <w:sz w:val="24"/>
                <w:szCs w:val="24"/>
                <w:highlight w:val="none"/>
                <w:lang w:val="en-US" w:eastAsia="zh-CN"/>
              </w:rPr>
              <w:t>进行使用</w:t>
            </w:r>
            <w:r>
              <w:rPr>
                <w:rFonts w:hint="default" w:ascii="Times New Roman" w:hAnsi="Times New Roman" w:eastAsia="宋体" w:cs="Times New Roman"/>
                <w:color w:val="auto"/>
                <w:sz w:val="24"/>
                <w:szCs w:val="24"/>
                <w:highlight w:val="none"/>
              </w:rPr>
              <w:t>，用于接纳厨房餐饮含油废水。根据</w:t>
            </w:r>
            <w:r>
              <w:rPr>
                <w:rFonts w:hint="default" w:ascii="Times New Roman" w:hAnsi="Times New Roman" w:eastAsia="宋体" w:cs="Times New Roman"/>
                <w:color w:val="auto"/>
                <w:sz w:val="24"/>
                <w:szCs w:val="24"/>
                <w:highlight w:val="none"/>
                <w:lang w:val="en-US" w:eastAsia="zh-CN"/>
              </w:rPr>
              <w:t>上文</w:t>
            </w:r>
            <w:r>
              <w:rPr>
                <w:rFonts w:hint="default" w:ascii="Times New Roman" w:hAnsi="Times New Roman" w:eastAsia="宋体" w:cs="Times New Roman"/>
                <w:color w:val="auto"/>
                <w:sz w:val="24"/>
                <w:szCs w:val="24"/>
                <w:highlight w:val="none"/>
              </w:rPr>
              <w:t>分析，</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建成后整个</w:t>
            </w:r>
            <w:r>
              <w:rPr>
                <w:rFonts w:hint="default" w:ascii="Times New Roman" w:hAnsi="Times New Roman" w:eastAsia="宋体" w:cs="Times New Roman"/>
                <w:color w:val="auto"/>
                <w:sz w:val="24"/>
                <w:szCs w:val="24"/>
                <w:highlight w:val="none"/>
              </w:rPr>
              <w:t>食堂厨房含油废水产生量为</w:t>
            </w:r>
            <w:r>
              <w:rPr>
                <w:rFonts w:hint="eastAsia" w:cs="Times New Roman"/>
                <w:color w:val="auto"/>
                <w:sz w:val="24"/>
                <w:szCs w:val="24"/>
                <w:highlight w:val="none"/>
                <w:lang w:val="en-US" w:eastAsia="zh-CN"/>
              </w:rPr>
              <w:t>0.3</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/d，按炊事时间4小时计算，隔油池容积大于</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08</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即可满足水量停留时间要求，</w:t>
            </w:r>
            <w:r>
              <w:rPr>
                <w:rFonts w:hint="default" w:ascii="Times New Roman" w:hAnsi="Times New Roman" w:eastAsia="宋体" w:cs="Times New Roman"/>
                <w:color w:val="auto"/>
                <w:sz w:val="24"/>
                <w:szCs w:val="24"/>
                <w:highlight w:val="none"/>
                <w:lang w:eastAsia="zh-CN"/>
              </w:rPr>
              <w:t>本</w:t>
            </w:r>
            <w:r>
              <w:rPr>
                <w:rFonts w:hint="eastAsia"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lang w:val="en-US" w:eastAsia="zh-CN"/>
              </w:rPr>
              <w:t>设置的</w:t>
            </w:r>
            <w:r>
              <w:rPr>
                <w:rFonts w:hint="default" w:ascii="Times New Roman" w:hAnsi="Times New Roman" w:eastAsia="宋体" w:cs="Times New Roman"/>
                <w:color w:val="auto"/>
                <w:sz w:val="24"/>
                <w:szCs w:val="24"/>
                <w:highlight w:val="none"/>
              </w:rPr>
              <w:t>隔油池</w:t>
            </w:r>
            <w:r>
              <w:rPr>
                <w:rFonts w:hint="default" w:ascii="Times New Roman" w:hAnsi="Times New Roman" w:eastAsia="宋体" w:cs="Times New Roman"/>
                <w:color w:val="auto"/>
                <w:sz w:val="24"/>
                <w:szCs w:val="24"/>
                <w:highlight w:val="none"/>
                <w:lang w:eastAsia="zh-CN"/>
              </w:rPr>
              <w:t>容积为</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，隔油池容积能够满足</w:t>
            </w: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rPr>
              <w:t>含油污水的水量停留时间不小于0.5h的要求，能够确保隔油池的隔油效果</w:t>
            </w:r>
            <w:r>
              <w:rPr>
                <w:rFonts w:hint="default" w:ascii="Times New Roman" w:hAnsi="Times New Roman" w:eastAsia="宋体" w:cs="Times New Roman"/>
                <w:color w:val="auto"/>
                <w:sz w:val="24"/>
                <w:szCs w:val="24"/>
                <w:highlight w:val="none"/>
                <w:lang w:eastAsia="zh-CN"/>
              </w:rPr>
              <w:t>。</w:t>
            </w:r>
          </w:p>
          <w:p w14:paraId="05FCEC90">
            <w:pPr>
              <w:keepNext w:val="0"/>
              <w:keepLines w:val="0"/>
              <w:pageBreakBefore w:val="0"/>
              <w:widowControl w:val="0"/>
              <w:shd w:val="clear"/>
              <w:kinsoku/>
              <w:wordWrap/>
              <w:overflowPunct/>
              <w:topLinePunct w:val="0"/>
              <w:autoSpaceDE/>
              <w:autoSpaceDN/>
              <w:bidi w:val="0"/>
              <w:snapToGrid w:val="0"/>
              <w:spacing w:line="360" w:lineRule="auto"/>
              <w:ind w:left="0" w:leftChars="0" w:right="0" w:rightChars="0" w:firstLine="482"/>
              <w:jc w:val="both"/>
              <w:textAlignment w:val="auto"/>
              <w:outlineLvl w:val="9"/>
              <w:rPr>
                <w:rFonts w:hint="default" w:ascii="Times New Roman" w:hAnsi="Times New Roman" w:eastAsia="宋体" w:cs="Times New Roman"/>
                <w:b w:val="0"/>
                <w:bCs w:val="0"/>
                <w:color w:val="auto"/>
                <w:sz w:val="24"/>
                <w:szCs w:val="24"/>
                <w:highlight w:val="none"/>
                <w:shd w:val="clear" w:color="auto" w:fill="auto"/>
                <w:lang w:val="en-US" w:eastAsia="zh-CN"/>
              </w:rPr>
            </w:pPr>
            <w:r>
              <w:rPr>
                <w:rFonts w:hint="default" w:ascii="Times New Roman" w:hAnsi="Times New Roman" w:eastAsia="宋体" w:cs="Times New Roman"/>
                <w:b w:val="0"/>
                <w:bCs w:val="0"/>
                <w:color w:val="auto"/>
                <w:sz w:val="24"/>
                <w:szCs w:val="24"/>
                <w:highlight w:val="none"/>
                <w:shd w:val="clear" w:color="auto" w:fill="auto"/>
                <w:lang w:val="zh-CN"/>
              </w:rPr>
              <w:t>②</w:t>
            </w:r>
            <w:r>
              <w:rPr>
                <w:rFonts w:hint="eastAsia" w:cs="Times New Roman"/>
                <w:b w:val="0"/>
                <w:bCs w:val="0"/>
                <w:color w:val="auto"/>
                <w:sz w:val="24"/>
                <w:szCs w:val="24"/>
                <w:highlight w:val="none"/>
                <w:shd w:val="clear" w:color="auto" w:fill="auto"/>
                <w:lang w:val="en-US" w:eastAsia="zh-CN"/>
              </w:rPr>
              <w:t>依托</w:t>
            </w:r>
            <w:r>
              <w:rPr>
                <w:rFonts w:hint="default" w:ascii="Times New Roman" w:hAnsi="Times New Roman" w:eastAsia="宋体" w:cs="Times New Roman"/>
                <w:b w:val="0"/>
                <w:bCs w:val="0"/>
                <w:color w:val="auto"/>
                <w:sz w:val="24"/>
                <w:szCs w:val="24"/>
                <w:highlight w:val="none"/>
                <w:shd w:val="clear" w:color="auto" w:fill="auto"/>
                <w:lang w:val="zh-CN"/>
              </w:rPr>
              <w:t>化粪池</w:t>
            </w:r>
            <w:r>
              <w:rPr>
                <w:rFonts w:hint="eastAsia" w:cs="Times New Roman"/>
                <w:b w:val="0"/>
                <w:bCs w:val="0"/>
                <w:color w:val="auto"/>
                <w:sz w:val="24"/>
                <w:szCs w:val="24"/>
                <w:highlight w:val="none"/>
                <w:shd w:val="clear" w:color="auto" w:fill="auto"/>
                <w:lang w:val="en-US" w:eastAsia="zh-CN"/>
              </w:rPr>
              <w:t>的可行性分析</w:t>
            </w:r>
          </w:p>
          <w:p w14:paraId="04B7EE3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olor w:val="auto"/>
                <w:sz w:val="24"/>
                <w:lang w:val="en-US" w:eastAsia="zh-CN"/>
              </w:rPr>
              <w:t>根据现场实际调查可知：</w:t>
            </w:r>
            <w:r>
              <w:rPr>
                <w:color w:val="auto"/>
                <w:sz w:val="24"/>
              </w:rPr>
              <w:t>项目</w:t>
            </w:r>
            <w:r>
              <w:rPr>
                <w:rFonts w:hint="eastAsia"/>
                <w:color w:val="auto"/>
                <w:sz w:val="24"/>
              </w:rPr>
              <w:t>与云南得奥海绵制造有限公司</w:t>
            </w:r>
            <w:r>
              <w:rPr>
                <w:rFonts w:hint="eastAsia"/>
                <w:color w:val="auto"/>
                <w:sz w:val="24"/>
                <w:lang w:eastAsia="zh-CN"/>
              </w:rPr>
              <w:t>、</w:t>
            </w:r>
            <w:r>
              <w:rPr>
                <w:rFonts w:hint="eastAsia"/>
                <w:sz w:val="24"/>
                <w:lang w:val="zh-CN"/>
              </w:rPr>
              <w:t>云南圣唯铝业有限责任公司</w:t>
            </w:r>
            <w:r>
              <w:rPr>
                <w:rFonts w:hint="eastAsia"/>
                <w:color w:val="auto"/>
                <w:sz w:val="24"/>
              </w:rPr>
              <w:t>共用一个</w:t>
            </w:r>
            <w:r>
              <w:rPr>
                <w:color w:val="auto"/>
                <w:sz w:val="24"/>
              </w:rPr>
              <w:t>化粪池</w:t>
            </w:r>
            <w:r>
              <w:rPr>
                <w:rFonts w:hint="eastAsia"/>
                <w:color w:val="auto"/>
                <w:sz w:val="24"/>
              </w:rPr>
              <w:t>，</w:t>
            </w:r>
            <w:r>
              <w:rPr>
                <w:rFonts w:hint="eastAsia"/>
                <w:color w:val="auto"/>
                <w:sz w:val="24"/>
                <w:lang w:val="en-US" w:eastAsia="zh-CN"/>
              </w:rPr>
              <w:t>根据工程分析，</w:t>
            </w:r>
            <w:r>
              <w:rPr>
                <w:color w:val="auto"/>
                <w:sz w:val="24"/>
              </w:rPr>
              <w:t>项目运营过程中</w:t>
            </w:r>
            <w:r>
              <w:rPr>
                <w:rFonts w:hint="eastAsia"/>
                <w:color w:val="auto"/>
                <w:sz w:val="24"/>
              </w:rPr>
              <w:t>生活</w:t>
            </w:r>
            <w:r>
              <w:rPr>
                <w:color w:val="auto"/>
                <w:sz w:val="24"/>
              </w:rPr>
              <w:t>废水产生量为</w:t>
            </w:r>
            <w:r>
              <w:rPr>
                <w:rFonts w:hint="eastAsia"/>
                <w:color w:val="auto"/>
                <w:sz w:val="24"/>
                <w:lang w:val="en-US" w:eastAsia="zh-CN"/>
              </w:rPr>
              <w:t>1.6</w:t>
            </w:r>
            <w:r>
              <w:rPr>
                <w:color w:val="auto"/>
                <w:sz w:val="24"/>
              </w:rPr>
              <w:t>m</w:t>
            </w:r>
            <w:r>
              <w:rPr>
                <w:color w:val="auto"/>
                <w:sz w:val="24"/>
                <w:vertAlign w:val="superscript"/>
              </w:rPr>
              <w:t>3</w:t>
            </w:r>
            <w:r>
              <w:rPr>
                <w:color w:val="auto"/>
                <w:sz w:val="24"/>
              </w:rPr>
              <w:t>/d。</w:t>
            </w:r>
            <w:r>
              <w:rPr>
                <w:rFonts w:hint="eastAsia"/>
                <w:color w:val="auto"/>
                <w:sz w:val="24"/>
              </w:rPr>
              <w:t>根据现场了解，云南得奥海绵制造有限公司生活废水量约为2.5m</w:t>
            </w:r>
            <w:r>
              <w:rPr>
                <w:rFonts w:hint="eastAsia"/>
                <w:color w:val="auto"/>
                <w:sz w:val="24"/>
                <w:vertAlign w:val="superscript"/>
              </w:rPr>
              <w:t>3</w:t>
            </w:r>
            <w:r>
              <w:rPr>
                <w:rFonts w:hint="eastAsia"/>
                <w:color w:val="auto"/>
                <w:sz w:val="24"/>
              </w:rPr>
              <w:t>/d</w:t>
            </w:r>
            <w:r>
              <w:rPr>
                <w:rFonts w:hint="eastAsia"/>
                <w:color w:val="auto"/>
                <w:sz w:val="24"/>
                <w:lang w:eastAsia="zh-CN"/>
              </w:rPr>
              <w:t>、</w:t>
            </w:r>
            <w:r>
              <w:rPr>
                <w:rFonts w:hint="eastAsia"/>
                <w:sz w:val="24"/>
                <w:lang w:val="zh-CN"/>
              </w:rPr>
              <w:t>云南圣唯铝业有限责任公司</w:t>
            </w:r>
            <w:r>
              <w:rPr>
                <w:rFonts w:hint="eastAsia"/>
                <w:color w:val="auto"/>
                <w:sz w:val="24"/>
              </w:rPr>
              <w:t>生活废水量约为2.88</w:t>
            </w:r>
            <w:r>
              <w:rPr>
                <w:color w:val="auto"/>
                <w:sz w:val="24"/>
              </w:rPr>
              <w:t>m</w:t>
            </w:r>
            <w:r>
              <w:rPr>
                <w:color w:val="auto"/>
                <w:sz w:val="24"/>
                <w:vertAlign w:val="superscript"/>
              </w:rPr>
              <w:t>3</w:t>
            </w:r>
            <w:r>
              <w:rPr>
                <w:color w:val="auto"/>
                <w:sz w:val="24"/>
              </w:rPr>
              <w:t>/d</w:t>
            </w:r>
            <w:r>
              <w:rPr>
                <w:rFonts w:hint="eastAsia"/>
                <w:color w:val="auto"/>
                <w:sz w:val="24"/>
              </w:rPr>
              <w:t>，本项目入驻后，总废水量为</w:t>
            </w:r>
            <w:r>
              <w:rPr>
                <w:rFonts w:hint="eastAsia"/>
                <w:color w:val="auto"/>
                <w:sz w:val="24"/>
                <w:lang w:val="en-US" w:eastAsia="zh-CN"/>
              </w:rPr>
              <w:t>6.98</w:t>
            </w:r>
            <w:r>
              <w:rPr>
                <w:rFonts w:hint="eastAsia"/>
                <w:color w:val="auto"/>
                <w:sz w:val="24"/>
              </w:rPr>
              <w:t>m</w:t>
            </w:r>
            <w:r>
              <w:rPr>
                <w:rFonts w:hint="eastAsia"/>
                <w:color w:val="auto"/>
                <w:sz w:val="24"/>
                <w:vertAlign w:val="superscript"/>
              </w:rPr>
              <w:t>3</w:t>
            </w:r>
            <w:r>
              <w:rPr>
                <w:rFonts w:hint="eastAsia"/>
                <w:color w:val="auto"/>
                <w:sz w:val="24"/>
              </w:rPr>
              <w:t>/d，</w:t>
            </w:r>
            <w:r>
              <w:rPr>
                <w:color w:val="auto"/>
                <w:sz w:val="24"/>
              </w:rPr>
              <w:t>根据《建筑给水排水设计规范》（GB50015-2009）中规定：化粪池的容积应满足污水在池内停留时间12h-24h要求。项目</w:t>
            </w:r>
            <w:r>
              <w:rPr>
                <w:rFonts w:hint="eastAsia"/>
                <w:color w:val="auto"/>
                <w:sz w:val="24"/>
              </w:rPr>
              <w:t>与云南得奥海绵制造有限公司</w:t>
            </w:r>
            <w:r>
              <w:rPr>
                <w:rFonts w:hint="eastAsia"/>
                <w:color w:val="auto"/>
                <w:sz w:val="24"/>
                <w:lang w:eastAsia="zh-CN"/>
              </w:rPr>
              <w:t>、</w:t>
            </w:r>
            <w:r>
              <w:rPr>
                <w:rFonts w:hint="eastAsia"/>
                <w:sz w:val="24"/>
                <w:lang w:val="zh-CN"/>
              </w:rPr>
              <w:t>云南圣唯铝业有限责任公司</w:t>
            </w:r>
            <w:r>
              <w:rPr>
                <w:rFonts w:hint="eastAsia"/>
                <w:color w:val="auto"/>
                <w:sz w:val="24"/>
              </w:rPr>
              <w:t>共用一个</w:t>
            </w:r>
            <w:r>
              <w:rPr>
                <w:color w:val="auto"/>
                <w:sz w:val="24"/>
              </w:rPr>
              <w:t>化粪池</w:t>
            </w:r>
            <w:r>
              <w:rPr>
                <w:rFonts w:hint="eastAsia"/>
                <w:color w:val="auto"/>
                <w:sz w:val="24"/>
                <w:lang w:eastAsia="zh-CN"/>
              </w:rPr>
              <w:t>，</w:t>
            </w:r>
            <w:r>
              <w:rPr>
                <w:rFonts w:hint="eastAsia"/>
                <w:color w:val="auto"/>
                <w:sz w:val="24"/>
                <w:lang w:val="en-US" w:eastAsia="zh-CN"/>
              </w:rPr>
              <w:t>化粪池</w:t>
            </w:r>
            <w:r>
              <w:rPr>
                <w:color w:val="auto"/>
                <w:sz w:val="24"/>
              </w:rPr>
              <w:t>容积</w:t>
            </w:r>
            <w:r>
              <w:rPr>
                <w:rFonts w:hint="eastAsia"/>
                <w:color w:val="auto"/>
                <w:sz w:val="24"/>
              </w:rPr>
              <w:t>为20</w:t>
            </w:r>
            <w:r>
              <w:rPr>
                <w:color w:val="auto"/>
                <w:sz w:val="24"/>
              </w:rPr>
              <w:t>m</w:t>
            </w:r>
            <w:r>
              <w:rPr>
                <w:color w:val="auto"/>
                <w:sz w:val="24"/>
                <w:vertAlign w:val="superscript"/>
              </w:rPr>
              <w:t>3</w:t>
            </w:r>
            <w:r>
              <w:rPr>
                <w:rFonts w:hint="eastAsia"/>
                <w:color w:val="auto"/>
                <w:sz w:val="24"/>
              </w:rPr>
              <w:t>，</w:t>
            </w:r>
            <w:r>
              <w:rPr>
                <w:rFonts w:hint="default" w:ascii="Times New Roman" w:hAnsi="Times New Roman" w:eastAsia="宋体" w:cs="Times New Roman"/>
                <w:color w:val="auto"/>
                <w:sz w:val="24"/>
                <w:szCs w:val="24"/>
                <w:highlight w:val="none"/>
              </w:rPr>
              <w:t>能够保证污水停留</w:t>
            </w:r>
            <w:r>
              <w:rPr>
                <w:rFonts w:hint="default" w:ascii="Times New Roman" w:hAnsi="Times New Roman" w:eastAsia="宋体" w:cs="Times New Roman"/>
                <w:color w:val="auto"/>
                <w:sz w:val="24"/>
                <w:szCs w:val="24"/>
                <w:highlight w:val="none"/>
                <w:lang w:val="en-US" w:eastAsia="zh-CN"/>
              </w:rPr>
              <w:t>24小时以上，</w:t>
            </w:r>
            <w:r>
              <w:rPr>
                <w:rFonts w:hint="default" w:ascii="Times New Roman" w:hAnsi="Times New Roman" w:eastAsia="宋体" w:cs="Times New Roman"/>
                <w:color w:val="auto"/>
                <w:sz w:val="24"/>
                <w:szCs w:val="24"/>
                <w:highlight w:val="none"/>
              </w:rPr>
              <w:t>熟化效果较好</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项目生活污水经化粪池处理</w:t>
            </w:r>
            <w:r>
              <w:rPr>
                <w:rFonts w:hint="eastAsia" w:cs="Times New Roman"/>
                <w:color w:val="auto"/>
                <w:sz w:val="24"/>
                <w:szCs w:val="24"/>
                <w:highlight w:val="none"/>
                <w:lang w:eastAsia="zh-CN"/>
              </w:rPr>
              <w:t>后</w:t>
            </w:r>
            <w:r>
              <w:rPr>
                <w:rFonts w:hint="default" w:ascii="Times New Roman" w:hAnsi="Times New Roman" w:eastAsia="宋体" w:cs="Times New Roman"/>
                <w:color w:val="auto"/>
                <w:sz w:val="24"/>
                <w:szCs w:val="24"/>
                <w:highlight w:val="none"/>
              </w:rPr>
              <w:t>可大大降低后端</w:t>
            </w:r>
            <w:r>
              <w:rPr>
                <w:rFonts w:hint="default" w:ascii="Times New Roman" w:hAnsi="Times New Roman" w:eastAsia="宋体" w:cs="Times New Roman"/>
                <w:color w:val="auto"/>
                <w:sz w:val="24"/>
                <w:szCs w:val="24"/>
                <w:highlight w:val="none"/>
                <w:lang w:val="en-US" w:eastAsia="zh-CN"/>
              </w:rPr>
              <w:t>一体化生活污水处理站</w:t>
            </w:r>
            <w:r>
              <w:rPr>
                <w:rFonts w:hint="default" w:ascii="Times New Roman" w:hAnsi="Times New Roman" w:eastAsia="宋体" w:cs="Times New Roman"/>
                <w:color w:val="auto"/>
                <w:sz w:val="24"/>
                <w:szCs w:val="24"/>
                <w:highlight w:val="none"/>
              </w:rPr>
              <w:t>的运行负荷。</w:t>
            </w:r>
          </w:p>
          <w:p w14:paraId="542E9FA7">
            <w:pPr>
              <w:keepNext w:val="0"/>
              <w:keepLines w:val="0"/>
              <w:pageBreakBefore w:val="0"/>
              <w:widowControl w:val="0"/>
              <w:shd w:val="clear"/>
              <w:kinsoku/>
              <w:wordWrap/>
              <w:overflowPunct/>
              <w:topLinePunct w:val="0"/>
              <w:autoSpaceDE/>
              <w:autoSpaceDN/>
              <w:bidi w:val="0"/>
              <w:adjustRightInd/>
              <w:snapToGrid/>
              <w:spacing w:beforeLines="0" w:afterLines="0"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因此，本项目</w:t>
            </w:r>
            <w:r>
              <w:rPr>
                <w:rFonts w:hint="eastAsia" w:cs="Times New Roman"/>
                <w:color w:val="auto"/>
                <w:sz w:val="24"/>
                <w:szCs w:val="24"/>
                <w:highlight w:val="none"/>
                <w:lang w:val="en-US" w:eastAsia="zh-CN"/>
              </w:rPr>
              <w:t>依托</w:t>
            </w:r>
            <w:r>
              <w:rPr>
                <w:rFonts w:hint="eastAsia"/>
                <w:color w:val="auto"/>
                <w:sz w:val="24"/>
              </w:rPr>
              <w:t>云南得奥海绵制造有限公司</w:t>
            </w:r>
            <w:r>
              <w:rPr>
                <w:rFonts w:hint="default" w:ascii="Times New Roman" w:hAnsi="Times New Roman" w:eastAsia="宋体" w:cs="Times New Roman"/>
                <w:color w:val="auto"/>
                <w:sz w:val="24"/>
                <w:szCs w:val="24"/>
                <w:highlight w:val="none"/>
                <w:lang w:val="en-US" w:eastAsia="zh-CN"/>
              </w:rPr>
              <w:t>已设置的化粪池</w:t>
            </w:r>
            <w:r>
              <w:rPr>
                <w:rFonts w:hint="default" w:ascii="Times New Roman" w:hAnsi="Times New Roman" w:eastAsia="宋体" w:cs="Times New Roman"/>
                <w:color w:val="auto"/>
                <w:sz w:val="24"/>
                <w:szCs w:val="24"/>
                <w:highlight w:val="none"/>
                <w:lang w:eastAsia="zh-CN"/>
              </w:rPr>
              <w:t>可行</w:t>
            </w:r>
            <w:r>
              <w:rPr>
                <w:rFonts w:hint="default" w:ascii="Times New Roman" w:hAnsi="Times New Roman" w:eastAsia="宋体" w:cs="Times New Roman"/>
                <w:color w:val="auto"/>
                <w:sz w:val="24"/>
                <w:szCs w:val="24"/>
                <w:highlight w:val="none"/>
              </w:rPr>
              <w:t>。</w:t>
            </w:r>
          </w:p>
          <w:p w14:paraId="40266A3D">
            <w:pPr>
              <w:keepNext w:val="0"/>
              <w:keepLines w:val="0"/>
              <w:pageBreakBefore w:val="0"/>
              <w:widowControl/>
              <w:shd w:val="clear"/>
              <w:kinsoku/>
              <w:wordWrap/>
              <w:overflowPunct/>
              <w:topLinePunct w:val="0"/>
              <w:autoSpaceDE/>
              <w:autoSpaceDN/>
              <w:bidi w:val="0"/>
              <w:adjustRightInd w:val="0"/>
              <w:snapToGrid w:val="0"/>
              <w:spacing w:beforeLines="0" w:afterLines="0"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w:t>
            </w:r>
            <w:r>
              <w:rPr>
                <w:rFonts w:hint="eastAsia" w:cs="Times New Roman"/>
                <w:color w:val="auto"/>
                <w:sz w:val="24"/>
                <w:szCs w:val="24"/>
                <w:highlight w:val="none"/>
                <w:lang w:val="en-US" w:eastAsia="zh-CN"/>
              </w:rPr>
              <w:t>依托</w:t>
            </w:r>
            <w:r>
              <w:rPr>
                <w:rFonts w:hint="default" w:ascii="Times New Roman" w:hAnsi="Times New Roman" w:eastAsia="宋体" w:cs="Times New Roman"/>
                <w:color w:val="auto"/>
                <w:sz w:val="24"/>
                <w:szCs w:val="24"/>
                <w:highlight w:val="none"/>
                <w:lang w:eastAsia="zh-CN" w:bidi="ar"/>
              </w:rPr>
              <w:t>一体化生活污水处理站</w:t>
            </w:r>
            <w:r>
              <w:rPr>
                <w:rFonts w:hint="eastAsia" w:cs="Times New Roman"/>
                <w:color w:val="auto"/>
                <w:sz w:val="24"/>
                <w:szCs w:val="24"/>
                <w:highlight w:val="none"/>
                <w:lang w:val="en-US" w:eastAsia="zh-CN" w:bidi="ar"/>
              </w:rPr>
              <w:t>的可行性分析</w:t>
            </w:r>
          </w:p>
          <w:p w14:paraId="6A4ACCCC">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eastAsia"/>
                <w:color w:val="auto"/>
                <w:sz w:val="24"/>
              </w:rPr>
            </w:pPr>
            <w:r>
              <w:rPr>
                <w:rFonts w:hint="default" w:ascii="Times New Roman" w:hAnsi="Times New Roman" w:eastAsia="宋体" w:cs="Times New Roman"/>
                <w:color w:val="auto"/>
                <w:sz w:val="24"/>
                <w:szCs w:val="24"/>
                <w:highlight w:val="none"/>
                <w:lang w:eastAsia="zh-CN"/>
              </w:rPr>
              <w:t>根据调查，</w:t>
            </w:r>
            <w:r>
              <w:rPr>
                <w:rFonts w:hint="eastAsia"/>
                <w:color w:val="auto"/>
                <w:sz w:val="24"/>
              </w:rPr>
              <w:t>项目生活废水处理依托租赁厂房已建生活废水一体化污水处理设备，一体化污水处理设备为“云南安亦家具有限公司、云南艾家建筑材料有限公司、云南得奥海绵制造有限公司</w:t>
            </w:r>
            <w:r>
              <w:rPr>
                <w:rFonts w:hint="eastAsia"/>
                <w:color w:val="auto"/>
                <w:sz w:val="24"/>
                <w:lang w:eastAsia="zh-CN"/>
              </w:rPr>
              <w:t>、</w:t>
            </w:r>
            <w:r>
              <w:rPr>
                <w:rFonts w:hint="eastAsia"/>
                <w:sz w:val="24"/>
                <w:lang w:val="zh-CN"/>
              </w:rPr>
              <w:t>云南圣唯铝业有限责任公司</w:t>
            </w:r>
            <w:r>
              <w:rPr>
                <w:rFonts w:hint="eastAsia"/>
                <w:color w:val="auto"/>
                <w:sz w:val="24"/>
              </w:rPr>
              <w:t>”</w:t>
            </w:r>
            <w:r>
              <w:rPr>
                <w:rFonts w:hint="eastAsia"/>
                <w:color w:val="auto"/>
                <w:sz w:val="24"/>
                <w:lang w:val="en-US" w:eastAsia="zh-CN"/>
              </w:rPr>
              <w:t>4</w:t>
            </w:r>
            <w:r>
              <w:rPr>
                <w:rFonts w:hint="eastAsia"/>
                <w:color w:val="auto"/>
                <w:sz w:val="24"/>
              </w:rPr>
              <w:t>家企业共用1座设计处理能力为20m</w:t>
            </w:r>
            <w:r>
              <w:rPr>
                <w:rFonts w:hint="eastAsia"/>
                <w:color w:val="auto"/>
                <w:sz w:val="24"/>
                <w:vertAlign w:val="superscript"/>
              </w:rPr>
              <w:t>3</w:t>
            </w:r>
            <w:r>
              <w:rPr>
                <w:rFonts w:hint="eastAsia"/>
                <w:color w:val="auto"/>
                <w:sz w:val="24"/>
              </w:rPr>
              <w:t>/d的一体化污水处理设备。处理工艺为“A/O+消毒工艺”。</w:t>
            </w:r>
          </w:p>
          <w:p w14:paraId="08F1C675">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color w:val="auto"/>
                <w:sz w:val="24"/>
              </w:rPr>
              <w:t>一体化污水处理设备由云南安亦家具有限公司负责运行和管理，根据污水处理设备实际运行情况，目前污水处理设备每天处理生活废水量约为</w:t>
            </w:r>
            <w:r>
              <w:rPr>
                <w:rFonts w:hint="eastAsia"/>
                <w:color w:val="auto"/>
                <w:sz w:val="24"/>
                <w:lang w:val="en-US" w:eastAsia="zh-CN"/>
              </w:rPr>
              <w:t>13</w:t>
            </w:r>
            <w:r>
              <w:rPr>
                <w:rFonts w:hint="eastAsia"/>
                <w:color w:val="auto"/>
                <w:sz w:val="24"/>
              </w:rPr>
              <w:t>m</w:t>
            </w:r>
            <w:r>
              <w:rPr>
                <w:rFonts w:hint="eastAsia"/>
                <w:color w:val="auto"/>
                <w:sz w:val="24"/>
                <w:vertAlign w:val="superscript"/>
              </w:rPr>
              <w:t>3</w:t>
            </w:r>
            <w:r>
              <w:rPr>
                <w:rFonts w:hint="eastAsia"/>
                <w:color w:val="auto"/>
                <w:sz w:val="24"/>
              </w:rPr>
              <w:t>/d，污水处理设备仍有</w:t>
            </w:r>
            <w:r>
              <w:rPr>
                <w:rFonts w:hint="eastAsia"/>
                <w:color w:val="auto"/>
                <w:sz w:val="24"/>
                <w:lang w:val="en-US" w:eastAsia="zh-CN"/>
              </w:rPr>
              <w:t>7m</w:t>
            </w:r>
            <w:r>
              <w:rPr>
                <w:rFonts w:hint="eastAsia"/>
                <w:color w:val="auto"/>
                <w:sz w:val="24"/>
                <w:vertAlign w:val="superscript"/>
                <w:lang w:val="en-US" w:eastAsia="zh-CN"/>
              </w:rPr>
              <w:t>3</w:t>
            </w:r>
            <w:r>
              <w:rPr>
                <w:rFonts w:hint="eastAsia"/>
                <w:color w:val="auto"/>
                <w:sz w:val="24"/>
                <w:lang w:val="en-US" w:eastAsia="zh-CN"/>
              </w:rPr>
              <w:t>/d</w:t>
            </w:r>
            <w:r>
              <w:rPr>
                <w:rFonts w:hint="eastAsia"/>
                <w:color w:val="auto"/>
                <w:sz w:val="24"/>
              </w:rPr>
              <w:t>处理余量，</w:t>
            </w:r>
            <w:r>
              <w:rPr>
                <w:rFonts w:hint="eastAsia"/>
                <w:color w:val="auto"/>
                <w:sz w:val="24"/>
                <w:lang w:val="en-US" w:eastAsia="zh-CN"/>
              </w:rPr>
              <w:t>本项目</w:t>
            </w:r>
            <w:r>
              <w:rPr>
                <w:rFonts w:hint="eastAsia"/>
                <w:color w:val="auto"/>
                <w:sz w:val="24"/>
              </w:rPr>
              <w:t>生活</w:t>
            </w:r>
            <w:r>
              <w:rPr>
                <w:color w:val="auto"/>
                <w:sz w:val="24"/>
              </w:rPr>
              <w:t>废水产生量为</w:t>
            </w:r>
            <w:r>
              <w:rPr>
                <w:rFonts w:hint="eastAsia"/>
                <w:color w:val="auto"/>
                <w:sz w:val="24"/>
                <w:lang w:val="en-US" w:eastAsia="zh-CN"/>
              </w:rPr>
              <w:t>1.6</w:t>
            </w:r>
            <w:r>
              <w:rPr>
                <w:color w:val="auto"/>
                <w:sz w:val="24"/>
              </w:rPr>
              <w:t>m</w:t>
            </w:r>
            <w:r>
              <w:rPr>
                <w:color w:val="auto"/>
                <w:sz w:val="24"/>
                <w:vertAlign w:val="superscript"/>
              </w:rPr>
              <w:t>3</w:t>
            </w:r>
            <w:r>
              <w:rPr>
                <w:color w:val="auto"/>
                <w:sz w:val="24"/>
              </w:rPr>
              <w:t>/d</w:t>
            </w:r>
            <w:r>
              <w:rPr>
                <w:rFonts w:hint="eastAsia"/>
                <w:color w:val="auto"/>
                <w:sz w:val="24"/>
                <w:lang w:eastAsia="zh-CN"/>
              </w:rPr>
              <w:t>，</w:t>
            </w:r>
            <w:r>
              <w:rPr>
                <w:rFonts w:hint="eastAsia"/>
                <w:color w:val="auto"/>
                <w:sz w:val="24"/>
              </w:rPr>
              <w:t>可满足本项目污水的接入</w:t>
            </w:r>
            <w:r>
              <w:rPr>
                <w:rFonts w:hint="eastAsia"/>
                <w:color w:val="auto"/>
                <w:sz w:val="24"/>
                <w:lang w:val="en-US" w:eastAsia="zh-CN"/>
              </w:rPr>
              <w:t>处理</w:t>
            </w:r>
            <w:r>
              <w:rPr>
                <w:rFonts w:hint="eastAsia"/>
                <w:color w:val="auto"/>
                <w:sz w:val="24"/>
              </w:rPr>
              <w:t>。</w:t>
            </w:r>
          </w:p>
          <w:p w14:paraId="5F3DFAD1">
            <w:pPr>
              <w:keepNext w:val="0"/>
              <w:keepLines w:val="0"/>
              <w:pageBreakBefore w:val="0"/>
              <w:widowControl w:val="0"/>
              <w:shd w:val="clear"/>
              <w:kinsoku/>
              <w:wordWrap/>
              <w:overflowPunct/>
              <w:topLinePunct w:val="0"/>
              <w:autoSpaceDE/>
              <w:autoSpaceDN/>
              <w:bidi w:val="0"/>
              <w:spacing w:line="360" w:lineRule="auto"/>
              <w:ind w:firstLine="480"/>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生活污水回用不外排的可行性分析</w:t>
            </w:r>
          </w:p>
          <w:p w14:paraId="51C42627">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color w:val="FF0000"/>
                <w:sz w:val="24"/>
              </w:rPr>
            </w:pPr>
            <w:r>
              <w:rPr>
                <w:rFonts w:hint="eastAsia"/>
                <w:color w:val="auto"/>
                <w:sz w:val="24"/>
              </w:rPr>
              <w:t>云南安亦家具有限公司、云南艾家建筑材料有限公司、云南得奥海绵制造有限公司三家公司占地面积约为26000m</w:t>
            </w:r>
            <w:r>
              <w:rPr>
                <w:rFonts w:hint="eastAsia"/>
                <w:color w:val="auto"/>
                <w:sz w:val="24"/>
                <w:vertAlign w:val="superscript"/>
              </w:rPr>
              <w:t>2</w:t>
            </w:r>
            <w:r>
              <w:rPr>
                <w:rFonts w:hint="eastAsia"/>
                <w:color w:val="auto"/>
                <w:sz w:val="24"/>
              </w:rPr>
              <w:t>，约有空地及绿化面积约6000m</w:t>
            </w:r>
            <w:r>
              <w:rPr>
                <w:rFonts w:hint="eastAsia"/>
                <w:color w:val="auto"/>
                <w:sz w:val="24"/>
                <w:vertAlign w:val="superscript"/>
              </w:rPr>
              <w:t>2</w:t>
            </w:r>
            <w:r>
              <w:rPr>
                <w:rFonts w:hint="eastAsia"/>
                <w:color w:val="auto"/>
                <w:sz w:val="24"/>
              </w:rPr>
              <w:t>，可保证产生的生活废水经处理后全部回用于绿化及洒水降尘，不外排。同时云南得奥海绵制造有限公司已建有一个</w:t>
            </w:r>
            <w:r>
              <w:rPr>
                <w:color w:val="auto"/>
                <w:sz w:val="24"/>
              </w:rPr>
              <w:t>容积为</w:t>
            </w:r>
            <w:r>
              <w:rPr>
                <w:rFonts w:hint="eastAsia"/>
                <w:color w:val="auto"/>
                <w:sz w:val="24"/>
              </w:rPr>
              <w:t>35</w:t>
            </w:r>
            <w:r>
              <w:rPr>
                <w:color w:val="auto"/>
                <w:sz w:val="24"/>
              </w:rPr>
              <w:t>m</w:t>
            </w:r>
            <w:r>
              <w:rPr>
                <w:color w:val="auto"/>
                <w:sz w:val="24"/>
                <w:vertAlign w:val="superscript"/>
              </w:rPr>
              <w:t>3</w:t>
            </w:r>
            <w:r>
              <w:rPr>
                <w:rFonts w:hint="eastAsia"/>
                <w:color w:val="auto"/>
                <w:sz w:val="24"/>
              </w:rPr>
              <w:t>的清水</w:t>
            </w:r>
            <w:r>
              <w:rPr>
                <w:color w:val="auto"/>
                <w:sz w:val="24"/>
              </w:rPr>
              <w:t>池。项目废水经一体化污水处理设施处理后，暂存于</w:t>
            </w:r>
            <w:r>
              <w:rPr>
                <w:rFonts w:hint="eastAsia"/>
                <w:color w:val="auto"/>
                <w:sz w:val="24"/>
              </w:rPr>
              <w:t>清水</w:t>
            </w:r>
            <w:r>
              <w:rPr>
                <w:color w:val="auto"/>
                <w:sz w:val="24"/>
              </w:rPr>
              <w:t>池中，待晴天回用于绿化及道路洒水</w:t>
            </w:r>
            <w:r>
              <w:rPr>
                <w:rFonts w:hint="eastAsia"/>
                <w:color w:val="auto"/>
                <w:sz w:val="24"/>
              </w:rPr>
              <w:t>降</w:t>
            </w:r>
            <w:r>
              <w:rPr>
                <w:color w:val="auto"/>
                <w:sz w:val="24"/>
              </w:rPr>
              <w:t>尘，可保证雨天生活污水不外排。</w:t>
            </w:r>
          </w:p>
          <w:p w14:paraId="60BF0723">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
              </w:rPr>
            </w:pPr>
            <w:r>
              <w:rPr>
                <w:sz w:val="24"/>
              </w:rPr>
              <w:t>综上，从水质、水量、暂存量等方面进行分析，项目生活污水中食堂含油废水先经隔油池处理后，与其他生活废水一起进入化粪池处理，再经一体化污水处理设施处理达到《城市污水再生利用 城市杂用水水质》（GB/T18920-2020）中的城市绿化、道路清扫、消防、建筑施工标准后，晴天回用作为绿化浇灌及道路洒水，雨天储存于</w:t>
            </w:r>
            <w:r>
              <w:rPr>
                <w:rFonts w:hint="eastAsia"/>
                <w:sz w:val="24"/>
              </w:rPr>
              <w:t>清水</w:t>
            </w:r>
            <w:r>
              <w:rPr>
                <w:sz w:val="24"/>
              </w:rPr>
              <w:t>池中待晴天再回用，不外排是可行的。</w:t>
            </w:r>
          </w:p>
          <w:p w14:paraId="39DB0D50">
            <w:pPr>
              <w:keepNext w:val="0"/>
              <w:keepLines w:val="0"/>
              <w:pageBreakBefore w:val="0"/>
              <w:widowControl w:val="0"/>
              <w:shd w:val="clea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color w:val="auto"/>
                <w:spacing w:val="0"/>
                <w:w w:val="100"/>
                <w:position w:val="0"/>
                <w:sz w:val="24"/>
                <w:szCs w:val="24"/>
                <w:highlight w:val="none"/>
                <w:lang w:val="en-US" w:eastAsia="zh-CN"/>
              </w:rPr>
              <w:t>综上，项目生活污水回用可行，不外排，对周边地表水环境的影响较小。</w:t>
            </w:r>
          </w:p>
          <w:p w14:paraId="06079CBC">
            <w:pPr>
              <w:keepNext w:val="0"/>
              <w:keepLines w:val="0"/>
              <w:pageBreakBefore w:val="0"/>
              <w:widowControl w:val="0"/>
              <w:shd w:val="clear"/>
              <w:kinsoku/>
              <w:wordWrap/>
              <w:overflowPunct/>
              <w:topLinePunct w:val="0"/>
              <w:autoSpaceDE/>
              <w:autoSpaceDN/>
              <w:bidi w:val="0"/>
              <w:spacing w:line="360" w:lineRule="auto"/>
              <w:ind w:left="0" w:firstLine="482" w:firstLineChars="200"/>
              <w:textAlignment w:val="auto"/>
              <w:rPr>
                <w:rFonts w:hint="default" w:ascii="Times New Roman" w:hAnsi="Times New Roman" w:eastAsia="宋体" w:cs="Times New Roman"/>
                <w:b/>
                <w:bCs w:val="0"/>
                <w:color w:val="auto"/>
                <w:sz w:val="24"/>
                <w:szCs w:val="24"/>
                <w:highlight w:val="none"/>
              </w:rPr>
            </w:pPr>
            <w:r>
              <w:rPr>
                <w:rFonts w:hint="eastAsia" w:cs="Times New Roman"/>
                <w:b/>
                <w:bCs w:val="0"/>
                <w:color w:val="auto"/>
                <w:sz w:val="24"/>
                <w:szCs w:val="24"/>
                <w:highlight w:val="none"/>
                <w:lang w:val="en-US" w:eastAsia="zh-CN" w:bidi="ar"/>
              </w:rPr>
              <w:t>5</w:t>
            </w:r>
            <w:r>
              <w:rPr>
                <w:rFonts w:hint="default" w:ascii="Times New Roman" w:hAnsi="Times New Roman" w:eastAsia="宋体" w:cs="Times New Roman"/>
                <w:b/>
                <w:bCs w:val="0"/>
                <w:color w:val="auto"/>
                <w:sz w:val="24"/>
                <w:szCs w:val="24"/>
                <w:highlight w:val="none"/>
                <w:lang w:bidi="ar"/>
              </w:rPr>
              <w:t>、</w:t>
            </w:r>
            <w:r>
              <w:rPr>
                <w:rFonts w:hint="default" w:ascii="Times New Roman" w:hAnsi="Times New Roman" w:eastAsia="宋体" w:cs="Times New Roman"/>
                <w:b/>
                <w:bCs w:val="0"/>
                <w:color w:val="auto"/>
                <w:sz w:val="24"/>
                <w:szCs w:val="24"/>
                <w:highlight w:val="none"/>
              </w:rPr>
              <w:t>监测要求</w:t>
            </w:r>
          </w:p>
          <w:p w14:paraId="297CF869">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Times New Roman" w:hAnsi="Times New Roman" w:eastAsia="宋体" w:cs="Times New Roman"/>
                <w:b/>
                <w:bCs w:val="0"/>
                <w:color w:val="auto"/>
                <w:highlight w:val="none"/>
              </w:rPr>
            </w:pPr>
            <w:r>
              <w:rPr>
                <w:rFonts w:hint="default" w:ascii="Times New Roman" w:hAnsi="Times New Roman" w:eastAsia="宋体" w:cs="Times New Roman"/>
                <w:bCs/>
                <w:color w:val="auto"/>
                <w:sz w:val="24"/>
                <w:szCs w:val="24"/>
                <w:highlight w:val="none"/>
              </w:rPr>
              <w:t>根据</w:t>
            </w:r>
            <w:r>
              <w:rPr>
                <w:rFonts w:hint="default" w:ascii="Times New Roman" w:hAnsi="Times New Roman" w:eastAsia="宋体" w:cs="Times New Roman"/>
                <w:color w:val="auto"/>
                <w:sz w:val="24"/>
                <w:highlight w:val="none"/>
              </w:rPr>
              <w:t>《排污许可证申请与核发技术规范</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总则》（HJ 942-2018）</w:t>
            </w:r>
            <w:r>
              <w:rPr>
                <w:rFonts w:hint="default" w:ascii="Times New Roman" w:hAnsi="Times New Roman" w:eastAsia="宋体" w:cs="Times New Roman"/>
                <w:bCs/>
                <w:color w:val="auto"/>
                <w:sz w:val="24"/>
                <w:highlight w:val="none"/>
              </w:rPr>
              <w:t>可知，项目的废水监测计划如表</w:t>
            </w:r>
            <w:r>
              <w:rPr>
                <w:rFonts w:hint="default" w:ascii="Times New Roman" w:hAnsi="Times New Roman" w:eastAsia="宋体" w:cs="Times New Roman"/>
                <w:bCs/>
                <w:color w:val="auto"/>
                <w:sz w:val="24"/>
                <w:highlight w:val="none"/>
                <w:lang w:val="en-US" w:eastAsia="zh-CN"/>
              </w:rPr>
              <w:t>4-</w:t>
            </w:r>
            <w:r>
              <w:rPr>
                <w:rFonts w:hint="eastAsia" w:cs="Times New Roman"/>
                <w:bCs/>
                <w:color w:val="auto"/>
                <w:sz w:val="24"/>
                <w:highlight w:val="none"/>
                <w:lang w:val="en-US" w:eastAsia="zh-CN"/>
              </w:rPr>
              <w:t>19</w:t>
            </w:r>
            <w:r>
              <w:rPr>
                <w:rFonts w:hint="default" w:ascii="Times New Roman" w:hAnsi="Times New Roman" w:eastAsia="宋体" w:cs="Times New Roman"/>
                <w:bCs/>
                <w:color w:val="auto"/>
                <w:highlight w:val="none"/>
              </w:rPr>
              <w:t>。</w:t>
            </w:r>
          </w:p>
          <w:p w14:paraId="42B108BE">
            <w:pPr>
              <w:keepNext w:val="0"/>
              <w:keepLines w:val="0"/>
              <w:pageBreakBefore w:val="0"/>
              <w:widowControl w:val="0"/>
              <w:kinsoku/>
              <w:wordWrap/>
              <w:overflowPunct/>
              <w:topLinePunct w:val="0"/>
              <w:autoSpaceDE/>
              <w:autoSpaceDN/>
              <w:bidi w:val="0"/>
              <w:adjustRightInd w:val="0"/>
              <w:snapToGrid w:val="0"/>
              <w:spacing w:line="360" w:lineRule="auto"/>
              <w:ind w:firstLine="2471" w:firstLineChars="1172"/>
              <w:textAlignment w:val="auto"/>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rPr>
              <w:t>表4-</w:t>
            </w:r>
            <w:r>
              <w:rPr>
                <w:rFonts w:hint="eastAsia" w:cs="Times New Roman"/>
                <w:b/>
                <w:bCs w:val="0"/>
                <w:color w:val="auto"/>
                <w:highlight w:val="none"/>
                <w:lang w:val="en-US" w:eastAsia="zh-CN"/>
              </w:rPr>
              <w:t>19</w:t>
            </w:r>
            <w:r>
              <w:rPr>
                <w:rFonts w:hint="default" w:ascii="Times New Roman" w:hAnsi="Times New Roman" w:eastAsia="宋体"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rPr>
              <w:t xml:space="preserve"> 环境监测计划一览表</w:t>
            </w:r>
          </w:p>
          <w:tbl>
            <w:tblPr>
              <w:tblStyle w:val="26"/>
              <w:tblW w:w="82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066"/>
              <w:gridCol w:w="1792"/>
              <w:gridCol w:w="3359"/>
              <w:gridCol w:w="1508"/>
            </w:tblGrid>
            <w:tr w14:paraId="6C536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67" w:type="dxa"/>
                  <w:vAlign w:val="center"/>
                </w:tcPr>
                <w:p w14:paraId="6BCC4648">
                  <w:pPr>
                    <w:pStyle w:val="100"/>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类别</w:t>
                  </w:r>
                </w:p>
              </w:tc>
              <w:tc>
                <w:tcPr>
                  <w:tcW w:w="1066" w:type="dxa"/>
                  <w:vAlign w:val="center"/>
                </w:tcPr>
                <w:p w14:paraId="57C7109A">
                  <w:pPr>
                    <w:pStyle w:val="100"/>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监测点位</w:t>
                  </w:r>
                </w:p>
              </w:tc>
              <w:tc>
                <w:tcPr>
                  <w:tcW w:w="1792" w:type="dxa"/>
                  <w:vAlign w:val="center"/>
                </w:tcPr>
                <w:p w14:paraId="27C988FC">
                  <w:pPr>
                    <w:pStyle w:val="100"/>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监测项目</w:t>
                  </w:r>
                </w:p>
              </w:tc>
              <w:tc>
                <w:tcPr>
                  <w:tcW w:w="3359" w:type="dxa"/>
                  <w:vAlign w:val="center"/>
                </w:tcPr>
                <w:p w14:paraId="428ECD48">
                  <w:pPr>
                    <w:pStyle w:val="100"/>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标准</w:t>
                  </w:r>
                </w:p>
              </w:tc>
              <w:tc>
                <w:tcPr>
                  <w:tcW w:w="1508" w:type="dxa"/>
                  <w:vAlign w:val="center"/>
                </w:tcPr>
                <w:p w14:paraId="15E57BE5">
                  <w:pPr>
                    <w:pStyle w:val="100"/>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监测时间及频率</w:t>
                  </w:r>
                </w:p>
              </w:tc>
            </w:tr>
            <w:tr w14:paraId="3AB86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dxa"/>
                  <w:vAlign w:val="center"/>
                </w:tcPr>
                <w:p w14:paraId="0637CC6E">
                  <w:pPr>
                    <w:pStyle w:val="100"/>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066" w:type="dxa"/>
                  <w:vAlign w:val="center"/>
                </w:tcPr>
                <w:p w14:paraId="0E049D5B">
                  <w:pPr>
                    <w:pStyle w:val="100"/>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一体化污水处理站</w:t>
                  </w:r>
                  <w:r>
                    <w:rPr>
                      <w:rFonts w:hint="default" w:ascii="Times New Roman" w:hAnsi="Times New Roman" w:eastAsia="宋体" w:cs="Times New Roman"/>
                      <w:color w:val="auto"/>
                      <w:sz w:val="21"/>
                      <w:szCs w:val="21"/>
                      <w:highlight w:val="none"/>
                    </w:rPr>
                    <w:t>出口</w:t>
                  </w:r>
                </w:p>
              </w:tc>
              <w:tc>
                <w:tcPr>
                  <w:tcW w:w="1792" w:type="dxa"/>
                  <w:vAlign w:val="center"/>
                </w:tcPr>
                <w:p w14:paraId="1428D7A8">
                  <w:pPr>
                    <w:pStyle w:val="100"/>
                    <w:spacing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pH、COD、BOD、SS、NH</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-N、TP</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动植物油</w:t>
                  </w:r>
                </w:p>
              </w:tc>
              <w:tc>
                <w:tcPr>
                  <w:tcW w:w="3359" w:type="dxa"/>
                  <w:vAlign w:val="center"/>
                </w:tcPr>
                <w:p w14:paraId="1F96197A">
                  <w:pPr>
                    <w:pStyle w:val="77"/>
                    <w:spacing w:before="5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《城市污水再生利用 城市杂用水水质》（GB/T18920-2020）中的城市绿化、道路清扫、消防、建筑施工标准</w:t>
                  </w:r>
                </w:p>
              </w:tc>
              <w:tc>
                <w:tcPr>
                  <w:tcW w:w="1508" w:type="dxa"/>
                  <w:vAlign w:val="center"/>
                </w:tcPr>
                <w:p w14:paraId="018E4F60">
                  <w:pPr>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pacing w:val="-10"/>
                      <w:szCs w:val="21"/>
                      <w:highlight w:val="none"/>
                    </w:rPr>
                    <w:t>验收时监测一次，后根据国家相关技术规范进行</w:t>
                  </w:r>
                </w:p>
              </w:tc>
            </w:tr>
          </w:tbl>
          <w:p w14:paraId="2E2DC83F">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eastAsia="zh-CN"/>
              </w:rPr>
              <w:t>三</w:t>
            </w:r>
            <w:r>
              <w:rPr>
                <w:rFonts w:hint="default" w:ascii="Times New Roman" w:hAnsi="Times New Roman" w:eastAsia="宋体" w:cs="Times New Roman"/>
                <w:b/>
                <w:color w:val="auto"/>
                <w:sz w:val="24"/>
                <w:szCs w:val="24"/>
                <w:highlight w:val="none"/>
              </w:rPr>
              <w:t>、噪声影响分析</w:t>
            </w:r>
          </w:p>
          <w:p w14:paraId="2A63E8B0">
            <w:pPr>
              <w:pStyle w:val="2"/>
              <w:keepNext w:val="0"/>
              <w:keepLines w:val="0"/>
              <w:pageBreakBefore w:val="0"/>
              <w:widowControl w:val="0"/>
              <w:numPr>
                <w:ilvl w:val="0"/>
                <w:numId w:val="0"/>
              </w:numPr>
              <w:shd w:val="clear"/>
              <w:kinsoku/>
              <w:wordWrap/>
              <w:overflowPunct/>
              <w:topLinePunct w:val="0"/>
              <w:autoSpaceDE/>
              <w:autoSpaceDN/>
              <w:bidi w:val="0"/>
              <w:adjustRightInd/>
              <w:snapToGrid w:val="0"/>
              <w:spacing w:after="0"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color w:val="auto"/>
                <w:sz w:val="24"/>
                <w:szCs w:val="24"/>
                <w:highlight w:val="none"/>
                <w:lang w:eastAsia="zh-CN"/>
              </w:rPr>
              <w:t>交通噪声</w:t>
            </w:r>
          </w:p>
          <w:p w14:paraId="540ABF88">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项目运营期，车辆产生的噪声值在</w:t>
            </w:r>
            <w:r>
              <w:rPr>
                <w:rFonts w:hint="default" w:ascii="Times New Roman" w:hAnsi="Times New Roman" w:eastAsia="宋体" w:cs="Times New Roman"/>
                <w:color w:val="auto"/>
                <w:sz w:val="24"/>
                <w:szCs w:val="24"/>
                <w:highlight w:val="none"/>
                <w:lang w:val="en-US" w:eastAsia="zh-CN"/>
              </w:rPr>
              <w:t>75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90</w:t>
            </w:r>
            <w:r>
              <w:rPr>
                <w:rFonts w:hint="default" w:ascii="Times New Roman" w:hAnsi="Times New Roman" w:eastAsia="宋体" w:cs="Times New Roman"/>
                <w:color w:val="auto"/>
                <w:sz w:val="24"/>
                <w:szCs w:val="24"/>
                <w:highlight w:val="none"/>
                <w:lang w:eastAsia="zh-CN"/>
              </w:rPr>
              <w:t>dB（A）之间，属于间歇性噪声，</w:t>
            </w:r>
            <w:r>
              <w:rPr>
                <w:rFonts w:hint="default" w:ascii="Times New Roman" w:hAnsi="Times New Roman" w:eastAsia="宋体" w:cs="Times New Roman"/>
                <w:color w:val="auto"/>
                <w:sz w:val="24"/>
                <w:highlight w:val="none"/>
                <w:lang w:val="zh-CN"/>
              </w:rPr>
              <w:t>会对周围环境造成一定影响。因车辆在项目区内为低速行驶状态，通过加强管理、禁止鸣笛等措施后，交通噪声对周围环境的影响是可以接受的。</w:t>
            </w:r>
          </w:p>
          <w:p w14:paraId="4BD26C59">
            <w:pPr>
              <w:pStyle w:val="17"/>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bCs/>
                <w:color w:val="auto"/>
                <w:sz w:val="24"/>
                <w:szCs w:val="24"/>
                <w:highlight w:val="none"/>
                <w:lang w:val="en-US" w:eastAsia="zh-CN"/>
              </w:rPr>
              <w:t>2、固定噪声源</w:t>
            </w:r>
          </w:p>
          <w:p w14:paraId="5F912398">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r>
              <w:rPr>
                <w:rFonts w:hint="default" w:ascii="Times New Roman" w:hAnsi="Times New Roman" w:eastAsia="宋体" w:cs="Times New Roman"/>
                <w:color w:val="auto"/>
                <w:sz w:val="24"/>
                <w:highlight w:val="none"/>
                <w:lang w:val="zh-CN" w:bidi="ar"/>
              </w:rPr>
              <w:t>项目主要噪声源</w:t>
            </w:r>
            <w:r>
              <w:rPr>
                <w:rFonts w:hint="default" w:ascii="Times New Roman" w:hAnsi="Times New Roman" w:eastAsia="宋体" w:cs="Times New Roman"/>
                <w:color w:val="auto"/>
                <w:sz w:val="24"/>
                <w:highlight w:val="none"/>
                <w:lang w:bidi="ar"/>
              </w:rPr>
              <w:t>为</w:t>
            </w:r>
            <w:r>
              <w:rPr>
                <w:rFonts w:hint="default" w:ascii="Times New Roman" w:hAnsi="Times New Roman" w:eastAsia="宋体" w:cs="Times New Roman"/>
                <w:color w:val="auto"/>
                <w:sz w:val="24"/>
                <w:highlight w:val="none"/>
                <w:lang w:val="zh-CN" w:bidi="ar"/>
              </w:rPr>
              <w:t>机械设备</w:t>
            </w:r>
            <w:r>
              <w:rPr>
                <w:rFonts w:hint="default" w:ascii="Times New Roman" w:hAnsi="Times New Roman" w:eastAsia="宋体" w:cs="Times New Roman"/>
                <w:color w:val="auto"/>
                <w:sz w:val="24"/>
                <w:highlight w:val="none"/>
                <w:lang w:bidi="ar"/>
              </w:rPr>
              <w:t>噪声</w:t>
            </w:r>
            <w:r>
              <w:rPr>
                <w:rFonts w:hint="default" w:ascii="Times New Roman" w:hAnsi="Times New Roman" w:eastAsia="宋体" w:cs="Times New Roman"/>
                <w:color w:val="auto"/>
                <w:sz w:val="24"/>
                <w:highlight w:val="none"/>
                <w:lang w:val="zh-CN" w:bidi="ar"/>
              </w:rPr>
              <w:t>。各类机械噪声值在</w:t>
            </w:r>
            <w:r>
              <w:rPr>
                <w:rFonts w:hint="eastAsia" w:cs="Times New Roman"/>
                <w:color w:val="auto"/>
                <w:sz w:val="24"/>
                <w:highlight w:val="none"/>
                <w:lang w:val="en-US" w:eastAsia="zh-CN" w:bidi="ar"/>
              </w:rPr>
              <w:t>75</w:t>
            </w:r>
            <w:r>
              <w:rPr>
                <w:rFonts w:hint="default" w:ascii="Times New Roman" w:hAnsi="Times New Roman" w:eastAsia="宋体" w:cs="Times New Roman"/>
                <w:color w:val="auto"/>
                <w:sz w:val="24"/>
                <w:highlight w:val="none"/>
                <w:lang w:val="zh-CN" w:bidi="ar"/>
              </w:rPr>
              <w:t>～</w:t>
            </w:r>
            <w:r>
              <w:rPr>
                <w:rFonts w:hint="default" w:ascii="Times New Roman" w:hAnsi="Times New Roman" w:eastAsia="宋体" w:cs="Times New Roman"/>
                <w:color w:val="auto"/>
                <w:sz w:val="24"/>
                <w:highlight w:val="none"/>
                <w:lang w:val="en-US" w:eastAsia="zh-CN" w:bidi="ar"/>
              </w:rPr>
              <w:t>9</w:t>
            </w:r>
            <w:r>
              <w:rPr>
                <w:rFonts w:hint="eastAsia" w:cs="Times New Roman"/>
                <w:color w:val="auto"/>
                <w:sz w:val="24"/>
                <w:highlight w:val="none"/>
                <w:lang w:val="en-US" w:eastAsia="zh-CN" w:bidi="ar"/>
              </w:rPr>
              <w:t>0</w:t>
            </w:r>
            <w:r>
              <w:rPr>
                <w:rFonts w:hint="default" w:ascii="Times New Roman" w:hAnsi="Times New Roman" w:eastAsia="宋体" w:cs="Times New Roman"/>
                <w:color w:val="auto"/>
                <w:sz w:val="24"/>
                <w:highlight w:val="none"/>
                <w:lang w:val="zh-CN" w:bidi="ar"/>
              </w:rPr>
              <w:t>dB（A）之间。项目优先选用低噪声设备，采取厂房隔声、基础减振、安装消声器</w:t>
            </w:r>
            <w:r>
              <w:rPr>
                <w:rFonts w:hint="default" w:ascii="Times New Roman" w:hAnsi="Times New Roman" w:eastAsia="宋体" w:cs="Times New Roman"/>
                <w:color w:val="auto"/>
                <w:sz w:val="24"/>
                <w:highlight w:val="none"/>
                <w:lang w:val="en-US" w:eastAsia="zh-CN" w:bidi="ar"/>
              </w:rPr>
              <w:t>及</w:t>
            </w:r>
            <w:r>
              <w:rPr>
                <w:rFonts w:hint="default" w:ascii="Times New Roman" w:hAnsi="Times New Roman" w:eastAsia="宋体" w:cs="Times New Roman"/>
                <w:color w:val="auto"/>
                <w:sz w:val="24"/>
                <w:highlight w:val="none"/>
              </w:rPr>
              <w:t>加强对生产设备的管理和维护</w:t>
            </w:r>
            <w:r>
              <w:rPr>
                <w:rFonts w:hint="default" w:ascii="Times New Roman" w:hAnsi="Times New Roman" w:eastAsia="宋体" w:cs="Times New Roman"/>
                <w:color w:val="auto"/>
                <w:sz w:val="24"/>
                <w:highlight w:val="none"/>
                <w:lang w:val="zh-CN" w:bidi="ar"/>
              </w:rPr>
              <w:t>等措施。噪声在传播过程中容易衰减，且易受厂房、墙体、植被的吸收和阻隔。</w:t>
            </w:r>
            <w:r>
              <w:rPr>
                <w:rFonts w:hint="default" w:ascii="Times New Roman" w:hAnsi="Times New Roman" w:eastAsia="宋体" w:cs="Times New Roman"/>
                <w:color w:val="auto"/>
                <w:sz w:val="24"/>
                <w:highlight w:val="none"/>
                <w:lang w:eastAsia="zh-CN"/>
              </w:rPr>
              <w:t>具体</w:t>
            </w:r>
            <w:r>
              <w:rPr>
                <w:rFonts w:hint="default" w:ascii="Times New Roman" w:hAnsi="Times New Roman" w:eastAsia="宋体" w:cs="Times New Roman"/>
                <w:color w:val="auto"/>
                <w:sz w:val="24"/>
                <w:highlight w:val="none"/>
              </w:rPr>
              <w:t>噪声源强见表</w:t>
            </w:r>
            <w:r>
              <w:rPr>
                <w:rFonts w:hint="default" w:ascii="Times New Roman" w:hAnsi="Times New Roman" w:eastAsia="宋体" w:cs="Times New Roman"/>
                <w:color w:val="auto"/>
                <w:sz w:val="24"/>
                <w:highlight w:val="none"/>
                <w:lang w:val="en-US" w:eastAsia="zh-CN"/>
              </w:rPr>
              <w:t>4-2</w:t>
            </w:r>
            <w:r>
              <w:rPr>
                <w:rFonts w:hint="eastAsia" w:cs="Times New Roman"/>
                <w:color w:val="auto"/>
                <w:sz w:val="24"/>
                <w:highlight w:val="none"/>
                <w:lang w:val="en-US" w:eastAsia="zh-CN"/>
              </w:rPr>
              <w:t>0</w:t>
            </w:r>
            <w:r>
              <w:rPr>
                <w:rFonts w:hint="default" w:ascii="Times New Roman" w:hAnsi="Times New Roman" w:eastAsia="宋体" w:cs="Times New Roman"/>
                <w:color w:val="auto"/>
                <w:sz w:val="24"/>
                <w:highlight w:val="none"/>
              </w:rPr>
              <w:t>。</w:t>
            </w:r>
          </w:p>
          <w:p w14:paraId="5546B54E">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32A9AE55">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34D021DF">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49296719">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60217037">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489FEDDB">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133B40A2">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0D68E6E5">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2DBBB1BB">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33AAF715">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5780468E">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04018EF6">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5D1819F6">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5AF7AF87">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7B7D4F7B">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198C5673">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0C879059">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35238533">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43707F12">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2F73CD46">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2734A22A">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49F15E98">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0CF14848">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456BB71A">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6C01DED0">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0DCB1655">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6ACAF246">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0D233208">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44909B68">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highlight w:val="none"/>
                <w:lang w:eastAsia="zh-CN"/>
              </w:rPr>
            </w:pPr>
          </w:p>
          <w:p w14:paraId="53BEB45A">
            <w:pPr>
              <w:keepNext w:val="0"/>
              <w:keepLines w:val="0"/>
              <w:pageBreakBefore w:val="0"/>
              <w:widowControl w:val="0"/>
              <w:shd w:val="clear"/>
              <w:kinsoku/>
              <w:wordWrap/>
              <w:overflowPunct/>
              <w:topLinePunct w:val="0"/>
              <w:autoSpaceDE/>
              <w:autoSpaceDN/>
              <w:bidi w:val="0"/>
              <w:adjustRightInd w:val="0"/>
              <w:snapToGrid w:val="0"/>
              <w:spacing w:line="360" w:lineRule="auto"/>
              <w:ind w:firstLine="440" w:firstLineChars="200"/>
              <w:textAlignment w:val="auto"/>
              <w:rPr>
                <w:rFonts w:hint="eastAsia" w:ascii="Times New Roman" w:hAnsi="Times New Roman" w:eastAsia="宋体" w:cs="Times New Roman"/>
                <w:bCs/>
                <w:color w:val="auto"/>
                <w:spacing w:val="-10"/>
                <w:sz w:val="24"/>
                <w:szCs w:val="24"/>
                <w:highlight w:val="none"/>
                <w:lang w:val="en-US" w:eastAsia="zh-CN"/>
              </w:rPr>
            </w:pPr>
          </w:p>
        </w:tc>
      </w:tr>
    </w:tbl>
    <w:p w14:paraId="72FE7D1A">
      <w:pPr>
        <w:shd w:val="clear"/>
        <w:adjustRightInd w:val="0"/>
        <w:snapToGrid w:val="0"/>
        <w:spacing w:line="360" w:lineRule="auto"/>
        <w:rPr>
          <w:rFonts w:hint="default" w:ascii="Times New Roman" w:hAnsi="Times New Roman" w:eastAsia="宋体" w:cs="Times New Roman"/>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3EB48680">
      <w:pPr>
        <w:pStyle w:val="36"/>
        <w:shd w:val="clea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default" w:ascii="Times New Roman" w:hAnsi="Times New Roman" w:eastAsia="宋体" w:cs="Times New Roman"/>
          <w:b/>
          <w:bCs/>
          <w:color w:val="auto"/>
          <w:sz w:val="21"/>
          <w:szCs w:val="21"/>
          <w:highlight w:val="none"/>
          <w:lang w:val="en-US" w:eastAsia="zh-CN"/>
        </w:rPr>
        <w:t>2</w:t>
      </w:r>
      <w:r>
        <w:rPr>
          <w:rFonts w:hint="eastAsia" w:eastAsia="宋体" w:cs="Times New Roman"/>
          <w:b/>
          <w:bCs/>
          <w:color w:val="auto"/>
          <w:sz w:val="21"/>
          <w:szCs w:val="21"/>
          <w:highlight w:val="none"/>
          <w:lang w:val="en-US" w:eastAsia="zh-CN"/>
        </w:rPr>
        <w:t>0</w:t>
      </w:r>
      <w:r>
        <w:rPr>
          <w:rFonts w:hint="default" w:ascii="Times New Roman" w:hAnsi="Times New Roman" w:eastAsia="宋体" w:cs="Times New Roman"/>
          <w:b/>
          <w:bCs/>
          <w:color w:val="auto"/>
          <w:sz w:val="21"/>
          <w:szCs w:val="21"/>
          <w:highlight w:val="none"/>
        </w:rPr>
        <w:t xml:space="preserve">  工业企业噪声源强调查清单（室内声源）</w:t>
      </w:r>
    </w:p>
    <w:tbl>
      <w:tblPr>
        <w:tblStyle w:val="26"/>
        <w:tblpPr w:leftFromText="180" w:rightFromText="180" w:vertAnchor="text" w:horzAnchor="page" w:tblpXSpec="center" w:tblpY="323"/>
        <w:tblOverlap w:val="never"/>
        <w:tblW w:w="14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8"/>
        <w:gridCol w:w="1059"/>
        <w:gridCol w:w="1258"/>
        <w:gridCol w:w="619"/>
        <w:gridCol w:w="510"/>
        <w:gridCol w:w="569"/>
        <w:gridCol w:w="569"/>
        <w:gridCol w:w="604"/>
        <w:gridCol w:w="551"/>
        <w:gridCol w:w="466"/>
        <w:gridCol w:w="551"/>
        <w:gridCol w:w="510"/>
        <w:gridCol w:w="463"/>
        <w:gridCol w:w="463"/>
        <w:gridCol w:w="463"/>
        <w:gridCol w:w="510"/>
        <w:gridCol w:w="440"/>
        <w:gridCol w:w="449"/>
        <w:gridCol w:w="449"/>
        <w:gridCol w:w="449"/>
        <w:gridCol w:w="478"/>
        <w:gridCol w:w="481"/>
        <w:gridCol w:w="481"/>
        <w:gridCol w:w="481"/>
        <w:gridCol w:w="557"/>
        <w:gridCol w:w="671"/>
      </w:tblGrid>
      <w:tr w14:paraId="1C2C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8" w:hRule="exact"/>
          <w:jc w:val="center"/>
        </w:trPr>
        <w:tc>
          <w:tcPr>
            <w:tcW w:w="548" w:type="dxa"/>
            <w:vMerge w:val="restart"/>
            <w:shd w:val="clear" w:color="auto" w:fill="auto"/>
            <w:vAlign w:val="center"/>
          </w:tcPr>
          <w:p w14:paraId="433BD99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bookmarkStart w:id="24" w:name="PT_6"/>
            <w:r>
              <w:rPr>
                <w:rFonts w:hint="default" w:ascii="Times New Roman" w:hAnsi="Times New Roman" w:eastAsia="宋体" w:cs="Times New Roman"/>
                <w:b/>
                <w:bCs/>
                <w:color w:val="auto"/>
                <w:sz w:val="21"/>
                <w:szCs w:val="21"/>
                <w:highlight w:val="none"/>
              </w:rPr>
              <w:t>序号</w:t>
            </w:r>
          </w:p>
        </w:tc>
        <w:tc>
          <w:tcPr>
            <w:tcW w:w="1059" w:type="dxa"/>
            <w:vMerge w:val="restart"/>
            <w:shd w:val="clear" w:color="auto" w:fill="auto"/>
            <w:vAlign w:val="center"/>
          </w:tcPr>
          <w:p w14:paraId="0132A8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建筑物名称</w:t>
            </w:r>
          </w:p>
        </w:tc>
        <w:tc>
          <w:tcPr>
            <w:tcW w:w="1258" w:type="dxa"/>
            <w:vMerge w:val="restart"/>
            <w:shd w:val="clear" w:color="auto" w:fill="auto"/>
            <w:vAlign w:val="center"/>
          </w:tcPr>
          <w:p w14:paraId="79B4C79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声源名称</w:t>
            </w:r>
          </w:p>
        </w:tc>
        <w:tc>
          <w:tcPr>
            <w:tcW w:w="619" w:type="dxa"/>
            <w:shd w:val="clear" w:color="auto" w:fill="auto"/>
            <w:vAlign w:val="center"/>
          </w:tcPr>
          <w:p w14:paraId="43CF55F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声</w:t>
            </w:r>
            <w:r>
              <w:rPr>
                <w:rFonts w:hint="eastAsia" w:cs="Times New Roman"/>
                <w:b/>
                <w:bCs/>
                <w:color w:val="auto"/>
                <w:sz w:val="21"/>
                <w:szCs w:val="21"/>
                <w:highlight w:val="none"/>
                <w:lang w:eastAsia="zh-CN"/>
              </w:rPr>
              <w:t>源</w:t>
            </w:r>
            <w:r>
              <w:rPr>
                <w:rFonts w:hint="default" w:ascii="Times New Roman" w:hAnsi="Times New Roman" w:eastAsia="宋体" w:cs="Times New Roman"/>
                <w:b/>
                <w:bCs/>
                <w:color w:val="auto"/>
                <w:sz w:val="21"/>
                <w:szCs w:val="21"/>
                <w:highlight w:val="none"/>
                <w:lang w:eastAsia="zh-CN"/>
              </w:rPr>
              <w:t>强</w:t>
            </w:r>
          </w:p>
        </w:tc>
        <w:tc>
          <w:tcPr>
            <w:tcW w:w="510" w:type="dxa"/>
            <w:vMerge w:val="restart"/>
            <w:shd w:val="clear" w:color="auto" w:fill="auto"/>
            <w:vAlign w:val="center"/>
          </w:tcPr>
          <w:p w14:paraId="2B6BB2A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声源控制措施</w:t>
            </w:r>
          </w:p>
        </w:tc>
        <w:tc>
          <w:tcPr>
            <w:tcW w:w="1742" w:type="dxa"/>
            <w:gridSpan w:val="3"/>
            <w:shd w:val="clear" w:color="auto" w:fill="auto"/>
            <w:vAlign w:val="center"/>
          </w:tcPr>
          <w:p w14:paraId="03352D3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空间相对位置/m</w:t>
            </w:r>
          </w:p>
        </w:tc>
        <w:tc>
          <w:tcPr>
            <w:tcW w:w="2078" w:type="dxa"/>
            <w:gridSpan w:val="4"/>
            <w:shd w:val="clear" w:color="auto" w:fill="auto"/>
            <w:vAlign w:val="center"/>
          </w:tcPr>
          <w:p w14:paraId="3D2FCAD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距室内边界距离/m</w:t>
            </w:r>
          </w:p>
        </w:tc>
        <w:tc>
          <w:tcPr>
            <w:tcW w:w="1899" w:type="dxa"/>
            <w:gridSpan w:val="4"/>
            <w:shd w:val="clear" w:color="auto" w:fill="auto"/>
            <w:vAlign w:val="center"/>
          </w:tcPr>
          <w:p w14:paraId="2706ECA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室内边界声级/dB(A)</w:t>
            </w:r>
          </w:p>
        </w:tc>
        <w:tc>
          <w:tcPr>
            <w:tcW w:w="440" w:type="dxa"/>
            <w:vMerge w:val="restart"/>
            <w:shd w:val="clear" w:color="auto" w:fill="auto"/>
            <w:vAlign w:val="center"/>
          </w:tcPr>
          <w:p w14:paraId="6E002C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运行时段</w:t>
            </w:r>
          </w:p>
        </w:tc>
        <w:tc>
          <w:tcPr>
            <w:tcW w:w="1825" w:type="dxa"/>
            <w:gridSpan w:val="4"/>
            <w:shd w:val="clear" w:color="auto" w:fill="auto"/>
            <w:vAlign w:val="center"/>
          </w:tcPr>
          <w:p w14:paraId="107F63C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建筑物插入损失 / dB(A)</w:t>
            </w:r>
            <w:bookmarkStart w:id="25" w:name="PT_10"/>
            <w:bookmarkEnd w:id="25"/>
          </w:p>
        </w:tc>
        <w:tc>
          <w:tcPr>
            <w:tcW w:w="2671" w:type="dxa"/>
            <w:gridSpan w:val="5"/>
            <w:shd w:val="clear" w:color="auto" w:fill="auto"/>
            <w:vAlign w:val="center"/>
          </w:tcPr>
          <w:p w14:paraId="433BAC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建筑物外噪声声压级/dB(A)</w:t>
            </w:r>
          </w:p>
        </w:tc>
      </w:tr>
      <w:tr w14:paraId="0C51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vMerge w:val="continue"/>
            <w:shd w:val="clear" w:color="auto" w:fill="auto"/>
            <w:tcMar>
              <w:top w:w="0" w:type="dxa"/>
              <w:left w:w="0" w:type="dxa"/>
              <w:bottom w:w="0" w:type="dxa"/>
              <w:right w:w="0" w:type="dxa"/>
            </w:tcMar>
            <w:vAlign w:val="center"/>
          </w:tcPr>
          <w:p w14:paraId="00452E3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lang w:val="en-US" w:eastAsia="zh-CN"/>
              </w:rPr>
            </w:pPr>
          </w:p>
        </w:tc>
        <w:tc>
          <w:tcPr>
            <w:tcW w:w="1059" w:type="dxa"/>
            <w:vMerge w:val="continue"/>
            <w:shd w:val="clear" w:color="auto" w:fill="auto"/>
            <w:tcMar>
              <w:top w:w="0" w:type="dxa"/>
              <w:left w:w="0" w:type="dxa"/>
              <w:bottom w:w="0" w:type="dxa"/>
              <w:right w:w="0" w:type="dxa"/>
            </w:tcMar>
            <w:vAlign w:val="center"/>
          </w:tcPr>
          <w:p w14:paraId="651EF5D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p>
        </w:tc>
        <w:tc>
          <w:tcPr>
            <w:tcW w:w="1258" w:type="dxa"/>
            <w:vMerge w:val="continue"/>
            <w:shd w:val="clear" w:color="auto" w:fill="auto"/>
            <w:tcMar>
              <w:top w:w="0" w:type="dxa"/>
              <w:left w:w="0" w:type="dxa"/>
              <w:bottom w:w="0" w:type="dxa"/>
              <w:right w:w="0" w:type="dxa"/>
            </w:tcMar>
            <w:vAlign w:val="center"/>
          </w:tcPr>
          <w:p w14:paraId="70C09E7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p>
        </w:tc>
        <w:tc>
          <w:tcPr>
            <w:tcW w:w="619" w:type="dxa"/>
            <w:shd w:val="clear" w:color="auto" w:fill="auto"/>
            <w:tcMar>
              <w:top w:w="0" w:type="dxa"/>
              <w:left w:w="0" w:type="dxa"/>
              <w:bottom w:w="0" w:type="dxa"/>
              <w:right w:w="0" w:type="dxa"/>
            </w:tcMar>
            <w:vAlign w:val="center"/>
          </w:tcPr>
          <w:p w14:paraId="7888E3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声功率级/dB(A)</w:t>
            </w:r>
          </w:p>
        </w:tc>
        <w:tc>
          <w:tcPr>
            <w:tcW w:w="510" w:type="dxa"/>
            <w:vMerge w:val="continue"/>
            <w:shd w:val="clear" w:color="auto" w:fill="auto"/>
            <w:tcMar>
              <w:top w:w="0" w:type="dxa"/>
              <w:left w:w="0" w:type="dxa"/>
              <w:bottom w:w="0" w:type="dxa"/>
              <w:right w:w="0" w:type="dxa"/>
            </w:tcMar>
            <w:vAlign w:val="center"/>
          </w:tcPr>
          <w:p w14:paraId="46F50B7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p>
        </w:tc>
        <w:tc>
          <w:tcPr>
            <w:tcW w:w="569" w:type="dxa"/>
            <w:shd w:val="clear" w:color="auto" w:fill="auto"/>
            <w:tcMar>
              <w:top w:w="0" w:type="dxa"/>
              <w:left w:w="0" w:type="dxa"/>
              <w:bottom w:w="0" w:type="dxa"/>
              <w:right w:w="0" w:type="dxa"/>
            </w:tcMar>
            <w:vAlign w:val="center"/>
          </w:tcPr>
          <w:p w14:paraId="7C460DE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X</w:t>
            </w:r>
          </w:p>
        </w:tc>
        <w:tc>
          <w:tcPr>
            <w:tcW w:w="569" w:type="dxa"/>
            <w:shd w:val="clear" w:color="auto" w:fill="auto"/>
            <w:tcMar>
              <w:top w:w="0" w:type="dxa"/>
              <w:left w:w="0" w:type="dxa"/>
              <w:bottom w:w="0" w:type="dxa"/>
              <w:right w:w="0" w:type="dxa"/>
            </w:tcMar>
            <w:vAlign w:val="center"/>
          </w:tcPr>
          <w:p w14:paraId="04F7DA1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Y</w:t>
            </w:r>
          </w:p>
        </w:tc>
        <w:tc>
          <w:tcPr>
            <w:tcW w:w="604" w:type="dxa"/>
            <w:shd w:val="clear" w:color="auto" w:fill="auto"/>
            <w:tcMar>
              <w:top w:w="0" w:type="dxa"/>
              <w:left w:w="0" w:type="dxa"/>
              <w:bottom w:w="0" w:type="dxa"/>
              <w:right w:w="0" w:type="dxa"/>
            </w:tcMar>
            <w:vAlign w:val="center"/>
          </w:tcPr>
          <w:p w14:paraId="5C24B8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Z</w:t>
            </w:r>
          </w:p>
        </w:tc>
        <w:tc>
          <w:tcPr>
            <w:tcW w:w="551" w:type="dxa"/>
            <w:shd w:val="clear" w:color="auto" w:fill="auto"/>
            <w:tcMar>
              <w:top w:w="0" w:type="dxa"/>
              <w:left w:w="0" w:type="dxa"/>
              <w:bottom w:w="0" w:type="dxa"/>
              <w:right w:w="0" w:type="dxa"/>
            </w:tcMar>
            <w:vAlign w:val="center"/>
          </w:tcPr>
          <w:p w14:paraId="7A02876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东</w:t>
            </w:r>
          </w:p>
        </w:tc>
        <w:tc>
          <w:tcPr>
            <w:tcW w:w="466" w:type="dxa"/>
            <w:shd w:val="clear" w:color="auto" w:fill="auto"/>
            <w:tcMar>
              <w:top w:w="0" w:type="dxa"/>
              <w:left w:w="0" w:type="dxa"/>
              <w:bottom w:w="0" w:type="dxa"/>
              <w:right w:w="0" w:type="dxa"/>
            </w:tcMar>
            <w:vAlign w:val="center"/>
          </w:tcPr>
          <w:p w14:paraId="3E08CC0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南</w:t>
            </w:r>
          </w:p>
        </w:tc>
        <w:tc>
          <w:tcPr>
            <w:tcW w:w="551" w:type="dxa"/>
            <w:shd w:val="clear" w:color="auto" w:fill="auto"/>
            <w:tcMar>
              <w:top w:w="0" w:type="dxa"/>
              <w:left w:w="0" w:type="dxa"/>
              <w:bottom w:w="0" w:type="dxa"/>
              <w:right w:w="0" w:type="dxa"/>
            </w:tcMar>
            <w:vAlign w:val="center"/>
          </w:tcPr>
          <w:p w14:paraId="73F381C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西</w:t>
            </w:r>
          </w:p>
        </w:tc>
        <w:tc>
          <w:tcPr>
            <w:tcW w:w="510" w:type="dxa"/>
            <w:shd w:val="clear" w:color="auto" w:fill="auto"/>
            <w:tcMar>
              <w:top w:w="0" w:type="dxa"/>
              <w:left w:w="0" w:type="dxa"/>
              <w:bottom w:w="0" w:type="dxa"/>
              <w:right w:w="0" w:type="dxa"/>
            </w:tcMar>
            <w:vAlign w:val="center"/>
          </w:tcPr>
          <w:p w14:paraId="65A87BE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北</w:t>
            </w:r>
          </w:p>
        </w:tc>
        <w:tc>
          <w:tcPr>
            <w:tcW w:w="463" w:type="dxa"/>
            <w:shd w:val="clear" w:color="auto" w:fill="auto"/>
            <w:tcMar>
              <w:top w:w="0" w:type="dxa"/>
              <w:left w:w="0" w:type="dxa"/>
              <w:bottom w:w="0" w:type="dxa"/>
              <w:right w:w="0" w:type="dxa"/>
            </w:tcMar>
            <w:vAlign w:val="center"/>
          </w:tcPr>
          <w:p w14:paraId="19754B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东</w:t>
            </w:r>
          </w:p>
        </w:tc>
        <w:tc>
          <w:tcPr>
            <w:tcW w:w="463" w:type="dxa"/>
            <w:shd w:val="clear" w:color="auto" w:fill="auto"/>
            <w:tcMar>
              <w:top w:w="0" w:type="dxa"/>
              <w:left w:w="0" w:type="dxa"/>
              <w:bottom w:w="0" w:type="dxa"/>
              <w:right w:w="0" w:type="dxa"/>
            </w:tcMar>
            <w:vAlign w:val="center"/>
          </w:tcPr>
          <w:p w14:paraId="50F5C08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南</w:t>
            </w:r>
          </w:p>
        </w:tc>
        <w:tc>
          <w:tcPr>
            <w:tcW w:w="463" w:type="dxa"/>
            <w:shd w:val="clear" w:color="auto" w:fill="auto"/>
            <w:tcMar>
              <w:top w:w="0" w:type="dxa"/>
              <w:left w:w="0" w:type="dxa"/>
              <w:bottom w:w="0" w:type="dxa"/>
              <w:right w:w="0" w:type="dxa"/>
            </w:tcMar>
            <w:vAlign w:val="center"/>
          </w:tcPr>
          <w:p w14:paraId="32F071C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西</w:t>
            </w:r>
          </w:p>
        </w:tc>
        <w:tc>
          <w:tcPr>
            <w:tcW w:w="510" w:type="dxa"/>
            <w:shd w:val="clear" w:color="auto" w:fill="auto"/>
            <w:tcMar>
              <w:top w:w="0" w:type="dxa"/>
              <w:left w:w="0" w:type="dxa"/>
              <w:bottom w:w="0" w:type="dxa"/>
              <w:right w:w="0" w:type="dxa"/>
            </w:tcMar>
            <w:vAlign w:val="center"/>
          </w:tcPr>
          <w:p w14:paraId="7B75BD0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北</w:t>
            </w:r>
          </w:p>
        </w:tc>
        <w:tc>
          <w:tcPr>
            <w:tcW w:w="440" w:type="dxa"/>
            <w:vMerge w:val="continue"/>
            <w:shd w:val="clear" w:color="auto" w:fill="auto"/>
            <w:tcMar>
              <w:top w:w="0" w:type="dxa"/>
              <w:left w:w="0" w:type="dxa"/>
              <w:bottom w:w="0" w:type="dxa"/>
              <w:right w:w="0" w:type="dxa"/>
            </w:tcMar>
            <w:vAlign w:val="center"/>
          </w:tcPr>
          <w:p w14:paraId="5147A24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p>
        </w:tc>
        <w:tc>
          <w:tcPr>
            <w:tcW w:w="449" w:type="dxa"/>
            <w:shd w:val="clear" w:color="auto" w:fill="auto"/>
            <w:tcMar>
              <w:top w:w="0" w:type="dxa"/>
              <w:left w:w="0" w:type="dxa"/>
              <w:bottom w:w="0" w:type="dxa"/>
              <w:right w:w="0" w:type="dxa"/>
            </w:tcMar>
            <w:vAlign w:val="center"/>
          </w:tcPr>
          <w:p w14:paraId="36E822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东</w:t>
            </w:r>
          </w:p>
        </w:tc>
        <w:tc>
          <w:tcPr>
            <w:tcW w:w="449" w:type="dxa"/>
            <w:shd w:val="clear" w:color="auto" w:fill="auto"/>
            <w:tcMar>
              <w:top w:w="0" w:type="dxa"/>
              <w:left w:w="0" w:type="dxa"/>
              <w:bottom w:w="0" w:type="dxa"/>
              <w:right w:w="0" w:type="dxa"/>
            </w:tcMar>
            <w:vAlign w:val="center"/>
          </w:tcPr>
          <w:p w14:paraId="36727C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南</w:t>
            </w:r>
          </w:p>
        </w:tc>
        <w:tc>
          <w:tcPr>
            <w:tcW w:w="449" w:type="dxa"/>
            <w:shd w:val="clear" w:color="auto" w:fill="auto"/>
            <w:tcMar>
              <w:top w:w="0" w:type="dxa"/>
              <w:left w:w="0" w:type="dxa"/>
              <w:bottom w:w="0" w:type="dxa"/>
              <w:right w:w="0" w:type="dxa"/>
            </w:tcMar>
            <w:vAlign w:val="center"/>
          </w:tcPr>
          <w:p w14:paraId="340477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西</w:t>
            </w:r>
          </w:p>
        </w:tc>
        <w:tc>
          <w:tcPr>
            <w:tcW w:w="478" w:type="dxa"/>
            <w:shd w:val="clear" w:color="auto" w:fill="auto"/>
            <w:tcMar>
              <w:top w:w="0" w:type="dxa"/>
              <w:left w:w="0" w:type="dxa"/>
              <w:bottom w:w="0" w:type="dxa"/>
              <w:right w:w="0" w:type="dxa"/>
            </w:tcMar>
            <w:vAlign w:val="center"/>
          </w:tcPr>
          <w:p w14:paraId="3692267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北</w:t>
            </w:r>
          </w:p>
        </w:tc>
        <w:tc>
          <w:tcPr>
            <w:tcW w:w="481" w:type="dxa"/>
            <w:shd w:val="clear" w:color="auto" w:fill="auto"/>
            <w:tcMar>
              <w:top w:w="0" w:type="dxa"/>
              <w:left w:w="0" w:type="dxa"/>
              <w:bottom w:w="0" w:type="dxa"/>
              <w:right w:w="0" w:type="dxa"/>
            </w:tcMar>
            <w:vAlign w:val="center"/>
          </w:tcPr>
          <w:p w14:paraId="75D11AC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东</w:t>
            </w:r>
          </w:p>
        </w:tc>
        <w:tc>
          <w:tcPr>
            <w:tcW w:w="481" w:type="dxa"/>
            <w:shd w:val="clear" w:color="auto" w:fill="auto"/>
            <w:tcMar>
              <w:top w:w="0" w:type="dxa"/>
              <w:left w:w="0" w:type="dxa"/>
              <w:bottom w:w="0" w:type="dxa"/>
              <w:right w:w="0" w:type="dxa"/>
            </w:tcMar>
            <w:vAlign w:val="center"/>
          </w:tcPr>
          <w:p w14:paraId="0E7E899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南</w:t>
            </w:r>
          </w:p>
        </w:tc>
        <w:tc>
          <w:tcPr>
            <w:tcW w:w="481" w:type="dxa"/>
            <w:shd w:val="clear" w:color="auto" w:fill="auto"/>
            <w:tcMar>
              <w:top w:w="0" w:type="dxa"/>
              <w:left w:w="0" w:type="dxa"/>
              <w:bottom w:w="0" w:type="dxa"/>
              <w:right w:w="0" w:type="dxa"/>
            </w:tcMar>
            <w:vAlign w:val="center"/>
          </w:tcPr>
          <w:p w14:paraId="4B7414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西</w:t>
            </w:r>
          </w:p>
        </w:tc>
        <w:tc>
          <w:tcPr>
            <w:tcW w:w="557" w:type="dxa"/>
            <w:shd w:val="clear" w:color="auto" w:fill="auto"/>
            <w:tcMar>
              <w:top w:w="0" w:type="dxa"/>
              <w:left w:w="0" w:type="dxa"/>
              <w:bottom w:w="0" w:type="dxa"/>
              <w:right w:w="0" w:type="dxa"/>
            </w:tcMar>
            <w:vAlign w:val="center"/>
          </w:tcPr>
          <w:p w14:paraId="3C21E82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北</w:t>
            </w:r>
          </w:p>
        </w:tc>
        <w:tc>
          <w:tcPr>
            <w:tcW w:w="671" w:type="dxa"/>
            <w:shd w:val="clear" w:color="auto" w:fill="auto"/>
            <w:tcMar>
              <w:top w:w="0" w:type="dxa"/>
              <w:left w:w="0" w:type="dxa"/>
              <w:bottom w:w="0" w:type="dxa"/>
              <w:right w:w="0" w:type="dxa"/>
            </w:tcMar>
            <w:vAlign w:val="center"/>
          </w:tcPr>
          <w:p w14:paraId="000DC91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建筑物外距离</w:t>
            </w:r>
          </w:p>
        </w:tc>
      </w:tr>
      <w:tr w14:paraId="414E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56ABD51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059" w:type="dxa"/>
            <w:shd w:val="clear" w:color="auto" w:fill="auto"/>
            <w:tcMar>
              <w:top w:w="0" w:type="dxa"/>
              <w:left w:w="0" w:type="dxa"/>
              <w:bottom w:w="0" w:type="dxa"/>
              <w:right w:w="0" w:type="dxa"/>
            </w:tcMar>
            <w:vAlign w:val="center"/>
          </w:tcPr>
          <w:p w14:paraId="7A42E4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04C0C3D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搅拌机</w:t>
            </w:r>
            <w:r>
              <w:rPr>
                <w:rFonts w:hint="default" w:ascii="Times New Roman" w:hAnsi="Times New Roman" w:eastAsia="宋体" w:cs="Times New Roman"/>
                <w:color w:val="auto"/>
                <w:sz w:val="21"/>
                <w:szCs w:val="21"/>
                <w:highlight w:val="none"/>
              </w:rPr>
              <w:t>1</w:t>
            </w:r>
          </w:p>
        </w:tc>
        <w:tc>
          <w:tcPr>
            <w:tcW w:w="619" w:type="dxa"/>
            <w:shd w:val="clear" w:color="auto" w:fill="auto"/>
            <w:tcMar>
              <w:top w:w="0" w:type="dxa"/>
              <w:left w:w="0" w:type="dxa"/>
              <w:bottom w:w="0" w:type="dxa"/>
              <w:right w:w="0" w:type="dxa"/>
            </w:tcMar>
            <w:vAlign w:val="center"/>
          </w:tcPr>
          <w:p w14:paraId="7AA29FD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510" w:type="dxa"/>
            <w:vMerge w:val="restart"/>
            <w:shd w:val="clear" w:color="auto" w:fill="auto"/>
            <w:tcMar>
              <w:top w:w="0" w:type="dxa"/>
              <w:left w:w="0" w:type="dxa"/>
              <w:bottom w:w="0" w:type="dxa"/>
              <w:right w:w="0" w:type="dxa"/>
            </w:tcMar>
            <w:vAlign w:val="center"/>
          </w:tcPr>
          <w:p w14:paraId="079C529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lang w:eastAsia="zh-CN"/>
              </w:rPr>
              <w:t>消声</w:t>
            </w:r>
            <w:r>
              <w:rPr>
                <w:rFonts w:hint="default" w:ascii="Times New Roman" w:hAnsi="Times New Roman" w:eastAsia="宋体" w:cs="Times New Roman"/>
                <w:bCs/>
                <w:color w:val="auto"/>
                <w:sz w:val="21"/>
                <w:szCs w:val="21"/>
                <w:highlight w:val="none"/>
              </w:rPr>
              <w:t>减振</w:t>
            </w:r>
            <w:r>
              <w:rPr>
                <w:rFonts w:hint="default" w:ascii="Times New Roman" w:hAnsi="Times New Roman" w:eastAsia="宋体" w:cs="Times New Roman"/>
                <w:bCs/>
                <w:color w:val="auto"/>
                <w:sz w:val="21"/>
                <w:szCs w:val="21"/>
                <w:highlight w:val="none"/>
                <w:lang w:eastAsia="zh-CN"/>
              </w:rPr>
              <w:t>装置</w:t>
            </w:r>
            <w:r>
              <w:rPr>
                <w:rFonts w:hint="default" w:ascii="Times New Roman" w:hAnsi="Times New Roman" w:eastAsia="宋体" w:cs="Times New Roman"/>
                <w:bCs/>
                <w:color w:val="auto"/>
                <w:sz w:val="21"/>
                <w:szCs w:val="21"/>
                <w:highlight w:val="none"/>
              </w:rPr>
              <w:t>、厂房隔声、距离衰减</w:t>
            </w:r>
          </w:p>
        </w:tc>
        <w:tc>
          <w:tcPr>
            <w:tcW w:w="569" w:type="dxa"/>
            <w:shd w:val="clear" w:color="auto" w:fill="auto"/>
            <w:tcMar>
              <w:top w:w="0" w:type="dxa"/>
              <w:left w:w="0" w:type="dxa"/>
              <w:bottom w:w="0" w:type="dxa"/>
              <w:right w:w="0" w:type="dxa"/>
            </w:tcMar>
            <w:vAlign w:val="center"/>
          </w:tcPr>
          <w:p w14:paraId="4B82E4F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569" w:type="dxa"/>
            <w:shd w:val="clear" w:color="auto" w:fill="auto"/>
            <w:tcMar>
              <w:top w:w="0" w:type="dxa"/>
              <w:left w:w="0" w:type="dxa"/>
              <w:bottom w:w="0" w:type="dxa"/>
              <w:right w:w="0" w:type="dxa"/>
            </w:tcMar>
            <w:vAlign w:val="center"/>
          </w:tcPr>
          <w:p w14:paraId="1F7CE3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29.8</w:t>
            </w:r>
          </w:p>
        </w:tc>
        <w:tc>
          <w:tcPr>
            <w:tcW w:w="604" w:type="dxa"/>
            <w:shd w:val="clear" w:color="auto" w:fill="auto"/>
            <w:tcMar>
              <w:top w:w="0" w:type="dxa"/>
              <w:left w:w="0" w:type="dxa"/>
              <w:bottom w:w="0" w:type="dxa"/>
              <w:right w:w="0" w:type="dxa"/>
            </w:tcMar>
            <w:vAlign w:val="center"/>
          </w:tcPr>
          <w:p w14:paraId="566E96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386C194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51.5</w:t>
            </w:r>
          </w:p>
        </w:tc>
        <w:tc>
          <w:tcPr>
            <w:tcW w:w="466" w:type="dxa"/>
            <w:shd w:val="clear" w:color="auto" w:fill="auto"/>
            <w:tcMar>
              <w:top w:w="0" w:type="dxa"/>
              <w:left w:w="0" w:type="dxa"/>
              <w:bottom w:w="0" w:type="dxa"/>
              <w:right w:w="0" w:type="dxa"/>
            </w:tcMar>
            <w:vAlign w:val="center"/>
          </w:tcPr>
          <w:p w14:paraId="22CCE3B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57.7</w:t>
            </w:r>
          </w:p>
        </w:tc>
        <w:tc>
          <w:tcPr>
            <w:tcW w:w="551" w:type="dxa"/>
            <w:shd w:val="clear" w:color="auto" w:fill="auto"/>
            <w:tcMar>
              <w:top w:w="0" w:type="dxa"/>
              <w:left w:w="0" w:type="dxa"/>
              <w:bottom w:w="0" w:type="dxa"/>
              <w:right w:w="0" w:type="dxa"/>
            </w:tcMar>
            <w:vAlign w:val="center"/>
          </w:tcPr>
          <w:p w14:paraId="09350E6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18.7</w:t>
            </w:r>
          </w:p>
        </w:tc>
        <w:tc>
          <w:tcPr>
            <w:tcW w:w="510" w:type="dxa"/>
            <w:shd w:val="clear" w:color="auto" w:fill="auto"/>
            <w:tcMar>
              <w:top w:w="0" w:type="dxa"/>
              <w:left w:w="0" w:type="dxa"/>
              <w:bottom w:w="0" w:type="dxa"/>
              <w:right w:w="0" w:type="dxa"/>
            </w:tcMar>
            <w:vAlign w:val="center"/>
          </w:tcPr>
          <w:p w14:paraId="78ACFF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7.5</w:t>
            </w:r>
          </w:p>
        </w:tc>
        <w:tc>
          <w:tcPr>
            <w:tcW w:w="463" w:type="dxa"/>
            <w:shd w:val="clear" w:color="auto" w:fill="auto"/>
            <w:tcMar>
              <w:top w:w="0" w:type="dxa"/>
              <w:left w:w="0" w:type="dxa"/>
              <w:bottom w:w="0" w:type="dxa"/>
              <w:right w:w="0" w:type="dxa"/>
            </w:tcMar>
            <w:vAlign w:val="center"/>
          </w:tcPr>
          <w:p w14:paraId="66A81B0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0537FB2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4D613D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14:paraId="76CE70F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68.1</w:t>
            </w:r>
          </w:p>
        </w:tc>
        <w:tc>
          <w:tcPr>
            <w:tcW w:w="440" w:type="dxa"/>
            <w:shd w:val="clear" w:color="auto" w:fill="auto"/>
            <w:tcMar>
              <w:top w:w="0" w:type="dxa"/>
              <w:left w:w="0" w:type="dxa"/>
              <w:bottom w:w="0" w:type="dxa"/>
              <w:right w:w="0" w:type="dxa"/>
            </w:tcMar>
            <w:vAlign w:val="center"/>
          </w:tcPr>
          <w:p w14:paraId="617DAA6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798620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3F0A294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AB755D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3BFD8D6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2235616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7610E8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60B79B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41.4</w:t>
            </w:r>
          </w:p>
        </w:tc>
        <w:tc>
          <w:tcPr>
            <w:tcW w:w="557" w:type="dxa"/>
            <w:shd w:val="clear" w:color="auto" w:fill="auto"/>
            <w:tcMar>
              <w:top w:w="0" w:type="dxa"/>
              <w:left w:w="0" w:type="dxa"/>
              <w:bottom w:w="0" w:type="dxa"/>
              <w:right w:w="0" w:type="dxa"/>
            </w:tcMar>
            <w:vAlign w:val="center"/>
          </w:tcPr>
          <w:p w14:paraId="27F463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41.6</w:t>
            </w:r>
          </w:p>
        </w:tc>
        <w:tc>
          <w:tcPr>
            <w:tcW w:w="671" w:type="dxa"/>
            <w:shd w:val="clear" w:color="auto" w:fill="auto"/>
            <w:tcMar>
              <w:top w:w="0" w:type="dxa"/>
              <w:left w:w="0" w:type="dxa"/>
              <w:bottom w:w="0" w:type="dxa"/>
              <w:right w:w="0" w:type="dxa"/>
            </w:tcMar>
            <w:vAlign w:val="center"/>
          </w:tcPr>
          <w:p w14:paraId="5E18873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3E34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373CB65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59" w:type="dxa"/>
            <w:shd w:val="clear" w:color="auto" w:fill="auto"/>
            <w:tcMar>
              <w:top w:w="0" w:type="dxa"/>
              <w:left w:w="0" w:type="dxa"/>
              <w:bottom w:w="0" w:type="dxa"/>
              <w:right w:w="0" w:type="dxa"/>
            </w:tcMar>
            <w:vAlign w:val="center"/>
          </w:tcPr>
          <w:p w14:paraId="2EDD0D1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2399E20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搅拌机</w:t>
            </w:r>
            <w:r>
              <w:rPr>
                <w:rFonts w:hint="default" w:ascii="Times New Roman" w:hAnsi="Times New Roman" w:eastAsia="宋体" w:cs="Times New Roman"/>
                <w:color w:val="auto"/>
                <w:sz w:val="21"/>
                <w:szCs w:val="21"/>
                <w:highlight w:val="none"/>
              </w:rPr>
              <w:t>2</w:t>
            </w:r>
          </w:p>
        </w:tc>
        <w:tc>
          <w:tcPr>
            <w:tcW w:w="619" w:type="dxa"/>
            <w:shd w:val="clear" w:color="auto" w:fill="auto"/>
            <w:tcMar>
              <w:top w:w="0" w:type="dxa"/>
              <w:left w:w="0" w:type="dxa"/>
              <w:bottom w:w="0" w:type="dxa"/>
              <w:right w:w="0" w:type="dxa"/>
            </w:tcMar>
            <w:vAlign w:val="center"/>
          </w:tcPr>
          <w:p w14:paraId="67DB3C4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510" w:type="dxa"/>
            <w:vMerge w:val="continue"/>
            <w:shd w:val="clear" w:color="auto" w:fill="auto"/>
            <w:tcMar>
              <w:top w:w="0" w:type="dxa"/>
              <w:left w:w="0" w:type="dxa"/>
              <w:bottom w:w="0" w:type="dxa"/>
              <w:right w:w="0" w:type="dxa"/>
            </w:tcMar>
            <w:vAlign w:val="center"/>
          </w:tcPr>
          <w:p w14:paraId="0A63769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5D6CE3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w:t>
            </w:r>
          </w:p>
        </w:tc>
        <w:tc>
          <w:tcPr>
            <w:tcW w:w="569" w:type="dxa"/>
            <w:shd w:val="clear" w:color="auto" w:fill="auto"/>
            <w:tcMar>
              <w:top w:w="0" w:type="dxa"/>
              <w:left w:w="0" w:type="dxa"/>
              <w:bottom w:w="0" w:type="dxa"/>
              <w:right w:w="0" w:type="dxa"/>
            </w:tcMar>
            <w:vAlign w:val="center"/>
          </w:tcPr>
          <w:p w14:paraId="4E2FFDD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26.4</w:t>
            </w:r>
          </w:p>
        </w:tc>
        <w:tc>
          <w:tcPr>
            <w:tcW w:w="604" w:type="dxa"/>
            <w:shd w:val="clear" w:color="auto" w:fill="auto"/>
            <w:tcMar>
              <w:top w:w="0" w:type="dxa"/>
              <w:left w:w="0" w:type="dxa"/>
              <w:bottom w:w="0" w:type="dxa"/>
              <w:right w:w="0" w:type="dxa"/>
            </w:tcMar>
            <w:vAlign w:val="center"/>
          </w:tcPr>
          <w:p w14:paraId="4071EA5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678EA78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51.3</w:t>
            </w:r>
          </w:p>
        </w:tc>
        <w:tc>
          <w:tcPr>
            <w:tcW w:w="466" w:type="dxa"/>
            <w:shd w:val="clear" w:color="auto" w:fill="auto"/>
            <w:tcMar>
              <w:top w:w="0" w:type="dxa"/>
              <w:left w:w="0" w:type="dxa"/>
              <w:bottom w:w="0" w:type="dxa"/>
              <w:right w:w="0" w:type="dxa"/>
            </w:tcMar>
            <w:vAlign w:val="center"/>
          </w:tcPr>
          <w:p w14:paraId="583B6E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54.1</w:t>
            </w:r>
          </w:p>
        </w:tc>
        <w:tc>
          <w:tcPr>
            <w:tcW w:w="551" w:type="dxa"/>
            <w:shd w:val="clear" w:color="auto" w:fill="auto"/>
            <w:tcMar>
              <w:top w:w="0" w:type="dxa"/>
              <w:left w:w="0" w:type="dxa"/>
              <w:bottom w:w="0" w:type="dxa"/>
              <w:right w:w="0" w:type="dxa"/>
            </w:tcMar>
            <w:vAlign w:val="center"/>
          </w:tcPr>
          <w:p w14:paraId="71A32F1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19.0</w:t>
            </w:r>
          </w:p>
        </w:tc>
        <w:tc>
          <w:tcPr>
            <w:tcW w:w="510" w:type="dxa"/>
            <w:shd w:val="clear" w:color="auto" w:fill="auto"/>
            <w:tcMar>
              <w:top w:w="0" w:type="dxa"/>
              <w:left w:w="0" w:type="dxa"/>
              <w:bottom w:w="0" w:type="dxa"/>
              <w:right w:w="0" w:type="dxa"/>
            </w:tcMar>
            <w:vAlign w:val="center"/>
          </w:tcPr>
          <w:p w14:paraId="0A01F91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w:t>
            </w:r>
          </w:p>
        </w:tc>
        <w:tc>
          <w:tcPr>
            <w:tcW w:w="463" w:type="dxa"/>
            <w:shd w:val="clear" w:color="auto" w:fill="auto"/>
            <w:tcMar>
              <w:top w:w="0" w:type="dxa"/>
              <w:left w:w="0" w:type="dxa"/>
              <w:bottom w:w="0" w:type="dxa"/>
              <w:right w:w="0" w:type="dxa"/>
            </w:tcMar>
            <w:vAlign w:val="center"/>
          </w:tcPr>
          <w:p w14:paraId="39375B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56D72FD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144A0B9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14:paraId="046A058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68.0</w:t>
            </w:r>
          </w:p>
        </w:tc>
        <w:tc>
          <w:tcPr>
            <w:tcW w:w="440" w:type="dxa"/>
            <w:shd w:val="clear" w:color="auto" w:fill="auto"/>
            <w:tcMar>
              <w:top w:w="0" w:type="dxa"/>
              <w:left w:w="0" w:type="dxa"/>
              <w:bottom w:w="0" w:type="dxa"/>
              <w:right w:w="0" w:type="dxa"/>
            </w:tcMar>
            <w:vAlign w:val="center"/>
          </w:tcPr>
          <w:p w14:paraId="49FBF3B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79F3D3D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C11077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EB25F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479B1D2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107B745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5B49342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7593112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41.4</w:t>
            </w:r>
          </w:p>
        </w:tc>
        <w:tc>
          <w:tcPr>
            <w:tcW w:w="557" w:type="dxa"/>
            <w:shd w:val="clear" w:color="auto" w:fill="auto"/>
            <w:tcMar>
              <w:top w:w="0" w:type="dxa"/>
              <w:left w:w="0" w:type="dxa"/>
              <w:bottom w:w="0" w:type="dxa"/>
              <w:right w:w="0" w:type="dxa"/>
            </w:tcMar>
            <w:vAlign w:val="center"/>
          </w:tcPr>
          <w:p w14:paraId="5555D42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41.5</w:t>
            </w:r>
          </w:p>
        </w:tc>
        <w:tc>
          <w:tcPr>
            <w:tcW w:w="671" w:type="dxa"/>
            <w:shd w:val="clear" w:color="auto" w:fill="auto"/>
            <w:tcMar>
              <w:top w:w="0" w:type="dxa"/>
              <w:left w:w="0" w:type="dxa"/>
              <w:bottom w:w="0" w:type="dxa"/>
              <w:right w:w="0" w:type="dxa"/>
            </w:tcMar>
            <w:vAlign w:val="center"/>
          </w:tcPr>
          <w:p w14:paraId="06959FF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35DC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3B07FD5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059" w:type="dxa"/>
            <w:shd w:val="clear" w:color="auto" w:fill="auto"/>
            <w:tcMar>
              <w:top w:w="0" w:type="dxa"/>
              <w:left w:w="0" w:type="dxa"/>
              <w:bottom w:w="0" w:type="dxa"/>
              <w:right w:w="0" w:type="dxa"/>
            </w:tcMar>
            <w:vAlign w:val="center"/>
          </w:tcPr>
          <w:p w14:paraId="2D4ACC5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228F735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搅拌机3</w:t>
            </w:r>
          </w:p>
        </w:tc>
        <w:tc>
          <w:tcPr>
            <w:tcW w:w="619" w:type="dxa"/>
            <w:shd w:val="clear" w:color="auto" w:fill="auto"/>
            <w:tcMar>
              <w:top w:w="0" w:type="dxa"/>
              <w:left w:w="0" w:type="dxa"/>
              <w:bottom w:w="0" w:type="dxa"/>
              <w:right w:w="0" w:type="dxa"/>
            </w:tcMar>
            <w:vAlign w:val="center"/>
          </w:tcPr>
          <w:p w14:paraId="7C0B72D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510" w:type="dxa"/>
            <w:vMerge w:val="continue"/>
            <w:shd w:val="clear" w:color="auto" w:fill="auto"/>
            <w:tcMar>
              <w:top w:w="0" w:type="dxa"/>
              <w:left w:w="0" w:type="dxa"/>
              <w:bottom w:w="0" w:type="dxa"/>
              <w:right w:w="0" w:type="dxa"/>
            </w:tcMar>
            <w:vAlign w:val="center"/>
          </w:tcPr>
          <w:p w14:paraId="3A90EC5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73CA6A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-6.8</w:t>
            </w:r>
          </w:p>
        </w:tc>
        <w:tc>
          <w:tcPr>
            <w:tcW w:w="569" w:type="dxa"/>
            <w:shd w:val="clear" w:color="auto" w:fill="auto"/>
            <w:tcMar>
              <w:top w:w="0" w:type="dxa"/>
              <w:left w:w="0" w:type="dxa"/>
              <w:bottom w:w="0" w:type="dxa"/>
              <w:right w:w="0" w:type="dxa"/>
            </w:tcMar>
            <w:vAlign w:val="center"/>
          </w:tcPr>
          <w:p w14:paraId="67A9B2A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w:t>
            </w:r>
          </w:p>
        </w:tc>
        <w:tc>
          <w:tcPr>
            <w:tcW w:w="604" w:type="dxa"/>
            <w:shd w:val="clear" w:color="auto" w:fill="auto"/>
            <w:tcMar>
              <w:top w:w="0" w:type="dxa"/>
              <w:left w:w="0" w:type="dxa"/>
              <w:bottom w:w="0" w:type="dxa"/>
              <w:right w:w="0" w:type="dxa"/>
            </w:tcMar>
            <w:vAlign w:val="center"/>
          </w:tcPr>
          <w:p w14:paraId="6968E8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593F85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51.1</w:t>
            </w:r>
          </w:p>
        </w:tc>
        <w:tc>
          <w:tcPr>
            <w:tcW w:w="466" w:type="dxa"/>
            <w:shd w:val="clear" w:color="auto" w:fill="auto"/>
            <w:tcMar>
              <w:top w:w="0" w:type="dxa"/>
              <w:left w:w="0" w:type="dxa"/>
              <w:bottom w:w="0" w:type="dxa"/>
              <w:right w:w="0" w:type="dxa"/>
            </w:tcMar>
            <w:vAlign w:val="center"/>
          </w:tcPr>
          <w:p w14:paraId="7818CC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50.5</w:t>
            </w:r>
          </w:p>
        </w:tc>
        <w:tc>
          <w:tcPr>
            <w:tcW w:w="551" w:type="dxa"/>
            <w:shd w:val="clear" w:color="auto" w:fill="auto"/>
            <w:tcMar>
              <w:top w:w="0" w:type="dxa"/>
              <w:left w:w="0" w:type="dxa"/>
              <w:bottom w:w="0" w:type="dxa"/>
              <w:right w:w="0" w:type="dxa"/>
            </w:tcMar>
            <w:vAlign w:val="center"/>
          </w:tcPr>
          <w:p w14:paraId="318C079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19.4</w:t>
            </w:r>
          </w:p>
        </w:tc>
        <w:tc>
          <w:tcPr>
            <w:tcW w:w="510" w:type="dxa"/>
            <w:shd w:val="clear" w:color="auto" w:fill="auto"/>
            <w:tcMar>
              <w:top w:w="0" w:type="dxa"/>
              <w:left w:w="0" w:type="dxa"/>
              <w:bottom w:w="0" w:type="dxa"/>
              <w:right w:w="0" w:type="dxa"/>
            </w:tcMar>
            <w:vAlign w:val="center"/>
          </w:tcPr>
          <w:p w14:paraId="601C0A5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14.7</w:t>
            </w:r>
          </w:p>
        </w:tc>
        <w:tc>
          <w:tcPr>
            <w:tcW w:w="463" w:type="dxa"/>
            <w:shd w:val="clear" w:color="auto" w:fill="auto"/>
            <w:tcMar>
              <w:top w:w="0" w:type="dxa"/>
              <w:left w:w="0" w:type="dxa"/>
              <w:bottom w:w="0" w:type="dxa"/>
              <w:right w:w="0" w:type="dxa"/>
            </w:tcMar>
            <w:vAlign w:val="center"/>
          </w:tcPr>
          <w:p w14:paraId="48D89C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4C40926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559CAB0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14:paraId="426FDE9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440" w:type="dxa"/>
            <w:shd w:val="clear" w:color="auto" w:fill="auto"/>
            <w:tcMar>
              <w:top w:w="0" w:type="dxa"/>
              <w:left w:w="0" w:type="dxa"/>
              <w:bottom w:w="0" w:type="dxa"/>
              <w:right w:w="0" w:type="dxa"/>
            </w:tcMar>
            <w:vAlign w:val="center"/>
          </w:tcPr>
          <w:p w14:paraId="7F14DEE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242CF0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3B9B3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3310EF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311F339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61B9EF8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1921824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386A723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41.4</w:t>
            </w:r>
          </w:p>
        </w:tc>
        <w:tc>
          <w:tcPr>
            <w:tcW w:w="557" w:type="dxa"/>
            <w:shd w:val="clear" w:color="auto" w:fill="auto"/>
            <w:tcMar>
              <w:top w:w="0" w:type="dxa"/>
              <w:left w:w="0" w:type="dxa"/>
              <w:bottom w:w="0" w:type="dxa"/>
              <w:right w:w="0" w:type="dxa"/>
            </w:tcMar>
            <w:vAlign w:val="center"/>
          </w:tcPr>
          <w:p w14:paraId="1F74ED8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41.4</w:t>
            </w:r>
          </w:p>
        </w:tc>
        <w:tc>
          <w:tcPr>
            <w:tcW w:w="671" w:type="dxa"/>
            <w:shd w:val="clear" w:color="auto" w:fill="auto"/>
            <w:tcMar>
              <w:top w:w="0" w:type="dxa"/>
              <w:left w:w="0" w:type="dxa"/>
              <w:bottom w:w="0" w:type="dxa"/>
              <w:right w:w="0" w:type="dxa"/>
            </w:tcMar>
            <w:vAlign w:val="center"/>
          </w:tcPr>
          <w:p w14:paraId="22164C3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37D7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4E206A6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059" w:type="dxa"/>
            <w:shd w:val="clear" w:color="auto" w:fill="auto"/>
            <w:tcMar>
              <w:top w:w="0" w:type="dxa"/>
              <w:left w:w="0" w:type="dxa"/>
              <w:bottom w:w="0" w:type="dxa"/>
              <w:right w:w="0" w:type="dxa"/>
            </w:tcMar>
            <w:vAlign w:val="center"/>
          </w:tcPr>
          <w:p w14:paraId="6AC62D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4FBA15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搅拌机4</w:t>
            </w:r>
          </w:p>
        </w:tc>
        <w:tc>
          <w:tcPr>
            <w:tcW w:w="619" w:type="dxa"/>
            <w:shd w:val="clear" w:color="auto" w:fill="auto"/>
            <w:tcMar>
              <w:top w:w="0" w:type="dxa"/>
              <w:left w:w="0" w:type="dxa"/>
              <w:bottom w:w="0" w:type="dxa"/>
              <w:right w:w="0" w:type="dxa"/>
            </w:tcMar>
            <w:vAlign w:val="center"/>
          </w:tcPr>
          <w:p w14:paraId="2E11922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510" w:type="dxa"/>
            <w:vMerge w:val="continue"/>
            <w:shd w:val="clear" w:color="auto" w:fill="auto"/>
            <w:tcMar>
              <w:top w:w="0" w:type="dxa"/>
              <w:left w:w="0" w:type="dxa"/>
              <w:bottom w:w="0" w:type="dxa"/>
              <w:right w:w="0" w:type="dxa"/>
            </w:tcMar>
            <w:vAlign w:val="center"/>
          </w:tcPr>
          <w:p w14:paraId="3009B60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005A027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w:t>
            </w:r>
          </w:p>
        </w:tc>
        <w:tc>
          <w:tcPr>
            <w:tcW w:w="569" w:type="dxa"/>
            <w:shd w:val="clear" w:color="auto" w:fill="auto"/>
            <w:tcMar>
              <w:top w:w="0" w:type="dxa"/>
              <w:left w:w="0" w:type="dxa"/>
              <w:bottom w:w="0" w:type="dxa"/>
              <w:right w:w="0" w:type="dxa"/>
            </w:tcMar>
            <w:vAlign w:val="center"/>
          </w:tcPr>
          <w:p w14:paraId="78600E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19.4</w:t>
            </w:r>
          </w:p>
        </w:tc>
        <w:tc>
          <w:tcPr>
            <w:tcW w:w="604" w:type="dxa"/>
            <w:shd w:val="clear" w:color="auto" w:fill="auto"/>
            <w:tcMar>
              <w:top w:w="0" w:type="dxa"/>
              <w:left w:w="0" w:type="dxa"/>
              <w:bottom w:w="0" w:type="dxa"/>
              <w:right w:w="0" w:type="dxa"/>
            </w:tcMar>
            <w:vAlign w:val="center"/>
          </w:tcPr>
          <w:p w14:paraId="30499C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3ED3A08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50.9</w:t>
            </w:r>
          </w:p>
        </w:tc>
        <w:tc>
          <w:tcPr>
            <w:tcW w:w="466" w:type="dxa"/>
            <w:shd w:val="clear" w:color="auto" w:fill="auto"/>
            <w:tcMar>
              <w:top w:w="0" w:type="dxa"/>
              <w:left w:w="0" w:type="dxa"/>
              <w:bottom w:w="0" w:type="dxa"/>
              <w:right w:w="0" w:type="dxa"/>
            </w:tcMar>
            <w:vAlign w:val="center"/>
          </w:tcPr>
          <w:p w14:paraId="2BC11D7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46.6</w:t>
            </w:r>
          </w:p>
        </w:tc>
        <w:tc>
          <w:tcPr>
            <w:tcW w:w="551" w:type="dxa"/>
            <w:shd w:val="clear" w:color="auto" w:fill="auto"/>
            <w:tcMar>
              <w:top w:w="0" w:type="dxa"/>
              <w:left w:w="0" w:type="dxa"/>
              <w:bottom w:w="0" w:type="dxa"/>
              <w:right w:w="0" w:type="dxa"/>
            </w:tcMar>
            <w:vAlign w:val="center"/>
          </w:tcPr>
          <w:p w14:paraId="1B5871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19.6</w:t>
            </w:r>
          </w:p>
        </w:tc>
        <w:tc>
          <w:tcPr>
            <w:tcW w:w="510" w:type="dxa"/>
            <w:shd w:val="clear" w:color="auto" w:fill="auto"/>
            <w:tcMar>
              <w:top w:w="0" w:type="dxa"/>
              <w:left w:w="0" w:type="dxa"/>
              <w:bottom w:w="0" w:type="dxa"/>
              <w:right w:w="0" w:type="dxa"/>
            </w:tcMar>
            <w:vAlign w:val="center"/>
          </w:tcPr>
          <w:p w14:paraId="3A0B2DC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18.6</w:t>
            </w:r>
          </w:p>
        </w:tc>
        <w:tc>
          <w:tcPr>
            <w:tcW w:w="463" w:type="dxa"/>
            <w:shd w:val="clear" w:color="auto" w:fill="auto"/>
            <w:tcMar>
              <w:top w:w="0" w:type="dxa"/>
              <w:left w:w="0" w:type="dxa"/>
              <w:bottom w:w="0" w:type="dxa"/>
              <w:right w:w="0" w:type="dxa"/>
            </w:tcMar>
            <w:vAlign w:val="center"/>
          </w:tcPr>
          <w:p w14:paraId="3BA4B14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3191110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1BE1053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14:paraId="3C9B8AA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440" w:type="dxa"/>
            <w:shd w:val="clear" w:color="auto" w:fill="auto"/>
            <w:tcMar>
              <w:top w:w="0" w:type="dxa"/>
              <w:left w:w="0" w:type="dxa"/>
              <w:bottom w:w="0" w:type="dxa"/>
              <w:right w:w="0" w:type="dxa"/>
            </w:tcMar>
            <w:vAlign w:val="center"/>
          </w:tcPr>
          <w:p w14:paraId="09D6921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45AF5C9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29903A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A02CC6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53B0D05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2E88A2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6A55B03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0B211C1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41.4</w:t>
            </w:r>
          </w:p>
        </w:tc>
        <w:tc>
          <w:tcPr>
            <w:tcW w:w="557" w:type="dxa"/>
            <w:shd w:val="clear" w:color="auto" w:fill="auto"/>
            <w:tcMar>
              <w:top w:w="0" w:type="dxa"/>
              <w:left w:w="0" w:type="dxa"/>
              <w:bottom w:w="0" w:type="dxa"/>
              <w:right w:w="0" w:type="dxa"/>
            </w:tcMar>
            <w:vAlign w:val="center"/>
          </w:tcPr>
          <w:p w14:paraId="28B50D9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41.4</w:t>
            </w:r>
          </w:p>
        </w:tc>
        <w:tc>
          <w:tcPr>
            <w:tcW w:w="671" w:type="dxa"/>
            <w:shd w:val="clear" w:color="auto" w:fill="auto"/>
            <w:tcMar>
              <w:top w:w="0" w:type="dxa"/>
              <w:left w:w="0" w:type="dxa"/>
              <w:bottom w:w="0" w:type="dxa"/>
              <w:right w:w="0" w:type="dxa"/>
            </w:tcMar>
            <w:vAlign w:val="center"/>
          </w:tcPr>
          <w:p w14:paraId="5540E5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1F07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689CCFA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059" w:type="dxa"/>
            <w:shd w:val="clear" w:color="auto" w:fill="auto"/>
            <w:tcMar>
              <w:top w:w="0" w:type="dxa"/>
              <w:left w:w="0" w:type="dxa"/>
              <w:bottom w:w="0" w:type="dxa"/>
              <w:right w:w="0" w:type="dxa"/>
            </w:tcMar>
            <w:vAlign w:val="center"/>
          </w:tcPr>
          <w:p w14:paraId="1B565B2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5BF7DF4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搅拌机5</w:t>
            </w:r>
          </w:p>
        </w:tc>
        <w:tc>
          <w:tcPr>
            <w:tcW w:w="619" w:type="dxa"/>
            <w:shd w:val="clear" w:color="auto" w:fill="auto"/>
            <w:tcMar>
              <w:top w:w="0" w:type="dxa"/>
              <w:left w:w="0" w:type="dxa"/>
              <w:bottom w:w="0" w:type="dxa"/>
              <w:right w:w="0" w:type="dxa"/>
            </w:tcMar>
            <w:vAlign w:val="center"/>
          </w:tcPr>
          <w:p w14:paraId="4ECE56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510" w:type="dxa"/>
            <w:vMerge w:val="continue"/>
            <w:shd w:val="clear" w:color="auto" w:fill="auto"/>
            <w:tcMar>
              <w:top w:w="0" w:type="dxa"/>
              <w:left w:w="0" w:type="dxa"/>
              <w:bottom w:w="0" w:type="dxa"/>
              <w:right w:w="0" w:type="dxa"/>
            </w:tcMar>
            <w:vAlign w:val="center"/>
          </w:tcPr>
          <w:p w14:paraId="1FA85AA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245D22C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-10.5</w:t>
            </w:r>
          </w:p>
        </w:tc>
        <w:tc>
          <w:tcPr>
            <w:tcW w:w="569" w:type="dxa"/>
            <w:shd w:val="clear" w:color="auto" w:fill="auto"/>
            <w:tcMar>
              <w:top w:w="0" w:type="dxa"/>
              <w:left w:w="0" w:type="dxa"/>
              <w:bottom w:w="0" w:type="dxa"/>
              <w:right w:w="0" w:type="dxa"/>
            </w:tcMar>
            <w:vAlign w:val="center"/>
          </w:tcPr>
          <w:p w14:paraId="2E00E9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14.9</w:t>
            </w:r>
          </w:p>
        </w:tc>
        <w:tc>
          <w:tcPr>
            <w:tcW w:w="604" w:type="dxa"/>
            <w:shd w:val="clear" w:color="auto" w:fill="auto"/>
            <w:tcMar>
              <w:top w:w="0" w:type="dxa"/>
              <w:left w:w="0" w:type="dxa"/>
              <w:bottom w:w="0" w:type="dxa"/>
              <w:right w:w="0" w:type="dxa"/>
            </w:tcMar>
            <w:vAlign w:val="center"/>
          </w:tcPr>
          <w:p w14:paraId="0D50A67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1EDD98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51.0</w:t>
            </w:r>
          </w:p>
        </w:tc>
        <w:tc>
          <w:tcPr>
            <w:tcW w:w="466" w:type="dxa"/>
            <w:shd w:val="clear" w:color="auto" w:fill="auto"/>
            <w:tcMar>
              <w:top w:w="0" w:type="dxa"/>
              <w:left w:w="0" w:type="dxa"/>
              <w:bottom w:w="0" w:type="dxa"/>
              <w:right w:w="0" w:type="dxa"/>
            </w:tcMar>
            <w:vAlign w:val="center"/>
          </w:tcPr>
          <w:p w14:paraId="62CEA62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41.6</w:t>
            </w:r>
          </w:p>
        </w:tc>
        <w:tc>
          <w:tcPr>
            <w:tcW w:w="551" w:type="dxa"/>
            <w:shd w:val="clear" w:color="auto" w:fill="auto"/>
            <w:tcMar>
              <w:top w:w="0" w:type="dxa"/>
              <w:left w:w="0" w:type="dxa"/>
              <w:bottom w:w="0" w:type="dxa"/>
              <w:right w:w="0" w:type="dxa"/>
            </w:tcMar>
            <w:vAlign w:val="center"/>
          </w:tcPr>
          <w:p w14:paraId="40ADAD2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19.6</w:t>
            </w:r>
          </w:p>
        </w:tc>
        <w:tc>
          <w:tcPr>
            <w:tcW w:w="510" w:type="dxa"/>
            <w:shd w:val="clear" w:color="auto" w:fill="auto"/>
            <w:tcMar>
              <w:top w:w="0" w:type="dxa"/>
              <w:left w:w="0" w:type="dxa"/>
              <w:bottom w:w="0" w:type="dxa"/>
              <w:right w:w="0" w:type="dxa"/>
            </w:tcMar>
            <w:vAlign w:val="center"/>
          </w:tcPr>
          <w:p w14:paraId="1495C3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23.6</w:t>
            </w:r>
          </w:p>
        </w:tc>
        <w:tc>
          <w:tcPr>
            <w:tcW w:w="463" w:type="dxa"/>
            <w:shd w:val="clear" w:color="auto" w:fill="auto"/>
            <w:tcMar>
              <w:top w:w="0" w:type="dxa"/>
              <w:left w:w="0" w:type="dxa"/>
              <w:bottom w:w="0" w:type="dxa"/>
              <w:right w:w="0" w:type="dxa"/>
            </w:tcMar>
            <w:vAlign w:val="center"/>
          </w:tcPr>
          <w:p w14:paraId="78B592D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71BEEA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43D6A73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14:paraId="26AA6C3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40" w:type="dxa"/>
            <w:shd w:val="clear" w:color="auto" w:fill="auto"/>
            <w:tcMar>
              <w:top w:w="0" w:type="dxa"/>
              <w:left w:w="0" w:type="dxa"/>
              <w:bottom w:w="0" w:type="dxa"/>
              <w:right w:w="0" w:type="dxa"/>
            </w:tcMar>
            <w:vAlign w:val="center"/>
          </w:tcPr>
          <w:p w14:paraId="0B76294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2DF785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077843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6F9FB4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29CCA3D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61414B4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4661F2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263148B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41.4</w:t>
            </w:r>
          </w:p>
        </w:tc>
        <w:tc>
          <w:tcPr>
            <w:tcW w:w="557" w:type="dxa"/>
            <w:shd w:val="clear" w:color="auto" w:fill="auto"/>
            <w:tcMar>
              <w:top w:w="0" w:type="dxa"/>
              <w:left w:w="0" w:type="dxa"/>
              <w:bottom w:w="0" w:type="dxa"/>
              <w:right w:w="0" w:type="dxa"/>
            </w:tcMar>
            <w:vAlign w:val="center"/>
          </w:tcPr>
          <w:p w14:paraId="02891A7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671" w:type="dxa"/>
            <w:shd w:val="clear" w:color="auto" w:fill="auto"/>
            <w:tcMar>
              <w:top w:w="0" w:type="dxa"/>
              <w:left w:w="0" w:type="dxa"/>
              <w:bottom w:w="0" w:type="dxa"/>
              <w:right w:w="0" w:type="dxa"/>
            </w:tcMar>
            <w:vAlign w:val="center"/>
          </w:tcPr>
          <w:p w14:paraId="049EF3D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7398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76C024C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059" w:type="dxa"/>
            <w:shd w:val="clear" w:color="auto" w:fill="auto"/>
            <w:tcMar>
              <w:top w:w="0" w:type="dxa"/>
              <w:left w:w="0" w:type="dxa"/>
              <w:bottom w:w="0" w:type="dxa"/>
              <w:right w:w="0" w:type="dxa"/>
            </w:tcMar>
            <w:vAlign w:val="center"/>
          </w:tcPr>
          <w:p w14:paraId="276D1B5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3C49BA1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搅拌机6</w:t>
            </w:r>
          </w:p>
        </w:tc>
        <w:tc>
          <w:tcPr>
            <w:tcW w:w="619" w:type="dxa"/>
            <w:shd w:val="clear" w:color="auto" w:fill="auto"/>
            <w:tcMar>
              <w:top w:w="0" w:type="dxa"/>
              <w:left w:w="0" w:type="dxa"/>
              <w:bottom w:w="0" w:type="dxa"/>
              <w:right w:w="0" w:type="dxa"/>
            </w:tcMar>
            <w:vAlign w:val="center"/>
          </w:tcPr>
          <w:p w14:paraId="3B457F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510" w:type="dxa"/>
            <w:vMerge w:val="continue"/>
            <w:shd w:val="clear" w:color="auto" w:fill="auto"/>
            <w:tcMar>
              <w:top w:w="0" w:type="dxa"/>
              <w:left w:w="0" w:type="dxa"/>
              <w:bottom w:w="0" w:type="dxa"/>
              <w:right w:w="0" w:type="dxa"/>
            </w:tcMar>
            <w:vAlign w:val="center"/>
          </w:tcPr>
          <w:p w14:paraId="557AB76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32EBE56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-12.7</w:t>
            </w:r>
          </w:p>
        </w:tc>
        <w:tc>
          <w:tcPr>
            <w:tcW w:w="569" w:type="dxa"/>
            <w:shd w:val="clear" w:color="auto" w:fill="auto"/>
            <w:tcMar>
              <w:top w:w="0" w:type="dxa"/>
              <w:left w:w="0" w:type="dxa"/>
              <w:bottom w:w="0" w:type="dxa"/>
              <w:right w:w="0" w:type="dxa"/>
            </w:tcMar>
            <w:vAlign w:val="center"/>
          </w:tcPr>
          <w:p w14:paraId="386FC66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10.6</w:t>
            </w:r>
          </w:p>
        </w:tc>
        <w:tc>
          <w:tcPr>
            <w:tcW w:w="604" w:type="dxa"/>
            <w:shd w:val="clear" w:color="auto" w:fill="auto"/>
            <w:tcMar>
              <w:top w:w="0" w:type="dxa"/>
              <w:left w:w="0" w:type="dxa"/>
              <w:bottom w:w="0" w:type="dxa"/>
              <w:right w:w="0" w:type="dxa"/>
            </w:tcMar>
            <w:vAlign w:val="center"/>
          </w:tcPr>
          <w:p w14:paraId="5317564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2DE34E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51.2</w:t>
            </w:r>
          </w:p>
        </w:tc>
        <w:tc>
          <w:tcPr>
            <w:tcW w:w="466" w:type="dxa"/>
            <w:shd w:val="clear" w:color="auto" w:fill="auto"/>
            <w:tcMar>
              <w:top w:w="0" w:type="dxa"/>
              <w:left w:w="0" w:type="dxa"/>
              <w:bottom w:w="0" w:type="dxa"/>
              <w:right w:w="0" w:type="dxa"/>
            </w:tcMar>
            <w:vAlign w:val="center"/>
          </w:tcPr>
          <w:p w14:paraId="4EF6BD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36.8</w:t>
            </w:r>
          </w:p>
        </w:tc>
        <w:tc>
          <w:tcPr>
            <w:tcW w:w="551" w:type="dxa"/>
            <w:shd w:val="clear" w:color="auto" w:fill="auto"/>
            <w:tcMar>
              <w:top w:w="0" w:type="dxa"/>
              <w:left w:w="0" w:type="dxa"/>
              <w:bottom w:w="0" w:type="dxa"/>
              <w:right w:w="0" w:type="dxa"/>
            </w:tcMar>
            <w:vAlign w:val="center"/>
          </w:tcPr>
          <w:p w14:paraId="54D9630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19.6</w:t>
            </w:r>
          </w:p>
        </w:tc>
        <w:tc>
          <w:tcPr>
            <w:tcW w:w="510" w:type="dxa"/>
            <w:shd w:val="clear" w:color="auto" w:fill="auto"/>
            <w:tcMar>
              <w:top w:w="0" w:type="dxa"/>
              <w:left w:w="0" w:type="dxa"/>
              <w:bottom w:w="0" w:type="dxa"/>
              <w:right w:w="0" w:type="dxa"/>
            </w:tcMar>
            <w:vAlign w:val="center"/>
          </w:tcPr>
          <w:p w14:paraId="25234B4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28.4</w:t>
            </w:r>
          </w:p>
        </w:tc>
        <w:tc>
          <w:tcPr>
            <w:tcW w:w="463" w:type="dxa"/>
            <w:shd w:val="clear" w:color="auto" w:fill="auto"/>
            <w:tcMar>
              <w:top w:w="0" w:type="dxa"/>
              <w:left w:w="0" w:type="dxa"/>
              <w:bottom w:w="0" w:type="dxa"/>
              <w:right w:w="0" w:type="dxa"/>
            </w:tcMar>
            <w:vAlign w:val="center"/>
          </w:tcPr>
          <w:p w14:paraId="2A1A26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29BF74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3710AA7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14:paraId="30E855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40" w:type="dxa"/>
            <w:shd w:val="clear" w:color="auto" w:fill="auto"/>
            <w:tcMar>
              <w:top w:w="0" w:type="dxa"/>
              <w:left w:w="0" w:type="dxa"/>
              <w:bottom w:w="0" w:type="dxa"/>
              <w:right w:w="0" w:type="dxa"/>
            </w:tcMar>
            <w:vAlign w:val="center"/>
          </w:tcPr>
          <w:p w14:paraId="5AFFB7E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55F467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72F38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46E76E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219CF73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7597A01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2ABA993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5298234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41.4</w:t>
            </w:r>
          </w:p>
        </w:tc>
        <w:tc>
          <w:tcPr>
            <w:tcW w:w="557" w:type="dxa"/>
            <w:shd w:val="clear" w:color="auto" w:fill="auto"/>
            <w:tcMar>
              <w:top w:w="0" w:type="dxa"/>
              <w:left w:w="0" w:type="dxa"/>
              <w:bottom w:w="0" w:type="dxa"/>
              <w:right w:w="0" w:type="dxa"/>
            </w:tcMar>
            <w:vAlign w:val="center"/>
          </w:tcPr>
          <w:p w14:paraId="48A932C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671" w:type="dxa"/>
            <w:shd w:val="clear" w:color="auto" w:fill="auto"/>
            <w:tcMar>
              <w:top w:w="0" w:type="dxa"/>
              <w:left w:w="0" w:type="dxa"/>
              <w:bottom w:w="0" w:type="dxa"/>
              <w:right w:w="0" w:type="dxa"/>
            </w:tcMar>
            <w:vAlign w:val="center"/>
          </w:tcPr>
          <w:p w14:paraId="4942915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0349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630D73E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059" w:type="dxa"/>
            <w:shd w:val="clear" w:color="auto" w:fill="auto"/>
            <w:tcMar>
              <w:top w:w="0" w:type="dxa"/>
              <w:left w:w="0" w:type="dxa"/>
              <w:bottom w:w="0" w:type="dxa"/>
              <w:right w:w="0" w:type="dxa"/>
            </w:tcMar>
            <w:vAlign w:val="center"/>
          </w:tcPr>
          <w:p w14:paraId="2473AB6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2419EDB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搅拌机7</w:t>
            </w:r>
          </w:p>
        </w:tc>
        <w:tc>
          <w:tcPr>
            <w:tcW w:w="619" w:type="dxa"/>
            <w:shd w:val="clear" w:color="auto" w:fill="auto"/>
            <w:tcMar>
              <w:top w:w="0" w:type="dxa"/>
              <w:left w:w="0" w:type="dxa"/>
              <w:bottom w:w="0" w:type="dxa"/>
              <w:right w:w="0" w:type="dxa"/>
            </w:tcMar>
            <w:vAlign w:val="center"/>
          </w:tcPr>
          <w:p w14:paraId="2148E97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510" w:type="dxa"/>
            <w:vMerge w:val="continue"/>
            <w:shd w:val="clear" w:color="auto" w:fill="auto"/>
            <w:tcMar>
              <w:top w:w="0" w:type="dxa"/>
              <w:left w:w="0" w:type="dxa"/>
              <w:bottom w:w="0" w:type="dxa"/>
              <w:right w:w="0" w:type="dxa"/>
            </w:tcMar>
            <w:vAlign w:val="center"/>
          </w:tcPr>
          <w:p w14:paraId="3C233A2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6B380CF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-14.7</w:t>
            </w:r>
          </w:p>
        </w:tc>
        <w:tc>
          <w:tcPr>
            <w:tcW w:w="569" w:type="dxa"/>
            <w:shd w:val="clear" w:color="auto" w:fill="auto"/>
            <w:tcMar>
              <w:top w:w="0" w:type="dxa"/>
              <w:left w:w="0" w:type="dxa"/>
              <w:bottom w:w="0" w:type="dxa"/>
              <w:right w:w="0" w:type="dxa"/>
            </w:tcMar>
            <w:vAlign w:val="center"/>
          </w:tcPr>
          <w:p w14:paraId="165EA79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604" w:type="dxa"/>
            <w:shd w:val="clear" w:color="auto" w:fill="auto"/>
            <w:tcMar>
              <w:top w:w="0" w:type="dxa"/>
              <w:left w:w="0" w:type="dxa"/>
              <w:bottom w:w="0" w:type="dxa"/>
              <w:right w:w="0" w:type="dxa"/>
            </w:tcMar>
            <w:vAlign w:val="center"/>
          </w:tcPr>
          <w:p w14:paraId="6D5FFA9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5B7EDBD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51.5</w:t>
            </w:r>
          </w:p>
        </w:tc>
        <w:tc>
          <w:tcPr>
            <w:tcW w:w="466" w:type="dxa"/>
            <w:shd w:val="clear" w:color="auto" w:fill="auto"/>
            <w:tcMar>
              <w:top w:w="0" w:type="dxa"/>
              <w:left w:w="0" w:type="dxa"/>
              <w:bottom w:w="0" w:type="dxa"/>
              <w:right w:w="0" w:type="dxa"/>
            </w:tcMar>
            <w:vAlign w:val="center"/>
          </w:tcPr>
          <w:p w14:paraId="16EEF1A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32.6</w:t>
            </w:r>
          </w:p>
        </w:tc>
        <w:tc>
          <w:tcPr>
            <w:tcW w:w="551" w:type="dxa"/>
            <w:shd w:val="clear" w:color="auto" w:fill="auto"/>
            <w:tcMar>
              <w:top w:w="0" w:type="dxa"/>
              <w:left w:w="0" w:type="dxa"/>
              <w:bottom w:w="0" w:type="dxa"/>
              <w:right w:w="0" w:type="dxa"/>
            </w:tcMar>
            <w:vAlign w:val="center"/>
          </w:tcPr>
          <w:p w14:paraId="5ED84CD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19.4</w:t>
            </w:r>
          </w:p>
        </w:tc>
        <w:tc>
          <w:tcPr>
            <w:tcW w:w="510" w:type="dxa"/>
            <w:shd w:val="clear" w:color="auto" w:fill="auto"/>
            <w:tcMar>
              <w:top w:w="0" w:type="dxa"/>
              <w:left w:w="0" w:type="dxa"/>
              <w:bottom w:w="0" w:type="dxa"/>
              <w:right w:w="0" w:type="dxa"/>
            </w:tcMar>
            <w:vAlign w:val="center"/>
          </w:tcPr>
          <w:p w14:paraId="166BEF0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32.6</w:t>
            </w:r>
          </w:p>
        </w:tc>
        <w:tc>
          <w:tcPr>
            <w:tcW w:w="463" w:type="dxa"/>
            <w:shd w:val="clear" w:color="auto" w:fill="auto"/>
            <w:tcMar>
              <w:top w:w="0" w:type="dxa"/>
              <w:left w:w="0" w:type="dxa"/>
              <w:bottom w:w="0" w:type="dxa"/>
              <w:right w:w="0" w:type="dxa"/>
            </w:tcMar>
            <w:vAlign w:val="center"/>
          </w:tcPr>
          <w:p w14:paraId="56F4A2C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2177FBF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7664F66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14:paraId="2BF2E69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40" w:type="dxa"/>
            <w:shd w:val="clear" w:color="auto" w:fill="auto"/>
            <w:tcMar>
              <w:top w:w="0" w:type="dxa"/>
              <w:left w:w="0" w:type="dxa"/>
              <w:bottom w:w="0" w:type="dxa"/>
              <w:right w:w="0" w:type="dxa"/>
            </w:tcMar>
            <w:vAlign w:val="center"/>
          </w:tcPr>
          <w:p w14:paraId="0BB2A35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3A3BBA9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66842B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C75571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11EEC37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2879BD9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7BC1552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766D23C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41.4</w:t>
            </w:r>
          </w:p>
        </w:tc>
        <w:tc>
          <w:tcPr>
            <w:tcW w:w="557" w:type="dxa"/>
            <w:shd w:val="clear" w:color="auto" w:fill="auto"/>
            <w:tcMar>
              <w:top w:w="0" w:type="dxa"/>
              <w:left w:w="0" w:type="dxa"/>
              <w:bottom w:w="0" w:type="dxa"/>
              <w:right w:w="0" w:type="dxa"/>
            </w:tcMar>
            <w:vAlign w:val="center"/>
          </w:tcPr>
          <w:p w14:paraId="0E090AA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671" w:type="dxa"/>
            <w:shd w:val="clear" w:color="auto" w:fill="auto"/>
            <w:tcMar>
              <w:top w:w="0" w:type="dxa"/>
              <w:left w:w="0" w:type="dxa"/>
              <w:bottom w:w="0" w:type="dxa"/>
              <w:right w:w="0" w:type="dxa"/>
            </w:tcMar>
            <w:vAlign w:val="center"/>
          </w:tcPr>
          <w:p w14:paraId="63367CF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4462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3CB6680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059" w:type="dxa"/>
            <w:shd w:val="clear" w:color="auto" w:fill="auto"/>
            <w:tcMar>
              <w:top w:w="0" w:type="dxa"/>
              <w:left w:w="0" w:type="dxa"/>
              <w:bottom w:w="0" w:type="dxa"/>
              <w:right w:w="0" w:type="dxa"/>
            </w:tcMar>
            <w:vAlign w:val="center"/>
          </w:tcPr>
          <w:p w14:paraId="42F80A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2CABA7B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搅拌机8</w:t>
            </w:r>
          </w:p>
        </w:tc>
        <w:tc>
          <w:tcPr>
            <w:tcW w:w="619" w:type="dxa"/>
            <w:shd w:val="clear" w:color="auto" w:fill="auto"/>
            <w:tcMar>
              <w:top w:w="0" w:type="dxa"/>
              <w:left w:w="0" w:type="dxa"/>
              <w:bottom w:w="0" w:type="dxa"/>
              <w:right w:w="0" w:type="dxa"/>
            </w:tcMar>
            <w:vAlign w:val="center"/>
          </w:tcPr>
          <w:p w14:paraId="0C94EDA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510" w:type="dxa"/>
            <w:vMerge w:val="continue"/>
            <w:shd w:val="clear" w:color="auto" w:fill="auto"/>
            <w:tcMar>
              <w:top w:w="0" w:type="dxa"/>
              <w:left w:w="0" w:type="dxa"/>
              <w:bottom w:w="0" w:type="dxa"/>
              <w:right w:w="0" w:type="dxa"/>
            </w:tcMar>
            <w:vAlign w:val="center"/>
          </w:tcPr>
          <w:p w14:paraId="71692B8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4CC41C6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-16.6</w:t>
            </w:r>
          </w:p>
        </w:tc>
        <w:tc>
          <w:tcPr>
            <w:tcW w:w="569" w:type="dxa"/>
            <w:shd w:val="clear" w:color="auto" w:fill="auto"/>
            <w:tcMar>
              <w:top w:w="0" w:type="dxa"/>
              <w:left w:w="0" w:type="dxa"/>
              <w:bottom w:w="0" w:type="dxa"/>
              <w:right w:w="0" w:type="dxa"/>
            </w:tcMar>
            <w:vAlign w:val="center"/>
          </w:tcPr>
          <w:p w14:paraId="6340FAB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604" w:type="dxa"/>
            <w:shd w:val="clear" w:color="auto" w:fill="auto"/>
            <w:tcMar>
              <w:top w:w="0" w:type="dxa"/>
              <w:left w:w="0" w:type="dxa"/>
              <w:bottom w:w="0" w:type="dxa"/>
              <w:right w:w="0" w:type="dxa"/>
            </w:tcMar>
            <w:vAlign w:val="center"/>
          </w:tcPr>
          <w:p w14:paraId="2281958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61068CA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51.6</w:t>
            </w:r>
          </w:p>
        </w:tc>
        <w:tc>
          <w:tcPr>
            <w:tcW w:w="466" w:type="dxa"/>
            <w:shd w:val="clear" w:color="auto" w:fill="auto"/>
            <w:tcMar>
              <w:top w:w="0" w:type="dxa"/>
              <w:left w:w="0" w:type="dxa"/>
              <w:bottom w:w="0" w:type="dxa"/>
              <w:right w:w="0" w:type="dxa"/>
            </w:tcMar>
            <w:vAlign w:val="center"/>
          </w:tcPr>
          <w:p w14:paraId="6FE8136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28.3</w:t>
            </w:r>
          </w:p>
        </w:tc>
        <w:tc>
          <w:tcPr>
            <w:tcW w:w="551" w:type="dxa"/>
            <w:shd w:val="clear" w:color="auto" w:fill="auto"/>
            <w:tcMar>
              <w:top w:w="0" w:type="dxa"/>
              <w:left w:w="0" w:type="dxa"/>
              <w:bottom w:w="0" w:type="dxa"/>
              <w:right w:w="0" w:type="dxa"/>
            </w:tcMar>
            <w:vAlign w:val="center"/>
          </w:tcPr>
          <w:p w14:paraId="0F69726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19.4</w:t>
            </w:r>
          </w:p>
        </w:tc>
        <w:tc>
          <w:tcPr>
            <w:tcW w:w="510" w:type="dxa"/>
            <w:shd w:val="clear" w:color="auto" w:fill="auto"/>
            <w:tcMar>
              <w:top w:w="0" w:type="dxa"/>
              <w:left w:w="0" w:type="dxa"/>
              <w:bottom w:w="0" w:type="dxa"/>
              <w:right w:w="0" w:type="dxa"/>
            </w:tcMar>
            <w:vAlign w:val="center"/>
          </w:tcPr>
          <w:p w14:paraId="0CBC59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36.9</w:t>
            </w:r>
          </w:p>
        </w:tc>
        <w:tc>
          <w:tcPr>
            <w:tcW w:w="463" w:type="dxa"/>
            <w:shd w:val="clear" w:color="auto" w:fill="auto"/>
            <w:tcMar>
              <w:top w:w="0" w:type="dxa"/>
              <w:left w:w="0" w:type="dxa"/>
              <w:bottom w:w="0" w:type="dxa"/>
              <w:right w:w="0" w:type="dxa"/>
            </w:tcMar>
            <w:vAlign w:val="center"/>
          </w:tcPr>
          <w:p w14:paraId="6A26962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2B192CE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093129E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14:paraId="5486064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40" w:type="dxa"/>
            <w:shd w:val="clear" w:color="auto" w:fill="auto"/>
            <w:tcMar>
              <w:top w:w="0" w:type="dxa"/>
              <w:left w:w="0" w:type="dxa"/>
              <w:bottom w:w="0" w:type="dxa"/>
              <w:right w:w="0" w:type="dxa"/>
            </w:tcMar>
            <w:vAlign w:val="center"/>
          </w:tcPr>
          <w:p w14:paraId="05C3B2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3964A41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7A0DA7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57B396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31E922D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4610D62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7CF7450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3341E59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41.4</w:t>
            </w:r>
          </w:p>
        </w:tc>
        <w:tc>
          <w:tcPr>
            <w:tcW w:w="557" w:type="dxa"/>
            <w:shd w:val="clear" w:color="auto" w:fill="auto"/>
            <w:tcMar>
              <w:top w:w="0" w:type="dxa"/>
              <w:left w:w="0" w:type="dxa"/>
              <w:bottom w:w="0" w:type="dxa"/>
              <w:right w:w="0" w:type="dxa"/>
            </w:tcMar>
            <w:vAlign w:val="center"/>
          </w:tcPr>
          <w:p w14:paraId="3808F5D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671" w:type="dxa"/>
            <w:shd w:val="clear" w:color="auto" w:fill="auto"/>
            <w:tcMar>
              <w:top w:w="0" w:type="dxa"/>
              <w:left w:w="0" w:type="dxa"/>
              <w:bottom w:w="0" w:type="dxa"/>
              <w:right w:w="0" w:type="dxa"/>
            </w:tcMar>
            <w:vAlign w:val="center"/>
          </w:tcPr>
          <w:p w14:paraId="4D136F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63A9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0C9E46E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1059" w:type="dxa"/>
            <w:shd w:val="clear" w:color="auto" w:fill="auto"/>
            <w:tcMar>
              <w:top w:w="0" w:type="dxa"/>
              <w:left w:w="0" w:type="dxa"/>
              <w:bottom w:w="0" w:type="dxa"/>
              <w:right w:w="0" w:type="dxa"/>
            </w:tcMar>
            <w:vAlign w:val="center"/>
          </w:tcPr>
          <w:p w14:paraId="2156543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4EFDDF0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搅拌机9</w:t>
            </w:r>
          </w:p>
        </w:tc>
        <w:tc>
          <w:tcPr>
            <w:tcW w:w="619" w:type="dxa"/>
            <w:shd w:val="clear" w:color="auto" w:fill="auto"/>
            <w:tcMar>
              <w:top w:w="0" w:type="dxa"/>
              <w:left w:w="0" w:type="dxa"/>
              <w:bottom w:w="0" w:type="dxa"/>
              <w:right w:w="0" w:type="dxa"/>
            </w:tcMar>
            <w:vAlign w:val="center"/>
          </w:tcPr>
          <w:p w14:paraId="0476204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510" w:type="dxa"/>
            <w:vMerge w:val="continue"/>
            <w:shd w:val="clear" w:color="auto" w:fill="auto"/>
            <w:tcMar>
              <w:top w:w="0" w:type="dxa"/>
              <w:left w:w="0" w:type="dxa"/>
              <w:bottom w:w="0" w:type="dxa"/>
              <w:right w:w="0" w:type="dxa"/>
            </w:tcMar>
            <w:vAlign w:val="center"/>
          </w:tcPr>
          <w:p w14:paraId="4BFCA5D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3F87BF2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-18.2</w:t>
            </w:r>
          </w:p>
        </w:tc>
        <w:tc>
          <w:tcPr>
            <w:tcW w:w="569" w:type="dxa"/>
            <w:shd w:val="clear" w:color="auto" w:fill="auto"/>
            <w:tcMar>
              <w:top w:w="0" w:type="dxa"/>
              <w:left w:w="0" w:type="dxa"/>
              <w:bottom w:w="0" w:type="dxa"/>
              <w:right w:w="0" w:type="dxa"/>
            </w:tcMar>
            <w:vAlign w:val="center"/>
          </w:tcPr>
          <w:p w14:paraId="45AC6E5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-0.7</w:t>
            </w:r>
          </w:p>
        </w:tc>
        <w:tc>
          <w:tcPr>
            <w:tcW w:w="604" w:type="dxa"/>
            <w:shd w:val="clear" w:color="auto" w:fill="auto"/>
            <w:tcMar>
              <w:top w:w="0" w:type="dxa"/>
              <w:left w:w="0" w:type="dxa"/>
              <w:bottom w:w="0" w:type="dxa"/>
              <w:right w:w="0" w:type="dxa"/>
            </w:tcMar>
            <w:vAlign w:val="center"/>
          </w:tcPr>
          <w:p w14:paraId="425DF57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19B460A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51.5</w:t>
            </w:r>
          </w:p>
        </w:tc>
        <w:tc>
          <w:tcPr>
            <w:tcW w:w="466" w:type="dxa"/>
            <w:shd w:val="clear" w:color="auto" w:fill="auto"/>
            <w:tcMar>
              <w:top w:w="0" w:type="dxa"/>
              <w:left w:w="0" w:type="dxa"/>
              <w:bottom w:w="0" w:type="dxa"/>
              <w:right w:w="0" w:type="dxa"/>
            </w:tcMar>
            <w:vAlign w:val="center"/>
          </w:tcPr>
          <w:p w14:paraId="6FC435B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24.2</w:t>
            </w:r>
          </w:p>
        </w:tc>
        <w:tc>
          <w:tcPr>
            <w:tcW w:w="551" w:type="dxa"/>
            <w:shd w:val="clear" w:color="auto" w:fill="auto"/>
            <w:tcMar>
              <w:top w:w="0" w:type="dxa"/>
              <w:left w:w="0" w:type="dxa"/>
              <w:bottom w:w="0" w:type="dxa"/>
              <w:right w:w="0" w:type="dxa"/>
            </w:tcMar>
            <w:vAlign w:val="center"/>
          </w:tcPr>
          <w:p w14:paraId="11BC1A5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19.7</w:t>
            </w:r>
          </w:p>
        </w:tc>
        <w:tc>
          <w:tcPr>
            <w:tcW w:w="510" w:type="dxa"/>
            <w:shd w:val="clear" w:color="auto" w:fill="auto"/>
            <w:tcMar>
              <w:top w:w="0" w:type="dxa"/>
              <w:left w:w="0" w:type="dxa"/>
              <w:bottom w:w="0" w:type="dxa"/>
              <w:right w:w="0" w:type="dxa"/>
            </w:tcMar>
            <w:vAlign w:val="center"/>
          </w:tcPr>
          <w:p w14:paraId="4C1B1EF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41.0</w:t>
            </w:r>
          </w:p>
        </w:tc>
        <w:tc>
          <w:tcPr>
            <w:tcW w:w="463" w:type="dxa"/>
            <w:shd w:val="clear" w:color="auto" w:fill="auto"/>
            <w:tcMar>
              <w:top w:w="0" w:type="dxa"/>
              <w:left w:w="0" w:type="dxa"/>
              <w:bottom w:w="0" w:type="dxa"/>
              <w:right w:w="0" w:type="dxa"/>
            </w:tcMar>
            <w:vAlign w:val="center"/>
          </w:tcPr>
          <w:p w14:paraId="40EF493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2CB3EF4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5AEBE2B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14:paraId="5C28FB4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40" w:type="dxa"/>
            <w:shd w:val="clear" w:color="auto" w:fill="auto"/>
            <w:tcMar>
              <w:top w:w="0" w:type="dxa"/>
              <w:left w:w="0" w:type="dxa"/>
              <w:bottom w:w="0" w:type="dxa"/>
              <w:right w:w="0" w:type="dxa"/>
            </w:tcMar>
            <w:vAlign w:val="center"/>
          </w:tcPr>
          <w:p w14:paraId="60F1658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577A6C3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46A16A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37DAB9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25DD0C6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3F82C9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2AD05D7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24ED213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41.4</w:t>
            </w:r>
          </w:p>
        </w:tc>
        <w:tc>
          <w:tcPr>
            <w:tcW w:w="557" w:type="dxa"/>
            <w:shd w:val="clear" w:color="auto" w:fill="auto"/>
            <w:tcMar>
              <w:top w:w="0" w:type="dxa"/>
              <w:left w:w="0" w:type="dxa"/>
              <w:bottom w:w="0" w:type="dxa"/>
              <w:right w:w="0" w:type="dxa"/>
            </w:tcMar>
            <w:vAlign w:val="center"/>
          </w:tcPr>
          <w:p w14:paraId="5BAB1B5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671" w:type="dxa"/>
            <w:shd w:val="clear" w:color="auto" w:fill="auto"/>
            <w:tcMar>
              <w:top w:w="0" w:type="dxa"/>
              <w:left w:w="0" w:type="dxa"/>
              <w:bottom w:w="0" w:type="dxa"/>
              <w:right w:w="0" w:type="dxa"/>
            </w:tcMar>
            <w:vAlign w:val="center"/>
          </w:tcPr>
          <w:p w14:paraId="3AF16DF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23DA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32A82D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059" w:type="dxa"/>
            <w:shd w:val="clear" w:color="auto" w:fill="auto"/>
            <w:tcMar>
              <w:top w:w="0" w:type="dxa"/>
              <w:left w:w="0" w:type="dxa"/>
              <w:bottom w:w="0" w:type="dxa"/>
              <w:right w:w="0" w:type="dxa"/>
            </w:tcMar>
            <w:vAlign w:val="center"/>
          </w:tcPr>
          <w:p w14:paraId="70B38A9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1BA391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搅拌机10</w:t>
            </w:r>
          </w:p>
        </w:tc>
        <w:tc>
          <w:tcPr>
            <w:tcW w:w="619" w:type="dxa"/>
            <w:shd w:val="clear" w:color="auto" w:fill="auto"/>
            <w:tcMar>
              <w:top w:w="0" w:type="dxa"/>
              <w:left w:w="0" w:type="dxa"/>
              <w:bottom w:w="0" w:type="dxa"/>
              <w:right w:w="0" w:type="dxa"/>
            </w:tcMar>
            <w:vAlign w:val="center"/>
          </w:tcPr>
          <w:p w14:paraId="12E1D7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510" w:type="dxa"/>
            <w:vMerge w:val="continue"/>
            <w:shd w:val="clear" w:color="auto" w:fill="auto"/>
            <w:tcMar>
              <w:top w:w="0" w:type="dxa"/>
              <w:left w:w="0" w:type="dxa"/>
              <w:bottom w:w="0" w:type="dxa"/>
              <w:right w:w="0" w:type="dxa"/>
            </w:tcMar>
            <w:vAlign w:val="center"/>
          </w:tcPr>
          <w:p w14:paraId="40FA588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1BAB631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-20.3</w:t>
            </w:r>
          </w:p>
        </w:tc>
        <w:tc>
          <w:tcPr>
            <w:tcW w:w="569" w:type="dxa"/>
            <w:shd w:val="clear" w:color="auto" w:fill="auto"/>
            <w:tcMar>
              <w:top w:w="0" w:type="dxa"/>
              <w:left w:w="0" w:type="dxa"/>
              <w:bottom w:w="0" w:type="dxa"/>
              <w:right w:w="0" w:type="dxa"/>
            </w:tcMar>
            <w:vAlign w:val="center"/>
          </w:tcPr>
          <w:p w14:paraId="3F94DC5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-4.8</w:t>
            </w:r>
          </w:p>
        </w:tc>
        <w:tc>
          <w:tcPr>
            <w:tcW w:w="604" w:type="dxa"/>
            <w:shd w:val="clear" w:color="auto" w:fill="auto"/>
            <w:tcMar>
              <w:top w:w="0" w:type="dxa"/>
              <w:left w:w="0" w:type="dxa"/>
              <w:bottom w:w="0" w:type="dxa"/>
              <w:right w:w="0" w:type="dxa"/>
            </w:tcMar>
            <w:vAlign w:val="center"/>
          </w:tcPr>
          <w:p w14:paraId="2F0AC1B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03BB5B1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51.7</w:t>
            </w:r>
          </w:p>
        </w:tc>
        <w:tc>
          <w:tcPr>
            <w:tcW w:w="466" w:type="dxa"/>
            <w:shd w:val="clear" w:color="auto" w:fill="auto"/>
            <w:tcMar>
              <w:top w:w="0" w:type="dxa"/>
              <w:left w:w="0" w:type="dxa"/>
              <w:bottom w:w="0" w:type="dxa"/>
              <w:right w:w="0" w:type="dxa"/>
            </w:tcMar>
            <w:vAlign w:val="center"/>
          </w:tcPr>
          <w:p w14:paraId="2C84F8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19.6</w:t>
            </w:r>
          </w:p>
        </w:tc>
        <w:tc>
          <w:tcPr>
            <w:tcW w:w="551" w:type="dxa"/>
            <w:shd w:val="clear" w:color="auto" w:fill="auto"/>
            <w:tcMar>
              <w:top w:w="0" w:type="dxa"/>
              <w:left w:w="0" w:type="dxa"/>
              <w:bottom w:w="0" w:type="dxa"/>
              <w:right w:w="0" w:type="dxa"/>
            </w:tcMar>
            <w:vAlign w:val="center"/>
          </w:tcPr>
          <w:p w14:paraId="2C1D1E9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19.6</w:t>
            </w:r>
          </w:p>
        </w:tc>
        <w:tc>
          <w:tcPr>
            <w:tcW w:w="510" w:type="dxa"/>
            <w:shd w:val="clear" w:color="auto" w:fill="auto"/>
            <w:tcMar>
              <w:top w:w="0" w:type="dxa"/>
              <w:left w:w="0" w:type="dxa"/>
              <w:bottom w:w="0" w:type="dxa"/>
              <w:right w:w="0" w:type="dxa"/>
            </w:tcMar>
            <w:vAlign w:val="center"/>
          </w:tcPr>
          <w:p w14:paraId="0C80B85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45.6</w:t>
            </w:r>
          </w:p>
        </w:tc>
        <w:tc>
          <w:tcPr>
            <w:tcW w:w="463" w:type="dxa"/>
            <w:shd w:val="clear" w:color="auto" w:fill="auto"/>
            <w:tcMar>
              <w:top w:w="0" w:type="dxa"/>
              <w:left w:w="0" w:type="dxa"/>
              <w:bottom w:w="0" w:type="dxa"/>
              <w:right w:w="0" w:type="dxa"/>
            </w:tcMar>
            <w:vAlign w:val="center"/>
          </w:tcPr>
          <w:p w14:paraId="4A511B5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6A9E016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463" w:type="dxa"/>
            <w:shd w:val="clear" w:color="auto" w:fill="auto"/>
            <w:tcMar>
              <w:top w:w="0" w:type="dxa"/>
              <w:left w:w="0" w:type="dxa"/>
              <w:bottom w:w="0" w:type="dxa"/>
              <w:right w:w="0" w:type="dxa"/>
            </w:tcMar>
            <w:vAlign w:val="center"/>
          </w:tcPr>
          <w:p w14:paraId="25F411A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510" w:type="dxa"/>
            <w:shd w:val="clear" w:color="auto" w:fill="auto"/>
            <w:tcMar>
              <w:top w:w="0" w:type="dxa"/>
              <w:left w:w="0" w:type="dxa"/>
              <w:bottom w:w="0" w:type="dxa"/>
              <w:right w:w="0" w:type="dxa"/>
            </w:tcMar>
            <w:vAlign w:val="center"/>
          </w:tcPr>
          <w:p w14:paraId="2AAD6B8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40" w:type="dxa"/>
            <w:shd w:val="clear" w:color="auto" w:fill="auto"/>
            <w:tcMar>
              <w:top w:w="0" w:type="dxa"/>
              <w:left w:w="0" w:type="dxa"/>
              <w:bottom w:w="0" w:type="dxa"/>
              <w:right w:w="0" w:type="dxa"/>
            </w:tcMar>
            <w:vAlign w:val="center"/>
          </w:tcPr>
          <w:p w14:paraId="621F2C3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1C33E99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89B349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497690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44DD31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071789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424864A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41.4</w:t>
            </w:r>
          </w:p>
        </w:tc>
        <w:tc>
          <w:tcPr>
            <w:tcW w:w="481" w:type="dxa"/>
            <w:shd w:val="clear" w:color="auto" w:fill="auto"/>
            <w:tcMar>
              <w:top w:w="0" w:type="dxa"/>
              <w:left w:w="0" w:type="dxa"/>
              <w:bottom w:w="0" w:type="dxa"/>
              <w:right w:w="0" w:type="dxa"/>
            </w:tcMar>
            <w:vAlign w:val="center"/>
          </w:tcPr>
          <w:p w14:paraId="7176ED4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41.4</w:t>
            </w:r>
          </w:p>
        </w:tc>
        <w:tc>
          <w:tcPr>
            <w:tcW w:w="557" w:type="dxa"/>
            <w:shd w:val="clear" w:color="auto" w:fill="auto"/>
            <w:tcMar>
              <w:top w:w="0" w:type="dxa"/>
              <w:left w:w="0" w:type="dxa"/>
              <w:bottom w:w="0" w:type="dxa"/>
              <w:right w:w="0" w:type="dxa"/>
            </w:tcMar>
            <w:vAlign w:val="center"/>
          </w:tcPr>
          <w:p w14:paraId="1A10ACA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671" w:type="dxa"/>
            <w:shd w:val="clear" w:color="auto" w:fill="auto"/>
            <w:tcMar>
              <w:top w:w="0" w:type="dxa"/>
              <w:left w:w="0" w:type="dxa"/>
              <w:bottom w:w="0" w:type="dxa"/>
              <w:right w:w="0" w:type="dxa"/>
            </w:tcMar>
            <w:vAlign w:val="center"/>
          </w:tcPr>
          <w:p w14:paraId="00C639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2D06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2EBF168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059" w:type="dxa"/>
            <w:shd w:val="clear" w:color="auto" w:fill="auto"/>
            <w:tcMar>
              <w:top w:w="0" w:type="dxa"/>
              <w:left w:w="0" w:type="dxa"/>
              <w:bottom w:w="0" w:type="dxa"/>
              <w:right w:w="0" w:type="dxa"/>
            </w:tcMar>
            <w:vAlign w:val="center"/>
          </w:tcPr>
          <w:p w14:paraId="11504FB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45B6402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破碎机1</w:t>
            </w:r>
          </w:p>
        </w:tc>
        <w:tc>
          <w:tcPr>
            <w:tcW w:w="619" w:type="dxa"/>
            <w:shd w:val="clear" w:color="auto" w:fill="auto"/>
            <w:tcMar>
              <w:top w:w="0" w:type="dxa"/>
              <w:left w:w="0" w:type="dxa"/>
              <w:bottom w:w="0" w:type="dxa"/>
              <w:right w:w="0" w:type="dxa"/>
            </w:tcMar>
            <w:vAlign w:val="center"/>
          </w:tcPr>
          <w:p w14:paraId="1151025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w:t>
            </w:r>
          </w:p>
        </w:tc>
        <w:tc>
          <w:tcPr>
            <w:tcW w:w="510" w:type="dxa"/>
            <w:vMerge w:val="continue"/>
            <w:shd w:val="clear" w:color="auto" w:fill="auto"/>
            <w:tcMar>
              <w:top w:w="0" w:type="dxa"/>
              <w:left w:w="0" w:type="dxa"/>
              <w:bottom w:w="0" w:type="dxa"/>
              <w:right w:w="0" w:type="dxa"/>
            </w:tcMar>
            <w:vAlign w:val="center"/>
          </w:tcPr>
          <w:p w14:paraId="3F22EF0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7BCCC7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-12.4</w:t>
            </w:r>
          </w:p>
        </w:tc>
        <w:tc>
          <w:tcPr>
            <w:tcW w:w="569" w:type="dxa"/>
            <w:shd w:val="clear" w:color="auto" w:fill="auto"/>
            <w:tcMar>
              <w:top w:w="0" w:type="dxa"/>
              <w:left w:w="0" w:type="dxa"/>
              <w:bottom w:w="0" w:type="dxa"/>
              <w:right w:w="0" w:type="dxa"/>
            </w:tcMar>
            <w:vAlign w:val="center"/>
          </w:tcPr>
          <w:p w14:paraId="6992BF1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p>
        </w:tc>
        <w:tc>
          <w:tcPr>
            <w:tcW w:w="604" w:type="dxa"/>
            <w:shd w:val="clear" w:color="auto" w:fill="auto"/>
            <w:tcMar>
              <w:top w:w="0" w:type="dxa"/>
              <w:left w:w="0" w:type="dxa"/>
              <w:bottom w:w="0" w:type="dxa"/>
              <w:right w:w="0" w:type="dxa"/>
            </w:tcMar>
            <w:vAlign w:val="center"/>
          </w:tcPr>
          <w:p w14:paraId="1BC933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63D59D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57.0</w:t>
            </w:r>
          </w:p>
        </w:tc>
        <w:tc>
          <w:tcPr>
            <w:tcW w:w="466" w:type="dxa"/>
            <w:shd w:val="clear" w:color="auto" w:fill="auto"/>
            <w:tcMar>
              <w:top w:w="0" w:type="dxa"/>
              <w:left w:w="0" w:type="dxa"/>
              <w:bottom w:w="0" w:type="dxa"/>
              <w:right w:w="0" w:type="dxa"/>
            </w:tcMar>
            <w:vAlign w:val="center"/>
          </w:tcPr>
          <w:p w14:paraId="6F0EE58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49.8</w:t>
            </w:r>
          </w:p>
        </w:tc>
        <w:tc>
          <w:tcPr>
            <w:tcW w:w="551" w:type="dxa"/>
            <w:shd w:val="clear" w:color="auto" w:fill="auto"/>
            <w:tcMar>
              <w:top w:w="0" w:type="dxa"/>
              <w:left w:w="0" w:type="dxa"/>
              <w:bottom w:w="0" w:type="dxa"/>
              <w:right w:w="0" w:type="dxa"/>
            </w:tcMar>
            <w:vAlign w:val="center"/>
          </w:tcPr>
          <w:p w14:paraId="3087AA3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13.5</w:t>
            </w:r>
          </w:p>
        </w:tc>
        <w:tc>
          <w:tcPr>
            <w:tcW w:w="510" w:type="dxa"/>
            <w:shd w:val="clear" w:color="auto" w:fill="auto"/>
            <w:tcMar>
              <w:top w:w="0" w:type="dxa"/>
              <w:left w:w="0" w:type="dxa"/>
              <w:bottom w:w="0" w:type="dxa"/>
              <w:right w:w="0" w:type="dxa"/>
            </w:tcMar>
            <w:vAlign w:val="center"/>
          </w:tcPr>
          <w:p w14:paraId="5A879DC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15.3</w:t>
            </w:r>
          </w:p>
        </w:tc>
        <w:tc>
          <w:tcPr>
            <w:tcW w:w="463" w:type="dxa"/>
            <w:shd w:val="clear" w:color="auto" w:fill="auto"/>
            <w:tcMar>
              <w:top w:w="0" w:type="dxa"/>
              <w:left w:w="0" w:type="dxa"/>
              <w:bottom w:w="0" w:type="dxa"/>
              <w:right w:w="0" w:type="dxa"/>
            </w:tcMar>
            <w:vAlign w:val="center"/>
          </w:tcPr>
          <w:p w14:paraId="204012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72.8</w:t>
            </w:r>
          </w:p>
        </w:tc>
        <w:tc>
          <w:tcPr>
            <w:tcW w:w="463" w:type="dxa"/>
            <w:shd w:val="clear" w:color="auto" w:fill="auto"/>
            <w:tcMar>
              <w:top w:w="0" w:type="dxa"/>
              <w:left w:w="0" w:type="dxa"/>
              <w:bottom w:w="0" w:type="dxa"/>
              <w:right w:w="0" w:type="dxa"/>
            </w:tcMar>
            <w:vAlign w:val="center"/>
          </w:tcPr>
          <w:p w14:paraId="7A0FB4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72.8</w:t>
            </w:r>
          </w:p>
        </w:tc>
        <w:tc>
          <w:tcPr>
            <w:tcW w:w="463" w:type="dxa"/>
            <w:shd w:val="clear" w:color="auto" w:fill="auto"/>
            <w:tcMar>
              <w:top w:w="0" w:type="dxa"/>
              <w:left w:w="0" w:type="dxa"/>
              <w:bottom w:w="0" w:type="dxa"/>
              <w:right w:w="0" w:type="dxa"/>
            </w:tcMar>
            <w:vAlign w:val="center"/>
          </w:tcPr>
          <w:p w14:paraId="57146E2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72.9</w:t>
            </w:r>
          </w:p>
        </w:tc>
        <w:tc>
          <w:tcPr>
            <w:tcW w:w="510" w:type="dxa"/>
            <w:shd w:val="clear" w:color="auto" w:fill="auto"/>
            <w:tcMar>
              <w:top w:w="0" w:type="dxa"/>
              <w:left w:w="0" w:type="dxa"/>
              <w:bottom w:w="0" w:type="dxa"/>
              <w:right w:w="0" w:type="dxa"/>
            </w:tcMar>
            <w:vAlign w:val="center"/>
          </w:tcPr>
          <w:p w14:paraId="6DC9E2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72.9</w:t>
            </w:r>
          </w:p>
        </w:tc>
        <w:tc>
          <w:tcPr>
            <w:tcW w:w="440" w:type="dxa"/>
            <w:shd w:val="clear" w:color="auto" w:fill="auto"/>
            <w:tcMar>
              <w:top w:w="0" w:type="dxa"/>
              <w:left w:w="0" w:type="dxa"/>
              <w:bottom w:w="0" w:type="dxa"/>
              <w:right w:w="0" w:type="dxa"/>
            </w:tcMar>
            <w:vAlign w:val="center"/>
          </w:tcPr>
          <w:p w14:paraId="00D9BD5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4AD543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C24317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06E053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3B3C379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56A8B58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46.3</w:t>
            </w:r>
          </w:p>
        </w:tc>
        <w:tc>
          <w:tcPr>
            <w:tcW w:w="481" w:type="dxa"/>
            <w:shd w:val="clear" w:color="auto" w:fill="auto"/>
            <w:tcMar>
              <w:top w:w="0" w:type="dxa"/>
              <w:left w:w="0" w:type="dxa"/>
              <w:bottom w:w="0" w:type="dxa"/>
              <w:right w:w="0" w:type="dxa"/>
            </w:tcMar>
            <w:vAlign w:val="center"/>
          </w:tcPr>
          <w:p w14:paraId="032C33F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46.3</w:t>
            </w:r>
          </w:p>
        </w:tc>
        <w:tc>
          <w:tcPr>
            <w:tcW w:w="481" w:type="dxa"/>
            <w:shd w:val="clear" w:color="auto" w:fill="auto"/>
            <w:tcMar>
              <w:top w:w="0" w:type="dxa"/>
              <w:left w:w="0" w:type="dxa"/>
              <w:bottom w:w="0" w:type="dxa"/>
              <w:right w:w="0" w:type="dxa"/>
            </w:tcMar>
            <w:vAlign w:val="center"/>
          </w:tcPr>
          <w:p w14:paraId="2A5D1AD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46.4</w:t>
            </w:r>
          </w:p>
        </w:tc>
        <w:tc>
          <w:tcPr>
            <w:tcW w:w="557" w:type="dxa"/>
            <w:shd w:val="clear" w:color="auto" w:fill="auto"/>
            <w:tcMar>
              <w:top w:w="0" w:type="dxa"/>
              <w:left w:w="0" w:type="dxa"/>
              <w:bottom w:w="0" w:type="dxa"/>
              <w:right w:w="0" w:type="dxa"/>
            </w:tcMar>
            <w:vAlign w:val="center"/>
          </w:tcPr>
          <w:p w14:paraId="2293177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46.4</w:t>
            </w:r>
          </w:p>
        </w:tc>
        <w:tc>
          <w:tcPr>
            <w:tcW w:w="671" w:type="dxa"/>
            <w:shd w:val="clear" w:color="auto" w:fill="auto"/>
            <w:tcMar>
              <w:top w:w="0" w:type="dxa"/>
              <w:left w:w="0" w:type="dxa"/>
              <w:bottom w:w="0" w:type="dxa"/>
              <w:right w:w="0" w:type="dxa"/>
            </w:tcMar>
            <w:vAlign w:val="center"/>
          </w:tcPr>
          <w:p w14:paraId="40B8A4A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535D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094695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059" w:type="dxa"/>
            <w:shd w:val="clear" w:color="auto" w:fill="auto"/>
            <w:tcMar>
              <w:top w:w="0" w:type="dxa"/>
              <w:left w:w="0" w:type="dxa"/>
              <w:bottom w:w="0" w:type="dxa"/>
              <w:right w:w="0" w:type="dxa"/>
            </w:tcMar>
            <w:vAlign w:val="center"/>
          </w:tcPr>
          <w:p w14:paraId="3297B5D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126A87A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破碎机2</w:t>
            </w:r>
          </w:p>
        </w:tc>
        <w:tc>
          <w:tcPr>
            <w:tcW w:w="619" w:type="dxa"/>
            <w:shd w:val="clear" w:color="auto" w:fill="auto"/>
            <w:tcMar>
              <w:top w:w="0" w:type="dxa"/>
              <w:left w:w="0" w:type="dxa"/>
              <w:bottom w:w="0" w:type="dxa"/>
              <w:right w:w="0" w:type="dxa"/>
            </w:tcMar>
            <w:vAlign w:val="center"/>
          </w:tcPr>
          <w:p w14:paraId="61BB370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w:t>
            </w:r>
          </w:p>
        </w:tc>
        <w:tc>
          <w:tcPr>
            <w:tcW w:w="510" w:type="dxa"/>
            <w:vMerge w:val="continue"/>
            <w:shd w:val="clear" w:color="auto" w:fill="auto"/>
            <w:tcMar>
              <w:top w:w="0" w:type="dxa"/>
              <w:left w:w="0" w:type="dxa"/>
              <w:bottom w:w="0" w:type="dxa"/>
              <w:right w:w="0" w:type="dxa"/>
            </w:tcMar>
            <w:vAlign w:val="center"/>
          </w:tcPr>
          <w:p w14:paraId="39050A5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339ECF6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-22.1</w:t>
            </w:r>
          </w:p>
        </w:tc>
        <w:tc>
          <w:tcPr>
            <w:tcW w:w="569" w:type="dxa"/>
            <w:shd w:val="clear" w:color="auto" w:fill="auto"/>
            <w:tcMar>
              <w:top w:w="0" w:type="dxa"/>
              <w:left w:w="0" w:type="dxa"/>
              <w:bottom w:w="0" w:type="dxa"/>
              <w:right w:w="0" w:type="dxa"/>
            </w:tcMar>
            <w:vAlign w:val="center"/>
          </w:tcPr>
          <w:p w14:paraId="579913D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6.3</w:t>
            </w:r>
          </w:p>
        </w:tc>
        <w:tc>
          <w:tcPr>
            <w:tcW w:w="604" w:type="dxa"/>
            <w:shd w:val="clear" w:color="auto" w:fill="auto"/>
            <w:tcMar>
              <w:top w:w="0" w:type="dxa"/>
              <w:left w:w="0" w:type="dxa"/>
              <w:bottom w:w="0" w:type="dxa"/>
              <w:right w:w="0" w:type="dxa"/>
            </w:tcMar>
            <w:vAlign w:val="center"/>
          </w:tcPr>
          <w:p w14:paraId="4626783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03DF8A0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58.0</w:t>
            </w:r>
          </w:p>
        </w:tc>
        <w:tc>
          <w:tcPr>
            <w:tcW w:w="466" w:type="dxa"/>
            <w:shd w:val="clear" w:color="auto" w:fill="auto"/>
            <w:tcMar>
              <w:top w:w="0" w:type="dxa"/>
              <w:left w:w="0" w:type="dxa"/>
              <w:bottom w:w="0" w:type="dxa"/>
              <w:right w:w="0" w:type="dxa"/>
            </w:tcMar>
            <w:vAlign w:val="center"/>
          </w:tcPr>
          <w:p w14:paraId="592DB5A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28.7</w:t>
            </w:r>
          </w:p>
        </w:tc>
        <w:tc>
          <w:tcPr>
            <w:tcW w:w="551" w:type="dxa"/>
            <w:shd w:val="clear" w:color="auto" w:fill="auto"/>
            <w:tcMar>
              <w:top w:w="0" w:type="dxa"/>
              <w:left w:w="0" w:type="dxa"/>
              <w:bottom w:w="0" w:type="dxa"/>
              <w:right w:w="0" w:type="dxa"/>
            </w:tcMar>
            <w:vAlign w:val="center"/>
          </w:tcPr>
          <w:p w14:paraId="7727C93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13.1</w:t>
            </w:r>
          </w:p>
        </w:tc>
        <w:tc>
          <w:tcPr>
            <w:tcW w:w="510" w:type="dxa"/>
            <w:shd w:val="clear" w:color="auto" w:fill="auto"/>
            <w:tcMar>
              <w:top w:w="0" w:type="dxa"/>
              <w:left w:w="0" w:type="dxa"/>
              <w:bottom w:w="0" w:type="dxa"/>
              <w:right w:w="0" w:type="dxa"/>
            </w:tcMar>
            <w:vAlign w:val="center"/>
          </w:tcPr>
          <w:p w14:paraId="74AE39F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63" w:type="dxa"/>
            <w:shd w:val="clear" w:color="auto" w:fill="auto"/>
            <w:tcMar>
              <w:top w:w="0" w:type="dxa"/>
              <w:left w:w="0" w:type="dxa"/>
              <w:bottom w:w="0" w:type="dxa"/>
              <w:right w:w="0" w:type="dxa"/>
            </w:tcMar>
            <w:vAlign w:val="center"/>
          </w:tcPr>
          <w:p w14:paraId="0B68587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72.8</w:t>
            </w:r>
          </w:p>
        </w:tc>
        <w:tc>
          <w:tcPr>
            <w:tcW w:w="463" w:type="dxa"/>
            <w:shd w:val="clear" w:color="auto" w:fill="auto"/>
            <w:tcMar>
              <w:top w:w="0" w:type="dxa"/>
              <w:left w:w="0" w:type="dxa"/>
              <w:bottom w:w="0" w:type="dxa"/>
              <w:right w:w="0" w:type="dxa"/>
            </w:tcMar>
            <w:vAlign w:val="center"/>
          </w:tcPr>
          <w:p w14:paraId="0568861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72.8</w:t>
            </w:r>
          </w:p>
        </w:tc>
        <w:tc>
          <w:tcPr>
            <w:tcW w:w="463" w:type="dxa"/>
            <w:shd w:val="clear" w:color="auto" w:fill="auto"/>
            <w:tcMar>
              <w:top w:w="0" w:type="dxa"/>
              <w:left w:w="0" w:type="dxa"/>
              <w:bottom w:w="0" w:type="dxa"/>
              <w:right w:w="0" w:type="dxa"/>
            </w:tcMar>
            <w:vAlign w:val="center"/>
          </w:tcPr>
          <w:p w14:paraId="2A170A0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72.9</w:t>
            </w:r>
          </w:p>
        </w:tc>
        <w:tc>
          <w:tcPr>
            <w:tcW w:w="510" w:type="dxa"/>
            <w:shd w:val="clear" w:color="auto" w:fill="auto"/>
            <w:tcMar>
              <w:top w:w="0" w:type="dxa"/>
              <w:left w:w="0" w:type="dxa"/>
              <w:bottom w:w="0" w:type="dxa"/>
              <w:right w:w="0" w:type="dxa"/>
            </w:tcMar>
            <w:vAlign w:val="center"/>
          </w:tcPr>
          <w:p w14:paraId="34A9CD1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72.8</w:t>
            </w:r>
          </w:p>
        </w:tc>
        <w:tc>
          <w:tcPr>
            <w:tcW w:w="440" w:type="dxa"/>
            <w:shd w:val="clear" w:color="auto" w:fill="auto"/>
            <w:tcMar>
              <w:top w:w="0" w:type="dxa"/>
              <w:left w:w="0" w:type="dxa"/>
              <w:bottom w:w="0" w:type="dxa"/>
              <w:right w:w="0" w:type="dxa"/>
            </w:tcMar>
            <w:vAlign w:val="center"/>
          </w:tcPr>
          <w:p w14:paraId="33CC21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510DE6E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3297DC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7F2B6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133D1A2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1F13DFF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46.3</w:t>
            </w:r>
          </w:p>
        </w:tc>
        <w:tc>
          <w:tcPr>
            <w:tcW w:w="481" w:type="dxa"/>
            <w:shd w:val="clear" w:color="auto" w:fill="auto"/>
            <w:tcMar>
              <w:top w:w="0" w:type="dxa"/>
              <w:left w:w="0" w:type="dxa"/>
              <w:bottom w:w="0" w:type="dxa"/>
              <w:right w:w="0" w:type="dxa"/>
            </w:tcMar>
            <w:vAlign w:val="center"/>
          </w:tcPr>
          <w:p w14:paraId="42DFAE2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46.3</w:t>
            </w:r>
          </w:p>
        </w:tc>
        <w:tc>
          <w:tcPr>
            <w:tcW w:w="481" w:type="dxa"/>
            <w:shd w:val="clear" w:color="auto" w:fill="auto"/>
            <w:tcMar>
              <w:top w:w="0" w:type="dxa"/>
              <w:left w:w="0" w:type="dxa"/>
              <w:bottom w:w="0" w:type="dxa"/>
              <w:right w:w="0" w:type="dxa"/>
            </w:tcMar>
            <w:vAlign w:val="center"/>
          </w:tcPr>
          <w:p w14:paraId="5B1DBED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46.4</w:t>
            </w:r>
          </w:p>
        </w:tc>
        <w:tc>
          <w:tcPr>
            <w:tcW w:w="557" w:type="dxa"/>
            <w:shd w:val="clear" w:color="auto" w:fill="auto"/>
            <w:tcMar>
              <w:top w:w="0" w:type="dxa"/>
              <w:left w:w="0" w:type="dxa"/>
              <w:bottom w:w="0" w:type="dxa"/>
              <w:right w:w="0" w:type="dxa"/>
            </w:tcMar>
            <w:vAlign w:val="center"/>
          </w:tcPr>
          <w:p w14:paraId="4F38635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46.3</w:t>
            </w:r>
          </w:p>
        </w:tc>
        <w:tc>
          <w:tcPr>
            <w:tcW w:w="671" w:type="dxa"/>
            <w:shd w:val="clear" w:color="auto" w:fill="auto"/>
            <w:tcMar>
              <w:top w:w="0" w:type="dxa"/>
              <w:left w:w="0" w:type="dxa"/>
              <w:bottom w:w="0" w:type="dxa"/>
              <w:right w:w="0" w:type="dxa"/>
            </w:tcMar>
            <w:vAlign w:val="center"/>
          </w:tcPr>
          <w:p w14:paraId="078B90F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4005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754795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059" w:type="dxa"/>
            <w:shd w:val="clear" w:color="auto" w:fill="auto"/>
            <w:tcMar>
              <w:top w:w="0" w:type="dxa"/>
              <w:left w:w="0" w:type="dxa"/>
              <w:bottom w:w="0" w:type="dxa"/>
              <w:right w:w="0" w:type="dxa"/>
            </w:tcMar>
            <w:vAlign w:val="center"/>
          </w:tcPr>
          <w:p w14:paraId="0A98B5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2806A9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磨粉机1</w:t>
            </w:r>
          </w:p>
        </w:tc>
        <w:tc>
          <w:tcPr>
            <w:tcW w:w="619" w:type="dxa"/>
            <w:shd w:val="clear" w:color="auto" w:fill="auto"/>
            <w:tcMar>
              <w:top w:w="0" w:type="dxa"/>
              <w:left w:w="0" w:type="dxa"/>
              <w:bottom w:w="0" w:type="dxa"/>
              <w:right w:w="0" w:type="dxa"/>
            </w:tcMar>
            <w:vAlign w:val="center"/>
          </w:tcPr>
          <w:p w14:paraId="3024FAC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w:t>
            </w:r>
          </w:p>
        </w:tc>
        <w:tc>
          <w:tcPr>
            <w:tcW w:w="510" w:type="dxa"/>
            <w:vMerge w:val="continue"/>
            <w:shd w:val="clear" w:color="auto" w:fill="auto"/>
            <w:tcMar>
              <w:top w:w="0" w:type="dxa"/>
              <w:left w:w="0" w:type="dxa"/>
              <w:bottom w:w="0" w:type="dxa"/>
              <w:right w:w="0" w:type="dxa"/>
            </w:tcMar>
            <w:vAlign w:val="center"/>
          </w:tcPr>
          <w:p w14:paraId="7B0A76B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17A877A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-13.7</w:t>
            </w:r>
          </w:p>
        </w:tc>
        <w:tc>
          <w:tcPr>
            <w:tcW w:w="569" w:type="dxa"/>
            <w:shd w:val="clear" w:color="auto" w:fill="auto"/>
            <w:tcMar>
              <w:top w:w="0" w:type="dxa"/>
              <w:left w:w="0" w:type="dxa"/>
              <w:bottom w:w="0" w:type="dxa"/>
              <w:right w:w="0" w:type="dxa"/>
            </w:tcMar>
            <w:vAlign w:val="center"/>
          </w:tcPr>
          <w:p w14:paraId="7F44D0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21.7</w:t>
            </w:r>
          </w:p>
        </w:tc>
        <w:tc>
          <w:tcPr>
            <w:tcW w:w="604" w:type="dxa"/>
            <w:shd w:val="clear" w:color="auto" w:fill="auto"/>
            <w:tcMar>
              <w:top w:w="0" w:type="dxa"/>
              <w:left w:w="0" w:type="dxa"/>
              <w:bottom w:w="0" w:type="dxa"/>
              <w:right w:w="0" w:type="dxa"/>
            </w:tcMar>
            <w:vAlign w:val="center"/>
          </w:tcPr>
          <w:p w14:paraId="05CA108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2F313E5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56.8</w:t>
            </w:r>
          </w:p>
        </w:tc>
        <w:tc>
          <w:tcPr>
            <w:tcW w:w="466" w:type="dxa"/>
            <w:shd w:val="clear" w:color="auto" w:fill="auto"/>
            <w:tcMar>
              <w:top w:w="0" w:type="dxa"/>
              <w:left w:w="0" w:type="dxa"/>
              <w:bottom w:w="0" w:type="dxa"/>
              <w:right w:w="0" w:type="dxa"/>
            </w:tcMar>
            <w:vAlign w:val="center"/>
          </w:tcPr>
          <w:p w14:paraId="083692C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46.3</w:t>
            </w:r>
          </w:p>
        </w:tc>
        <w:tc>
          <w:tcPr>
            <w:tcW w:w="551" w:type="dxa"/>
            <w:shd w:val="clear" w:color="auto" w:fill="auto"/>
            <w:tcMar>
              <w:top w:w="0" w:type="dxa"/>
              <w:left w:w="0" w:type="dxa"/>
              <w:bottom w:w="0" w:type="dxa"/>
              <w:right w:w="0" w:type="dxa"/>
            </w:tcMar>
            <w:vAlign w:val="center"/>
          </w:tcPr>
          <w:p w14:paraId="136490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13.8</w:t>
            </w:r>
          </w:p>
        </w:tc>
        <w:tc>
          <w:tcPr>
            <w:tcW w:w="510" w:type="dxa"/>
            <w:shd w:val="clear" w:color="auto" w:fill="auto"/>
            <w:tcMar>
              <w:top w:w="0" w:type="dxa"/>
              <w:left w:w="0" w:type="dxa"/>
              <w:bottom w:w="0" w:type="dxa"/>
              <w:right w:w="0" w:type="dxa"/>
            </w:tcMar>
            <w:vAlign w:val="center"/>
          </w:tcPr>
          <w:p w14:paraId="78B96F4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18.8</w:t>
            </w:r>
          </w:p>
        </w:tc>
        <w:tc>
          <w:tcPr>
            <w:tcW w:w="463" w:type="dxa"/>
            <w:shd w:val="clear" w:color="auto" w:fill="auto"/>
            <w:tcMar>
              <w:top w:w="0" w:type="dxa"/>
              <w:left w:w="0" w:type="dxa"/>
              <w:bottom w:w="0" w:type="dxa"/>
              <w:right w:w="0" w:type="dxa"/>
            </w:tcMar>
            <w:vAlign w:val="center"/>
          </w:tcPr>
          <w:p w14:paraId="26A7847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72.8</w:t>
            </w:r>
          </w:p>
        </w:tc>
        <w:tc>
          <w:tcPr>
            <w:tcW w:w="463" w:type="dxa"/>
            <w:shd w:val="clear" w:color="auto" w:fill="auto"/>
            <w:tcMar>
              <w:top w:w="0" w:type="dxa"/>
              <w:left w:w="0" w:type="dxa"/>
              <w:bottom w:w="0" w:type="dxa"/>
              <w:right w:w="0" w:type="dxa"/>
            </w:tcMar>
            <w:vAlign w:val="center"/>
          </w:tcPr>
          <w:p w14:paraId="2BCBA69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72.8</w:t>
            </w:r>
          </w:p>
        </w:tc>
        <w:tc>
          <w:tcPr>
            <w:tcW w:w="463" w:type="dxa"/>
            <w:shd w:val="clear" w:color="auto" w:fill="auto"/>
            <w:tcMar>
              <w:top w:w="0" w:type="dxa"/>
              <w:left w:w="0" w:type="dxa"/>
              <w:bottom w:w="0" w:type="dxa"/>
              <w:right w:w="0" w:type="dxa"/>
            </w:tcMar>
            <w:vAlign w:val="center"/>
          </w:tcPr>
          <w:p w14:paraId="1E49853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72.9</w:t>
            </w:r>
          </w:p>
        </w:tc>
        <w:tc>
          <w:tcPr>
            <w:tcW w:w="510" w:type="dxa"/>
            <w:shd w:val="clear" w:color="auto" w:fill="auto"/>
            <w:tcMar>
              <w:top w:w="0" w:type="dxa"/>
              <w:left w:w="0" w:type="dxa"/>
              <w:bottom w:w="0" w:type="dxa"/>
              <w:right w:w="0" w:type="dxa"/>
            </w:tcMar>
            <w:vAlign w:val="center"/>
          </w:tcPr>
          <w:p w14:paraId="10AC2B8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72.9</w:t>
            </w:r>
          </w:p>
        </w:tc>
        <w:tc>
          <w:tcPr>
            <w:tcW w:w="440" w:type="dxa"/>
            <w:shd w:val="clear" w:color="auto" w:fill="auto"/>
            <w:tcMar>
              <w:top w:w="0" w:type="dxa"/>
              <w:left w:w="0" w:type="dxa"/>
              <w:bottom w:w="0" w:type="dxa"/>
              <w:right w:w="0" w:type="dxa"/>
            </w:tcMar>
            <w:vAlign w:val="center"/>
          </w:tcPr>
          <w:p w14:paraId="0B2699F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756C21C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422606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E60BE4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323DD0F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4692EBB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46.3</w:t>
            </w:r>
          </w:p>
        </w:tc>
        <w:tc>
          <w:tcPr>
            <w:tcW w:w="481" w:type="dxa"/>
            <w:shd w:val="clear" w:color="auto" w:fill="auto"/>
            <w:tcMar>
              <w:top w:w="0" w:type="dxa"/>
              <w:left w:w="0" w:type="dxa"/>
              <w:bottom w:w="0" w:type="dxa"/>
              <w:right w:w="0" w:type="dxa"/>
            </w:tcMar>
            <w:vAlign w:val="center"/>
          </w:tcPr>
          <w:p w14:paraId="3E370A2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46.3</w:t>
            </w:r>
          </w:p>
        </w:tc>
        <w:tc>
          <w:tcPr>
            <w:tcW w:w="481" w:type="dxa"/>
            <w:shd w:val="clear" w:color="auto" w:fill="auto"/>
            <w:tcMar>
              <w:top w:w="0" w:type="dxa"/>
              <w:left w:w="0" w:type="dxa"/>
              <w:bottom w:w="0" w:type="dxa"/>
              <w:right w:w="0" w:type="dxa"/>
            </w:tcMar>
            <w:vAlign w:val="center"/>
          </w:tcPr>
          <w:p w14:paraId="1A3D4F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46.4</w:t>
            </w:r>
          </w:p>
        </w:tc>
        <w:tc>
          <w:tcPr>
            <w:tcW w:w="557" w:type="dxa"/>
            <w:shd w:val="clear" w:color="auto" w:fill="auto"/>
            <w:tcMar>
              <w:top w:w="0" w:type="dxa"/>
              <w:left w:w="0" w:type="dxa"/>
              <w:bottom w:w="0" w:type="dxa"/>
              <w:right w:w="0" w:type="dxa"/>
            </w:tcMar>
            <w:vAlign w:val="center"/>
          </w:tcPr>
          <w:p w14:paraId="227BC0C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46.4</w:t>
            </w:r>
          </w:p>
        </w:tc>
        <w:tc>
          <w:tcPr>
            <w:tcW w:w="671" w:type="dxa"/>
            <w:shd w:val="clear" w:color="auto" w:fill="auto"/>
            <w:tcMar>
              <w:top w:w="0" w:type="dxa"/>
              <w:left w:w="0" w:type="dxa"/>
              <w:bottom w:w="0" w:type="dxa"/>
              <w:right w:w="0" w:type="dxa"/>
            </w:tcMar>
            <w:vAlign w:val="center"/>
          </w:tcPr>
          <w:p w14:paraId="2A755B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1CFC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2C5C310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059" w:type="dxa"/>
            <w:shd w:val="clear" w:color="auto" w:fill="auto"/>
            <w:tcMar>
              <w:top w:w="0" w:type="dxa"/>
              <w:left w:w="0" w:type="dxa"/>
              <w:bottom w:w="0" w:type="dxa"/>
              <w:right w:w="0" w:type="dxa"/>
            </w:tcMar>
            <w:vAlign w:val="center"/>
          </w:tcPr>
          <w:p w14:paraId="69826D6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2D03E22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磨粉机2</w:t>
            </w:r>
          </w:p>
        </w:tc>
        <w:tc>
          <w:tcPr>
            <w:tcW w:w="619" w:type="dxa"/>
            <w:shd w:val="clear" w:color="auto" w:fill="auto"/>
            <w:tcMar>
              <w:top w:w="0" w:type="dxa"/>
              <w:left w:w="0" w:type="dxa"/>
              <w:bottom w:w="0" w:type="dxa"/>
              <w:right w:w="0" w:type="dxa"/>
            </w:tcMar>
            <w:vAlign w:val="center"/>
          </w:tcPr>
          <w:p w14:paraId="358B056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w:t>
            </w:r>
          </w:p>
        </w:tc>
        <w:tc>
          <w:tcPr>
            <w:tcW w:w="510" w:type="dxa"/>
            <w:vMerge w:val="continue"/>
            <w:shd w:val="clear" w:color="auto" w:fill="auto"/>
            <w:tcMar>
              <w:top w:w="0" w:type="dxa"/>
              <w:left w:w="0" w:type="dxa"/>
              <w:bottom w:w="0" w:type="dxa"/>
              <w:right w:w="0" w:type="dxa"/>
            </w:tcMar>
            <w:vAlign w:val="center"/>
          </w:tcPr>
          <w:p w14:paraId="7A85B7D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75203D9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-23.7</w:t>
            </w:r>
          </w:p>
        </w:tc>
        <w:tc>
          <w:tcPr>
            <w:tcW w:w="569" w:type="dxa"/>
            <w:shd w:val="clear" w:color="auto" w:fill="auto"/>
            <w:tcMar>
              <w:top w:w="0" w:type="dxa"/>
              <w:left w:w="0" w:type="dxa"/>
              <w:bottom w:w="0" w:type="dxa"/>
              <w:right w:w="0" w:type="dxa"/>
            </w:tcMar>
            <w:vAlign w:val="center"/>
          </w:tcPr>
          <w:p w14:paraId="0A87762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604" w:type="dxa"/>
            <w:shd w:val="clear" w:color="auto" w:fill="auto"/>
            <w:tcMar>
              <w:top w:w="0" w:type="dxa"/>
              <w:left w:w="0" w:type="dxa"/>
              <w:bottom w:w="0" w:type="dxa"/>
              <w:right w:w="0" w:type="dxa"/>
            </w:tcMar>
            <w:vAlign w:val="center"/>
          </w:tcPr>
          <w:p w14:paraId="78472F3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6741D0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57.6</w:t>
            </w:r>
          </w:p>
        </w:tc>
        <w:tc>
          <w:tcPr>
            <w:tcW w:w="466" w:type="dxa"/>
            <w:shd w:val="clear" w:color="auto" w:fill="auto"/>
            <w:tcMar>
              <w:top w:w="0" w:type="dxa"/>
              <w:left w:w="0" w:type="dxa"/>
              <w:bottom w:w="0" w:type="dxa"/>
              <w:right w:w="0" w:type="dxa"/>
            </w:tcMar>
            <w:vAlign w:val="center"/>
          </w:tcPr>
          <w:p w14:paraId="02FEB89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24.2</w:t>
            </w:r>
          </w:p>
        </w:tc>
        <w:tc>
          <w:tcPr>
            <w:tcW w:w="551" w:type="dxa"/>
            <w:shd w:val="clear" w:color="auto" w:fill="auto"/>
            <w:tcMar>
              <w:top w:w="0" w:type="dxa"/>
              <w:left w:w="0" w:type="dxa"/>
              <w:bottom w:w="0" w:type="dxa"/>
              <w:right w:w="0" w:type="dxa"/>
            </w:tcMar>
            <w:vAlign w:val="center"/>
          </w:tcPr>
          <w:p w14:paraId="24AD9D4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13.6</w:t>
            </w:r>
          </w:p>
        </w:tc>
        <w:tc>
          <w:tcPr>
            <w:tcW w:w="510" w:type="dxa"/>
            <w:shd w:val="clear" w:color="auto" w:fill="auto"/>
            <w:tcMar>
              <w:top w:w="0" w:type="dxa"/>
              <w:left w:w="0" w:type="dxa"/>
              <w:bottom w:w="0" w:type="dxa"/>
              <w:right w:w="0" w:type="dxa"/>
            </w:tcMar>
            <w:vAlign w:val="center"/>
          </w:tcPr>
          <w:p w14:paraId="1828517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40.9</w:t>
            </w:r>
          </w:p>
        </w:tc>
        <w:tc>
          <w:tcPr>
            <w:tcW w:w="463" w:type="dxa"/>
            <w:shd w:val="clear" w:color="auto" w:fill="auto"/>
            <w:tcMar>
              <w:top w:w="0" w:type="dxa"/>
              <w:left w:w="0" w:type="dxa"/>
              <w:bottom w:w="0" w:type="dxa"/>
              <w:right w:w="0" w:type="dxa"/>
            </w:tcMar>
            <w:vAlign w:val="center"/>
          </w:tcPr>
          <w:p w14:paraId="3421131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72.8</w:t>
            </w:r>
          </w:p>
        </w:tc>
        <w:tc>
          <w:tcPr>
            <w:tcW w:w="463" w:type="dxa"/>
            <w:shd w:val="clear" w:color="auto" w:fill="auto"/>
            <w:tcMar>
              <w:top w:w="0" w:type="dxa"/>
              <w:left w:w="0" w:type="dxa"/>
              <w:bottom w:w="0" w:type="dxa"/>
              <w:right w:w="0" w:type="dxa"/>
            </w:tcMar>
            <w:vAlign w:val="center"/>
          </w:tcPr>
          <w:p w14:paraId="70F4534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72.8</w:t>
            </w:r>
          </w:p>
        </w:tc>
        <w:tc>
          <w:tcPr>
            <w:tcW w:w="463" w:type="dxa"/>
            <w:shd w:val="clear" w:color="auto" w:fill="auto"/>
            <w:tcMar>
              <w:top w:w="0" w:type="dxa"/>
              <w:left w:w="0" w:type="dxa"/>
              <w:bottom w:w="0" w:type="dxa"/>
              <w:right w:w="0" w:type="dxa"/>
            </w:tcMar>
            <w:vAlign w:val="center"/>
          </w:tcPr>
          <w:p w14:paraId="7D1653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72.9</w:t>
            </w:r>
          </w:p>
        </w:tc>
        <w:tc>
          <w:tcPr>
            <w:tcW w:w="510" w:type="dxa"/>
            <w:shd w:val="clear" w:color="auto" w:fill="auto"/>
            <w:tcMar>
              <w:top w:w="0" w:type="dxa"/>
              <w:left w:w="0" w:type="dxa"/>
              <w:bottom w:w="0" w:type="dxa"/>
              <w:right w:w="0" w:type="dxa"/>
            </w:tcMar>
            <w:vAlign w:val="center"/>
          </w:tcPr>
          <w:p w14:paraId="0BA3615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72.8</w:t>
            </w:r>
          </w:p>
        </w:tc>
        <w:tc>
          <w:tcPr>
            <w:tcW w:w="440" w:type="dxa"/>
            <w:shd w:val="clear" w:color="auto" w:fill="auto"/>
            <w:tcMar>
              <w:top w:w="0" w:type="dxa"/>
              <w:left w:w="0" w:type="dxa"/>
              <w:bottom w:w="0" w:type="dxa"/>
              <w:right w:w="0" w:type="dxa"/>
            </w:tcMar>
            <w:vAlign w:val="center"/>
          </w:tcPr>
          <w:p w14:paraId="2437CAE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0F4C258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038055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64B986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56BD5B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721B1FD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46.3</w:t>
            </w:r>
          </w:p>
        </w:tc>
        <w:tc>
          <w:tcPr>
            <w:tcW w:w="481" w:type="dxa"/>
            <w:shd w:val="clear" w:color="auto" w:fill="auto"/>
            <w:tcMar>
              <w:top w:w="0" w:type="dxa"/>
              <w:left w:w="0" w:type="dxa"/>
              <w:bottom w:w="0" w:type="dxa"/>
              <w:right w:w="0" w:type="dxa"/>
            </w:tcMar>
            <w:vAlign w:val="center"/>
          </w:tcPr>
          <w:p w14:paraId="72F44D3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46.3</w:t>
            </w:r>
          </w:p>
        </w:tc>
        <w:tc>
          <w:tcPr>
            <w:tcW w:w="481" w:type="dxa"/>
            <w:shd w:val="clear" w:color="auto" w:fill="auto"/>
            <w:tcMar>
              <w:top w:w="0" w:type="dxa"/>
              <w:left w:w="0" w:type="dxa"/>
              <w:bottom w:w="0" w:type="dxa"/>
              <w:right w:w="0" w:type="dxa"/>
            </w:tcMar>
            <w:vAlign w:val="center"/>
          </w:tcPr>
          <w:p w14:paraId="369915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46.4</w:t>
            </w:r>
          </w:p>
        </w:tc>
        <w:tc>
          <w:tcPr>
            <w:tcW w:w="557" w:type="dxa"/>
            <w:shd w:val="clear" w:color="auto" w:fill="auto"/>
            <w:tcMar>
              <w:top w:w="0" w:type="dxa"/>
              <w:left w:w="0" w:type="dxa"/>
              <w:bottom w:w="0" w:type="dxa"/>
              <w:right w:w="0" w:type="dxa"/>
            </w:tcMar>
            <w:vAlign w:val="center"/>
          </w:tcPr>
          <w:p w14:paraId="3BC64C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46.3</w:t>
            </w:r>
          </w:p>
        </w:tc>
        <w:tc>
          <w:tcPr>
            <w:tcW w:w="671" w:type="dxa"/>
            <w:shd w:val="clear" w:color="auto" w:fill="auto"/>
            <w:tcMar>
              <w:top w:w="0" w:type="dxa"/>
              <w:left w:w="0" w:type="dxa"/>
              <w:bottom w:w="0" w:type="dxa"/>
              <w:right w:w="0" w:type="dxa"/>
            </w:tcMar>
            <w:vAlign w:val="center"/>
          </w:tcPr>
          <w:p w14:paraId="664DACB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46FE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47A5DAD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059" w:type="dxa"/>
            <w:shd w:val="clear" w:color="auto" w:fill="auto"/>
            <w:tcMar>
              <w:top w:w="0" w:type="dxa"/>
              <w:left w:w="0" w:type="dxa"/>
              <w:bottom w:w="0" w:type="dxa"/>
              <w:right w:w="0" w:type="dxa"/>
            </w:tcMar>
            <w:vAlign w:val="center"/>
          </w:tcPr>
          <w:p w14:paraId="0D6A414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7B79A22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挤出机1</w:t>
            </w:r>
          </w:p>
        </w:tc>
        <w:tc>
          <w:tcPr>
            <w:tcW w:w="619" w:type="dxa"/>
            <w:shd w:val="clear" w:color="auto" w:fill="auto"/>
            <w:tcMar>
              <w:top w:w="0" w:type="dxa"/>
              <w:left w:w="0" w:type="dxa"/>
              <w:bottom w:w="0" w:type="dxa"/>
              <w:right w:w="0" w:type="dxa"/>
            </w:tcMar>
            <w:vAlign w:val="center"/>
          </w:tcPr>
          <w:p w14:paraId="5FDAB36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80</w:t>
            </w:r>
          </w:p>
        </w:tc>
        <w:tc>
          <w:tcPr>
            <w:tcW w:w="510" w:type="dxa"/>
            <w:vMerge w:val="continue"/>
            <w:shd w:val="clear" w:color="auto" w:fill="auto"/>
            <w:tcMar>
              <w:top w:w="0" w:type="dxa"/>
              <w:left w:w="0" w:type="dxa"/>
              <w:bottom w:w="0" w:type="dxa"/>
              <w:right w:w="0" w:type="dxa"/>
            </w:tcMar>
            <w:vAlign w:val="center"/>
          </w:tcPr>
          <w:p w14:paraId="2D4424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7247338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6.3</w:t>
            </w:r>
          </w:p>
        </w:tc>
        <w:tc>
          <w:tcPr>
            <w:tcW w:w="569" w:type="dxa"/>
            <w:shd w:val="clear" w:color="auto" w:fill="auto"/>
            <w:tcMar>
              <w:top w:w="0" w:type="dxa"/>
              <w:left w:w="0" w:type="dxa"/>
              <w:bottom w:w="0" w:type="dxa"/>
              <w:right w:w="0" w:type="dxa"/>
            </w:tcMar>
            <w:vAlign w:val="center"/>
          </w:tcPr>
          <w:p w14:paraId="08E22E0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25.2</w:t>
            </w:r>
          </w:p>
        </w:tc>
        <w:tc>
          <w:tcPr>
            <w:tcW w:w="604" w:type="dxa"/>
            <w:shd w:val="clear" w:color="auto" w:fill="auto"/>
            <w:tcMar>
              <w:top w:w="0" w:type="dxa"/>
              <w:left w:w="0" w:type="dxa"/>
              <w:bottom w:w="0" w:type="dxa"/>
              <w:right w:w="0" w:type="dxa"/>
            </w:tcMar>
            <w:vAlign w:val="center"/>
          </w:tcPr>
          <w:p w14:paraId="62A6BB2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3FD7D41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40.1</w:t>
            </w:r>
          </w:p>
        </w:tc>
        <w:tc>
          <w:tcPr>
            <w:tcW w:w="466" w:type="dxa"/>
            <w:shd w:val="clear" w:color="auto" w:fill="auto"/>
            <w:tcMar>
              <w:top w:w="0" w:type="dxa"/>
              <w:left w:w="0" w:type="dxa"/>
              <w:bottom w:w="0" w:type="dxa"/>
              <w:right w:w="0" w:type="dxa"/>
            </w:tcMar>
            <w:vAlign w:val="center"/>
          </w:tcPr>
          <w:p w14:paraId="102C59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58.3</w:t>
            </w:r>
          </w:p>
        </w:tc>
        <w:tc>
          <w:tcPr>
            <w:tcW w:w="551" w:type="dxa"/>
            <w:shd w:val="clear" w:color="auto" w:fill="auto"/>
            <w:tcMar>
              <w:top w:w="0" w:type="dxa"/>
              <w:left w:w="0" w:type="dxa"/>
              <w:bottom w:w="0" w:type="dxa"/>
              <w:right w:w="0" w:type="dxa"/>
            </w:tcMar>
            <w:vAlign w:val="center"/>
          </w:tcPr>
          <w:p w14:paraId="05FD0BF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30.1</w:t>
            </w:r>
          </w:p>
        </w:tc>
        <w:tc>
          <w:tcPr>
            <w:tcW w:w="510" w:type="dxa"/>
            <w:shd w:val="clear" w:color="auto" w:fill="auto"/>
            <w:tcMar>
              <w:top w:w="0" w:type="dxa"/>
              <w:left w:w="0" w:type="dxa"/>
              <w:bottom w:w="0" w:type="dxa"/>
              <w:right w:w="0" w:type="dxa"/>
            </w:tcMar>
            <w:vAlign w:val="center"/>
          </w:tcPr>
          <w:p w14:paraId="5C32A25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w:t>
            </w:r>
          </w:p>
        </w:tc>
        <w:tc>
          <w:tcPr>
            <w:tcW w:w="463" w:type="dxa"/>
            <w:shd w:val="clear" w:color="auto" w:fill="auto"/>
            <w:tcMar>
              <w:top w:w="0" w:type="dxa"/>
              <w:left w:w="0" w:type="dxa"/>
              <w:bottom w:w="0" w:type="dxa"/>
              <w:right w:w="0" w:type="dxa"/>
            </w:tcMar>
            <w:vAlign w:val="center"/>
          </w:tcPr>
          <w:p w14:paraId="7383A1A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69C1BDF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3A9541C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25B30BE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63.2</w:t>
            </w:r>
          </w:p>
        </w:tc>
        <w:tc>
          <w:tcPr>
            <w:tcW w:w="440" w:type="dxa"/>
            <w:shd w:val="clear" w:color="auto" w:fill="auto"/>
            <w:tcMar>
              <w:top w:w="0" w:type="dxa"/>
              <w:left w:w="0" w:type="dxa"/>
              <w:bottom w:w="0" w:type="dxa"/>
              <w:right w:w="0" w:type="dxa"/>
            </w:tcMar>
            <w:vAlign w:val="center"/>
          </w:tcPr>
          <w:p w14:paraId="1F9A9B3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73AF253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25BB8BE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551B7E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5CFB6F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6B1014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5B36914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563ACCB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197AB81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36.7</w:t>
            </w:r>
          </w:p>
        </w:tc>
        <w:tc>
          <w:tcPr>
            <w:tcW w:w="671" w:type="dxa"/>
            <w:shd w:val="clear" w:color="auto" w:fill="auto"/>
            <w:tcMar>
              <w:top w:w="0" w:type="dxa"/>
              <w:left w:w="0" w:type="dxa"/>
              <w:bottom w:w="0" w:type="dxa"/>
              <w:right w:w="0" w:type="dxa"/>
            </w:tcMar>
            <w:vAlign w:val="center"/>
          </w:tcPr>
          <w:p w14:paraId="62A83B4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3D52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2782821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059" w:type="dxa"/>
            <w:shd w:val="clear" w:color="auto" w:fill="auto"/>
            <w:tcMar>
              <w:top w:w="0" w:type="dxa"/>
              <w:left w:w="0" w:type="dxa"/>
              <w:bottom w:w="0" w:type="dxa"/>
              <w:right w:w="0" w:type="dxa"/>
            </w:tcMar>
            <w:vAlign w:val="center"/>
          </w:tcPr>
          <w:p w14:paraId="272BA8A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06DA6AC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挤出机2</w:t>
            </w:r>
          </w:p>
        </w:tc>
        <w:tc>
          <w:tcPr>
            <w:tcW w:w="619" w:type="dxa"/>
            <w:shd w:val="clear" w:color="auto" w:fill="auto"/>
            <w:tcMar>
              <w:top w:w="0" w:type="dxa"/>
              <w:left w:w="0" w:type="dxa"/>
              <w:bottom w:w="0" w:type="dxa"/>
              <w:right w:w="0" w:type="dxa"/>
            </w:tcMar>
            <w:vAlign w:val="center"/>
          </w:tcPr>
          <w:p w14:paraId="0D2AB94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80</w:t>
            </w:r>
          </w:p>
        </w:tc>
        <w:tc>
          <w:tcPr>
            <w:tcW w:w="510" w:type="dxa"/>
            <w:vMerge w:val="continue"/>
            <w:shd w:val="clear" w:color="auto" w:fill="auto"/>
            <w:tcMar>
              <w:top w:w="0" w:type="dxa"/>
              <w:left w:w="0" w:type="dxa"/>
              <w:bottom w:w="0" w:type="dxa"/>
              <w:right w:w="0" w:type="dxa"/>
            </w:tcMar>
            <w:vAlign w:val="center"/>
          </w:tcPr>
          <w:p w14:paraId="0C03FA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275446C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w:t>
            </w:r>
          </w:p>
        </w:tc>
        <w:tc>
          <w:tcPr>
            <w:tcW w:w="569" w:type="dxa"/>
            <w:shd w:val="clear" w:color="auto" w:fill="auto"/>
            <w:tcMar>
              <w:top w:w="0" w:type="dxa"/>
              <w:left w:w="0" w:type="dxa"/>
              <w:bottom w:w="0" w:type="dxa"/>
              <w:right w:w="0" w:type="dxa"/>
            </w:tcMar>
            <w:vAlign w:val="center"/>
          </w:tcPr>
          <w:p w14:paraId="3B23BA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21.4</w:t>
            </w:r>
          </w:p>
        </w:tc>
        <w:tc>
          <w:tcPr>
            <w:tcW w:w="604" w:type="dxa"/>
            <w:shd w:val="clear" w:color="auto" w:fill="auto"/>
            <w:tcMar>
              <w:top w:w="0" w:type="dxa"/>
              <w:left w:w="0" w:type="dxa"/>
              <w:bottom w:w="0" w:type="dxa"/>
              <w:right w:w="0" w:type="dxa"/>
            </w:tcMar>
            <w:vAlign w:val="center"/>
          </w:tcPr>
          <w:p w14:paraId="63710CB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115C080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40.0</w:t>
            </w:r>
          </w:p>
        </w:tc>
        <w:tc>
          <w:tcPr>
            <w:tcW w:w="466" w:type="dxa"/>
            <w:shd w:val="clear" w:color="auto" w:fill="auto"/>
            <w:tcMar>
              <w:top w:w="0" w:type="dxa"/>
              <w:left w:w="0" w:type="dxa"/>
              <w:bottom w:w="0" w:type="dxa"/>
              <w:right w:w="0" w:type="dxa"/>
            </w:tcMar>
            <w:vAlign w:val="center"/>
          </w:tcPr>
          <w:p w14:paraId="383128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54.1</w:t>
            </w:r>
          </w:p>
        </w:tc>
        <w:tc>
          <w:tcPr>
            <w:tcW w:w="551" w:type="dxa"/>
            <w:shd w:val="clear" w:color="auto" w:fill="auto"/>
            <w:tcMar>
              <w:top w:w="0" w:type="dxa"/>
              <w:left w:w="0" w:type="dxa"/>
              <w:bottom w:w="0" w:type="dxa"/>
              <w:right w:w="0" w:type="dxa"/>
            </w:tcMar>
            <w:vAlign w:val="center"/>
          </w:tcPr>
          <w:p w14:paraId="1B79DB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30.3</w:t>
            </w:r>
          </w:p>
        </w:tc>
        <w:tc>
          <w:tcPr>
            <w:tcW w:w="510" w:type="dxa"/>
            <w:shd w:val="clear" w:color="auto" w:fill="auto"/>
            <w:tcMar>
              <w:top w:w="0" w:type="dxa"/>
              <w:left w:w="0" w:type="dxa"/>
              <w:bottom w:w="0" w:type="dxa"/>
              <w:right w:w="0" w:type="dxa"/>
            </w:tcMar>
            <w:vAlign w:val="center"/>
          </w:tcPr>
          <w:p w14:paraId="7F0BC6C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11.3</w:t>
            </w:r>
          </w:p>
        </w:tc>
        <w:tc>
          <w:tcPr>
            <w:tcW w:w="463" w:type="dxa"/>
            <w:shd w:val="clear" w:color="auto" w:fill="auto"/>
            <w:tcMar>
              <w:top w:w="0" w:type="dxa"/>
              <w:left w:w="0" w:type="dxa"/>
              <w:bottom w:w="0" w:type="dxa"/>
              <w:right w:w="0" w:type="dxa"/>
            </w:tcMar>
            <w:vAlign w:val="center"/>
          </w:tcPr>
          <w:p w14:paraId="44D08C2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3BAEB0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0526A99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1912D96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63.0</w:t>
            </w:r>
          </w:p>
        </w:tc>
        <w:tc>
          <w:tcPr>
            <w:tcW w:w="440" w:type="dxa"/>
            <w:shd w:val="clear" w:color="auto" w:fill="auto"/>
            <w:tcMar>
              <w:top w:w="0" w:type="dxa"/>
              <w:left w:w="0" w:type="dxa"/>
              <w:bottom w:w="0" w:type="dxa"/>
              <w:right w:w="0" w:type="dxa"/>
            </w:tcMar>
            <w:vAlign w:val="center"/>
          </w:tcPr>
          <w:p w14:paraId="2BD23E2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37A8A3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B43EE6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36290A4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36CF1A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18D382C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064D82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3D7D39B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1C9BD0E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36.5</w:t>
            </w:r>
          </w:p>
        </w:tc>
        <w:tc>
          <w:tcPr>
            <w:tcW w:w="671" w:type="dxa"/>
            <w:shd w:val="clear" w:color="auto" w:fill="auto"/>
            <w:tcMar>
              <w:top w:w="0" w:type="dxa"/>
              <w:left w:w="0" w:type="dxa"/>
              <w:bottom w:w="0" w:type="dxa"/>
              <w:right w:w="0" w:type="dxa"/>
            </w:tcMar>
            <w:vAlign w:val="center"/>
          </w:tcPr>
          <w:p w14:paraId="3860E14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1399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467EC8C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1059" w:type="dxa"/>
            <w:shd w:val="clear" w:color="auto" w:fill="auto"/>
            <w:tcMar>
              <w:top w:w="0" w:type="dxa"/>
              <w:left w:w="0" w:type="dxa"/>
              <w:bottom w:w="0" w:type="dxa"/>
              <w:right w:w="0" w:type="dxa"/>
            </w:tcMar>
            <w:vAlign w:val="center"/>
          </w:tcPr>
          <w:p w14:paraId="01AF664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244AF9D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挤出机3</w:t>
            </w:r>
          </w:p>
        </w:tc>
        <w:tc>
          <w:tcPr>
            <w:tcW w:w="619" w:type="dxa"/>
            <w:shd w:val="clear" w:color="auto" w:fill="auto"/>
            <w:tcMar>
              <w:top w:w="0" w:type="dxa"/>
              <w:left w:w="0" w:type="dxa"/>
              <w:bottom w:w="0" w:type="dxa"/>
              <w:right w:w="0" w:type="dxa"/>
            </w:tcMar>
            <w:vAlign w:val="center"/>
          </w:tcPr>
          <w:p w14:paraId="66AE28D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80</w:t>
            </w:r>
          </w:p>
        </w:tc>
        <w:tc>
          <w:tcPr>
            <w:tcW w:w="510" w:type="dxa"/>
            <w:vMerge w:val="continue"/>
            <w:shd w:val="clear" w:color="auto" w:fill="auto"/>
            <w:tcMar>
              <w:top w:w="0" w:type="dxa"/>
              <w:left w:w="0" w:type="dxa"/>
              <w:bottom w:w="0" w:type="dxa"/>
              <w:right w:w="0" w:type="dxa"/>
            </w:tcMar>
            <w:vAlign w:val="center"/>
          </w:tcPr>
          <w:p w14:paraId="6614C17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1FDFFC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569" w:type="dxa"/>
            <w:shd w:val="clear" w:color="auto" w:fill="auto"/>
            <w:tcMar>
              <w:top w:w="0" w:type="dxa"/>
              <w:left w:w="0" w:type="dxa"/>
              <w:bottom w:w="0" w:type="dxa"/>
              <w:right w:w="0" w:type="dxa"/>
            </w:tcMar>
            <w:vAlign w:val="center"/>
          </w:tcPr>
          <w:p w14:paraId="1DF0FC9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17.6</w:t>
            </w:r>
          </w:p>
        </w:tc>
        <w:tc>
          <w:tcPr>
            <w:tcW w:w="604" w:type="dxa"/>
            <w:shd w:val="clear" w:color="auto" w:fill="auto"/>
            <w:tcMar>
              <w:top w:w="0" w:type="dxa"/>
              <w:left w:w="0" w:type="dxa"/>
              <w:bottom w:w="0" w:type="dxa"/>
              <w:right w:w="0" w:type="dxa"/>
            </w:tcMar>
            <w:vAlign w:val="center"/>
          </w:tcPr>
          <w:p w14:paraId="1EF7192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550D84E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39.9</w:t>
            </w:r>
          </w:p>
        </w:tc>
        <w:tc>
          <w:tcPr>
            <w:tcW w:w="466" w:type="dxa"/>
            <w:shd w:val="clear" w:color="auto" w:fill="auto"/>
            <w:tcMar>
              <w:top w:w="0" w:type="dxa"/>
              <w:left w:w="0" w:type="dxa"/>
              <w:bottom w:w="0" w:type="dxa"/>
              <w:right w:w="0" w:type="dxa"/>
            </w:tcMar>
            <w:vAlign w:val="center"/>
          </w:tcPr>
          <w:p w14:paraId="1078351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50.0</w:t>
            </w:r>
          </w:p>
        </w:tc>
        <w:tc>
          <w:tcPr>
            <w:tcW w:w="551" w:type="dxa"/>
            <w:shd w:val="clear" w:color="auto" w:fill="auto"/>
            <w:tcMar>
              <w:top w:w="0" w:type="dxa"/>
              <w:left w:w="0" w:type="dxa"/>
              <w:bottom w:w="0" w:type="dxa"/>
              <w:right w:w="0" w:type="dxa"/>
            </w:tcMar>
            <w:vAlign w:val="center"/>
          </w:tcPr>
          <w:p w14:paraId="6CBE28E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30.5</w:t>
            </w:r>
          </w:p>
        </w:tc>
        <w:tc>
          <w:tcPr>
            <w:tcW w:w="510" w:type="dxa"/>
            <w:shd w:val="clear" w:color="auto" w:fill="auto"/>
            <w:tcMar>
              <w:top w:w="0" w:type="dxa"/>
              <w:left w:w="0" w:type="dxa"/>
              <w:bottom w:w="0" w:type="dxa"/>
              <w:right w:w="0" w:type="dxa"/>
            </w:tcMar>
            <w:vAlign w:val="center"/>
          </w:tcPr>
          <w:p w14:paraId="3A8C37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15.4</w:t>
            </w:r>
          </w:p>
        </w:tc>
        <w:tc>
          <w:tcPr>
            <w:tcW w:w="463" w:type="dxa"/>
            <w:shd w:val="clear" w:color="auto" w:fill="auto"/>
            <w:tcMar>
              <w:top w:w="0" w:type="dxa"/>
              <w:left w:w="0" w:type="dxa"/>
              <w:bottom w:w="0" w:type="dxa"/>
              <w:right w:w="0" w:type="dxa"/>
            </w:tcMar>
            <w:vAlign w:val="center"/>
          </w:tcPr>
          <w:p w14:paraId="4AEC8F5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71648A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7BD34C8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56C66B1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40" w:type="dxa"/>
            <w:shd w:val="clear" w:color="auto" w:fill="auto"/>
            <w:tcMar>
              <w:top w:w="0" w:type="dxa"/>
              <w:left w:w="0" w:type="dxa"/>
              <w:bottom w:w="0" w:type="dxa"/>
              <w:right w:w="0" w:type="dxa"/>
            </w:tcMar>
            <w:vAlign w:val="center"/>
          </w:tcPr>
          <w:p w14:paraId="530DA7C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61D946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11B600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013761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1370B1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4E7C0C0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2AEC225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24B3F63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4A9D30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671" w:type="dxa"/>
            <w:shd w:val="clear" w:color="auto" w:fill="auto"/>
            <w:tcMar>
              <w:top w:w="0" w:type="dxa"/>
              <w:left w:w="0" w:type="dxa"/>
              <w:bottom w:w="0" w:type="dxa"/>
              <w:right w:w="0" w:type="dxa"/>
            </w:tcMar>
            <w:vAlign w:val="center"/>
          </w:tcPr>
          <w:p w14:paraId="6012C39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7359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0486C62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1059" w:type="dxa"/>
            <w:shd w:val="clear" w:color="auto" w:fill="auto"/>
            <w:tcMar>
              <w:top w:w="0" w:type="dxa"/>
              <w:left w:w="0" w:type="dxa"/>
              <w:bottom w:w="0" w:type="dxa"/>
              <w:right w:w="0" w:type="dxa"/>
            </w:tcMar>
            <w:vAlign w:val="center"/>
          </w:tcPr>
          <w:p w14:paraId="0F49F39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5FA0079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挤出机4</w:t>
            </w:r>
          </w:p>
        </w:tc>
        <w:tc>
          <w:tcPr>
            <w:tcW w:w="619" w:type="dxa"/>
            <w:shd w:val="clear" w:color="auto" w:fill="auto"/>
            <w:tcMar>
              <w:top w:w="0" w:type="dxa"/>
              <w:left w:w="0" w:type="dxa"/>
              <w:bottom w:w="0" w:type="dxa"/>
              <w:right w:w="0" w:type="dxa"/>
            </w:tcMar>
            <w:vAlign w:val="center"/>
          </w:tcPr>
          <w:p w14:paraId="640C64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80</w:t>
            </w:r>
          </w:p>
        </w:tc>
        <w:tc>
          <w:tcPr>
            <w:tcW w:w="510" w:type="dxa"/>
            <w:vMerge w:val="continue"/>
            <w:shd w:val="clear" w:color="auto" w:fill="auto"/>
            <w:tcMar>
              <w:top w:w="0" w:type="dxa"/>
              <w:left w:w="0" w:type="dxa"/>
              <w:bottom w:w="0" w:type="dxa"/>
              <w:right w:w="0" w:type="dxa"/>
            </w:tcMar>
            <w:vAlign w:val="center"/>
          </w:tcPr>
          <w:p w14:paraId="2DE0B38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6ECF664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569" w:type="dxa"/>
            <w:shd w:val="clear" w:color="auto" w:fill="auto"/>
            <w:tcMar>
              <w:top w:w="0" w:type="dxa"/>
              <w:left w:w="0" w:type="dxa"/>
              <w:bottom w:w="0" w:type="dxa"/>
              <w:right w:w="0" w:type="dxa"/>
            </w:tcMar>
            <w:vAlign w:val="center"/>
          </w:tcPr>
          <w:p w14:paraId="239B04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14.1</w:t>
            </w:r>
          </w:p>
        </w:tc>
        <w:tc>
          <w:tcPr>
            <w:tcW w:w="604" w:type="dxa"/>
            <w:shd w:val="clear" w:color="auto" w:fill="auto"/>
            <w:tcMar>
              <w:top w:w="0" w:type="dxa"/>
              <w:left w:w="0" w:type="dxa"/>
              <w:bottom w:w="0" w:type="dxa"/>
              <w:right w:w="0" w:type="dxa"/>
            </w:tcMar>
            <w:vAlign w:val="center"/>
          </w:tcPr>
          <w:p w14:paraId="2BE2A1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7DE06B2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40.0</w:t>
            </w:r>
          </w:p>
        </w:tc>
        <w:tc>
          <w:tcPr>
            <w:tcW w:w="466" w:type="dxa"/>
            <w:shd w:val="clear" w:color="auto" w:fill="auto"/>
            <w:tcMar>
              <w:top w:w="0" w:type="dxa"/>
              <w:left w:w="0" w:type="dxa"/>
              <w:bottom w:w="0" w:type="dxa"/>
              <w:right w:w="0" w:type="dxa"/>
            </w:tcMar>
            <w:vAlign w:val="center"/>
          </w:tcPr>
          <w:p w14:paraId="1204D14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46.1</w:t>
            </w:r>
          </w:p>
        </w:tc>
        <w:tc>
          <w:tcPr>
            <w:tcW w:w="551" w:type="dxa"/>
            <w:shd w:val="clear" w:color="auto" w:fill="auto"/>
            <w:tcMar>
              <w:top w:w="0" w:type="dxa"/>
              <w:left w:w="0" w:type="dxa"/>
              <w:bottom w:w="0" w:type="dxa"/>
              <w:right w:w="0" w:type="dxa"/>
            </w:tcMar>
            <w:vAlign w:val="center"/>
          </w:tcPr>
          <w:p w14:paraId="1DFBA28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30.6</w:t>
            </w:r>
          </w:p>
        </w:tc>
        <w:tc>
          <w:tcPr>
            <w:tcW w:w="510" w:type="dxa"/>
            <w:shd w:val="clear" w:color="auto" w:fill="auto"/>
            <w:tcMar>
              <w:top w:w="0" w:type="dxa"/>
              <w:left w:w="0" w:type="dxa"/>
              <w:bottom w:w="0" w:type="dxa"/>
              <w:right w:w="0" w:type="dxa"/>
            </w:tcMar>
            <w:vAlign w:val="center"/>
          </w:tcPr>
          <w:p w14:paraId="6857BDE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19.3</w:t>
            </w:r>
          </w:p>
        </w:tc>
        <w:tc>
          <w:tcPr>
            <w:tcW w:w="463" w:type="dxa"/>
            <w:shd w:val="clear" w:color="auto" w:fill="auto"/>
            <w:tcMar>
              <w:top w:w="0" w:type="dxa"/>
              <w:left w:w="0" w:type="dxa"/>
              <w:bottom w:w="0" w:type="dxa"/>
              <w:right w:w="0" w:type="dxa"/>
            </w:tcMar>
            <w:vAlign w:val="center"/>
          </w:tcPr>
          <w:p w14:paraId="5846FF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45C66D6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5AB7D23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348F227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40" w:type="dxa"/>
            <w:shd w:val="clear" w:color="auto" w:fill="auto"/>
            <w:tcMar>
              <w:top w:w="0" w:type="dxa"/>
              <w:left w:w="0" w:type="dxa"/>
              <w:bottom w:w="0" w:type="dxa"/>
              <w:right w:w="0" w:type="dxa"/>
            </w:tcMar>
            <w:vAlign w:val="center"/>
          </w:tcPr>
          <w:p w14:paraId="68F7382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26AE7EC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6007B2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4F431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61EEA9A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32BBE45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3A32BC0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6A1B95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3A4FAE6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671" w:type="dxa"/>
            <w:shd w:val="clear" w:color="auto" w:fill="auto"/>
            <w:tcMar>
              <w:top w:w="0" w:type="dxa"/>
              <w:left w:w="0" w:type="dxa"/>
              <w:bottom w:w="0" w:type="dxa"/>
              <w:right w:w="0" w:type="dxa"/>
            </w:tcMar>
            <w:vAlign w:val="center"/>
          </w:tcPr>
          <w:p w14:paraId="68E90A8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3BDF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7A423B5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1059" w:type="dxa"/>
            <w:shd w:val="clear" w:color="auto" w:fill="auto"/>
            <w:tcMar>
              <w:top w:w="0" w:type="dxa"/>
              <w:left w:w="0" w:type="dxa"/>
              <w:bottom w:w="0" w:type="dxa"/>
              <w:right w:w="0" w:type="dxa"/>
            </w:tcMar>
            <w:vAlign w:val="center"/>
          </w:tcPr>
          <w:p w14:paraId="285B8AE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1066BCD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挤出机5</w:t>
            </w:r>
          </w:p>
        </w:tc>
        <w:tc>
          <w:tcPr>
            <w:tcW w:w="619" w:type="dxa"/>
            <w:shd w:val="clear" w:color="auto" w:fill="auto"/>
            <w:tcMar>
              <w:top w:w="0" w:type="dxa"/>
              <w:left w:w="0" w:type="dxa"/>
              <w:bottom w:w="0" w:type="dxa"/>
              <w:right w:w="0" w:type="dxa"/>
            </w:tcMar>
            <w:vAlign w:val="center"/>
          </w:tcPr>
          <w:p w14:paraId="03E7975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80</w:t>
            </w:r>
          </w:p>
        </w:tc>
        <w:tc>
          <w:tcPr>
            <w:tcW w:w="510" w:type="dxa"/>
            <w:vMerge w:val="continue"/>
            <w:shd w:val="clear" w:color="auto" w:fill="auto"/>
            <w:tcMar>
              <w:top w:w="0" w:type="dxa"/>
              <w:left w:w="0" w:type="dxa"/>
              <w:bottom w:w="0" w:type="dxa"/>
              <w:right w:w="0" w:type="dxa"/>
            </w:tcMar>
            <w:vAlign w:val="center"/>
          </w:tcPr>
          <w:p w14:paraId="0B1DFB1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47D1309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-0.3</w:t>
            </w:r>
          </w:p>
        </w:tc>
        <w:tc>
          <w:tcPr>
            <w:tcW w:w="569" w:type="dxa"/>
            <w:shd w:val="clear" w:color="auto" w:fill="auto"/>
            <w:tcMar>
              <w:top w:w="0" w:type="dxa"/>
              <w:left w:w="0" w:type="dxa"/>
              <w:bottom w:w="0" w:type="dxa"/>
              <w:right w:w="0" w:type="dxa"/>
            </w:tcMar>
            <w:vAlign w:val="center"/>
          </w:tcPr>
          <w:p w14:paraId="37B5319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10.6</w:t>
            </w:r>
          </w:p>
        </w:tc>
        <w:tc>
          <w:tcPr>
            <w:tcW w:w="604" w:type="dxa"/>
            <w:shd w:val="clear" w:color="auto" w:fill="auto"/>
            <w:tcMar>
              <w:top w:w="0" w:type="dxa"/>
              <w:left w:w="0" w:type="dxa"/>
              <w:bottom w:w="0" w:type="dxa"/>
              <w:right w:w="0" w:type="dxa"/>
            </w:tcMar>
            <w:vAlign w:val="center"/>
          </w:tcPr>
          <w:p w14:paraId="53FA6EE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6743FA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40.0</w:t>
            </w:r>
          </w:p>
        </w:tc>
        <w:tc>
          <w:tcPr>
            <w:tcW w:w="466" w:type="dxa"/>
            <w:shd w:val="clear" w:color="auto" w:fill="auto"/>
            <w:tcMar>
              <w:top w:w="0" w:type="dxa"/>
              <w:left w:w="0" w:type="dxa"/>
              <w:bottom w:w="0" w:type="dxa"/>
              <w:right w:w="0" w:type="dxa"/>
            </w:tcMar>
            <w:vAlign w:val="center"/>
          </w:tcPr>
          <w:p w14:paraId="25F37DB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42.3</w:t>
            </w:r>
          </w:p>
        </w:tc>
        <w:tc>
          <w:tcPr>
            <w:tcW w:w="551" w:type="dxa"/>
            <w:shd w:val="clear" w:color="auto" w:fill="auto"/>
            <w:tcMar>
              <w:top w:w="0" w:type="dxa"/>
              <w:left w:w="0" w:type="dxa"/>
              <w:bottom w:w="0" w:type="dxa"/>
              <w:right w:w="0" w:type="dxa"/>
            </w:tcMar>
            <w:vAlign w:val="center"/>
          </w:tcPr>
          <w:p w14:paraId="1E7592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30.7</w:t>
            </w:r>
          </w:p>
        </w:tc>
        <w:tc>
          <w:tcPr>
            <w:tcW w:w="510" w:type="dxa"/>
            <w:shd w:val="clear" w:color="auto" w:fill="auto"/>
            <w:tcMar>
              <w:top w:w="0" w:type="dxa"/>
              <w:left w:w="0" w:type="dxa"/>
              <w:bottom w:w="0" w:type="dxa"/>
              <w:right w:w="0" w:type="dxa"/>
            </w:tcMar>
            <w:vAlign w:val="center"/>
          </w:tcPr>
          <w:p w14:paraId="02CD5A9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23.2</w:t>
            </w:r>
          </w:p>
        </w:tc>
        <w:tc>
          <w:tcPr>
            <w:tcW w:w="463" w:type="dxa"/>
            <w:shd w:val="clear" w:color="auto" w:fill="auto"/>
            <w:tcMar>
              <w:top w:w="0" w:type="dxa"/>
              <w:left w:w="0" w:type="dxa"/>
              <w:bottom w:w="0" w:type="dxa"/>
              <w:right w:w="0" w:type="dxa"/>
            </w:tcMar>
            <w:vAlign w:val="center"/>
          </w:tcPr>
          <w:p w14:paraId="13D25A8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64EED59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1EB707F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2A3C4FD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40" w:type="dxa"/>
            <w:shd w:val="clear" w:color="auto" w:fill="auto"/>
            <w:tcMar>
              <w:top w:w="0" w:type="dxa"/>
              <w:left w:w="0" w:type="dxa"/>
              <w:bottom w:w="0" w:type="dxa"/>
              <w:right w:w="0" w:type="dxa"/>
            </w:tcMar>
            <w:vAlign w:val="center"/>
          </w:tcPr>
          <w:p w14:paraId="31F4F90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03B1F0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21ADCF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959E7B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135DF2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6F03FF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2EFF2BB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2F52259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26ADF10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671" w:type="dxa"/>
            <w:shd w:val="clear" w:color="auto" w:fill="auto"/>
            <w:tcMar>
              <w:top w:w="0" w:type="dxa"/>
              <w:left w:w="0" w:type="dxa"/>
              <w:bottom w:w="0" w:type="dxa"/>
              <w:right w:w="0" w:type="dxa"/>
            </w:tcMar>
            <w:vAlign w:val="center"/>
          </w:tcPr>
          <w:p w14:paraId="32FB4FA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616A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74387B1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059" w:type="dxa"/>
            <w:shd w:val="clear" w:color="auto" w:fill="auto"/>
            <w:tcMar>
              <w:top w:w="0" w:type="dxa"/>
              <w:left w:w="0" w:type="dxa"/>
              <w:bottom w:w="0" w:type="dxa"/>
              <w:right w:w="0" w:type="dxa"/>
            </w:tcMar>
            <w:vAlign w:val="center"/>
          </w:tcPr>
          <w:p w14:paraId="0734CE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7DDB509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挤出机6</w:t>
            </w:r>
          </w:p>
        </w:tc>
        <w:tc>
          <w:tcPr>
            <w:tcW w:w="619" w:type="dxa"/>
            <w:shd w:val="clear" w:color="auto" w:fill="auto"/>
            <w:tcMar>
              <w:top w:w="0" w:type="dxa"/>
              <w:left w:w="0" w:type="dxa"/>
              <w:bottom w:w="0" w:type="dxa"/>
              <w:right w:w="0" w:type="dxa"/>
            </w:tcMar>
            <w:vAlign w:val="center"/>
          </w:tcPr>
          <w:p w14:paraId="6E3239A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80</w:t>
            </w:r>
          </w:p>
        </w:tc>
        <w:tc>
          <w:tcPr>
            <w:tcW w:w="510" w:type="dxa"/>
            <w:vMerge w:val="continue"/>
            <w:shd w:val="clear" w:color="auto" w:fill="auto"/>
            <w:tcMar>
              <w:top w:w="0" w:type="dxa"/>
              <w:left w:w="0" w:type="dxa"/>
              <w:bottom w:w="0" w:type="dxa"/>
              <w:right w:w="0" w:type="dxa"/>
            </w:tcMar>
            <w:vAlign w:val="center"/>
          </w:tcPr>
          <w:p w14:paraId="7CB411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220447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569" w:type="dxa"/>
            <w:shd w:val="clear" w:color="auto" w:fill="auto"/>
            <w:tcMar>
              <w:top w:w="0" w:type="dxa"/>
              <w:left w:w="0" w:type="dxa"/>
              <w:bottom w:w="0" w:type="dxa"/>
              <w:right w:w="0" w:type="dxa"/>
            </w:tcMar>
            <w:vAlign w:val="center"/>
          </w:tcPr>
          <w:p w14:paraId="70FBFCB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6.1</w:t>
            </w:r>
          </w:p>
        </w:tc>
        <w:tc>
          <w:tcPr>
            <w:tcW w:w="604" w:type="dxa"/>
            <w:shd w:val="clear" w:color="auto" w:fill="auto"/>
            <w:tcMar>
              <w:top w:w="0" w:type="dxa"/>
              <w:left w:w="0" w:type="dxa"/>
              <w:bottom w:w="0" w:type="dxa"/>
              <w:right w:w="0" w:type="dxa"/>
            </w:tcMar>
            <w:vAlign w:val="center"/>
          </w:tcPr>
          <w:p w14:paraId="099EDE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04B1147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39.5</w:t>
            </w:r>
          </w:p>
        </w:tc>
        <w:tc>
          <w:tcPr>
            <w:tcW w:w="466" w:type="dxa"/>
            <w:shd w:val="clear" w:color="auto" w:fill="auto"/>
            <w:tcMar>
              <w:top w:w="0" w:type="dxa"/>
              <w:left w:w="0" w:type="dxa"/>
              <w:bottom w:w="0" w:type="dxa"/>
              <w:right w:w="0" w:type="dxa"/>
            </w:tcMar>
            <w:vAlign w:val="center"/>
          </w:tcPr>
          <w:p w14:paraId="2B17DAA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37.5</w:t>
            </w:r>
          </w:p>
        </w:tc>
        <w:tc>
          <w:tcPr>
            <w:tcW w:w="551" w:type="dxa"/>
            <w:shd w:val="clear" w:color="auto" w:fill="auto"/>
            <w:tcMar>
              <w:top w:w="0" w:type="dxa"/>
              <w:left w:w="0" w:type="dxa"/>
              <w:bottom w:w="0" w:type="dxa"/>
              <w:right w:w="0" w:type="dxa"/>
            </w:tcMar>
            <w:vAlign w:val="center"/>
          </w:tcPr>
          <w:p w14:paraId="0A8FBF6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510" w:type="dxa"/>
            <w:shd w:val="clear" w:color="auto" w:fill="auto"/>
            <w:tcMar>
              <w:top w:w="0" w:type="dxa"/>
              <w:left w:w="0" w:type="dxa"/>
              <w:bottom w:w="0" w:type="dxa"/>
              <w:right w:w="0" w:type="dxa"/>
            </w:tcMar>
            <w:vAlign w:val="center"/>
          </w:tcPr>
          <w:p w14:paraId="056927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27.9</w:t>
            </w:r>
          </w:p>
        </w:tc>
        <w:tc>
          <w:tcPr>
            <w:tcW w:w="463" w:type="dxa"/>
            <w:shd w:val="clear" w:color="auto" w:fill="auto"/>
            <w:tcMar>
              <w:top w:w="0" w:type="dxa"/>
              <w:left w:w="0" w:type="dxa"/>
              <w:bottom w:w="0" w:type="dxa"/>
              <w:right w:w="0" w:type="dxa"/>
            </w:tcMar>
            <w:vAlign w:val="center"/>
          </w:tcPr>
          <w:p w14:paraId="023748C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7DBB31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23DA823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438AC4E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40" w:type="dxa"/>
            <w:shd w:val="clear" w:color="auto" w:fill="auto"/>
            <w:tcMar>
              <w:top w:w="0" w:type="dxa"/>
              <w:left w:w="0" w:type="dxa"/>
              <w:bottom w:w="0" w:type="dxa"/>
              <w:right w:w="0" w:type="dxa"/>
            </w:tcMar>
            <w:vAlign w:val="center"/>
          </w:tcPr>
          <w:p w14:paraId="7632F10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60AF27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3D43F0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72AC74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6851C91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1F2F2B0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1E24CE4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0206C4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2373903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671" w:type="dxa"/>
            <w:shd w:val="clear" w:color="auto" w:fill="auto"/>
            <w:tcMar>
              <w:top w:w="0" w:type="dxa"/>
              <w:left w:w="0" w:type="dxa"/>
              <w:bottom w:w="0" w:type="dxa"/>
              <w:right w:w="0" w:type="dxa"/>
            </w:tcMar>
            <w:vAlign w:val="center"/>
          </w:tcPr>
          <w:p w14:paraId="2F7F01D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3ED3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2E7C23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1059" w:type="dxa"/>
            <w:shd w:val="clear" w:color="auto" w:fill="auto"/>
            <w:tcMar>
              <w:top w:w="0" w:type="dxa"/>
              <w:left w:w="0" w:type="dxa"/>
              <w:bottom w:w="0" w:type="dxa"/>
              <w:right w:w="0" w:type="dxa"/>
            </w:tcMar>
            <w:vAlign w:val="center"/>
          </w:tcPr>
          <w:p w14:paraId="5C2E872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70697E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挤出机7</w:t>
            </w:r>
          </w:p>
        </w:tc>
        <w:tc>
          <w:tcPr>
            <w:tcW w:w="619" w:type="dxa"/>
            <w:shd w:val="clear" w:color="auto" w:fill="auto"/>
            <w:tcMar>
              <w:top w:w="0" w:type="dxa"/>
              <w:left w:w="0" w:type="dxa"/>
              <w:bottom w:w="0" w:type="dxa"/>
              <w:right w:w="0" w:type="dxa"/>
            </w:tcMar>
            <w:vAlign w:val="center"/>
          </w:tcPr>
          <w:p w14:paraId="4160478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80</w:t>
            </w:r>
          </w:p>
        </w:tc>
        <w:tc>
          <w:tcPr>
            <w:tcW w:w="510" w:type="dxa"/>
            <w:vMerge w:val="continue"/>
            <w:shd w:val="clear" w:color="auto" w:fill="auto"/>
            <w:tcMar>
              <w:top w:w="0" w:type="dxa"/>
              <w:left w:w="0" w:type="dxa"/>
              <w:bottom w:w="0" w:type="dxa"/>
              <w:right w:w="0" w:type="dxa"/>
            </w:tcMar>
            <w:vAlign w:val="center"/>
          </w:tcPr>
          <w:p w14:paraId="3DF265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30A4656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w:t>
            </w:r>
          </w:p>
        </w:tc>
        <w:tc>
          <w:tcPr>
            <w:tcW w:w="569" w:type="dxa"/>
            <w:shd w:val="clear" w:color="auto" w:fill="auto"/>
            <w:tcMar>
              <w:top w:w="0" w:type="dxa"/>
              <w:left w:w="0" w:type="dxa"/>
              <w:bottom w:w="0" w:type="dxa"/>
              <w:right w:w="0" w:type="dxa"/>
            </w:tcMar>
            <w:vAlign w:val="center"/>
          </w:tcPr>
          <w:p w14:paraId="42B9BF6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604" w:type="dxa"/>
            <w:shd w:val="clear" w:color="auto" w:fill="auto"/>
            <w:tcMar>
              <w:top w:w="0" w:type="dxa"/>
              <w:left w:w="0" w:type="dxa"/>
              <w:bottom w:w="0" w:type="dxa"/>
              <w:right w:w="0" w:type="dxa"/>
            </w:tcMar>
            <w:vAlign w:val="center"/>
          </w:tcPr>
          <w:p w14:paraId="6C78FE0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7667066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38.9</w:t>
            </w:r>
          </w:p>
        </w:tc>
        <w:tc>
          <w:tcPr>
            <w:tcW w:w="466" w:type="dxa"/>
            <w:shd w:val="clear" w:color="auto" w:fill="auto"/>
            <w:tcMar>
              <w:top w:w="0" w:type="dxa"/>
              <w:left w:w="0" w:type="dxa"/>
              <w:bottom w:w="0" w:type="dxa"/>
              <w:right w:w="0" w:type="dxa"/>
            </w:tcMar>
            <w:vAlign w:val="center"/>
          </w:tcPr>
          <w:p w14:paraId="5B6591D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33.1</w:t>
            </w:r>
          </w:p>
        </w:tc>
        <w:tc>
          <w:tcPr>
            <w:tcW w:w="551" w:type="dxa"/>
            <w:shd w:val="clear" w:color="auto" w:fill="auto"/>
            <w:tcMar>
              <w:top w:w="0" w:type="dxa"/>
              <w:left w:w="0" w:type="dxa"/>
              <w:bottom w:w="0" w:type="dxa"/>
              <w:right w:w="0" w:type="dxa"/>
            </w:tcMar>
            <w:vAlign w:val="center"/>
          </w:tcPr>
          <w:p w14:paraId="590C7B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32.0</w:t>
            </w:r>
          </w:p>
        </w:tc>
        <w:tc>
          <w:tcPr>
            <w:tcW w:w="510" w:type="dxa"/>
            <w:shd w:val="clear" w:color="auto" w:fill="auto"/>
            <w:tcMar>
              <w:top w:w="0" w:type="dxa"/>
              <w:left w:w="0" w:type="dxa"/>
              <w:bottom w:w="0" w:type="dxa"/>
              <w:right w:w="0" w:type="dxa"/>
            </w:tcMar>
            <w:vAlign w:val="center"/>
          </w:tcPr>
          <w:p w14:paraId="142CEC5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32.4</w:t>
            </w:r>
          </w:p>
        </w:tc>
        <w:tc>
          <w:tcPr>
            <w:tcW w:w="463" w:type="dxa"/>
            <w:shd w:val="clear" w:color="auto" w:fill="auto"/>
            <w:tcMar>
              <w:top w:w="0" w:type="dxa"/>
              <w:left w:w="0" w:type="dxa"/>
              <w:bottom w:w="0" w:type="dxa"/>
              <w:right w:w="0" w:type="dxa"/>
            </w:tcMar>
            <w:vAlign w:val="center"/>
          </w:tcPr>
          <w:p w14:paraId="3E2D9F9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6BAA8F6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1675CF0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0C11C9D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40" w:type="dxa"/>
            <w:shd w:val="clear" w:color="auto" w:fill="auto"/>
            <w:tcMar>
              <w:top w:w="0" w:type="dxa"/>
              <w:left w:w="0" w:type="dxa"/>
              <w:bottom w:w="0" w:type="dxa"/>
              <w:right w:w="0" w:type="dxa"/>
            </w:tcMar>
            <w:vAlign w:val="center"/>
          </w:tcPr>
          <w:p w14:paraId="5C3D082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3BDCA5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083DC7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6FF682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2956AB1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1DF5641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1F8C231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1A6A6A0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233019E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671" w:type="dxa"/>
            <w:shd w:val="clear" w:color="auto" w:fill="auto"/>
            <w:tcMar>
              <w:top w:w="0" w:type="dxa"/>
              <w:left w:w="0" w:type="dxa"/>
              <w:bottom w:w="0" w:type="dxa"/>
              <w:right w:w="0" w:type="dxa"/>
            </w:tcMar>
            <w:vAlign w:val="center"/>
          </w:tcPr>
          <w:p w14:paraId="0FB96BA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5C49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30B6B4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1059" w:type="dxa"/>
            <w:shd w:val="clear" w:color="auto" w:fill="auto"/>
            <w:tcMar>
              <w:top w:w="0" w:type="dxa"/>
              <w:left w:w="0" w:type="dxa"/>
              <w:bottom w:w="0" w:type="dxa"/>
              <w:right w:w="0" w:type="dxa"/>
            </w:tcMar>
            <w:vAlign w:val="center"/>
          </w:tcPr>
          <w:p w14:paraId="3213EEE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19763E2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挤出机8</w:t>
            </w:r>
          </w:p>
        </w:tc>
        <w:tc>
          <w:tcPr>
            <w:tcW w:w="619" w:type="dxa"/>
            <w:shd w:val="clear" w:color="auto" w:fill="auto"/>
            <w:tcMar>
              <w:top w:w="0" w:type="dxa"/>
              <w:left w:w="0" w:type="dxa"/>
              <w:bottom w:w="0" w:type="dxa"/>
              <w:right w:w="0" w:type="dxa"/>
            </w:tcMar>
            <w:vAlign w:val="center"/>
          </w:tcPr>
          <w:p w14:paraId="25128DD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80</w:t>
            </w:r>
          </w:p>
        </w:tc>
        <w:tc>
          <w:tcPr>
            <w:tcW w:w="510" w:type="dxa"/>
            <w:vMerge w:val="continue"/>
            <w:shd w:val="clear" w:color="auto" w:fill="auto"/>
            <w:tcMar>
              <w:top w:w="0" w:type="dxa"/>
              <w:left w:w="0" w:type="dxa"/>
              <w:bottom w:w="0" w:type="dxa"/>
              <w:right w:w="0" w:type="dxa"/>
            </w:tcMar>
            <w:vAlign w:val="center"/>
          </w:tcPr>
          <w:p w14:paraId="4D8F68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3697D1A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w:t>
            </w:r>
          </w:p>
        </w:tc>
        <w:tc>
          <w:tcPr>
            <w:tcW w:w="569" w:type="dxa"/>
            <w:shd w:val="clear" w:color="auto" w:fill="auto"/>
            <w:tcMar>
              <w:top w:w="0" w:type="dxa"/>
              <w:left w:w="0" w:type="dxa"/>
              <w:bottom w:w="0" w:type="dxa"/>
              <w:right w:w="0" w:type="dxa"/>
            </w:tcMar>
            <w:vAlign w:val="center"/>
          </w:tcPr>
          <w:p w14:paraId="249BA7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w:t>
            </w:r>
          </w:p>
        </w:tc>
        <w:tc>
          <w:tcPr>
            <w:tcW w:w="604" w:type="dxa"/>
            <w:shd w:val="clear" w:color="auto" w:fill="auto"/>
            <w:tcMar>
              <w:top w:w="0" w:type="dxa"/>
              <w:left w:w="0" w:type="dxa"/>
              <w:bottom w:w="0" w:type="dxa"/>
              <w:right w:w="0" w:type="dxa"/>
            </w:tcMar>
            <w:vAlign w:val="center"/>
          </w:tcPr>
          <w:p w14:paraId="2D89B04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0D14219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39.2</w:t>
            </w:r>
          </w:p>
        </w:tc>
        <w:tc>
          <w:tcPr>
            <w:tcW w:w="466" w:type="dxa"/>
            <w:shd w:val="clear" w:color="auto" w:fill="auto"/>
            <w:tcMar>
              <w:top w:w="0" w:type="dxa"/>
              <w:left w:w="0" w:type="dxa"/>
              <w:bottom w:w="0" w:type="dxa"/>
              <w:right w:w="0" w:type="dxa"/>
            </w:tcMar>
            <w:vAlign w:val="center"/>
          </w:tcPr>
          <w:p w14:paraId="52EFF04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28.5</w:t>
            </w:r>
          </w:p>
        </w:tc>
        <w:tc>
          <w:tcPr>
            <w:tcW w:w="551" w:type="dxa"/>
            <w:shd w:val="clear" w:color="auto" w:fill="auto"/>
            <w:tcMar>
              <w:top w:w="0" w:type="dxa"/>
              <w:left w:w="0" w:type="dxa"/>
              <w:bottom w:w="0" w:type="dxa"/>
              <w:right w:w="0" w:type="dxa"/>
            </w:tcMar>
            <w:vAlign w:val="center"/>
          </w:tcPr>
          <w:p w14:paraId="0164B8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31.9</w:t>
            </w:r>
          </w:p>
        </w:tc>
        <w:tc>
          <w:tcPr>
            <w:tcW w:w="510" w:type="dxa"/>
            <w:shd w:val="clear" w:color="auto" w:fill="auto"/>
            <w:tcMar>
              <w:top w:w="0" w:type="dxa"/>
              <w:left w:w="0" w:type="dxa"/>
              <w:bottom w:w="0" w:type="dxa"/>
              <w:right w:w="0" w:type="dxa"/>
            </w:tcMar>
            <w:vAlign w:val="center"/>
          </w:tcPr>
          <w:p w14:paraId="79E7C32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37.0</w:t>
            </w:r>
          </w:p>
        </w:tc>
        <w:tc>
          <w:tcPr>
            <w:tcW w:w="463" w:type="dxa"/>
            <w:shd w:val="clear" w:color="auto" w:fill="auto"/>
            <w:tcMar>
              <w:top w:w="0" w:type="dxa"/>
              <w:left w:w="0" w:type="dxa"/>
              <w:bottom w:w="0" w:type="dxa"/>
              <w:right w:w="0" w:type="dxa"/>
            </w:tcMar>
            <w:vAlign w:val="center"/>
          </w:tcPr>
          <w:p w14:paraId="3874331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042581D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100A9E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3028AC3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40" w:type="dxa"/>
            <w:shd w:val="clear" w:color="auto" w:fill="auto"/>
            <w:tcMar>
              <w:top w:w="0" w:type="dxa"/>
              <w:left w:w="0" w:type="dxa"/>
              <w:bottom w:w="0" w:type="dxa"/>
              <w:right w:w="0" w:type="dxa"/>
            </w:tcMar>
            <w:vAlign w:val="center"/>
          </w:tcPr>
          <w:p w14:paraId="7526EBD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166ABD7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710E9A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2BCA23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7B81A1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33027C8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17DCC0B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404F96E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798BEE1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671" w:type="dxa"/>
            <w:shd w:val="clear" w:color="auto" w:fill="auto"/>
            <w:tcMar>
              <w:top w:w="0" w:type="dxa"/>
              <w:left w:w="0" w:type="dxa"/>
              <w:bottom w:w="0" w:type="dxa"/>
              <w:right w:w="0" w:type="dxa"/>
            </w:tcMar>
            <w:vAlign w:val="center"/>
          </w:tcPr>
          <w:p w14:paraId="297196B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2009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5E011F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w:t>
            </w:r>
          </w:p>
        </w:tc>
        <w:tc>
          <w:tcPr>
            <w:tcW w:w="1059" w:type="dxa"/>
            <w:shd w:val="clear" w:color="auto" w:fill="auto"/>
            <w:tcMar>
              <w:top w:w="0" w:type="dxa"/>
              <w:left w:w="0" w:type="dxa"/>
              <w:bottom w:w="0" w:type="dxa"/>
              <w:right w:w="0" w:type="dxa"/>
            </w:tcMar>
            <w:vAlign w:val="center"/>
          </w:tcPr>
          <w:p w14:paraId="7B73DCC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2DE90A6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挤出机9</w:t>
            </w:r>
          </w:p>
        </w:tc>
        <w:tc>
          <w:tcPr>
            <w:tcW w:w="619" w:type="dxa"/>
            <w:shd w:val="clear" w:color="auto" w:fill="auto"/>
            <w:tcMar>
              <w:top w:w="0" w:type="dxa"/>
              <w:left w:w="0" w:type="dxa"/>
              <w:bottom w:w="0" w:type="dxa"/>
              <w:right w:w="0" w:type="dxa"/>
            </w:tcMar>
            <w:vAlign w:val="center"/>
          </w:tcPr>
          <w:p w14:paraId="270A299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80</w:t>
            </w:r>
          </w:p>
        </w:tc>
        <w:tc>
          <w:tcPr>
            <w:tcW w:w="510" w:type="dxa"/>
            <w:vMerge w:val="continue"/>
            <w:shd w:val="clear" w:color="auto" w:fill="auto"/>
            <w:tcMar>
              <w:top w:w="0" w:type="dxa"/>
              <w:left w:w="0" w:type="dxa"/>
              <w:bottom w:w="0" w:type="dxa"/>
              <w:right w:w="0" w:type="dxa"/>
            </w:tcMar>
            <w:vAlign w:val="center"/>
          </w:tcPr>
          <w:p w14:paraId="758581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1FA33C8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-7.3</w:t>
            </w:r>
          </w:p>
        </w:tc>
        <w:tc>
          <w:tcPr>
            <w:tcW w:w="569" w:type="dxa"/>
            <w:shd w:val="clear" w:color="auto" w:fill="auto"/>
            <w:tcMar>
              <w:top w:w="0" w:type="dxa"/>
              <w:left w:w="0" w:type="dxa"/>
              <w:bottom w:w="0" w:type="dxa"/>
              <w:right w:w="0" w:type="dxa"/>
            </w:tcMar>
            <w:vAlign w:val="center"/>
          </w:tcPr>
          <w:p w14:paraId="19265BF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w:t>
            </w:r>
          </w:p>
        </w:tc>
        <w:tc>
          <w:tcPr>
            <w:tcW w:w="604" w:type="dxa"/>
            <w:shd w:val="clear" w:color="auto" w:fill="auto"/>
            <w:tcMar>
              <w:top w:w="0" w:type="dxa"/>
              <w:left w:w="0" w:type="dxa"/>
              <w:bottom w:w="0" w:type="dxa"/>
              <w:right w:w="0" w:type="dxa"/>
            </w:tcMar>
            <w:vAlign w:val="center"/>
          </w:tcPr>
          <w:p w14:paraId="5B889B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4C2F7C0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39.6</w:t>
            </w:r>
          </w:p>
        </w:tc>
        <w:tc>
          <w:tcPr>
            <w:tcW w:w="466" w:type="dxa"/>
            <w:shd w:val="clear" w:color="auto" w:fill="auto"/>
            <w:tcMar>
              <w:top w:w="0" w:type="dxa"/>
              <w:left w:w="0" w:type="dxa"/>
              <w:bottom w:w="0" w:type="dxa"/>
              <w:right w:w="0" w:type="dxa"/>
            </w:tcMar>
            <w:vAlign w:val="center"/>
          </w:tcPr>
          <w:p w14:paraId="7EEA818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24.7</w:t>
            </w:r>
          </w:p>
        </w:tc>
        <w:tc>
          <w:tcPr>
            <w:tcW w:w="551" w:type="dxa"/>
            <w:shd w:val="clear" w:color="auto" w:fill="auto"/>
            <w:tcMar>
              <w:top w:w="0" w:type="dxa"/>
              <w:left w:w="0" w:type="dxa"/>
              <w:bottom w:w="0" w:type="dxa"/>
              <w:right w:w="0" w:type="dxa"/>
            </w:tcMar>
            <w:vAlign w:val="center"/>
          </w:tcPr>
          <w:p w14:paraId="178905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31.6</w:t>
            </w:r>
          </w:p>
        </w:tc>
        <w:tc>
          <w:tcPr>
            <w:tcW w:w="510" w:type="dxa"/>
            <w:shd w:val="clear" w:color="auto" w:fill="auto"/>
            <w:tcMar>
              <w:top w:w="0" w:type="dxa"/>
              <w:left w:w="0" w:type="dxa"/>
              <w:bottom w:w="0" w:type="dxa"/>
              <w:right w:w="0" w:type="dxa"/>
            </w:tcMar>
            <w:vAlign w:val="center"/>
          </w:tcPr>
          <w:p w14:paraId="19AB9BA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40.7</w:t>
            </w:r>
          </w:p>
        </w:tc>
        <w:tc>
          <w:tcPr>
            <w:tcW w:w="463" w:type="dxa"/>
            <w:shd w:val="clear" w:color="auto" w:fill="auto"/>
            <w:tcMar>
              <w:top w:w="0" w:type="dxa"/>
              <w:left w:w="0" w:type="dxa"/>
              <w:bottom w:w="0" w:type="dxa"/>
              <w:right w:w="0" w:type="dxa"/>
            </w:tcMar>
            <w:vAlign w:val="center"/>
          </w:tcPr>
          <w:p w14:paraId="7077885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4EE44D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015FE2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028831D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40" w:type="dxa"/>
            <w:shd w:val="clear" w:color="auto" w:fill="auto"/>
            <w:tcMar>
              <w:top w:w="0" w:type="dxa"/>
              <w:left w:w="0" w:type="dxa"/>
              <w:bottom w:w="0" w:type="dxa"/>
              <w:right w:w="0" w:type="dxa"/>
            </w:tcMar>
            <w:vAlign w:val="center"/>
          </w:tcPr>
          <w:p w14:paraId="6D6DD0B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3C0CA28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4C58E5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BDAFD9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357F8B8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64611E2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1FDA5CC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781620F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19DB116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671" w:type="dxa"/>
            <w:shd w:val="clear" w:color="auto" w:fill="auto"/>
            <w:tcMar>
              <w:top w:w="0" w:type="dxa"/>
              <w:left w:w="0" w:type="dxa"/>
              <w:bottom w:w="0" w:type="dxa"/>
              <w:right w:w="0" w:type="dxa"/>
            </w:tcMar>
            <w:vAlign w:val="center"/>
          </w:tcPr>
          <w:p w14:paraId="5670E87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2310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0FA7615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1059" w:type="dxa"/>
            <w:shd w:val="clear" w:color="auto" w:fill="auto"/>
            <w:tcMar>
              <w:top w:w="0" w:type="dxa"/>
              <w:left w:w="0" w:type="dxa"/>
              <w:bottom w:w="0" w:type="dxa"/>
              <w:right w:w="0" w:type="dxa"/>
            </w:tcMar>
            <w:vAlign w:val="center"/>
          </w:tcPr>
          <w:p w14:paraId="77CC9E6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6439DA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挤出机10</w:t>
            </w:r>
          </w:p>
        </w:tc>
        <w:tc>
          <w:tcPr>
            <w:tcW w:w="619" w:type="dxa"/>
            <w:shd w:val="clear" w:color="auto" w:fill="auto"/>
            <w:tcMar>
              <w:top w:w="0" w:type="dxa"/>
              <w:left w:w="0" w:type="dxa"/>
              <w:bottom w:w="0" w:type="dxa"/>
              <w:right w:w="0" w:type="dxa"/>
            </w:tcMar>
            <w:vAlign w:val="center"/>
          </w:tcPr>
          <w:p w14:paraId="29D15A6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80</w:t>
            </w:r>
          </w:p>
        </w:tc>
        <w:tc>
          <w:tcPr>
            <w:tcW w:w="510" w:type="dxa"/>
            <w:vMerge w:val="continue"/>
            <w:shd w:val="clear" w:color="auto" w:fill="auto"/>
            <w:tcMar>
              <w:top w:w="0" w:type="dxa"/>
              <w:left w:w="0" w:type="dxa"/>
              <w:bottom w:w="0" w:type="dxa"/>
              <w:right w:w="0" w:type="dxa"/>
            </w:tcMar>
            <w:vAlign w:val="center"/>
          </w:tcPr>
          <w:p w14:paraId="3D982E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47432C3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-8.9</w:t>
            </w:r>
          </w:p>
        </w:tc>
        <w:tc>
          <w:tcPr>
            <w:tcW w:w="569" w:type="dxa"/>
            <w:shd w:val="clear" w:color="auto" w:fill="auto"/>
            <w:tcMar>
              <w:top w:w="0" w:type="dxa"/>
              <w:left w:w="0" w:type="dxa"/>
              <w:bottom w:w="0" w:type="dxa"/>
              <w:right w:w="0" w:type="dxa"/>
            </w:tcMar>
            <w:vAlign w:val="center"/>
          </w:tcPr>
          <w:p w14:paraId="13DEFA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-10.1</w:t>
            </w:r>
          </w:p>
        </w:tc>
        <w:tc>
          <w:tcPr>
            <w:tcW w:w="604" w:type="dxa"/>
            <w:shd w:val="clear" w:color="auto" w:fill="auto"/>
            <w:tcMar>
              <w:top w:w="0" w:type="dxa"/>
              <w:left w:w="0" w:type="dxa"/>
              <w:bottom w:w="0" w:type="dxa"/>
              <w:right w:w="0" w:type="dxa"/>
            </w:tcMar>
            <w:vAlign w:val="center"/>
          </w:tcPr>
          <w:p w14:paraId="46E07B8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08B63E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39.1</w:t>
            </w:r>
          </w:p>
        </w:tc>
        <w:tc>
          <w:tcPr>
            <w:tcW w:w="466" w:type="dxa"/>
            <w:shd w:val="clear" w:color="auto" w:fill="auto"/>
            <w:tcMar>
              <w:top w:w="0" w:type="dxa"/>
              <w:left w:w="0" w:type="dxa"/>
              <w:bottom w:w="0" w:type="dxa"/>
              <w:right w:w="0" w:type="dxa"/>
            </w:tcMar>
            <w:vAlign w:val="center"/>
          </w:tcPr>
          <w:p w14:paraId="3C808D6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19.9</w:t>
            </w:r>
          </w:p>
        </w:tc>
        <w:tc>
          <w:tcPr>
            <w:tcW w:w="551" w:type="dxa"/>
            <w:shd w:val="clear" w:color="auto" w:fill="auto"/>
            <w:tcMar>
              <w:top w:w="0" w:type="dxa"/>
              <w:left w:w="0" w:type="dxa"/>
              <w:bottom w:w="0" w:type="dxa"/>
              <w:right w:w="0" w:type="dxa"/>
            </w:tcMar>
            <w:vAlign w:val="center"/>
          </w:tcPr>
          <w:p w14:paraId="558D431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32.2</w:t>
            </w:r>
          </w:p>
        </w:tc>
        <w:tc>
          <w:tcPr>
            <w:tcW w:w="510" w:type="dxa"/>
            <w:shd w:val="clear" w:color="auto" w:fill="auto"/>
            <w:tcMar>
              <w:top w:w="0" w:type="dxa"/>
              <w:left w:w="0" w:type="dxa"/>
              <w:bottom w:w="0" w:type="dxa"/>
              <w:right w:w="0" w:type="dxa"/>
            </w:tcMar>
            <w:vAlign w:val="center"/>
          </w:tcPr>
          <w:p w14:paraId="32C2DA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45.6</w:t>
            </w:r>
          </w:p>
        </w:tc>
        <w:tc>
          <w:tcPr>
            <w:tcW w:w="463" w:type="dxa"/>
            <w:shd w:val="clear" w:color="auto" w:fill="auto"/>
            <w:tcMar>
              <w:top w:w="0" w:type="dxa"/>
              <w:left w:w="0" w:type="dxa"/>
              <w:bottom w:w="0" w:type="dxa"/>
              <w:right w:w="0" w:type="dxa"/>
            </w:tcMar>
            <w:vAlign w:val="center"/>
          </w:tcPr>
          <w:p w14:paraId="274F62D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614F7A6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222D253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3487049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40" w:type="dxa"/>
            <w:shd w:val="clear" w:color="auto" w:fill="auto"/>
            <w:tcMar>
              <w:top w:w="0" w:type="dxa"/>
              <w:left w:w="0" w:type="dxa"/>
              <w:bottom w:w="0" w:type="dxa"/>
              <w:right w:w="0" w:type="dxa"/>
            </w:tcMar>
            <w:vAlign w:val="center"/>
          </w:tcPr>
          <w:p w14:paraId="25B6B0F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0244067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234D9F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D646AD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14489C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7E2FDB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599A192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2C74296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37CD4B8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671" w:type="dxa"/>
            <w:shd w:val="clear" w:color="auto" w:fill="auto"/>
            <w:tcMar>
              <w:top w:w="0" w:type="dxa"/>
              <w:left w:w="0" w:type="dxa"/>
              <w:bottom w:w="0" w:type="dxa"/>
              <w:right w:w="0" w:type="dxa"/>
            </w:tcMar>
            <w:vAlign w:val="center"/>
          </w:tcPr>
          <w:p w14:paraId="2AE9DC2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30BF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3D9FAF4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p>
        </w:tc>
        <w:tc>
          <w:tcPr>
            <w:tcW w:w="1059" w:type="dxa"/>
            <w:shd w:val="clear" w:color="auto" w:fill="auto"/>
            <w:tcMar>
              <w:top w:w="0" w:type="dxa"/>
              <w:left w:w="0" w:type="dxa"/>
              <w:bottom w:w="0" w:type="dxa"/>
              <w:right w:w="0" w:type="dxa"/>
            </w:tcMar>
            <w:vAlign w:val="center"/>
          </w:tcPr>
          <w:p w14:paraId="320A2B9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78602EA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冷却定型装置1</w:t>
            </w:r>
          </w:p>
        </w:tc>
        <w:tc>
          <w:tcPr>
            <w:tcW w:w="619" w:type="dxa"/>
            <w:shd w:val="clear" w:color="auto" w:fill="auto"/>
            <w:tcMar>
              <w:top w:w="0" w:type="dxa"/>
              <w:left w:w="0" w:type="dxa"/>
              <w:bottom w:w="0" w:type="dxa"/>
              <w:right w:w="0" w:type="dxa"/>
            </w:tcMar>
            <w:vAlign w:val="center"/>
          </w:tcPr>
          <w:p w14:paraId="309BAAA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4B6264E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20DAA80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10.8</w:t>
            </w:r>
          </w:p>
        </w:tc>
        <w:tc>
          <w:tcPr>
            <w:tcW w:w="569" w:type="dxa"/>
            <w:shd w:val="clear" w:color="auto" w:fill="auto"/>
            <w:tcMar>
              <w:top w:w="0" w:type="dxa"/>
              <w:left w:w="0" w:type="dxa"/>
              <w:bottom w:w="0" w:type="dxa"/>
              <w:right w:w="0" w:type="dxa"/>
            </w:tcMar>
            <w:vAlign w:val="center"/>
          </w:tcPr>
          <w:p w14:paraId="60313E6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23.2</w:t>
            </w:r>
          </w:p>
        </w:tc>
        <w:tc>
          <w:tcPr>
            <w:tcW w:w="604" w:type="dxa"/>
            <w:shd w:val="clear" w:color="auto" w:fill="auto"/>
            <w:tcMar>
              <w:top w:w="0" w:type="dxa"/>
              <w:left w:w="0" w:type="dxa"/>
              <w:bottom w:w="0" w:type="dxa"/>
              <w:right w:w="0" w:type="dxa"/>
            </w:tcMar>
            <w:vAlign w:val="center"/>
          </w:tcPr>
          <w:p w14:paraId="0253FCC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141D488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35.2</w:t>
            </w:r>
          </w:p>
        </w:tc>
        <w:tc>
          <w:tcPr>
            <w:tcW w:w="466" w:type="dxa"/>
            <w:shd w:val="clear" w:color="auto" w:fill="auto"/>
            <w:tcMar>
              <w:top w:w="0" w:type="dxa"/>
              <w:left w:w="0" w:type="dxa"/>
              <w:bottom w:w="0" w:type="dxa"/>
              <w:right w:w="0" w:type="dxa"/>
            </w:tcMar>
            <w:vAlign w:val="center"/>
          </w:tcPr>
          <w:p w14:paraId="2E35755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58.5</w:t>
            </w:r>
          </w:p>
        </w:tc>
        <w:tc>
          <w:tcPr>
            <w:tcW w:w="551" w:type="dxa"/>
            <w:shd w:val="clear" w:color="auto" w:fill="auto"/>
            <w:tcMar>
              <w:top w:w="0" w:type="dxa"/>
              <w:left w:w="0" w:type="dxa"/>
              <w:bottom w:w="0" w:type="dxa"/>
              <w:right w:w="0" w:type="dxa"/>
            </w:tcMar>
            <w:vAlign w:val="center"/>
          </w:tcPr>
          <w:p w14:paraId="3728E2C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35.0</w:t>
            </w:r>
          </w:p>
        </w:tc>
        <w:tc>
          <w:tcPr>
            <w:tcW w:w="510" w:type="dxa"/>
            <w:shd w:val="clear" w:color="auto" w:fill="auto"/>
            <w:tcMar>
              <w:top w:w="0" w:type="dxa"/>
              <w:left w:w="0" w:type="dxa"/>
              <w:bottom w:w="0" w:type="dxa"/>
              <w:right w:w="0" w:type="dxa"/>
            </w:tcMar>
            <w:vAlign w:val="center"/>
          </w:tcPr>
          <w:p w14:paraId="299A75A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7.1</w:t>
            </w:r>
          </w:p>
        </w:tc>
        <w:tc>
          <w:tcPr>
            <w:tcW w:w="463" w:type="dxa"/>
            <w:shd w:val="clear" w:color="auto" w:fill="auto"/>
            <w:tcMar>
              <w:top w:w="0" w:type="dxa"/>
              <w:left w:w="0" w:type="dxa"/>
              <w:bottom w:w="0" w:type="dxa"/>
              <w:right w:w="0" w:type="dxa"/>
            </w:tcMar>
            <w:vAlign w:val="center"/>
          </w:tcPr>
          <w:p w14:paraId="4E1CAB8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0A988CE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44209F6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104519C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58.2</w:t>
            </w:r>
          </w:p>
        </w:tc>
        <w:tc>
          <w:tcPr>
            <w:tcW w:w="440" w:type="dxa"/>
            <w:shd w:val="clear" w:color="auto" w:fill="auto"/>
            <w:tcMar>
              <w:top w:w="0" w:type="dxa"/>
              <w:left w:w="0" w:type="dxa"/>
              <w:bottom w:w="0" w:type="dxa"/>
              <w:right w:w="0" w:type="dxa"/>
            </w:tcMar>
            <w:vAlign w:val="center"/>
          </w:tcPr>
          <w:p w14:paraId="71D715F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600D4A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792D01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7C6989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2DFBD2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7E6C4C4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6B802E5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2FEB8C3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557" w:type="dxa"/>
            <w:shd w:val="clear" w:color="auto" w:fill="auto"/>
            <w:tcMar>
              <w:top w:w="0" w:type="dxa"/>
              <w:left w:w="0" w:type="dxa"/>
              <w:bottom w:w="0" w:type="dxa"/>
              <w:right w:w="0" w:type="dxa"/>
            </w:tcMar>
            <w:vAlign w:val="center"/>
          </w:tcPr>
          <w:p w14:paraId="075AD0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31.7</w:t>
            </w:r>
          </w:p>
        </w:tc>
        <w:tc>
          <w:tcPr>
            <w:tcW w:w="671" w:type="dxa"/>
            <w:shd w:val="clear" w:color="auto" w:fill="auto"/>
            <w:tcMar>
              <w:top w:w="0" w:type="dxa"/>
              <w:left w:w="0" w:type="dxa"/>
              <w:bottom w:w="0" w:type="dxa"/>
              <w:right w:w="0" w:type="dxa"/>
            </w:tcMar>
            <w:vAlign w:val="center"/>
          </w:tcPr>
          <w:p w14:paraId="0173E00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1178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06A86EA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1059" w:type="dxa"/>
            <w:shd w:val="clear" w:color="auto" w:fill="auto"/>
            <w:tcMar>
              <w:top w:w="0" w:type="dxa"/>
              <w:left w:w="0" w:type="dxa"/>
              <w:bottom w:w="0" w:type="dxa"/>
              <w:right w:w="0" w:type="dxa"/>
            </w:tcMar>
            <w:vAlign w:val="center"/>
          </w:tcPr>
          <w:p w14:paraId="47927AF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1ABCB35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冷却定型装置2</w:t>
            </w:r>
          </w:p>
        </w:tc>
        <w:tc>
          <w:tcPr>
            <w:tcW w:w="619" w:type="dxa"/>
            <w:shd w:val="clear" w:color="auto" w:fill="auto"/>
            <w:tcMar>
              <w:top w:w="0" w:type="dxa"/>
              <w:left w:w="0" w:type="dxa"/>
              <w:bottom w:w="0" w:type="dxa"/>
              <w:right w:w="0" w:type="dxa"/>
            </w:tcMar>
            <w:vAlign w:val="center"/>
          </w:tcPr>
          <w:p w14:paraId="6A1CF9D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19F9895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23962B8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9.3</w:t>
            </w:r>
          </w:p>
        </w:tc>
        <w:tc>
          <w:tcPr>
            <w:tcW w:w="569" w:type="dxa"/>
            <w:shd w:val="clear" w:color="auto" w:fill="auto"/>
            <w:tcMar>
              <w:top w:w="0" w:type="dxa"/>
              <w:left w:w="0" w:type="dxa"/>
              <w:bottom w:w="0" w:type="dxa"/>
              <w:right w:w="0" w:type="dxa"/>
            </w:tcMar>
            <w:vAlign w:val="center"/>
          </w:tcPr>
          <w:p w14:paraId="04D4046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19.5</w:t>
            </w:r>
          </w:p>
        </w:tc>
        <w:tc>
          <w:tcPr>
            <w:tcW w:w="604" w:type="dxa"/>
            <w:shd w:val="clear" w:color="auto" w:fill="auto"/>
            <w:tcMar>
              <w:top w:w="0" w:type="dxa"/>
              <w:left w:w="0" w:type="dxa"/>
              <w:bottom w:w="0" w:type="dxa"/>
              <w:right w:w="0" w:type="dxa"/>
            </w:tcMar>
            <w:vAlign w:val="center"/>
          </w:tcPr>
          <w:p w14:paraId="12FC27D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37A46D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35.0</w:t>
            </w:r>
          </w:p>
        </w:tc>
        <w:tc>
          <w:tcPr>
            <w:tcW w:w="466" w:type="dxa"/>
            <w:shd w:val="clear" w:color="auto" w:fill="auto"/>
            <w:tcMar>
              <w:top w:w="0" w:type="dxa"/>
              <w:left w:w="0" w:type="dxa"/>
              <w:bottom w:w="0" w:type="dxa"/>
              <w:right w:w="0" w:type="dxa"/>
            </w:tcMar>
            <w:vAlign w:val="center"/>
          </w:tcPr>
          <w:p w14:paraId="5182D93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54.5</w:t>
            </w:r>
          </w:p>
        </w:tc>
        <w:tc>
          <w:tcPr>
            <w:tcW w:w="551" w:type="dxa"/>
            <w:shd w:val="clear" w:color="auto" w:fill="auto"/>
            <w:tcMar>
              <w:top w:w="0" w:type="dxa"/>
              <w:left w:w="0" w:type="dxa"/>
              <w:bottom w:w="0" w:type="dxa"/>
              <w:right w:w="0" w:type="dxa"/>
            </w:tcMar>
            <w:vAlign w:val="center"/>
          </w:tcPr>
          <w:p w14:paraId="56E069D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35.3</w:t>
            </w:r>
          </w:p>
        </w:tc>
        <w:tc>
          <w:tcPr>
            <w:tcW w:w="510" w:type="dxa"/>
            <w:shd w:val="clear" w:color="auto" w:fill="auto"/>
            <w:tcMar>
              <w:top w:w="0" w:type="dxa"/>
              <w:left w:w="0" w:type="dxa"/>
              <w:bottom w:w="0" w:type="dxa"/>
              <w:right w:w="0" w:type="dxa"/>
            </w:tcMar>
            <w:vAlign w:val="center"/>
          </w:tcPr>
          <w:p w14:paraId="32E0859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w:t>
            </w:r>
          </w:p>
        </w:tc>
        <w:tc>
          <w:tcPr>
            <w:tcW w:w="463" w:type="dxa"/>
            <w:shd w:val="clear" w:color="auto" w:fill="auto"/>
            <w:tcMar>
              <w:top w:w="0" w:type="dxa"/>
              <w:left w:w="0" w:type="dxa"/>
              <w:bottom w:w="0" w:type="dxa"/>
              <w:right w:w="0" w:type="dxa"/>
            </w:tcMar>
            <w:vAlign w:val="center"/>
          </w:tcPr>
          <w:p w14:paraId="1B88B0F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21B8DD1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087898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068447D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58.0</w:t>
            </w:r>
          </w:p>
        </w:tc>
        <w:tc>
          <w:tcPr>
            <w:tcW w:w="440" w:type="dxa"/>
            <w:shd w:val="clear" w:color="auto" w:fill="auto"/>
            <w:tcMar>
              <w:top w:w="0" w:type="dxa"/>
              <w:left w:w="0" w:type="dxa"/>
              <w:bottom w:w="0" w:type="dxa"/>
              <w:right w:w="0" w:type="dxa"/>
            </w:tcMar>
            <w:vAlign w:val="center"/>
          </w:tcPr>
          <w:p w14:paraId="6D8323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773D528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DAEC0D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EDB24C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67F1926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21C963E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11A3E29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6D42E36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557" w:type="dxa"/>
            <w:shd w:val="clear" w:color="auto" w:fill="auto"/>
            <w:tcMar>
              <w:top w:w="0" w:type="dxa"/>
              <w:left w:w="0" w:type="dxa"/>
              <w:bottom w:w="0" w:type="dxa"/>
              <w:right w:w="0" w:type="dxa"/>
            </w:tcMar>
            <w:vAlign w:val="center"/>
          </w:tcPr>
          <w:p w14:paraId="02024C9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31.5</w:t>
            </w:r>
          </w:p>
        </w:tc>
        <w:tc>
          <w:tcPr>
            <w:tcW w:w="671" w:type="dxa"/>
            <w:shd w:val="clear" w:color="auto" w:fill="auto"/>
            <w:tcMar>
              <w:top w:w="0" w:type="dxa"/>
              <w:left w:w="0" w:type="dxa"/>
              <w:bottom w:w="0" w:type="dxa"/>
              <w:right w:w="0" w:type="dxa"/>
            </w:tcMar>
            <w:vAlign w:val="center"/>
          </w:tcPr>
          <w:p w14:paraId="267FD2D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2168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0BA4DA6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w:t>
            </w:r>
          </w:p>
        </w:tc>
        <w:tc>
          <w:tcPr>
            <w:tcW w:w="1059" w:type="dxa"/>
            <w:shd w:val="clear" w:color="auto" w:fill="auto"/>
            <w:tcMar>
              <w:top w:w="0" w:type="dxa"/>
              <w:left w:w="0" w:type="dxa"/>
              <w:bottom w:w="0" w:type="dxa"/>
              <w:right w:w="0" w:type="dxa"/>
            </w:tcMar>
            <w:vAlign w:val="center"/>
          </w:tcPr>
          <w:p w14:paraId="63912D5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7F87FE2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冷却定型装置3</w:t>
            </w:r>
          </w:p>
        </w:tc>
        <w:tc>
          <w:tcPr>
            <w:tcW w:w="619" w:type="dxa"/>
            <w:shd w:val="clear" w:color="auto" w:fill="auto"/>
            <w:tcMar>
              <w:top w:w="0" w:type="dxa"/>
              <w:left w:w="0" w:type="dxa"/>
              <w:bottom w:w="0" w:type="dxa"/>
              <w:right w:w="0" w:type="dxa"/>
            </w:tcMar>
            <w:vAlign w:val="center"/>
          </w:tcPr>
          <w:p w14:paraId="5D8D166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3FF9BBC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01A68C2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7.7</w:t>
            </w:r>
          </w:p>
        </w:tc>
        <w:tc>
          <w:tcPr>
            <w:tcW w:w="569" w:type="dxa"/>
            <w:shd w:val="clear" w:color="auto" w:fill="auto"/>
            <w:tcMar>
              <w:top w:w="0" w:type="dxa"/>
              <w:left w:w="0" w:type="dxa"/>
              <w:bottom w:w="0" w:type="dxa"/>
              <w:right w:w="0" w:type="dxa"/>
            </w:tcMar>
            <w:vAlign w:val="center"/>
          </w:tcPr>
          <w:p w14:paraId="0B06486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15.8</w:t>
            </w:r>
          </w:p>
        </w:tc>
        <w:tc>
          <w:tcPr>
            <w:tcW w:w="604" w:type="dxa"/>
            <w:shd w:val="clear" w:color="auto" w:fill="auto"/>
            <w:tcMar>
              <w:top w:w="0" w:type="dxa"/>
              <w:left w:w="0" w:type="dxa"/>
              <w:bottom w:w="0" w:type="dxa"/>
              <w:right w:w="0" w:type="dxa"/>
            </w:tcMar>
            <w:vAlign w:val="center"/>
          </w:tcPr>
          <w:p w14:paraId="1ED5834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3F1A90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34.9</w:t>
            </w:r>
          </w:p>
        </w:tc>
        <w:tc>
          <w:tcPr>
            <w:tcW w:w="466" w:type="dxa"/>
            <w:shd w:val="clear" w:color="auto" w:fill="auto"/>
            <w:tcMar>
              <w:top w:w="0" w:type="dxa"/>
              <w:left w:w="0" w:type="dxa"/>
              <w:bottom w:w="0" w:type="dxa"/>
              <w:right w:w="0" w:type="dxa"/>
            </w:tcMar>
            <w:vAlign w:val="center"/>
          </w:tcPr>
          <w:p w14:paraId="1E008A3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50.5</w:t>
            </w:r>
          </w:p>
        </w:tc>
        <w:tc>
          <w:tcPr>
            <w:tcW w:w="551" w:type="dxa"/>
            <w:shd w:val="clear" w:color="auto" w:fill="auto"/>
            <w:tcMar>
              <w:top w:w="0" w:type="dxa"/>
              <w:left w:w="0" w:type="dxa"/>
              <w:bottom w:w="0" w:type="dxa"/>
              <w:right w:w="0" w:type="dxa"/>
            </w:tcMar>
            <w:vAlign w:val="center"/>
          </w:tcPr>
          <w:p w14:paraId="0E5B034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35.5</w:t>
            </w:r>
          </w:p>
        </w:tc>
        <w:tc>
          <w:tcPr>
            <w:tcW w:w="510" w:type="dxa"/>
            <w:shd w:val="clear" w:color="auto" w:fill="auto"/>
            <w:tcMar>
              <w:top w:w="0" w:type="dxa"/>
              <w:left w:w="0" w:type="dxa"/>
              <w:bottom w:w="0" w:type="dxa"/>
              <w:right w:w="0" w:type="dxa"/>
            </w:tcMar>
            <w:vAlign w:val="center"/>
          </w:tcPr>
          <w:p w14:paraId="560C24A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w:t>
            </w:r>
          </w:p>
        </w:tc>
        <w:tc>
          <w:tcPr>
            <w:tcW w:w="463" w:type="dxa"/>
            <w:shd w:val="clear" w:color="auto" w:fill="auto"/>
            <w:tcMar>
              <w:top w:w="0" w:type="dxa"/>
              <w:left w:w="0" w:type="dxa"/>
              <w:bottom w:w="0" w:type="dxa"/>
              <w:right w:w="0" w:type="dxa"/>
            </w:tcMar>
            <w:vAlign w:val="center"/>
          </w:tcPr>
          <w:p w14:paraId="080E66B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4DD72FA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551ED31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6AF09CE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57.9</w:t>
            </w:r>
          </w:p>
        </w:tc>
        <w:tc>
          <w:tcPr>
            <w:tcW w:w="440" w:type="dxa"/>
            <w:shd w:val="clear" w:color="auto" w:fill="auto"/>
            <w:tcMar>
              <w:top w:w="0" w:type="dxa"/>
              <w:left w:w="0" w:type="dxa"/>
              <w:bottom w:w="0" w:type="dxa"/>
              <w:right w:w="0" w:type="dxa"/>
            </w:tcMar>
            <w:vAlign w:val="center"/>
          </w:tcPr>
          <w:p w14:paraId="1A38FD7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09ECFD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E0EE50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B2E7FA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0E27E6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3343734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2EE4F40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77BC983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557" w:type="dxa"/>
            <w:shd w:val="clear" w:color="auto" w:fill="auto"/>
            <w:tcMar>
              <w:top w:w="0" w:type="dxa"/>
              <w:left w:w="0" w:type="dxa"/>
              <w:bottom w:w="0" w:type="dxa"/>
              <w:right w:w="0" w:type="dxa"/>
            </w:tcMar>
            <w:vAlign w:val="center"/>
          </w:tcPr>
          <w:p w14:paraId="0D6799C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31.4</w:t>
            </w:r>
          </w:p>
        </w:tc>
        <w:tc>
          <w:tcPr>
            <w:tcW w:w="671" w:type="dxa"/>
            <w:shd w:val="clear" w:color="auto" w:fill="auto"/>
            <w:tcMar>
              <w:top w:w="0" w:type="dxa"/>
              <w:left w:w="0" w:type="dxa"/>
              <w:bottom w:w="0" w:type="dxa"/>
              <w:right w:w="0" w:type="dxa"/>
            </w:tcMar>
            <w:vAlign w:val="center"/>
          </w:tcPr>
          <w:p w14:paraId="30A5418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05F2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78684B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w:t>
            </w:r>
          </w:p>
        </w:tc>
        <w:tc>
          <w:tcPr>
            <w:tcW w:w="1059" w:type="dxa"/>
            <w:shd w:val="clear" w:color="auto" w:fill="auto"/>
            <w:tcMar>
              <w:top w:w="0" w:type="dxa"/>
              <w:left w:w="0" w:type="dxa"/>
              <w:bottom w:w="0" w:type="dxa"/>
              <w:right w:w="0" w:type="dxa"/>
            </w:tcMar>
            <w:vAlign w:val="center"/>
          </w:tcPr>
          <w:p w14:paraId="7D8DCCF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5AC9250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冷却定型装置4</w:t>
            </w:r>
          </w:p>
        </w:tc>
        <w:tc>
          <w:tcPr>
            <w:tcW w:w="619" w:type="dxa"/>
            <w:shd w:val="clear" w:color="auto" w:fill="auto"/>
            <w:tcMar>
              <w:top w:w="0" w:type="dxa"/>
              <w:left w:w="0" w:type="dxa"/>
              <w:bottom w:w="0" w:type="dxa"/>
              <w:right w:w="0" w:type="dxa"/>
            </w:tcMar>
            <w:vAlign w:val="center"/>
          </w:tcPr>
          <w:p w14:paraId="1679C9E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005A4C6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756982F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w:t>
            </w:r>
          </w:p>
        </w:tc>
        <w:tc>
          <w:tcPr>
            <w:tcW w:w="569" w:type="dxa"/>
            <w:shd w:val="clear" w:color="auto" w:fill="auto"/>
            <w:tcMar>
              <w:top w:w="0" w:type="dxa"/>
              <w:left w:w="0" w:type="dxa"/>
              <w:bottom w:w="0" w:type="dxa"/>
              <w:right w:w="0" w:type="dxa"/>
            </w:tcMar>
            <w:vAlign w:val="center"/>
          </w:tcPr>
          <w:p w14:paraId="04382E2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12.3</w:t>
            </w:r>
          </w:p>
        </w:tc>
        <w:tc>
          <w:tcPr>
            <w:tcW w:w="604" w:type="dxa"/>
            <w:shd w:val="clear" w:color="auto" w:fill="auto"/>
            <w:tcMar>
              <w:top w:w="0" w:type="dxa"/>
              <w:left w:w="0" w:type="dxa"/>
              <w:bottom w:w="0" w:type="dxa"/>
              <w:right w:w="0" w:type="dxa"/>
            </w:tcMar>
            <w:vAlign w:val="center"/>
          </w:tcPr>
          <w:p w14:paraId="54A71EC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62F0F46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34.5</w:t>
            </w:r>
          </w:p>
        </w:tc>
        <w:tc>
          <w:tcPr>
            <w:tcW w:w="466" w:type="dxa"/>
            <w:shd w:val="clear" w:color="auto" w:fill="auto"/>
            <w:tcMar>
              <w:top w:w="0" w:type="dxa"/>
              <w:left w:w="0" w:type="dxa"/>
              <w:bottom w:w="0" w:type="dxa"/>
              <w:right w:w="0" w:type="dxa"/>
            </w:tcMar>
            <w:vAlign w:val="center"/>
          </w:tcPr>
          <w:p w14:paraId="7749B0C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46.8</w:t>
            </w:r>
          </w:p>
        </w:tc>
        <w:tc>
          <w:tcPr>
            <w:tcW w:w="551" w:type="dxa"/>
            <w:shd w:val="clear" w:color="auto" w:fill="auto"/>
            <w:tcMar>
              <w:top w:w="0" w:type="dxa"/>
              <w:left w:w="0" w:type="dxa"/>
              <w:bottom w:w="0" w:type="dxa"/>
              <w:right w:w="0" w:type="dxa"/>
            </w:tcMar>
            <w:vAlign w:val="center"/>
          </w:tcPr>
          <w:p w14:paraId="0374F5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36.0</w:t>
            </w:r>
          </w:p>
        </w:tc>
        <w:tc>
          <w:tcPr>
            <w:tcW w:w="510" w:type="dxa"/>
            <w:shd w:val="clear" w:color="auto" w:fill="auto"/>
            <w:tcMar>
              <w:top w:w="0" w:type="dxa"/>
              <w:left w:w="0" w:type="dxa"/>
              <w:bottom w:w="0" w:type="dxa"/>
              <w:right w:w="0" w:type="dxa"/>
            </w:tcMar>
            <w:vAlign w:val="center"/>
          </w:tcPr>
          <w:p w14:paraId="0B051B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18.8</w:t>
            </w:r>
          </w:p>
        </w:tc>
        <w:tc>
          <w:tcPr>
            <w:tcW w:w="463" w:type="dxa"/>
            <w:shd w:val="clear" w:color="auto" w:fill="auto"/>
            <w:tcMar>
              <w:top w:w="0" w:type="dxa"/>
              <w:left w:w="0" w:type="dxa"/>
              <w:bottom w:w="0" w:type="dxa"/>
              <w:right w:w="0" w:type="dxa"/>
            </w:tcMar>
            <w:vAlign w:val="center"/>
          </w:tcPr>
          <w:p w14:paraId="0F565F9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35CA66F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4271E33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7BBC98B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57.9</w:t>
            </w:r>
          </w:p>
        </w:tc>
        <w:tc>
          <w:tcPr>
            <w:tcW w:w="440" w:type="dxa"/>
            <w:shd w:val="clear" w:color="auto" w:fill="auto"/>
            <w:tcMar>
              <w:top w:w="0" w:type="dxa"/>
              <w:left w:w="0" w:type="dxa"/>
              <w:bottom w:w="0" w:type="dxa"/>
              <w:right w:w="0" w:type="dxa"/>
            </w:tcMar>
            <w:vAlign w:val="center"/>
          </w:tcPr>
          <w:p w14:paraId="1267CEF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7594D4B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F3EE4A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22E6CE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30D26D6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74233D7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033A925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66758A0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557" w:type="dxa"/>
            <w:shd w:val="clear" w:color="auto" w:fill="auto"/>
            <w:tcMar>
              <w:top w:w="0" w:type="dxa"/>
              <w:left w:w="0" w:type="dxa"/>
              <w:bottom w:w="0" w:type="dxa"/>
              <w:right w:w="0" w:type="dxa"/>
            </w:tcMar>
            <w:vAlign w:val="center"/>
          </w:tcPr>
          <w:p w14:paraId="3B37378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31.4</w:t>
            </w:r>
          </w:p>
        </w:tc>
        <w:tc>
          <w:tcPr>
            <w:tcW w:w="671" w:type="dxa"/>
            <w:shd w:val="clear" w:color="auto" w:fill="auto"/>
            <w:tcMar>
              <w:top w:w="0" w:type="dxa"/>
              <w:left w:w="0" w:type="dxa"/>
              <w:bottom w:w="0" w:type="dxa"/>
              <w:right w:w="0" w:type="dxa"/>
            </w:tcMar>
            <w:vAlign w:val="center"/>
          </w:tcPr>
          <w:p w14:paraId="228668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5569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07004B3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w:t>
            </w:r>
          </w:p>
        </w:tc>
        <w:tc>
          <w:tcPr>
            <w:tcW w:w="1059" w:type="dxa"/>
            <w:shd w:val="clear" w:color="auto" w:fill="auto"/>
            <w:tcMar>
              <w:top w:w="0" w:type="dxa"/>
              <w:left w:w="0" w:type="dxa"/>
              <w:bottom w:w="0" w:type="dxa"/>
              <w:right w:w="0" w:type="dxa"/>
            </w:tcMar>
            <w:vAlign w:val="center"/>
          </w:tcPr>
          <w:p w14:paraId="6C860F6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1C866C8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冷却定型装置5</w:t>
            </w:r>
          </w:p>
        </w:tc>
        <w:tc>
          <w:tcPr>
            <w:tcW w:w="619" w:type="dxa"/>
            <w:shd w:val="clear" w:color="auto" w:fill="auto"/>
            <w:tcMar>
              <w:top w:w="0" w:type="dxa"/>
              <w:left w:w="0" w:type="dxa"/>
              <w:bottom w:w="0" w:type="dxa"/>
              <w:right w:w="0" w:type="dxa"/>
            </w:tcMar>
            <w:vAlign w:val="center"/>
          </w:tcPr>
          <w:p w14:paraId="14A995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7FBD974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109B0C7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w:t>
            </w:r>
          </w:p>
        </w:tc>
        <w:tc>
          <w:tcPr>
            <w:tcW w:w="569" w:type="dxa"/>
            <w:shd w:val="clear" w:color="auto" w:fill="auto"/>
            <w:tcMar>
              <w:top w:w="0" w:type="dxa"/>
              <w:left w:w="0" w:type="dxa"/>
              <w:bottom w:w="0" w:type="dxa"/>
              <w:right w:w="0" w:type="dxa"/>
            </w:tcMar>
            <w:vAlign w:val="center"/>
          </w:tcPr>
          <w:p w14:paraId="2772CB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8.6</w:t>
            </w:r>
          </w:p>
        </w:tc>
        <w:tc>
          <w:tcPr>
            <w:tcW w:w="604" w:type="dxa"/>
            <w:shd w:val="clear" w:color="auto" w:fill="auto"/>
            <w:tcMar>
              <w:top w:w="0" w:type="dxa"/>
              <w:left w:w="0" w:type="dxa"/>
              <w:bottom w:w="0" w:type="dxa"/>
              <w:right w:w="0" w:type="dxa"/>
            </w:tcMar>
            <w:vAlign w:val="center"/>
          </w:tcPr>
          <w:p w14:paraId="2E5D99C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5FD69C7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34.9</w:t>
            </w:r>
          </w:p>
        </w:tc>
        <w:tc>
          <w:tcPr>
            <w:tcW w:w="466" w:type="dxa"/>
            <w:shd w:val="clear" w:color="auto" w:fill="auto"/>
            <w:tcMar>
              <w:top w:w="0" w:type="dxa"/>
              <w:left w:w="0" w:type="dxa"/>
              <w:bottom w:w="0" w:type="dxa"/>
              <w:right w:w="0" w:type="dxa"/>
            </w:tcMar>
            <w:vAlign w:val="center"/>
          </w:tcPr>
          <w:p w14:paraId="0EAC101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42.6</w:t>
            </w:r>
          </w:p>
        </w:tc>
        <w:tc>
          <w:tcPr>
            <w:tcW w:w="551" w:type="dxa"/>
            <w:shd w:val="clear" w:color="auto" w:fill="auto"/>
            <w:tcMar>
              <w:top w:w="0" w:type="dxa"/>
              <w:left w:w="0" w:type="dxa"/>
              <w:bottom w:w="0" w:type="dxa"/>
              <w:right w:w="0" w:type="dxa"/>
            </w:tcMar>
            <w:vAlign w:val="center"/>
          </w:tcPr>
          <w:p w14:paraId="31915AE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35.8</w:t>
            </w:r>
          </w:p>
        </w:tc>
        <w:tc>
          <w:tcPr>
            <w:tcW w:w="510" w:type="dxa"/>
            <w:shd w:val="clear" w:color="auto" w:fill="auto"/>
            <w:tcMar>
              <w:top w:w="0" w:type="dxa"/>
              <w:left w:w="0" w:type="dxa"/>
              <w:bottom w:w="0" w:type="dxa"/>
              <w:right w:w="0" w:type="dxa"/>
            </w:tcMar>
            <w:vAlign w:val="center"/>
          </w:tcPr>
          <w:p w14:paraId="0D8E5BA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23.0</w:t>
            </w:r>
          </w:p>
        </w:tc>
        <w:tc>
          <w:tcPr>
            <w:tcW w:w="463" w:type="dxa"/>
            <w:shd w:val="clear" w:color="auto" w:fill="auto"/>
            <w:tcMar>
              <w:top w:w="0" w:type="dxa"/>
              <w:left w:w="0" w:type="dxa"/>
              <w:bottom w:w="0" w:type="dxa"/>
              <w:right w:w="0" w:type="dxa"/>
            </w:tcMar>
            <w:vAlign w:val="center"/>
          </w:tcPr>
          <w:p w14:paraId="67834D6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7AFD964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36DA226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47B538D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40" w:type="dxa"/>
            <w:shd w:val="clear" w:color="auto" w:fill="auto"/>
            <w:tcMar>
              <w:top w:w="0" w:type="dxa"/>
              <w:left w:w="0" w:type="dxa"/>
              <w:bottom w:w="0" w:type="dxa"/>
              <w:right w:w="0" w:type="dxa"/>
            </w:tcMar>
            <w:vAlign w:val="center"/>
          </w:tcPr>
          <w:p w14:paraId="3C7D46B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5D1FDAB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2B8FE2A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5F4F4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00151BA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3D0ADC5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1C1205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4345628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557" w:type="dxa"/>
            <w:shd w:val="clear" w:color="auto" w:fill="auto"/>
            <w:tcMar>
              <w:top w:w="0" w:type="dxa"/>
              <w:left w:w="0" w:type="dxa"/>
              <w:bottom w:w="0" w:type="dxa"/>
              <w:right w:w="0" w:type="dxa"/>
            </w:tcMar>
            <w:vAlign w:val="center"/>
          </w:tcPr>
          <w:p w14:paraId="018DBC4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671" w:type="dxa"/>
            <w:shd w:val="clear" w:color="auto" w:fill="auto"/>
            <w:tcMar>
              <w:top w:w="0" w:type="dxa"/>
              <w:left w:w="0" w:type="dxa"/>
              <w:bottom w:w="0" w:type="dxa"/>
              <w:right w:w="0" w:type="dxa"/>
            </w:tcMar>
            <w:vAlign w:val="center"/>
          </w:tcPr>
          <w:p w14:paraId="074BDF1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1C22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16BB688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w:t>
            </w:r>
          </w:p>
        </w:tc>
        <w:tc>
          <w:tcPr>
            <w:tcW w:w="1059" w:type="dxa"/>
            <w:shd w:val="clear" w:color="auto" w:fill="auto"/>
            <w:tcMar>
              <w:top w:w="0" w:type="dxa"/>
              <w:left w:w="0" w:type="dxa"/>
              <w:bottom w:w="0" w:type="dxa"/>
              <w:right w:w="0" w:type="dxa"/>
            </w:tcMar>
            <w:vAlign w:val="center"/>
          </w:tcPr>
          <w:p w14:paraId="79A923E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3D0B5E7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冷却定型装置6</w:t>
            </w:r>
          </w:p>
        </w:tc>
        <w:tc>
          <w:tcPr>
            <w:tcW w:w="619" w:type="dxa"/>
            <w:shd w:val="clear" w:color="auto" w:fill="auto"/>
            <w:tcMar>
              <w:top w:w="0" w:type="dxa"/>
              <w:left w:w="0" w:type="dxa"/>
              <w:bottom w:w="0" w:type="dxa"/>
              <w:right w:w="0" w:type="dxa"/>
            </w:tcMar>
            <w:vAlign w:val="center"/>
          </w:tcPr>
          <w:p w14:paraId="09EAF76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6F3013D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0433F06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w:t>
            </w:r>
          </w:p>
        </w:tc>
        <w:tc>
          <w:tcPr>
            <w:tcW w:w="569" w:type="dxa"/>
            <w:shd w:val="clear" w:color="auto" w:fill="auto"/>
            <w:tcMar>
              <w:top w:w="0" w:type="dxa"/>
              <w:left w:w="0" w:type="dxa"/>
              <w:bottom w:w="0" w:type="dxa"/>
              <w:right w:w="0" w:type="dxa"/>
            </w:tcMar>
            <w:vAlign w:val="center"/>
          </w:tcPr>
          <w:p w14:paraId="16CC112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4.3</w:t>
            </w:r>
          </w:p>
        </w:tc>
        <w:tc>
          <w:tcPr>
            <w:tcW w:w="604" w:type="dxa"/>
            <w:shd w:val="clear" w:color="auto" w:fill="auto"/>
            <w:tcMar>
              <w:top w:w="0" w:type="dxa"/>
              <w:left w:w="0" w:type="dxa"/>
              <w:bottom w:w="0" w:type="dxa"/>
              <w:right w:w="0" w:type="dxa"/>
            </w:tcMar>
            <w:vAlign w:val="center"/>
          </w:tcPr>
          <w:p w14:paraId="346947D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39CE8F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34.6</w:t>
            </w:r>
          </w:p>
        </w:tc>
        <w:tc>
          <w:tcPr>
            <w:tcW w:w="466" w:type="dxa"/>
            <w:shd w:val="clear" w:color="auto" w:fill="auto"/>
            <w:tcMar>
              <w:top w:w="0" w:type="dxa"/>
              <w:left w:w="0" w:type="dxa"/>
              <w:bottom w:w="0" w:type="dxa"/>
              <w:right w:w="0" w:type="dxa"/>
            </w:tcMar>
            <w:vAlign w:val="center"/>
          </w:tcPr>
          <w:p w14:paraId="50F7867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38.0</w:t>
            </w:r>
          </w:p>
        </w:tc>
        <w:tc>
          <w:tcPr>
            <w:tcW w:w="551" w:type="dxa"/>
            <w:shd w:val="clear" w:color="auto" w:fill="auto"/>
            <w:tcMar>
              <w:top w:w="0" w:type="dxa"/>
              <w:left w:w="0" w:type="dxa"/>
              <w:bottom w:w="0" w:type="dxa"/>
              <w:right w:w="0" w:type="dxa"/>
            </w:tcMar>
            <w:vAlign w:val="center"/>
          </w:tcPr>
          <w:p w14:paraId="29604C6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36.2</w:t>
            </w:r>
          </w:p>
        </w:tc>
        <w:tc>
          <w:tcPr>
            <w:tcW w:w="510" w:type="dxa"/>
            <w:shd w:val="clear" w:color="auto" w:fill="auto"/>
            <w:tcMar>
              <w:top w:w="0" w:type="dxa"/>
              <w:left w:w="0" w:type="dxa"/>
              <w:bottom w:w="0" w:type="dxa"/>
              <w:right w:w="0" w:type="dxa"/>
            </w:tcMar>
            <w:vAlign w:val="center"/>
          </w:tcPr>
          <w:p w14:paraId="25453E4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27.6</w:t>
            </w:r>
          </w:p>
        </w:tc>
        <w:tc>
          <w:tcPr>
            <w:tcW w:w="463" w:type="dxa"/>
            <w:shd w:val="clear" w:color="auto" w:fill="auto"/>
            <w:tcMar>
              <w:top w:w="0" w:type="dxa"/>
              <w:left w:w="0" w:type="dxa"/>
              <w:bottom w:w="0" w:type="dxa"/>
              <w:right w:w="0" w:type="dxa"/>
            </w:tcMar>
            <w:vAlign w:val="center"/>
          </w:tcPr>
          <w:p w14:paraId="2DE1CEB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0E900D6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7EFD3B0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506E816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40" w:type="dxa"/>
            <w:shd w:val="clear" w:color="auto" w:fill="auto"/>
            <w:tcMar>
              <w:top w:w="0" w:type="dxa"/>
              <w:left w:w="0" w:type="dxa"/>
              <w:bottom w:w="0" w:type="dxa"/>
              <w:right w:w="0" w:type="dxa"/>
            </w:tcMar>
            <w:vAlign w:val="center"/>
          </w:tcPr>
          <w:p w14:paraId="7682C18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514A868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51C3F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0E5AB5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470D29F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597FBD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4BFA51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7AAB60C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557" w:type="dxa"/>
            <w:shd w:val="clear" w:color="auto" w:fill="auto"/>
            <w:tcMar>
              <w:top w:w="0" w:type="dxa"/>
              <w:left w:w="0" w:type="dxa"/>
              <w:bottom w:w="0" w:type="dxa"/>
              <w:right w:w="0" w:type="dxa"/>
            </w:tcMar>
            <w:vAlign w:val="center"/>
          </w:tcPr>
          <w:p w14:paraId="3118092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671" w:type="dxa"/>
            <w:shd w:val="clear" w:color="auto" w:fill="auto"/>
            <w:tcMar>
              <w:top w:w="0" w:type="dxa"/>
              <w:left w:w="0" w:type="dxa"/>
              <w:bottom w:w="0" w:type="dxa"/>
              <w:right w:w="0" w:type="dxa"/>
            </w:tcMar>
            <w:vAlign w:val="center"/>
          </w:tcPr>
          <w:p w14:paraId="7467EDF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60D1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2C29F5B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w:t>
            </w:r>
          </w:p>
        </w:tc>
        <w:tc>
          <w:tcPr>
            <w:tcW w:w="1059" w:type="dxa"/>
            <w:shd w:val="clear" w:color="auto" w:fill="auto"/>
            <w:tcMar>
              <w:top w:w="0" w:type="dxa"/>
              <w:left w:w="0" w:type="dxa"/>
              <w:bottom w:w="0" w:type="dxa"/>
              <w:right w:w="0" w:type="dxa"/>
            </w:tcMar>
            <w:vAlign w:val="center"/>
          </w:tcPr>
          <w:p w14:paraId="32ACB14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673244A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冷却定型装置7</w:t>
            </w:r>
          </w:p>
        </w:tc>
        <w:tc>
          <w:tcPr>
            <w:tcW w:w="619" w:type="dxa"/>
            <w:shd w:val="clear" w:color="auto" w:fill="auto"/>
            <w:tcMar>
              <w:top w:w="0" w:type="dxa"/>
              <w:left w:w="0" w:type="dxa"/>
              <w:bottom w:w="0" w:type="dxa"/>
              <w:right w:w="0" w:type="dxa"/>
            </w:tcMar>
            <w:vAlign w:val="center"/>
          </w:tcPr>
          <w:p w14:paraId="203E45A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54901FF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2082891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69" w:type="dxa"/>
            <w:shd w:val="clear" w:color="auto" w:fill="auto"/>
            <w:tcMar>
              <w:top w:w="0" w:type="dxa"/>
              <w:left w:w="0" w:type="dxa"/>
              <w:bottom w:w="0" w:type="dxa"/>
              <w:right w:w="0" w:type="dxa"/>
            </w:tcMar>
            <w:vAlign w:val="center"/>
          </w:tcPr>
          <w:p w14:paraId="77BEB84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-0.3</w:t>
            </w:r>
          </w:p>
        </w:tc>
        <w:tc>
          <w:tcPr>
            <w:tcW w:w="604" w:type="dxa"/>
            <w:shd w:val="clear" w:color="auto" w:fill="auto"/>
            <w:tcMar>
              <w:top w:w="0" w:type="dxa"/>
              <w:left w:w="0" w:type="dxa"/>
              <w:bottom w:w="0" w:type="dxa"/>
              <w:right w:w="0" w:type="dxa"/>
            </w:tcMar>
            <w:vAlign w:val="center"/>
          </w:tcPr>
          <w:p w14:paraId="01B510E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593BD20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34.0</w:t>
            </w:r>
          </w:p>
        </w:tc>
        <w:tc>
          <w:tcPr>
            <w:tcW w:w="466" w:type="dxa"/>
            <w:shd w:val="clear" w:color="auto" w:fill="auto"/>
            <w:tcMar>
              <w:top w:w="0" w:type="dxa"/>
              <w:left w:w="0" w:type="dxa"/>
              <w:bottom w:w="0" w:type="dxa"/>
              <w:right w:w="0" w:type="dxa"/>
            </w:tcMar>
            <w:vAlign w:val="center"/>
          </w:tcPr>
          <w:p w14:paraId="1ABD198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33.2</w:t>
            </w:r>
          </w:p>
        </w:tc>
        <w:tc>
          <w:tcPr>
            <w:tcW w:w="551" w:type="dxa"/>
            <w:shd w:val="clear" w:color="auto" w:fill="auto"/>
            <w:tcMar>
              <w:top w:w="0" w:type="dxa"/>
              <w:left w:w="0" w:type="dxa"/>
              <w:bottom w:w="0" w:type="dxa"/>
              <w:right w:w="0" w:type="dxa"/>
            </w:tcMar>
            <w:vAlign w:val="center"/>
          </w:tcPr>
          <w:p w14:paraId="11E477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36.9</w:t>
            </w:r>
          </w:p>
        </w:tc>
        <w:tc>
          <w:tcPr>
            <w:tcW w:w="510" w:type="dxa"/>
            <w:shd w:val="clear" w:color="auto" w:fill="auto"/>
            <w:tcMar>
              <w:top w:w="0" w:type="dxa"/>
              <w:left w:w="0" w:type="dxa"/>
              <w:bottom w:w="0" w:type="dxa"/>
              <w:right w:w="0" w:type="dxa"/>
            </w:tcMar>
            <w:vAlign w:val="center"/>
          </w:tcPr>
          <w:p w14:paraId="25D5797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32.4</w:t>
            </w:r>
          </w:p>
        </w:tc>
        <w:tc>
          <w:tcPr>
            <w:tcW w:w="463" w:type="dxa"/>
            <w:shd w:val="clear" w:color="auto" w:fill="auto"/>
            <w:tcMar>
              <w:top w:w="0" w:type="dxa"/>
              <w:left w:w="0" w:type="dxa"/>
              <w:bottom w:w="0" w:type="dxa"/>
              <w:right w:w="0" w:type="dxa"/>
            </w:tcMar>
            <w:vAlign w:val="center"/>
          </w:tcPr>
          <w:p w14:paraId="1A780A1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3C0CF01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1EE676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44789D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40" w:type="dxa"/>
            <w:shd w:val="clear" w:color="auto" w:fill="auto"/>
            <w:tcMar>
              <w:top w:w="0" w:type="dxa"/>
              <w:left w:w="0" w:type="dxa"/>
              <w:bottom w:w="0" w:type="dxa"/>
              <w:right w:w="0" w:type="dxa"/>
            </w:tcMar>
            <w:vAlign w:val="center"/>
          </w:tcPr>
          <w:p w14:paraId="589B5A5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53B4D2E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2C4731B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3CE6C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03B6856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0DA3755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575E308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58F06D0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557" w:type="dxa"/>
            <w:shd w:val="clear" w:color="auto" w:fill="auto"/>
            <w:tcMar>
              <w:top w:w="0" w:type="dxa"/>
              <w:left w:w="0" w:type="dxa"/>
              <w:bottom w:w="0" w:type="dxa"/>
              <w:right w:w="0" w:type="dxa"/>
            </w:tcMar>
            <w:vAlign w:val="center"/>
          </w:tcPr>
          <w:p w14:paraId="7820710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671" w:type="dxa"/>
            <w:shd w:val="clear" w:color="auto" w:fill="auto"/>
            <w:tcMar>
              <w:top w:w="0" w:type="dxa"/>
              <w:left w:w="0" w:type="dxa"/>
              <w:bottom w:w="0" w:type="dxa"/>
              <w:right w:w="0" w:type="dxa"/>
            </w:tcMar>
            <w:vAlign w:val="center"/>
          </w:tcPr>
          <w:p w14:paraId="3055CD0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0765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7C5CD63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w:t>
            </w:r>
          </w:p>
        </w:tc>
        <w:tc>
          <w:tcPr>
            <w:tcW w:w="1059" w:type="dxa"/>
            <w:shd w:val="clear" w:color="auto" w:fill="auto"/>
            <w:tcMar>
              <w:top w:w="0" w:type="dxa"/>
              <w:left w:w="0" w:type="dxa"/>
              <w:bottom w:w="0" w:type="dxa"/>
              <w:right w:w="0" w:type="dxa"/>
            </w:tcMar>
            <w:vAlign w:val="center"/>
          </w:tcPr>
          <w:p w14:paraId="771FC2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65460E5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冷却定型装置8</w:t>
            </w:r>
          </w:p>
        </w:tc>
        <w:tc>
          <w:tcPr>
            <w:tcW w:w="619" w:type="dxa"/>
            <w:shd w:val="clear" w:color="auto" w:fill="auto"/>
            <w:tcMar>
              <w:top w:w="0" w:type="dxa"/>
              <w:left w:w="0" w:type="dxa"/>
              <w:bottom w:w="0" w:type="dxa"/>
              <w:right w:w="0" w:type="dxa"/>
            </w:tcMar>
            <w:vAlign w:val="center"/>
          </w:tcPr>
          <w:p w14:paraId="0EADF15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0546EB6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288533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-0.4</w:t>
            </w:r>
          </w:p>
        </w:tc>
        <w:tc>
          <w:tcPr>
            <w:tcW w:w="569" w:type="dxa"/>
            <w:shd w:val="clear" w:color="auto" w:fill="auto"/>
            <w:tcMar>
              <w:top w:w="0" w:type="dxa"/>
              <w:left w:w="0" w:type="dxa"/>
              <w:bottom w:w="0" w:type="dxa"/>
              <w:right w:w="0" w:type="dxa"/>
            </w:tcMar>
            <w:vAlign w:val="center"/>
          </w:tcPr>
          <w:p w14:paraId="03C968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604" w:type="dxa"/>
            <w:shd w:val="clear" w:color="auto" w:fill="auto"/>
            <w:tcMar>
              <w:top w:w="0" w:type="dxa"/>
              <w:left w:w="0" w:type="dxa"/>
              <w:bottom w:w="0" w:type="dxa"/>
              <w:right w:w="0" w:type="dxa"/>
            </w:tcMar>
            <w:vAlign w:val="center"/>
          </w:tcPr>
          <w:p w14:paraId="3B8417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3726B9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33.9</w:t>
            </w:r>
          </w:p>
        </w:tc>
        <w:tc>
          <w:tcPr>
            <w:tcW w:w="466" w:type="dxa"/>
            <w:shd w:val="clear" w:color="auto" w:fill="auto"/>
            <w:tcMar>
              <w:top w:w="0" w:type="dxa"/>
              <w:left w:w="0" w:type="dxa"/>
              <w:bottom w:w="0" w:type="dxa"/>
              <w:right w:w="0" w:type="dxa"/>
            </w:tcMar>
            <w:vAlign w:val="center"/>
          </w:tcPr>
          <w:p w14:paraId="3B79F4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29.0</w:t>
            </w:r>
          </w:p>
        </w:tc>
        <w:tc>
          <w:tcPr>
            <w:tcW w:w="551" w:type="dxa"/>
            <w:shd w:val="clear" w:color="auto" w:fill="auto"/>
            <w:tcMar>
              <w:top w:w="0" w:type="dxa"/>
              <w:left w:w="0" w:type="dxa"/>
              <w:bottom w:w="0" w:type="dxa"/>
              <w:right w:w="0" w:type="dxa"/>
            </w:tcMar>
            <w:vAlign w:val="center"/>
          </w:tcPr>
          <w:p w14:paraId="5B77638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37.2</w:t>
            </w:r>
          </w:p>
        </w:tc>
        <w:tc>
          <w:tcPr>
            <w:tcW w:w="510" w:type="dxa"/>
            <w:shd w:val="clear" w:color="auto" w:fill="auto"/>
            <w:tcMar>
              <w:top w:w="0" w:type="dxa"/>
              <w:left w:w="0" w:type="dxa"/>
              <w:bottom w:w="0" w:type="dxa"/>
              <w:right w:w="0" w:type="dxa"/>
            </w:tcMar>
            <w:vAlign w:val="center"/>
          </w:tcPr>
          <w:p w14:paraId="6349EBE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36.6</w:t>
            </w:r>
          </w:p>
        </w:tc>
        <w:tc>
          <w:tcPr>
            <w:tcW w:w="463" w:type="dxa"/>
            <w:shd w:val="clear" w:color="auto" w:fill="auto"/>
            <w:tcMar>
              <w:top w:w="0" w:type="dxa"/>
              <w:left w:w="0" w:type="dxa"/>
              <w:bottom w:w="0" w:type="dxa"/>
              <w:right w:w="0" w:type="dxa"/>
            </w:tcMar>
            <w:vAlign w:val="center"/>
          </w:tcPr>
          <w:p w14:paraId="2DBBF1C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0CB6A95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1AC7587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2EFF0FA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40" w:type="dxa"/>
            <w:shd w:val="clear" w:color="auto" w:fill="auto"/>
            <w:tcMar>
              <w:top w:w="0" w:type="dxa"/>
              <w:left w:w="0" w:type="dxa"/>
              <w:bottom w:w="0" w:type="dxa"/>
              <w:right w:w="0" w:type="dxa"/>
            </w:tcMar>
            <w:vAlign w:val="center"/>
          </w:tcPr>
          <w:p w14:paraId="33D9F7D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34D84E9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6EE7F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F8CE7B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51AE287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559A23F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4C8C1B8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44DFE24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557" w:type="dxa"/>
            <w:shd w:val="clear" w:color="auto" w:fill="auto"/>
            <w:tcMar>
              <w:top w:w="0" w:type="dxa"/>
              <w:left w:w="0" w:type="dxa"/>
              <w:bottom w:w="0" w:type="dxa"/>
              <w:right w:w="0" w:type="dxa"/>
            </w:tcMar>
            <w:vAlign w:val="center"/>
          </w:tcPr>
          <w:p w14:paraId="662E53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671" w:type="dxa"/>
            <w:shd w:val="clear" w:color="auto" w:fill="auto"/>
            <w:tcMar>
              <w:top w:w="0" w:type="dxa"/>
              <w:left w:w="0" w:type="dxa"/>
              <w:bottom w:w="0" w:type="dxa"/>
              <w:right w:w="0" w:type="dxa"/>
            </w:tcMar>
            <w:vAlign w:val="center"/>
          </w:tcPr>
          <w:p w14:paraId="011A718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2147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5E5918A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w:t>
            </w:r>
          </w:p>
        </w:tc>
        <w:tc>
          <w:tcPr>
            <w:tcW w:w="1059" w:type="dxa"/>
            <w:shd w:val="clear" w:color="auto" w:fill="auto"/>
            <w:tcMar>
              <w:top w:w="0" w:type="dxa"/>
              <w:left w:w="0" w:type="dxa"/>
              <w:bottom w:w="0" w:type="dxa"/>
              <w:right w:w="0" w:type="dxa"/>
            </w:tcMar>
            <w:vAlign w:val="center"/>
          </w:tcPr>
          <w:p w14:paraId="7B85FD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2C4FF1B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冷却定型装置9</w:t>
            </w:r>
          </w:p>
        </w:tc>
        <w:tc>
          <w:tcPr>
            <w:tcW w:w="619" w:type="dxa"/>
            <w:shd w:val="clear" w:color="auto" w:fill="auto"/>
            <w:tcMar>
              <w:top w:w="0" w:type="dxa"/>
              <w:left w:w="0" w:type="dxa"/>
              <w:bottom w:w="0" w:type="dxa"/>
              <w:right w:w="0" w:type="dxa"/>
            </w:tcMar>
            <w:vAlign w:val="center"/>
          </w:tcPr>
          <w:p w14:paraId="5FC111F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25051FB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303A471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569" w:type="dxa"/>
            <w:shd w:val="clear" w:color="auto" w:fill="auto"/>
            <w:tcMar>
              <w:top w:w="0" w:type="dxa"/>
              <w:left w:w="0" w:type="dxa"/>
              <w:bottom w:w="0" w:type="dxa"/>
              <w:right w:w="0" w:type="dxa"/>
            </w:tcMar>
            <w:vAlign w:val="center"/>
          </w:tcPr>
          <w:p w14:paraId="7F330E2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-7.4</w:t>
            </w:r>
          </w:p>
        </w:tc>
        <w:tc>
          <w:tcPr>
            <w:tcW w:w="604" w:type="dxa"/>
            <w:shd w:val="clear" w:color="auto" w:fill="auto"/>
            <w:tcMar>
              <w:top w:w="0" w:type="dxa"/>
              <w:left w:w="0" w:type="dxa"/>
              <w:bottom w:w="0" w:type="dxa"/>
              <w:right w:w="0" w:type="dxa"/>
            </w:tcMar>
            <w:vAlign w:val="center"/>
          </w:tcPr>
          <w:p w14:paraId="6670E28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11ACB43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34.0</w:t>
            </w:r>
          </w:p>
        </w:tc>
        <w:tc>
          <w:tcPr>
            <w:tcW w:w="466" w:type="dxa"/>
            <w:shd w:val="clear" w:color="auto" w:fill="auto"/>
            <w:tcMar>
              <w:top w:w="0" w:type="dxa"/>
              <w:left w:w="0" w:type="dxa"/>
              <w:bottom w:w="0" w:type="dxa"/>
              <w:right w:w="0" w:type="dxa"/>
            </w:tcMar>
            <w:vAlign w:val="center"/>
          </w:tcPr>
          <w:p w14:paraId="0CDD7BF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25.4</w:t>
            </w:r>
          </w:p>
        </w:tc>
        <w:tc>
          <w:tcPr>
            <w:tcW w:w="551" w:type="dxa"/>
            <w:shd w:val="clear" w:color="auto" w:fill="auto"/>
            <w:tcMar>
              <w:top w:w="0" w:type="dxa"/>
              <w:left w:w="0" w:type="dxa"/>
              <w:bottom w:w="0" w:type="dxa"/>
              <w:right w:w="0" w:type="dxa"/>
            </w:tcMar>
            <w:vAlign w:val="center"/>
          </w:tcPr>
          <w:p w14:paraId="11862AB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37.2</w:t>
            </w:r>
          </w:p>
        </w:tc>
        <w:tc>
          <w:tcPr>
            <w:tcW w:w="510" w:type="dxa"/>
            <w:shd w:val="clear" w:color="auto" w:fill="auto"/>
            <w:tcMar>
              <w:top w:w="0" w:type="dxa"/>
              <w:left w:w="0" w:type="dxa"/>
              <w:bottom w:w="0" w:type="dxa"/>
              <w:right w:w="0" w:type="dxa"/>
            </w:tcMar>
            <w:vAlign w:val="center"/>
          </w:tcPr>
          <w:p w14:paraId="0648607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40.2</w:t>
            </w:r>
          </w:p>
        </w:tc>
        <w:tc>
          <w:tcPr>
            <w:tcW w:w="463" w:type="dxa"/>
            <w:shd w:val="clear" w:color="auto" w:fill="auto"/>
            <w:tcMar>
              <w:top w:w="0" w:type="dxa"/>
              <w:left w:w="0" w:type="dxa"/>
              <w:bottom w:w="0" w:type="dxa"/>
              <w:right w:w="0" w:type="dxa"/>
            </w:tcMar>
            <w:vAlign w:val="center"/>
          </w:tcPr>
          <w:p w14:paraId="051DEE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53BC8E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3D5C84F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4AEBF36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40" w:type="dxa"/>
            <w:shd w:val="clear" w:color="auto" w:fill="auto"/>
            <w:tcMar>
              <w:top w:w="0" w:type="dxa"/>
              <w:left w:w="0" w:type="dxa"/>
              <w:bottom w:w="0" w:type="dxa"/>
              <w:right w:w="0" w:type="dxa"/>
            </w:tcMar>
            <w:vAlign w:val="center"/>
          </w:tcPr>
          <w:p w14:paraId="4C46B27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020F813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1C4DC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34FD11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25044C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1B03788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36B6835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7A73C1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557" w:type="dxa"/>
            <w:shd w:val="clear" w:color="auto" w:fill="auto"/>
            <w:tcMar>
              <w:top w:w="0" w:type="dxa"/>
              <w:left w:w="0" w:type="dxa"/>
              <w:bottom w:w="0" w:type="dxa"/>
              <w:right w:w="0" w:type="dxa"/>
            </w:tcMar>
            <w:vAlign w:val="center"/>
          </w:tcPr>
          <w:p w14:paraId="5CE039D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671" w:type="dxa"/>
            <w:shd w:val="clear" w:color="auto" w:fill="auto"/>
            <w:tcMar>
              <w:top w:w="0" w:type="dxa"/>
              <w:left w:w="0" w:type="dxa"/>
              <w:bottom w:w="0" w:type="dxa"/>
              <w:right w:w="0" w:type="dxa"/>
            </w:tcMar>
            <w:vAlign w:val="center"/>
          </w:tcPr>
          <w:p w14:paraId="658353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3723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402F2C8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w:t>
            </w:r>
          </w:p>
        </w:tc>
        <w:tc>
          <w:tcPr>
            <w:tcW w:w="1059" w:type="dxa"/>
            <w:shd w:val="clear" w:color="auto" w:fill="auto"/>
            <w:tcMar>
              <w:top w:w="0" w:type="dxa"/>
              <w:left w:w="0" w:type="dxa"/>
              <w:bottom w:w="0" w:type="dxa"/>
              <w:right w:w="0" w:type="dxa"/>
            </w:tcMar>
            <w:vAlign w:val="center"/>
          </w:tcPr>
          <w:p w14:paraId="7054BA0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14533E1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冷却定型装置10</w:t>
            </w:r>
          </w:p>
        </w:tc>
        <w:tc>
          <w:tcPr>
            <w:tcW w:w="619" w:type="dxa"/>
            <w:shd w:val="clear" w:color="auto" w:fill="auto"/>
            <w:tcMar>
              <w:top w:w="0" w:type="dxa"/>
              <w:left w:w="0" w:type="dxa"/>
              <w:bottom w:w="0" w:type="dxa"/>
              <w:right w:w="0" w:type="dxa"/>
            </w:tcMar>
            <w:vAlign w:val="center"/>
          </w:tcPr>
          <w:p w14:paraId="0FF9245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6A6C6F4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38D8B80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w:t>
            </w:r>
          </w:p>
        </w:tc>
        <w:tc>
          <w:tcPr>
            <w:tcW w:w="569" w:type="dxa"/>
            <w:shd w:val="clear" w:color="auto" w:fill="auto"/>
            <w:tcMar>
              <w:top w:w="0" w:type="dxa"/>
              <w:left w:w="0" w:type="dxa"/>
              <w:bottom w:w="0" w:type="dxa"/>
              <w:right w:w="0" w:type="dxa"/>
            </w:tcMar>
            <w:vAlign w:val="center"/>
          </w:tcPr>
          <w:p w14:paraId="5FFD6DF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-11.8</w:t>
            </w:r>
          </w:p>
        </w:tc>
        <w:tc>
          <w:tcPr>
            <w:tcW w:w="604" w:type="dxa"/>
            <w:shd w:val="clear" w:color="auto" w:fill="auto"/>
            <w:tcMar>
              <w:top w:w="0" w:type="dxa"/>
              <w:left w:w="0" w:type="dxa"/>
              <w:bottom w:w="0" w:type="dxa"/>
              <w:right w:w="0" w:type="dxa"/>
            </w:tcMar>
            <w:vAlign w:val="center"/>
          </w:tcPr>
          <w:p w14:paraId="756774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5D416E6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33.6</w:t>
            </w:r>
          </w:p>
        </w:tc>
        <w:tc>
          <w:tcPr>
            <w:tcW w:w="466" w:type="dxa"/>
            <w:shd w:val="clear" w:color="auto" w:fill="auto"/>
            <w:tcMar>
              <w:top w:w="0" w:type="dxa"/>
              <w:left w:w="0" w:type="dxa"/>
              <w:bottom w:w="0" w:type="dxa"/>
              <w:right w:w="0" w:type="dxa"/>
            </w:tcMar>
            <w:vAlign w:val="center"/>
          </w:tcPr>
          <w:p w14:paraId="2E0C5F2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20.7</w:t>
            </w:r>
          </w:p>
        </w:tc>
        <w:tc>
          <w:tcPr>
            <w:tcW w:w="551" w:type="dxa"/>
            <w:shd w:val="clear" w:color="auto" w:fill="auto"/>
            <w:tcMar>
              <w:top w:w="0" w:type="dxa"/>
              <w:left w:w="0" w:type="dxa"/>
              <w:bottom w:w="0" w:type="dxa"/>
              <w:right w:w="0" w:type="dxa"/>
            </w:tcMar>
            <w:vAlign w:val="center"/>
          </w:tcPr>
          <w:p w14:paraId="784F9AD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37.7</w:t>
            </w:r>
          </w:p>
        </w:tc>
        <w:tc>
          <w:tcPr>
            <w:tcW w:w="510" w:type="dxa"/>
            <w:shd w:val="clear" w:color="auto" w:fill="auto"/>
            <w:tcMar>
              <w:top w:w="0" w:type="dxa"/>
              <w:left w:w="0" w:type="dxa"/>
              <w:bottom w:w="0" w:type="dxa"/>
              <w:right w:w="0" w:type="dxa"/>
            </w:tcMar>
            <w:vAlign w:val="center"/>
          </w:tcPr>
          <w:p w14:paraId="2A5E3E4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44.9</w:t>
            </w:r>
          </w:p>
        </w:tc>
        <w:tc>
          <w:tcPr>
            <w:tcW w:w="463" w:type="dxa"/>
            <w:shd w:val="clear" w:color="auto" w:fill="auto"/>
            <w:tcMar>
              <w:top w:w="0" w:type="dxa"/>
              <w:left w:w="0" w:type="dxa"/>
              <w:bottom w:w="0" w:type="dxa"/>
              <w:right w:w="0" w:type="dxa"/>
            </w:tcMar>
            <w:vAlign w:val="center"/>
          </w:tcPr>
          <w:p w14:paraId="3548B5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3EBD027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57.9</w:t>
            </w:r>
          </w:p>
        </w:tc>
        <w:tc>
          <w:tcPr>
            <w:tcW w:w="463" w:type="dxa"/>
            <w:shd w:val="clear" w:color="auto" w:fill="auto"/>
            <w:tcMar>
              <w:top w:w="0" w:type="dxa"/>
              <w:left w:w="0" w:type="dxa"/>
              <w:bottom w:w="0" w:type="dxa"/>
              <w:right w:w="0" w:type="dxa"/>
            </w:tcMar>
            <w:vAlign w:val="center"/>
          </w:tcPr>
          <w:p w14:paraId="10E8B6B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7A0E877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40" w:type="dxa"/>
            <w:shd w:val="clear" w:color="auto" w:fill="auto"/>
            <w:tcMar>
              <w:top w:w="0" w:type="dxa"/>
              <w:left w:w="0" w:type="dxa"/>
              <w:bottom w:w="0" w:type="dxa"/>
              <w:right w:w="0" w:type="dxa"/>
            </w:tcMar>
            <w:vAlign w:val="center"/>
          </w:tcPr>
          <w:p w14:paraId="54B12A8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1237105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8BF6C7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35CD4AB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40B8258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144D986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063BDF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31.4</w:t>
            </w:r>
          </w:p>
        </w:tc>
        <w:tc>
          <w:tcPr>
            <w:tcW w:w="481" w:type="dxa"/>
            <w:shd w:val="clear" w:color="auto" w:fill="auto"/>
            <w:tcMar>
              <w:top w:w="0" w:type="dxa"/>
              <w:left w:w="0" w:type="dxa"/>
              <w:bottom w:w="0" w:type="dxa"/>
              <w:right w:w="0" w:type="dxa"/>
            </w:tcMar>
            <w:vAlign w:val="center"/>
          </w:tcPr>
          <w:p w14:paraId="4C35C6C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557" w:type="dxa"/>
            <w:shd w:val="clear" w:color="auto" w:fill="auto"/>
            <w:tcMar>
              <w:top w:w="0" w:type="dxa"/>
              <w:left w:w="0" w:type="dxa"/>
              <w:bottom w:w="0" w:type="dxa"/>
              <w:right w:w="0" w:type="dxa"/>
            </w:tcMar>
            <w:vAlign w:val="center"/>
          </w:tcPr>
          <w:p w14:paraId="529DEF4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671" w:type="dxa"/>
            <w:shd w:val="clear" w:color="auto" w:fill="auto"/>
            <w:tcMar>
              <w:top w:w="0" w:type="dxa"/>
              <w:left w:w="0" w:type="dxa"/>
              <w:bottom w:w="0" w:type="dxa"/>
              <w:right w:w="0" w:type="dxa"/>
            </w:tcMar>
            <w:vAlign w:val="center"/>
          </w:tcPr>
          <w:p w14:paraId="65354A4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44B6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1CFC838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w:t>
            </w:r>
          </w:p>
        </w:tc>
        <w:tc>
          <w:tcPr>
            <w:tcW w:w="1059" w:type="dxa"/>
            <w:shd w:val="clear" w:color="auto" w:fill="auto"/>
            <w:tcMar>
              <w:top w:w="0" w:type="dxa"/>
              <w:left w:w="0" w:type="dxa"/>
              <w:bottom w:w="0" w:type="dxa"/>
              <w:right w:w="0" w:type="dxa"/>
            </w:tcMar>
            <w:vAlign w:val="center"/>
          </w:tcPr>
          <w:p w14:paraId="497268E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429A500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真空泵1</w:t>
            </w:r>
          </w:p>
        </w:tc>
        <w:tc>
          <w:tcPr>
            <w:tcW w:w="619" w:type="dxa"/>
            <w:shd w:val="clear" w:color="auto" w:fill="auto"/>
            <w:tcMar>
              <w:top w:w="0" w:type="dxa"/>
              <w:left w:w="0" w:type="dxa"/>
              <w:bottom w:w="0" w:type="dxa"/>
              <w:right w:w="0" w:type="dxa"/>
            </w:tcMar>
            <w:vAlign w:val="center"/>
          </w:tcPr>
          <w:p w14:paraId="0BDAD82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85</w:t>
            </w:r>
          </w:p>
        </w:tc>
        <w:tc>
          <w:tcPr>
            <w:tcW w:w="510" w:type="dxa"/>
            <w:vMerge w:val="continue"/>
            <w:shd w:val="clear" w:color="auto" w:fill="auto"/>
            <w:tcMar>
              <w:top w:w="0" w:type="dxa"/>
              <w:left w:w="0" w:type="dxa"/>
              <w:bottom w:w="0" w:type="dxa"/>
              <w:right w:w="0" w:type="dxa"/>
            </w:tcMar>
            <w:vAlign w:val="center"/>
          </w:tcPr>
          <w:p w14:paraId="6730C2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31DB587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15.4</w:t>
            </w:r>
          </w:p>
        </w:tc>
        <w:tc>
          <w:tcPr>
            <w:tcW w:w="569" w:type="dxa"/>
            <w:shd w:val="clear" w:color="auto" w:fill="auto"/>
            <w:tcMar>
              <w:top w:w="0" w:type="dxa"/>
              <w:left w:w="0" w:type="dxa"/>
              <w:bottom w:w="0" w:type="dxa"/>
              <w:right w:w="0" w:type="dxa"/>
            </w:tcMar>
            <w:vAlign w:val="center"/>
          </w:tcPr>
          <w:p w14:paraId="3F2E9AC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21.4</w:t>
            </w:r>
          </w:p>
        </w:tc>
        <w:tc>
          <w:tcPr>
            <w:tcW w:w="604" w:type="dxa"/>
            <w:shd w:val="clear" w:color="auto" w:fill="auto"/>
            <w:tcMar>
              <w:top w:w="0" w:type="dxa"/>
              <w:left w:w="0" w:type="dxa"/>
              <w:bottom w:w="0" w:type="dxa"/>
              <w:right w:w="0" w:type="dxa"/>
            </w:tcMar>
            <w:vAlign w:val="center"/>
          </w:tcPr>
          <w:p w14:paraId="1E50F4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53AC846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30.2</w:t>
            </w:r>
          </w:p>
        </w:tc>
        <w:tc>
          <w:tcPr>
            <w:tcW w:w="466" w:type="dxa"/>
            <w:shd w:val="clear" w:color="auto" w:fill="auto"/>
            <w:tcMar>
              <w:top w:w="0" w:type="dxa"/>
              <w:left w:w="0" w:type="dxa"/>
              <w:bottom w:w="0" w:type="dxa"/>
              <w:right w:w="0" w:type="dxa"/>
            </w:tcMar>
            <w:vAlign w:val="center"/>
          </w:tcPr>
          <w:p w14:paraId="45D325D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58.9</w:t>
            </w:r>
          </w:p>
        </w:tc>
        <w:tc>
          <w:tcPr>
            <w:tcW w:w="551" w:type="dxa"/>
            <w:shd w:val="clear" w:color="auto" w:fill="auto"/>
            <w:tcMar>
              <w:top w:w="0" w:type="dxa"/>
              <w:left w:w="0" w:type="dxa"/>
              <w:bottom w:w="0" w:type="dxa"/>
              <w:right w:w="0" w:type="dxa"/>
            </w:tcMar>
            <w:vAlign w:val="center"/>
          </w:tcPr>
          <w:p w14:paraId="387F4BE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39.9</w:t>
            </w:r>
          </w:p>
        </w:tc>
        <w:tc>
          <w:tcPr>
            <w:tcW w:w="510" w:type="dxa"/>
            <w:shd w:val="clear" w:color="auto" w:fill="auto"/>
            <w:tcMar>
              <w:top w:w="0" w:type="dxa"/>
              <w:left w:w="0" w:type="dxa"/>
              <w:bottom w:w="0" w:type="dxa"/>
              <w:right w:w="0" w:type="dxa"/>
            </w:tcMar>
            <w:vAlign w:val="center"/>
          </w:tcPr>
          <w:p w14:paraId="42AB199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w:t>
            </w:r>
          </w:p>
        </w:tc>
        <w:tc>
          <w:tcPr>
            <w:tcW w:w="463" w:type="dxa"/>
            <w:shd w:val="clear" w:color="auto" w:fill="auto"/>
            <w:tcMar>
              <w:top w:w="0" w:type="dxa"/>
              <w:left w:w="0" w:type="dxa"/>
              <w:bottom w:w="0" w:type="dxa"/>
              <w:right w:w="0" w:type="dxa"/>
            </w:tcMar>
            <w:vAlign w:val="center"/>
          </w:tcPr>
          <w:p w14:paraId="2335DC2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5177C90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5796C92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510" w:type="dxa"/>
            <w:shd w:val="clear" w:color="auto" w:fill="auto"/>
            <w:tcMar>
              <w:top w:w="0" w:type="dxa"/>
              <w:left w:w="0" w:type="dxa"/>
              <w:bottom w:w="0" w:type="dxa"/>
              <w:right w:w="0" w:type="dxa"/>
            </w:tcMar>
            <w:vAlign w:val="center"/>
          </w:tcPr>
          <w:p w14:paraId="14088FF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68.2</w:t>
            </w:r>
          </w:p>
        </w:tc>
        <w:tc>
          <w:tcPr>
            <w:tcW w:w="440" w:type="dxa"/>
            <w:shd w:val="clear" w:color="auto" w:fill="auto"/>
            <w:tcMar>
              <w:top w:w="0" w:type="dxa"/>
              <w:left w:w="0" w:type="dxa"/>
              <w:bottom w:w="0" w:type="dxa"/>
              <w:right w:w="0" w:type="dxa"/>
            </w:tcMar>
            <w:vAlign w:val="center"/>
          </w:tcPr>
          <w:p w14:paraId="72BAFA9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43126D6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E57CC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5AA067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3D6471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47FF54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1304F5F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61F1AE3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557" w:type="dxa"/>
            <w:shd w:val="clear" w:color="auto" w:fill="auto"/>
            <w:tcMar>
              <w:top w:w="0" w:type="dxa"/>
              <w:left w:w="0" w:type="dxa"/>
              <w:bottom w:w="0" w:type="dxa"/>
              <w:right w:w="0" w:type="dxa"/>
            </w:tcMar>
            <w:vAlign w:val="center"/>
          </w:tcPr>
          <w:p w14:paraId="552225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41.7</w:t>
            </w:r>
          </w:p>
        </w:tc>
        <w:tc>
          <w:tcPr>
            <w:tcW w:w="671" w:type="dxa"/>
            <w:shd w:val="clear" w:color="auto" w:fill="auto"/>
            <w:tcMar>
              <w:top w:w="0" w:type="dxa"/>
              <w:left w:w="0" w:type="dxa"/>
              <w:bottom w:w="0" w:type="dxa"/>
              <w:right w:w="0" w:type="dxa"/>
            </w:tcMar>
            <w:vAlign w:val="center"/>
          </w:tcPr>
          <w:p w14:paraId="36A867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55C5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253FF93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w:t>
            </w:r>
          </w:p>
        </w:tc>
        <w:tc>
          <w:tcPr>
            <w:tcW w:w="1059" w:type="dxa"/>
            <w:shd w:val="clear" w:color="auto" w:fill="auto"/>
            <w:tcMar>
              <w:top w:w="0" w:type="dxa"/>
              <w:left w:w="0" w:type="dxa"/>
              <w:bottom w:w="0" w:type="dxa"/>
              <w:right w:w="0" w:type="dxa"/>
            </w:tcMar>
            <w:vAlign w:val="center"/>
          </w:tcPr>
          <w:p w14:paraId="1AA560E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2C54A7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真空泵2</w:t>
            </w:r>
          </w:p>
        </w:tc>
        <w:tc>
          <w:tcPr>
            <w:tcW w:w="619" w:type="dxa"/>
            <w:shd w:val="clear" w:color="auto" w:fill="auto"/>
            <w:tcMar>
              <w:top w:w="0" w:type="dxa"/>
              <w:left w:w="0" w:type="dxa"/>
              <w:bottom w:w="0" w:type="dxa"/>
              <w:right w:w="0" w:type="dxa"/>
            </w:tcMar>
            <w:vAlign w:val="center"/>
          </w:tcPr>
          <w:p w14:paraId="32A55E9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85</w:t>
            </w:r>
          </w:p>
        </w:tc>
        <w:tc>
          <w:tcPr>
            <w:tcW w:w="510" w:type="dxa"/>
            <w:vMerge w:val="continue"/>
            <w:shd w:val="clear" w:color="auto" w:fill="auto"/>
            <w:tcMar>
              <w:top w:w="0" w:type="dxa"/>
              <w:left w:w="0" w:type="dxa"/>
              <w:bottom w:w="0" w:type="dxa"/>
              <w:right w:w="0" w:type="dxa"/>
            </w:tcMar>
            <w:vAlign w:val="center"/>
          </w:tcPr>
          <w:p w14:paraId="4D0165D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378A189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13.7</w:t>
            </w:r>
          </w:p>
        </w:tc>
        <w:tc>
          <w:tcPr>
            <w:tcW w:w="569" w:type="dxa"/>
            <w:shd w:val="clear" w:color="auto" w:fill="auto"/>
            <w:tcMar>
              <w:top w:w="0" w:type="dxa"/>
              <w:left w:w="0" w:type="dxa"/>
              <w:bottom w:w="0" w:type="dxa"/>
              <w:right w:w="0" w:type="dxa"/>
            </w:tcMar>
            <w:vAlign w:val="center"/>
          </w:tcPr>
          <w:p w14:paraId="5105F79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17.6</w:t>
            </w:r>
          </w:p>
        </w:tc>
        <w:tc>
          <w:tcPr>
            <w:tcW w:w="604" w:type="dxa"/>
            <w:shd w:val="clear" w:color="auto" w:fill="auto"/>
            <w:tcMar>
              <w:top w:w="0" w:type="dxa"/>
              <w:left w:w="0" w:type="dxa"/>
              <w:bottom w:w="0" w:type="dxa"/>
              <w:right w:w="0" w:type="dxa"/>
            </w:tcMar>
            <w:vAlign w:val="center"/>
          </w:tcPr>
          <w:p w14:paraId="125F8C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65A7A03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30.2</w:t>
            </w:r>
          </w:p>
        </w:tc>
        <w:tc>
          <w:tcPr>
            <w:tcW w:w="466" w:type="dxa"/>
            <w:shd w:val="clear" w:color="auto" w:fill="auto"/>
            <w:tcMar>
              <w:top w:w="0" w:type="dxa"/>
              <w:left w:w="0" w:type="dxa"/>
              <w:bottom w:w="0" w:type="dxa"/>
              <w:right w:w="0" w:type="dxa"/>
            </w:tcMar>
            <w:vAlign w:val="center"/>
          </w:tcPr>
          <w:p w14:paraId="30E0D5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54.8</w:t>
            </w:r>
          </w:p>
        </w:tc>
        <w:tc>
          <w:tcPr>
            <w:tcW w:w="551" w:type="dxa"/>
            <w:shd w:val="clear" w:color="auto" w:fill="auto"/>
            <w:tcMar>
              <w:top w:w="0" w:type="dxa"/>
              <w:left w:w="0" w:type="dxa"/>
              <w:bottom w:w="0" w:type="dxa"/>
              <w:right w:w="0" w:type="dxa"/>
            </w:tcMar>
            <w:vAlign w:val="center"/>
          </w:tcPr>
          <w:p w14:paraId="2F24F3E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40.1</w:t>
            </w:r>
          </w:p>
        </w:tc>
        <w:tc>
          <w:tcPr>
            <w:tcW w:w="510" w:type="dxa"/>
            <w:shd w:val="clear" w:color="auto" w:fill="auto"/>
            <w:tcMar>
              <w:top w:w="0" w:type="dxa"/>
              <w:left w:w="0" w:type="dxa"/>
              <w:bottom w:w="0" w:type="dxa"/>
              <w:right w:w="0" w:type="dxa"/>
            </w:tcMar>
            <w:vAlign w:val="center"/>
          </w:tcPr>
          <w:p w14:paraId="63F0DAF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10.9</w:t>
            </w:r>
          </w:p>
        </w:tc>
        <w:tc>
          <w:tcPr>
            <w:tcW w:w="463" w:type="dxa"/>
            <w:shd w:val="clear" w:color="auto" w:fill="auto"/>
            <w:tcMar>
              <w:top w:w="0" w:type="dxa"/>
              <w:left w:w="0" w:type="dxa"/>
              <w:bottom w:w="0" w:type="dxa"/>
              <w:right w:w="0" w:type="dxa"/>
            </w:tcMar>
            <w:vAlign w:val="center"/>
          </w:tcPr>
          <w:p w14:paraId="3E83C5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32A0040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64718C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510" w:type="dxa"/>
            <w:shd w:val="clear" w:color="auto" w:fill="auto"/>
            <w:tcMar>
              <w:top w:w="0" w:type="dxa"/>
              <w:left w:w="0" w:type="dxa"/>
              <w:bottom w:w="0" w:type="dxa"/>
              <w:right w:w="0" w:type="dxa"/>
            </w:tcMar>
            <w:vAlign w:val="center"/>
          </w:tcPr>
          <w:p w14:paraId="1BB76A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68.0</w:t>
            </w:r>
          </w:p>
        </w:tc>
        <w:tc>
          <w:tcPr>
            <w:tcW w:w="440" w:type="dxa"/>
            <w:shd w:val="clear" w:color="auto" w:fill="auto"/>
            <w:tcMar>
              <w:top w:w="0" w:type="dxa"/>
              <w:left w:w="0" w:type="dxa"/>
              <w:bottom w:w="0" w:type="dxa"/>
              <w:right w:w="0" w:type="dxa"/>
            </w:tcMar>
            <w:vAlign w:val="center"/>
          </w:tcPr>
          <w:p w14:paraId="17BE4BD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0D492B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377856C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6DC6C9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0555B3F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4230A23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414DBA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19E1391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557" w:type="dxa"/>
            <w:shd w:val="clear" w:color="auto" w:fill="auto"/>
            <w:tcMar>
              <w:top w:w="0" w:type="dxa"/>
              <w:left w:w="0" w:type="dxa"/>
              <w:bottom w:w="0" w:type="dxa"/>
              <w:right w:w="0" w:type="dxa"/>
            </w:tcMar>
            <w:vAlign w:val="center"/>
          </w:tcPr>
          <w:p w14:paraId="06C58DD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41.5</w:t>
            </w:r>
          </w:p>
        </w:tc>
        <w:tc>
          <w:tcPr>
            <w:tcW w:w="671" w:type="dxa"/>
            <w:shd w:val="clear" w:color="auto" w:fill="auto"/>
            <w:tcMar>
              <w:top w:w="0" w:type="dxa"/>
              <w:left w:w="0" w:type="dxa"/>
              <w:bottom w:w="0" w:type="dxa"/>
              <w:right w:w="0" w:type="dxa"/>
            </w:tcMar>
            <w:vAlign w:val="center"/>
          </w:tcPr>
          <w:p w14:paraId="35FD0F2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4130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0685163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37</w:t>
            </w:r>
          </w:p>
        </w:tc>
        <w:tc>
          <w:tcPr>
            <w:tcW w:w="1059" w:type="dxa"/>
            <w:shd w:val="clear" w:color="auto" w:fill="auto"/>
            <w:tcMar>
              <w:top w:w="0" w:type="dxa"/>
              <w:left w:w="0" w:type="dxa"/>
              <w:bottom w:w="0" w:type="dxa"/>
              <w:right w:w="0" w:type="dxa"/>
            </w:tcMar>
            <w:vAlign w:val="center"/>
          </w:tcPr>
          <w:p w14:paraId="685236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5F01B10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真空泵3</w:t>
            </w:r>
          </w:p>
        </w:tc>
        <w:tc>
          <w:tcPr>
            <w:tcW w:w="619" w:type="dxa"/>
            <w:shd w:val="clear" w:color="auto" w:fill="auto"/>
            <w:tcMar>
              <w:top w:w="0" w:type="dxa"/>
              <w:left w:w="0" w:type="dxa"/>
              <w:bottom w:w="0" w:type="dxa"/>
              <w:right w:w="0" w:type="dxa"/>
            </w:tcMar>
            <w:vAlign w:val="center"/>
          </w:tcPr>
          <w:p w14:paraId="4DA693A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85</w:t>
            </w:r>
          </w:p>
        </w:tc>
        <w:tc>
          <w:tcPr>
            <w:tcW w:w="510" w:type="dxa"/>
            <w:vMerge w:val="continue"/>
            <w:shd w:val="clear" w:color="auto" w:fill="auto"/>
            <w:tcMar>
              <w:top w:w="0" w:type="dxa"/>
              <w:left w:w="0" w:type="dxa"/>
              <w:bottom w:w="0" w:type="dxa"/>
              <w:right w:w="0" w:type="dxa"/>
            </w:tcMar>
            <w:vAlign w:val="center"/>
          </w:tcPr>
          <w:p w14:paraId="69EC0C2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665690A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12.4</w:t>
            </w:r>
          </w:p>
        </w:tc>
        <w:tc>
          <w:tcPr>
            <w:tcW w:w="569" w:type="dxa"/>
            <w:shd w:val="clear" w:color="auto" w:fill="auto"/>
            <w:tcMar>
              <w:top w:w="0" w:type="dxa"/>
              <w:left w:w="0" w:type="dxa"/>
              <w:bottom w:w="0" w:type="dxa"/>
              <w:right w:w="0" w:type="dxa"/>
            </w:tcMar>
            <w:vAlign w:val="center"/>
          </w:tcPr>
          <w:p w14:paraId="7632A5A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604" w:type="dxa"/>
            <w:shd w:val="clear" w:color="auto" w:fill="auto"/>
            <w:tcMar>
              <w:top w:w="0" w:type="dxa"/>
              <w:left w:w="0" w:type="dxa"/>
              <w:bottom w:w="0" w:type="dxa"/>
              <w:right w:w="0" w:type="dxa"/>
            </w:tcMar>
            <w:vAlign w:val="center"/>
          </w:tcPr>
          <w:p w14:paraId="19CD9E7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17F5515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29.9</w:t>
            </w:r>
          </w:p>
        </w:tc>
        <w:tc>
          <w:tcPr>
            <w:tcW w:w="466" w:type="dxa"/>
            <w:shd w:val="clear" w:color="auto" w:fill="auto"/>
            <w:tcMar>
              <w:top w:w="0" w:type="dxa"/>
              <w:left w:w="0" w:type="dxa"/>
              <w:bottom w:w="0" w:type="dxa"/>
              <w:right w:w="0" w:type="dxa"/>
            </w:tcMar>
            <w:vAlign w:val="center"/>
          </w:tcPr>
          <w:p w14:paraId="3F3EA2A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51.0</w:t>
            </w:r>
          </w:p>
        </w:tc>
        <w:tc>
          <w:tcPr>
            <w:tcW w:w="551" w:type="dxa"/>
            <w:shd w:val="clear" w:color="auto" w:fill="auto"/>
            <w:tcMar>
              <w:top w:w="0" w:type="dxa"/>
              <w:left w:w="0" w:type="dxa"/>
              <w:bottom w:w="0" w:type="dxa"/>
              <w:right w:w="0" w:type="dxa"/>
            </w:tcMar>
            <w:vAlign w:val="center"/>
          </w:tcPr>
          <w:p w14:paraId="2DB638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40.5</w:t>
            </w:r>
          </w:p>
        </w:tc>
        <w:tc>
          <w:tcPr>
            <w:tcW w:w="510" w:type="dxa"/>
            <w:shd w:val="clear" w:color="auto" w:fill="auto"/>
            <w:tcMar>
              <w:top w:w="0" w:type="dxa"/>
              <w:left w:w="0" w:type="dxa"/>
              <w:bottom w:w="0" w:type="dxa"/>
              <w:right w:w="0" w:type="dxa"/>
            </w:tcMar>
            <w:vAlign w:val="center"/>
          </w:tcPr>
          <w:p w14:paraId="16C7A4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14.7</w:t>
            </w:r>
          </w:p>
        </w:tc>
        <w:tc>
          <w:tcPr>
            <w:tcW w:w="463" w:type="dxa"/>
            <w:shd w:val="clear" w:color="auto" w:fill="auto"/>
            <w:tcMar>
              <w:top w:w="0" w:type="dxa"/>
              <w:left w:w="0" w:type="dxa"/>
              <w:bottom w:w="0" w:type="dxa"/>
              <w:right w:w="0" w:type="dxa"/>
            </w:tcMar>
            <w:vAlign w:val="center"/>
          </w:tcPr>
          <w:p w14:paraId="44AB090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7F04329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5D0F32C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510" w:type="dxa"/>
            <w:shd w:val="clear" w:color="auto" w:fill="auto"/>
            <w:tcMar>
              <w:top w:w="0" w:type="dxa"/>
              <w:left w:w="0" w:type="dxa"/>
              <w:bottom w:w="0" w:type="dxa"/>
              <w:right w:w="0" w:type="dxa"/>
            </w:tcMar>
            <w:vAlign w:val="center"/>
          </w:tcPr>
          <w:p w14:paraId="09FBC11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440" w:type="dxa"/>
            <w:shd w:val="clear" w:color="auto" w:fill="auto"/>
            <w:tcMar>
              <w:top w:w="0" w:type="dxa"/>
              <w:left w:w="0" w:type="dxa"/>
              <w:bottom w:w="0" w:type="dxa"/>
              <w:right w:w="0" w:type="dxa"/>
            </w:tcMar>
            <w:vAlign w:val="center"/>
          </w:tcPr>
          <w:p w14:paraId="04BA7B9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25D9201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34C758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753B4D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193C5B9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3917712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78859C1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6A17630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557" w:type="dxa"/>
            <w:shd w:val="clear" w:color="auto" w:fill="auto"/>
            <w:tcMar>
              <w:top w:w="0" w:type="dxa"/>
              <w:left w:w="0" w:type="dxa"/>
              <w:bottom w:w="0" w:type="dxa"/>
              <w:right w:w="0" w:type="dxa"/>
            </w:tcMar>
            <w:vAlign w:val="center"/>
          </w:tcPr>
          <w:p w14:paraId="760960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41.4</w:t>
            </w:r>
          </w:p>
        </w:tc>
        <w:tc>
          <w:tcPr>
            <w:tcW w:w="671" w:type="dxa"/>
            <w:shd w:val="clear" w:color="auto" w:fill="auto"/>
            <w:tcMar>
              <w:top w:w="0" w:type="dxa"/>
              <w:left w:w="0" w:type="dxa"/>
              <w:bottom w:w="0" w:type="dxa"/>
              <w:right w:w="0" w:type="dxa"/>
            </w:tcMar>
            <w:vAlign w:val="center"/>
          </w:tcPr>
          <w:p w14:paraId="719DBB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073C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1665A12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38</w:t>
            </w:r>
          </w:p>
        </w:tc>
        <w:tc>
          <w:tcPr>
            <w:tcW w:w="1059" w:type="dxa"/>
            <w:shd w:val="clear" w:color="auto" w:fill="auto"/>
            <w:tcMar>
              <w:top w:w="0" w:type="dxa"/>
              <w:left w:w="0" w:type="dxa"/>
              <w:bottom w:w="0" w:type="dxa"/>
              <w:right w:w="0" w:type="dxa"/>
            </w:tcMar>
            <w:vAlign w:val="center"/>
          </w:tcPr>
          <w:p w14:paraId="1456ED1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7B4C0D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真空泵4</w:t>
            </w:r>
          </w:p>
        </w:tc>
        <w:tc>
          <w:tcPr>
            <w:tcW w:w="619" w:type="dxa"/>
            <w:shd w:val="clear" w:color="auto" w:fill="auto"/>
            <w:tcMar>
              <w:top w:w="0" w:type="dxa"/>
              <w:left w:w="0" w:type="dxa"/>
              <w:bottom w:w="0" w:type="dxa"/>
              <w:right w:w="0" w:type="dxa"/>
            </w:tcMar>
            <w:vAlign w:val="center"/>
          </w:tcPr>
          <w:p w14:paraId="4AC3566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85</w:t>
            </w:r>
          </w:p>
        </w:tc>
        <w:tc>
          <w:tcPr>
            <w:tcW w:w="510" w:type="dxa"/>
            <w:vMerge w:val="continue"/>
            <w:shd w:val="clear" w:color="auto" w:fill="auto"/>
            <w:tcMar>
              <w:top w:w="0" w:type="dxa"/>
              <w:left w:w="0" w:type="dxa"/>
              <w:bottom w:w="0" w:type="dxa"/>
              <w:right w:w="0" w:type="dxa"/>
            </w:tcMar>
            <w:vAlign w:val="center"/>
          </w:tcPr>
          <w:p w14:paraId="264B634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101F37E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569" w:type="dxa"/>
            <w:shd w:val="clear" w:color="auto" w:fill="auto"/>
            <w:tcMar>
              <w:top w:w="0" w:type="dxa"/>
              <w:left w:w="0" w:type="dxa"/>
              <w:bottom w:w="0" w:type="dxa"/>
              <w:right w:w="0" w:type="dxa"/>
            </w:tcMar>
            <w:vAlign w:val="center"/>
          </w:tcPr>
          <w:p w14:paraId="062B802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10.4</w:t>
            </w:r>
          </w:p>
        </w:tc>
        <w:tc>
          <w:tcPr>
            <w:tcW w:w="604" w:type="dxa"/>
            <w:shd w:val="clear" w:color="auto" w:fill="auto"/>
            <w:tcMar>
              <w:top w:w="0" w:type="dxa"/>
              <w:left w:w="0" w:type="dxa"/>
              <w:bottom w:w="0" w:type="dxa"/>
              <w:right w:w="0" w:type="dxa"/>
            </w:tcMar>
            <w:vAlign w:val="center"/>
          </w:tcPr>
          <w:p w14:paraId="2E0FE4D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35DA743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29.6</w:t>
            </w:r>
          </w:p>
        </w:tc>
        <w:tc>
          <w:tcPr>
            <w:tcW w:w="466" w:type="dxa"/>
            <w:shd w:val="clear" w:color="auto" w:fill="auto"/>
            <w:tcMar>
              <w:top w:w="0" w:type="dxa"/>
              <w:left w:w="0" w:type="dxa"/>
              <w:bottom w:w="0" w:type="dxa"/>
              <w:right w:w="0" w:type="dxa"/>
            </w:tcMar>
            <w:vAlign w:val="center"/>
          </w:tcPr>
          <w:p w14:paraId="5A962EC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47.1</w:t>
            </w:r>
          </w:p>
        </w:tc>
        <w:tc>
          <w:tcPr>
            <w:tcW w:w="551" w:type="dxa"/>
            <w:shd w:val="clear" w:color="auto" w:fill="auto"/>
            <w:tcMar>
              <w:top w:w="0" w:type="dxa"/>
              <w:left w:w="0" w:type="dxa"/>
              <w:bottom w:w="0" w:type="dxa"/>
              <w:right w:w="0" w:type="dxa"/>
            </w:tcMar>
            <w:vAlign w:val="center"/>
          </w:tcPr>
          <w:p w14:paraId="6BFEC45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40.9</w:t>
            </w:r>
          </w:p>
        </w:tc>
        <w:tc>
          <w:tcPr>
            <w:tcW w:w="510" w:type="dxa"/>
            <w:shd w:val="clear" w:color="auto" w:fill="auto"/>
            <w:tcMar>
              <w:top w:w="0" w:type="dxa"/>
              <w:left w:w="0" w:type="dxa"/>
              <w:bottom w:w="0" w:type="dxa"/>
              <w:right w:w="0" w:type="dxa"/>
            </w:tcMar>
            <w:vAlign w:val="center"/>
          </w:tcPr>
          <w:p w14:paraId="47C730F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18.6</w:t>
            </w:r>
          </w:p>
        </w:tc>
        <w:tc>
          <w:tcPr>
            <w:tcW w:w="463" w:type="dxa"/>
            <w:shd w:val="clear" w:color="auto" w:fill="auto"/>
            <w:tcMar>
              <w:top w:w="0" w:type="dxa"/>
              <w:left w:w="0" w:type="dxa"/>
              <w:bottom w:w="0" w:type="dxa"/>
              <w:right w:w="0" w:type="dxa"/>
            </w:tcMar>
            <w:vAlign w:val="center"/>
          </w:tcPr>
          <w:p w14:paraId="7F20ADE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29E127C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49DB1F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510" w:type="dxa"/>
            <w:shd w:val="clear" w:color="auto" w:fill="auto"/>
            <w:tcMar>
              <w:top w:w="0" w:type="dxa"/>
              <w:left w:w="0" w:type="dxa"/>
              <w:bottom w:w="0" w:type="dxa"/>
              <w:right w:w="0" w:type="dxa"/>
            </w:tcMar>
            <w:vAlign w:val="center"/>
          </w:tcPr>
          <w:p w14:paraId="5D84F10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440" w:type="dxa"/>
            <w:shd w:val="clear" w:color="auto" w:fill="auto"/>
            <w:tcMar>
              <w:top w:w="0" w:type="dxa"/>
              <w:left w:w="0" w:type="dxa"/>
              <w:bottom w:w="0" w:type="dxa"/>
              <w:right w:w="0" w:type="dxa"/>
            </w:tcMar>
            <w:vAlign w:val="center"/>
          </w:tcPr>
          <w:p w14:paraId="4096710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1E32DB3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C2A2E5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793652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7F875DF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2F94C2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7F3524C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62C54C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557" w:type="dxa"/>
            <w:shd w:val="clear" w:color="auto" w:fill="auto"/>
            <w:tcMar>
              <w:top w:w="0" w:type="dxa"/>
              <w:left w:w="0" w:type="dxa"/>
              <w:bottom w:w="0" w:type="dxa"/>
              <w:right w:w="0" w:type="dxa"/>
            </w:tcMar>
            <w:vAlign w:val="center"/>
          </w:tcPr>
          <w:p w14:paraId="4A5D2E9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41.4</w:t>
            </w:r>
          </w:p>
        </w:tc>
        <w:tc>
          <w:tcPr>
            <w:tcW w:w="671" w:type="dxa"/>
            <w:shd w:val="clear" w:color="auto" w:fill="auto"/>
            <w:tcMar>
              <w:top w:w="0" w:type="dxa"/>
              <w:left w:w="0" w:type="dxa"/>
              <w:bottom w:w="0" w:type="dxa"/>
              <w:right w:w="0" w:type="dxa"/>
            </w:tcMar>
            <w:vAlign w:val="center"/>
          </w:tcPr>
          <w:p w14:paraId="3A1C436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5D13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57E27CB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w:t>
            </w:r>
          </w:p>
        </w:tc>
        <w:tc>
          <w:tcPr>
            <w:tcW w:w="1059" w:type="dxa"/>
            <w:shd w:val="clear" w:color="auto" w:fill="auto"/>
            <w:tcMar>
              <w:top w:w="0" w:type="dxa"/>
              <w:left w:w="0" w:type="dxa"/>
              <w:bottom w:w="0" w:type="dxa"/>
              <w:right w:w="0" w:type="dxa"/>
            </w:tcMar>
            <w:vAlign w:val="center"/>
          </w:tcPr>
          <w:p w14:paraId="494259F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111E6D6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真空泵5</w:t>
            </w:r>
          </w:p>
        </w:tc>
        <w:tc>
          <w:tcPr>
            <w:tcW w:w="619" w:type="dxa"/>
            <w:shd w:val="clear" w:color="auto" w:fill="auto"/>
            <w:tcMar>
              <w:top w:w="0" w:type="dxa"/>
              <w:left w:w="0" w:type="dxa"/>
              <w:bottom w:w="0" w:type="dxa"/>
              <w:right w:w="0" w:type="dxa"/>
            </w:tcMar>
            <w:vAlign w:val="center"/>
          </w:tcPr>
          <w:p w14:paraId="633C664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85</w:t>
            </w:r>
          </w:p>
        </w:tc>
        <w:tc>
          <w:tcPr>
            <w:tcW w:w="510" w:type="dxa"/>
            <w:vMerge w:val="continue"/>
            <w:shd w:val="clear" w:color="auto" w:fill="auto"/>
            <w:tcMar>
              <w:top w:w="0" w:type="dxa"/>
              <w:left w:w="0" w:type="dxa"/>
              <w:bottom w:w="0" w:type="dxa"/>
              <w:right w:w="0" w:type="dxa"/>
            </w:tcMar>
            <w:vAlign w:val="center"/>
          </w:tcPr>
          <w:p w14:paraId="00C423D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4E84310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9.6</w:t>
            </w:r>
          </w:p>
        </w:tc>
        <w:tc>
          <w:tcPr>
            <w:tcW w:w="569" w:type="dxa"/>
            <w:shd w:val="clear" w:color="auto" w:fill="auto"/>
            <w:tcMar>
              <w:top w:w="0" w:type="dxa"/>
              <w:left w:w="0" w:type="dxa"/>
              <w:bottom w:w="0" w:type="dxa"/>
              <w:right w:w="0" w:type="dxa"/>
            </w:tcMar>
            <w:vAlign w:val="center"/>
          </w:tcPr>
          <w:p w14:paraId="16FE52E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w:t>
            </w:r>
          </w:p>
        </w:tc>
        <w:tc>
          <w:tcPr>
            <w:tcW w:w="604" w:type="dxa"/>
            <w:shd w:val="clear" w:color="auto" w:fill="auto"/>
            <w:tcMar>
              <w:top w:w="0" w:type="dxa"/>
              <w:left w:w="0" w:type="dxa"/>
              <w:bottom w:w="0" w:type="dxa"/>
              <w:right w:w="0" w:type="dxa"/>
            </w:tcMar>
            <w:vAlign w:val="center"/>
          </w:tcPr>
          <w:p w14:paraId="64EA557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597A07F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29.3</w:t>
            </w:r>
          </w:p>
        </w:tc>
        <w:tc>
          <w:tcPr>
            <w:tcW w:w="466" w:type="dxa"/>
            <w:shd w:val="clear" w:color="auto" w:fill="auto"/>
            <w:tcMar>
              <w:top w:w="0" w:type="dxa"/>
              <w:left w:w="0" w:type="dxa"/>
              <w:bottom w:w="0" w:type="dxa"/>
              <w:right w:w="0" w:type="dxa"/>
            </w:tcMar>
            <w:vAlign w:val="center"/>
          </w:tcPr>
          <w:p w14:paraId="2364F8A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43.2</w:t>
            </w:r>
          </w:p>
        </w:tc>
        <w:tc>
          <w:tcPr>
            <w:tcW w:w="551" w:type="dxa"/>
            <w:shd w:val="clear" w:color="auto" w:fill="auto"/>
            <w:tcMar>
              <w:top w:w="0" w:type="dxa"/>
              <w:left w:w="0" w:type="dxa"/>
              <w:bottom w:w="0" w:type="dxa"/>
              <w:right w:w="0" w:type="dxa"/>
            </w:tcMar>
            <w:vAlign w:val="center"/>
          </w:tcPr>
          <w:p w14:paraId="099D250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510" w:type="dxa"/>
            <w:shd w:val="clear" w:color="auto" w:fill="auto"/>
            <w:tcMar>
              <w:top w:w="0" w:type="dxa"/>
              <w:left w:w="0" w:type="dxa"/>
              <w:bottom w:w="0" w:type="dxa"/>
              <w:right w:w="0" w:type="dxa"/>
            </w:tcMar>
            <w:vAlign w:val="center"/>
          </w:tcPr>
          <w:p w14:paraId="338ABF3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22.5</w:t>
            </w:r>
          </w:p>
        </w:tc>
        <w:tc>
          <w:tcPr>
            <w:tcW w:w="463" w:type="dxa"/>
            <w:shd w:val="clear" w:color="auto" w:fill="auto"/>
            <w:tcMar>
              <w:top w:w="0" w:type="dxa"/>
              <w:left w:w="0" w:type="dxa"/>
              <w:bottom w:w="0" w:type="dxa"/>
              <w:right w:w="0" w:type="dxa"/>
            </w:tcMar>
            <w:vAlign w:val="center"/>
          </w:tcPr>
          <w:p w14:paraId="1634AC2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51BC823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7E8395D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510" w:type="dxa"/>
            <w:shd w:val="clear" w:color="auto" w:fill="auto"/>
            <w:tcMar>
              <w:top w:w="0" w:type="dxa"/>
              <w:left w:w="0" w:type="dxa"/>
              <w:bottom w:w="0" w:type="dxa"/>
              <w:right w:w="0" w:type="dxa"/>
            </w:tcMar>
            <w:vAlign w:val="center"/>
          </w:tcPr>
          <w:p w14:paraId="02714AC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440" w:type="dxa"/>
            <w:shd w:val="clear" w:color="auto" w:fill="auto"/>
            <w:tcMar>
              <w:top w:w="0" w:type="dxa"/>
              <w:left w:w="0" w:type="dxa"/>
              <w:bottom w:w="0" w:type="dxa"/>
              <w:right w:w="0" w:type="dxa"/>
            </w:tcMar>
            <w:vAlign w:val="center"/>
          </w:tcPr>
          <w:p w14:paraId="786B00B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28BEC5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D7FF94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AEF77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029C42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6078A76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7AD0849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1205B6C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557" w:type="dxa"/>
            <w:shd w:val="clear" w:color="auto" w:fill="auto"/>
            <w:tcMar>
              <w:top w:w="0" w:type="dxa"/>
              <w:left w:w="0" w:type="dxa"/>
              <w:bottom w:w="0" w:type="dxa"/>
              <w:right w:w="0" w:type="dxa"/>
            </w:tcMar>
            <w:vAlign w:val="center"/>
          </w:tcPr>
          <w:p w14:paraId="313CD4B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41.4</w:t>
            </w:r>
          </w:p>
        </w:tc>
        <w:tc>
          <w:tcPr>
            <w:tcW w:w="671" w:type="dxa"/>
            <w:shd w:val="clear" w:color="auto" w:fill="auto"/>
            <w:tcMar>
              <w:top w:w="0" w:type="dxa"/>
              <w:left w:w="0" w:type="dxa"/>
              <w:bottom w:w="0" w:type="dxa"/>
              <w:right w:w="0" w:type="dxa"/>
            </w:tcMar>
            <w:vAlign w:val="center"/>
          </w:tcPr>
          <w:p w14:paraId="5003166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4104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7DAF34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w:t>
            </w:r>
          </w:p>
        </w:tc>
        <w:tc>
          <w:tcPr>
            <w:tcW w:w="1059" w:type="dxa"/>
            <w:shd w:val="clear" w:color="auto" w:fill="auto"/>
            <w:tcMar>
              <w:top w:w="0" w:type="dxa"/>
              <w:left w:w="0" w:type="dxa"/>
              <w:bottom w:w="0" w:type="dxa"/>
              <w:right w:w="0" w:type="dxa"/>
            </w:tcMar>
            <w:vAlign w:val="center"/>
          </w:tcPr>
          <w:p w14:paraId="6DAE812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66BF1B5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真空泵6</w:t>
            </w:r>
          </w:p>
        </w:tc>
        <w:tc>
          <w:tcPr>
            <w:tcW w:w="619" w:type="dxa"/>
            <w:shd w:val="clear" w:color="auto" w:fill="auto"/>
            <w:tcMar>
              <w:top w:w="0" w:type="dxa"/>
              <w:left w:w="0" w:type="dxa"/>
              <w:bottom w:w="0" w:type="dxa"/>
              <w:right w:w="0" w:type="dxa"/>
            </w:tcMar>
            <w:vAlign w:val="center"/>
          </w:tcPr>
          <w:p w14:paraId="22BB308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85</w:t>
            </w:r>
          </w:p>
        </w:tc>
        <w:tc>
          <w:tcPr>
            <w:tcW w:w="510" w:type="dxa"/>
            <w:vMerge w:val="continue"/>
            <w:shd w:val="clear" w:color="auto" w:fill="auto"/>
            <w:tcMar>
              <w:top w:w="0" w:type="dxa"/>
              <w:left w:w="0" w:type="dxa"/>
              <w:bottom w:w="0" w:type="dxa"/>
              <w:right w:w="0" w:type="dxa"/>
            </w:tcMar>
            <w:vAlign w:val="center"/>
          </w:tcPr>
          <w:p w14:paraId="12A6628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7A1C7D4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7.8</w:t>
            </w:r>
          </w:p>
        </w:tc>
        <w:tc>
          <w:tcPr>
            <w:tcW w:w="569" w:type="dxa"/>
            <w:shd w:val="clear" w:color="auto" w:fill="auto"/>
            <w:tcMar>
              <w:top w:w="0" w:type="dxa"/>
              <w:left w:w="0" w:type="dxa"/>
              <w:bottom w:w="0" w:type="dxa"/>
              <w:right w:w="0" w:type="dxa"/>
            </w:tcMar>
            <w:vAlign w:val="center"/>
          </w:tcPr>
          <w:p w14:paraId="15374F4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604" w:type="dxa"/>
            <w:shd w:val="clear" w:color="auto" w:fill="auto"/>
            <w:tcMar>
              <w:top w:w="0" w:type="dxa"/>
              <w:left w:w="0" w:type="dxa"/>
              <w:bottom w:w="0" w:type="dxa"/>
              <w:right w:w="0" w:type="dxa"/>
            </w:tcMar>
            <w:vAlign w:val="center"/>
          </w:tcPr>
          <w:p w14:paraId="721EBC5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0E567E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29.3</w:t>
            </w:r>
          </w:p>
        </w:tc>
        <w:tc>
          <w:tcPr>
            <w:tcW w:w="466" w:type="dxa"/>
            <w:shd w:val="clear" w:color="auto" w:fill="auto"/>
            <w:tcMar>
              <w:top w:w="0" w:type="dxa"/>
              <w:left w:w="0" w:type="dxa"/>
              <w:bottom w:w="0" w:type="dxa"/>
              <w:right w:w="0" w:type="dxa"/>
            </w:tcMar>
            <w:vAlign w:val="center"/>
          </w:tcPr>
          <w:p w14:paraId="188AF8F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38.7</w:t>
            </w:r>
          </w:p>
        </w:tc>
        <w:tc>
          <w:tcPr>
            <w:tcW w:w="551" w:type="dxa"/>
            <w:shd w:val="clear" w:color="auto" w:fill="auto"/>
            <w:tcMar>
              <w:top w:w="0" w:type="dxa"/>
              <w:left w:w="0" w:type="dxa"/>
              <w:bottom w:w="0" w:type="dxa"/>
              <w:right w:w="0" w:type="dxa"/>
            </w:tcMar>
            <w:vAlign w:val="center"/>
          </w:tcPr>
          <w:p w14:paraId="541FEA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41.5</w:t>
            </w:r>
          </w:p>
        </w:tc>
        <w:tc>
          <w:tcPr>
            <w:tcW w:w="510" w:type="dxa"/>
            <w:shd w:val="clear" w:color="auto" w:fill="auto"/>
            <w:tcMar>
              <w:top w:w="0" w:type="dxa"/>
              <w:left w:w="0" w:type="dxa"/>
              <w:bottom w:w="0" w:type="dxa"/>
              <w:right w:w="0" w:type="dxa"/>
            </w:tcMar>
            <w:vAlign w:val="center"/>
          </w:tcPr>
          <w:p w14:paraId="0EE7722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27.0</w:t>
            </w:r>
          </w:p>
        </w:tc>
        <w:tc>
          <w:tcPr>
            <w:tcW w:w="463" w:type="dxa"/>
            <w:shd w:val="clear" w:color="auto" w:fill="auto"/>
            <w:tcMar>
              <w:top w:w="0" w:type="dxa"/>
              <w:left w:w="0" w:type="dxa"/>
              <w:bottom w:w="0" w:type="dxa"/>
              <w:right w:w="0" w:type="dxa"/>
            </w:tcMar>
            <w:vAlign w:val="center"/>
          </w:tcPr>
          <w:p w14:paraId="22AE666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6CC1BEA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47AC6C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510" w:type="dxa"/>
            <w:shd w:val="clear" w:color="auto" w:fill="auto"/>
            <w:tcMar>
              <w:top w:w="0" w:type="dxa"/>
              <w:left w:w="0" w:type="dxa"/>
              <w:bottom w:w="0" w:type="dxa"/>
              <w:right w:w="0" w:type="dxa"/>
            </w:tcMar>
            <w:vAlign w:val="center"/>
          </w:tcPr>
          <w:p w14:paraId="244040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40" w:type="dxa"/>
            <w:shd w:val="clear" w:color="auto" w:fill="auto"/>
            <w:tcMar>
              <w:top w:w="0" w:type="dxa"/>
              <w:left w:w="0" w:type="dxa"/>
              <w:bottom w:w="0" w:type="dxa"/>
              <w:right w:w="0" w:type="dxa"/>
            </w:tcMar>
            <w:vAlign w:val="center"/>
          </w:tcPr>
          <w:p w14:paraId="4937858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2567FA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F97D4F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2437082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2837E96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401D93A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0813541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3174A2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557" w:type="dxa"/>
            <w:shd w:val="clear" w:color="auto" w:fill="auto"/>
            <w:tcMar>
              <w:top w:w="0" w:type="dxa"/>
              <w:left w:w="0" w:type="dxa"/>
              <w:bottom w:w="0" w:type="dxa"/>
              <w:right w:w="0" w:type="dxa"/>
            </w:tcMar>
            <w:vAlign w:val="center"/>
          </w:tcPr>
          <w:p w14:paraId="626E0B5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671" w:type="dxa"/>
            <w:shd w:val="clear" w:color="auto" w:fill="auto"/>
            <w:tcMar>
              <w:top w:w="0" w:type="dxa"/>
              <w:left w:w="0" w:type="dxa"/>
              <w:bottom w:w="0" w:type="dxa"/>
              <w:right w:w="0" w:type="dxa"/>
            </w:tcMar>
            <w:vAlign w:val="center"/>
          </w:tcPr>
          <w:p w14:paraId="29D2EF6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496C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41D2D92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w:t>
            </w:r>
          </w:p>
        </w:tc>
        <w:tc>
          <w:tcPr>
            <w:tcW w:w="1059" w:type="dxa"/>
            <w:shd w:val="clear" w:color="auto" w:fill="auto"/>
            <w:tcMar>
              <w:top w:w="0" w:type="dxa"/>
              <w:left w:w="0" w:type="dxa"/>
              <w:bottom w:w="0" w:type="dxa"/>
              <w:right w:w="0" w:type="dxa"/>
            </w:tcMar>
            <w:vAlign w:val="center"/>
          </w:tcPr>
          <w:p w14:paraId="3819E5A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5376215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真空泵7</w:t>
            </w:r>
          </w:p>
        </w:tc>
        <w:tc>
          <w:tcPr>
            <w:tcW w:w="619" w:type="dxa"/>
            <w:shd w:val="clear" w:color="auto" w:fill="auto"/>
            <w:tcMar>
              <w:top w:w="0" w:type="dxa"/>
              <w:left w:w="0" w:type="dxa"/>
              <w:bottom w:w="0" w:type="dxa"/>
              <w:right w:w="0" w:type="dxa"/>
            </w:tcMar>
            <w:vAlign w:val="center"/>
          </w:tcPr>
          <w:p w14:paraId="475B82C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85</w:t>
            </w:r>
          </w:p>
        </w:tc>
        <w:tc>
          <w:tcPr>
            <w:tcW w:w="510" w:type="dxa"/>
            <w:vMerge w:val="continue"/>
            <w:shd w:val="clear" w:color="auto" w:fill="auto"/>
            <w:tcMar>
              <w:top w:w="0" w:type="dxa"/>
              <w:left w:w="0" w:type="dxa"/>
              <w:bottom w:w="0" w:type="dxa"/>
              <w:right w:w="0" w:type="dxa"/>
            </w:tcMar>
            <w:vAlign w:val="center"/>
          </w:tcPr>
          <w:p w14:paraId="5EC885A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61F12B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w:t>
            </w:r>
          </w:p>
        </w:tc>
        <w:tc>
          <w:tcPr>
            <w:tcW w:w="569" w:type="dxa"/>
            <w:shd w:val="clear" w:color="auto" w:fill="auto"/>
            <w:tcMar>
              <w:top w:w="0" w:type="dxa"/>
              <w:left w:w="0" w:type="dxa"/>
              <w:bottom w:w="0" w:type="dxa"/>
              <w:right w:w="0" w:type="dxa"/>
            </w:tcMar>
            <w:vAlign w:val="center"/>
          </w:tcPr>
          <w:p w14:paraId="40F9B9A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604" w:type="dxa"/>
            <w:shd w:val="clear" w:color="auto" w:fill="auto"/>
            <w:tcMar>
              <w:top w:w="0" w:type="dxa"/>
              <w:left w:w="0" w:type="dxa"/>
              <w:bottom w:w="0" w:type="dxa"/>
              <w:right w:w="0" w:type="dxa"/>
            </w:tcMar>
            <w:vAlign w:val="center"/>
          </w:tcPr>
          <w:p w14:paraId="3A462AC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6C322C6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29.5</w:t>
            </w:r>
          </w:p>
        </w:tc>
        <w:tc>
          <w:tcPr>
            <w:tcW w:w="466" w:type="dxa"/>
            <w:shd w:val="clear" w:color="auto" w:fill="auto"/>
            <w:tcMar>
              <w:top w:w="0" w:type="dxa"/>
              <w:left w:w="0" w:type="dxa"/>
              <w:bottom w:w="0" w:type="dxa"/>
              <w:right w:w="0" w:type="dxa"/>
            </w:tcMar>
            <w:vAlign w:val="center"/>
          </w:tcPr>
          <w:p w14:paraId="6EC65DA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33.8</w:t>
            </w:r>
          </w:p>
        </w:tc>
        <w:tc>
          <w:tcPr>
            <w:tcW w:w="551" w:type="dxa"/>
            <w:shd w:val="clear" w:color="auto" w:fill="auto"/>
            <w:tcMar>
              <w:top w:w="0" w:type="dxa"/>
              <w:left w:w="0" w:type="dxa"/>
              <w:bottom w:w="0" w:type="dxa"/>
              <w:right w:w="0" w:type="dxa"/>
            </w:tcMar>
            <w:vAlign w:val="center"/>
          </w:tcPr>
          <w:p w14:paraId="3BB06BE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41.4</w:t>
            </w:r>
          </w:p>
        </w:tc>
        <w:tc>
          <w:tcPr>
            <w:tcW w:w="510" w:type="dxa"/>
            <w:shd w:val="clear" w:color="auto" w:fill="auto"/>
            <w:tcMar>
              <w:top w:w="0" w:type="dxa"/>
              <w:left w:w="0" w:type="dxa"/>
              <w:bottom w:w="0" w:type="dxa"/>
              <w:right w:w="0" w:type="dxa"/>
            </w:tcMar>
            <w:vAlign w:val="center"/>
          </w:tcPr>
          <w:p w14:paraId="5331EEA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32.0</w:t>
            </w:r>
          </w:p>
        </w:tc>
        <w:tc>
          <w:tcPr>
            <w:tcW w:w="463" w:type="dxa"/>
            <w:shd w:val="clear" w:color="auto" w:fill="auto"/>
            <w:tcMar>
              <w:top w:w="0" w:type="dxa"/>
              <w:left w:w="0" w:type="dxa"/>
              <w:bottom w:w="0" w:type="dxa"/>
              <w:right w:w="0" w:type="dxa"/>
            </w:tcMar>
            <w:vAlign w:val="center"/>
          </w:tcPr>
          <w:p w14:paraId="20B4A7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070BF6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0B626B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510" w:type="dxa"/>
            <w:shd w:val="clear" w:color="auto" w:fill="auto"/>
            <w:tcMar>
              <w:top w:w="0" w:type="dxa"/>
              <w:left w:w="0" w:type="dxa"/>
              <w:bottom w:w="0" w:type="dxa"/>
              <w:right w:w="0" w:type="dxa"/>
            </w:tcMar>
            <w:vAlign w:val="center"/>
          </w:tcPr>
          <w:p w14:paraId="7DC0A5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40" w:type="dxa"/>
            <w:shd w:val="clear" w:color="auto" w:fill="auto"/>
            <w:tcMar>
              <w:top w:w="0" w:type="dxa"/>
              <w:left w:w="0" w:type="dxa"/>
              <w:bottom w:w="0" w:type="dxa"/>
              <w:right w:w="0" w:type="dxa"/>
            </w:tcMar>
            <w:vAlign w:val="center"/>
          </w:tcPr>
          <w:p w14:paraId="1B95096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084C731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6E031A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FD59CC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7C248F1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6F06356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3DC708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3D58CD3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557" w:type="dxa"/>
            <w:shd w:val="clear" w:color="auto" w:fill="auto"/>
            <w:tcMar>
              <w:top w:w="0" w:type="dxa"/>
              <w:left w:w="0" w:type="dxa"/>
              <w:bottom w:w="0" w:type="dxa"/>
              <w:right w:w="0" w:type="dxa"/>
            </w:tcMar>
            <w:vAlign w:val="center"/>
          </w:tcPr>
          <w:p w14:paraId="220BB5F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671" w:type="dxa"/>
            <w:shd w:val="clear" w:color="auto" w:fill="auto"/>
            <w:tcMar>
              <w:top w:w="0" w:type="dxa"/>
              <w:left w:w="0" w:type="dxa"/>
              <w:bottom w:w="0" w:type="dxa"/>
              <w:right w:w="0" w:type="dxa"/>
            </w:tcMar>
            <w:vAlign w:val="center"/>
          </w:tcPr>
          <w:p w14:paraId="21BF5FC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6463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77618F8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1059" w:type="dxa"/>
            <w:shd w:val="clear" w:color="auto" w:fill="auto"/>
            <w:tcMar>
              <w:top w:w="0" w:type="dxa"/>
              <w:left w:w="0" w:type="dxa"/>
              <w:bottom w:w="0" w:type="dxa"/>
              <w:right w:w="0" w:type="dxa"/>
            </w:tcMar>
            <w:vAlign w:val="center"/>
          </w:tcPr>
          <w:p w14:paraId="019CC19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795BF5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真空泵8</w:t>
            </w:r>
          </w:p>
        </w:tc>
        <w:tc>
          <w:tcPr>
            <w:tcW w:w="619" w:type="dxa"/>
            <w:shd w:val="clear" w:color="auto" w:fill="auto"/>
            <w:tcMar>
              <w:top w:w="0" w:type="dxa"/>
              <w:left w:w="0" w:type="dxa"/>
              <w:bottom w:w="0" w:type="dxa"/>
              <w:right w:w="0" w:type="dxa"/>
            </w:tcMar>
            <w:vAlign w:val="center"/>
          </w:tcPr>
          <w:p w14:paraId="4C7CA3A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85</w:t>
            </w:r>
          </w:p>
        </w:tc>
        <w:tc>
          <w:tcPr>
            <w:tcW w:w="510" w:type="dxa"/>
            <w:vMerge w:val="continue"/>
            <w:shd w:val="clear" w:color="auto" w:fill="auto"/>
            <w:tcMar>
              <w:top w:w="0" w:type="dxa"/>
              <w:left w:w="0" w:type="dxa"/>
              <w:bottom w:w="0" w:type="dxa"/>
              <w:right w:w="0" w:type="dxa"/>
            </w:tcMar>
            <w:vAlign w:val="center"/>
          </w:tcPr>
          <w:p w14:paraId="10A2DB5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697182E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3.8</w:t>
            </w:r>
          </w:p>
        </w:tc>
        <w:tc>
          <w:tcPr>
            <w:tcW w:w="569" w:type="dxa"/>
            <w:shd w:val="clear" w:color="auto" w:fill="auto"/>
            <w:tcMar>
              <w:top w:w="0" w:type="dxa"/>
              <w:left w:w="0" w:type="dxa"/>
              <w:bottom w:w="0" w:type="dxa"/>
              <w:right w:w="0" w:type="dxa"/>
            </w:tcMar>
            <w:vAlign w:val="center"/>
          </w:tcPr>
          <w:p w14:paraId="5D2BB93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w:t>
            </w:r>
          </w:p>
        </w:tc>
        <w:tc>
          <w:tcPr>
            <w:tcW w:w="604" w:type="dxa"/>
            <w:shd w:val="clear" w:color="auto" w:fill="auto"/>
            <w:tcMar>
              <w:top w:w="0" w:type="dxa"/>
              <w:left w:w="0" w:type="dxa"/>
              <w:bottom w:w="0" w:type="dxa"/>
              <w:right w:w="0" w:type="dxa"/>
            </w:tcMar>
            <w:vAlign w:val="center"/>
          </w:tcPr>
          <w:p w14:paraId="45097C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7F111D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29.4</w:t>
            </w:r>
          </w:p>
        </w:tc>
        <w:tc>
          <w:tcPr>
            <w:tcW w:w="466" w:type="dxa"/>
            <w:shd w:val="clear" w:color="auto" w:fill="auto"/>
            <w:tcMar>
              <w:top w:w="0" w:type="dxa"/>
              <w:left w:w="0" w:type="dxa"/>
              <w:bottom w:w="0" w:type="dxa"/>
              <w:right w:w="0" w:type="dxa"/>
            </w:tcMar>
            <w:vAlign w:val="center"/>
          </w:tcPr>
          <w:p w14:paraId="543C872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29.4</w:t>
            </w:r>
          </w:p>
        </w:tc>
        <w:tc>
          <w:tcPr>
            <w:tcW w:w="551" w:type="dxa"/>
            <w:shd w:val="clear" w:color="auto" w:fill="auto"/>
            <w:tcMar>
              <w:top w:w="0" w:type="dxa"/>
              <w:left w:w="0" w:type="dxa"/>
              <w:bottom w:w="0" w:type="dxa"/>
              <w:right w:w="0" w:type="dxa"/>
            </w:tcMar>
            <w:vAlign w:val="center"/>
          </w:tcPr>
          <w:p w14:paraId="48A1EB8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41.6</w:t>
            </w:r>
          </w:p>
        </w:tc>
        <w:tc>
          <w:tcPr>
            <w:tcW w:w="510" w:type="dxa"/>
            <w:shd w:val="clear" w:color="auto" w:fill="auto"/>
            <w:tcMar>
              <w:top w:w="0" w:type="dxa"/>
              <w:left w:w="0" w:type="dxa"/>
              <w:bottom w:w="0" w:type="dxa"/>
              <w:right w:w="0" w:type="dxa"/>
            </w:tcMar>
            <w:vAlign w:val="center"/>
          </w:tcPr>
          <w:p w14:paraId="2639C02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63" w:type="dxa"/>
            <w:shd w:val="clear" w:color="auto" w:fill="auto"/>
            <w:tcMar>
              <w:top w:w="0" w:type="dxa"/>
              <w:left w:w="0" w:type="dxa"/>
              <w:bottom w:w="0" w:type="dxa"/>
              <w:right w:w="0" w:type="dxa"/>
            </w:tcMar>
            <w:vAlign w:val="center"/>
          </w:tcPr>
          <w:p w14:paraId="58FBFE2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0A34364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4B5DFC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510" w:type="dxa"/>
            <w:shd w:val="clear" w:color="auto" w:fill="auto"/>
            <w:tcMar>
              <w:top w:w="0" w:type="dxa"/>
              <w:left w:w="0" w:type="dxa"/>
              <w:bottom w:w="0" w:type="dxa"/>
              <w:right w:w="0" w:type="dxa"/>
            </w:tcMar>
            <w:vAlign w:val="center"/>
          </w:tcPr>
          <w:p w14:paraId="7283C4A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40" w:type="dxa"/>
            <w:shd w:val="clear" w:color="auto" w:fill="auto"/>
            <w:tcMar>
              <w:top w:w="0" w:type="dxa"/>
              <w:left w:w="0" w:type="dxa"/>
              <w:bottom w:w="0" w:type="dxa"/>
              <w:right w:w="0" w:type="dxa"/>
            </w:tcMar>
            <w:vAlign w:val="center"/>
          </w:tcPr>
          <w:p w14:paraId="256A867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1C0085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CDB1D0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0188CC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43343D0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6E0AD6F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114B25A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4E19CD6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557" w:type="dxa"/>
            <w:shd w:val="clear" w:color="auto" w:fill="auto"/>
            <w:tcMar>
              <w:top w:w="0" w:type="dxa"/>
              <w:left w:w="0" w:type="dxa"/>
              <w:bottom w:w="0" w:type="dxa"/>
              <w:right w:w="0" w:type="dxa"/>
            </w:tcMar>
            <w:vAlign w:val="center"/>
          </w:tcPr>
          <w:p w14:paraId="5C486BF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671" w:type="dxa"/>
            <w:shd w:val="clear" w:color="auto" w:fill="auto"/>
            <w:tcMar>
              <w:top w:w="0" w:type="dxa"/>
              <w:left w:w="0" w:type="dxa"/>
              <w:bottom w:w="0" w:type="dxa"/>
              <w:right w:w="0" w:type="dxa"/>
            </w:tcMar>
            <w:vAlign w:val="center"/>
          </w:tcPr>
          <w:p w14:paraId="02A86D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24EE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08D2A41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43</w:t>
            </w:r>
          </w:p>
        </w:tc>
        <w:tc>
          <w:tcPr>
            <w:tcW w:w="1059" w:type="dxa"/>
            <w:shd w:val="clear" w:color="auto" w:fill="auto"/>
            <w:tcMar>
              <w:top w:w="0" w:type="dxa"/>
              <w:left w:w="0" w:type="dxa"/>
              <w:bottom w:w="0" w:type="dxa"/>
              <w:right w:w="0" w:type="dxa"/>
            </w:tcMar>
            <w:vAlign w:val="center"/>
          </w:tcPr>
          <w:p w14:paraId="7E81ED4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05035CB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真空泵9</w:t>
            </w:r>
          </w:p>
        </w:tc>
        <w:tc>
          <w:tcPr>
            <w:tcW w:w="619" w:type="dxa"/>
            <w:shd w:val="clear" w:color="auto" w:fill="auto"/>
            <w:tcMar>
              <w:top w:w="0" w:type="dxa"/>
              <w:left w:w="0" w:type="dxa"/>
              <w:bottom w:w="0" w:type="dxa"/>
              <w:right w:w="0" w:type="dxa"/>
            </w:tcMar>
            <w:vAlign w:val="center"/>
          </w:tcPr>
          <w:p w14:paraId="43AF210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85</w:t>
            </w:r>
          </w:p>
        </w:tc>
        <w:tc>
          <w:tcPr>
            <w:tcW w:w="510" w:type="dxa"/>
            <w:vMerge w:val="continue"/>
            <w:shd w:val="clear" w:color="auto" w:fill="auto"/>
            <w:tcMar>
              <w:top w:w="0" w:type="dxa"/>
              <w:left w:w="0" w:type="dxa"/>
              <w:bottom w:w="0" w:type="dxa"/>
              <w:right w:w="0" w:type="dxa"/>
            </w:tcMar>
            <w:vAlign w:val="center"/>
          </w:tcPr>
          <w:p w14:paraId="0C398F8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73CC53B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569" w:type="dxa"/>
            <w:shd w:val="clear" w:color="auto" w:fill="auto"/>
            <w:tcMar>
              <w:top w:w="0" w:type="dxa"/>
              <w:left w:w="0" w:type="dxa"/>
              <w:bottom w:w="0" w:type="dxa"/>
              <w:right w:w="0" w:type="dxa"/>
            </w:tcMar>
            <w:vAlign w:val="center"/>
          </w:tcPr>
          <w:p w14:paraId="5993924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-9.3</w:t>
            </w:r>
          </w:p>
        </w:tc>
        <w:tc>
          <w:tcPr>
            <w:tcW w:w="604" w:type="dxa"/>
            <w:shd w:val="clear" w:color="auto" w:fill="auto"/>
            <w:tcMar>
              <w:top w:w="0" w:type="dxa"/>
              <w:left w:w="0" w:type="dxa"/>
              <w:bottom w:w="0" w:type="dxa"/>
              <w:right w:w="0" w:type="dxa"/>
            </w:tcMar>
            <w:vAlign w:val="center"/>
          </w:tcPr>
          <w:p w14:paraId="3CC17F7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1E337FB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29.0</w:t>
            </w:r>
          </w:p>
        </w:tc>
        <w:tc>
          <w:tcPr>
            <w:tcW w:w="466" w:type="dxa"/>
            <w:shd w:val="clear" w:color="auto" w:fill="auto"/>
            <w:tcMar>
              <w:top w:w="0" w:type="dxa"/>
              <w:left w:w="0" w:type="dxa"/>
              <w:bottom w:w="0" w:type="dxa"/>
              <w:right w:w="0" w:type="dxa"/>
            </w:tcMar>
            <w:vAlign w:val="center"/>
          </w:tcPr>
          <w:p w14:paraId="12EF34C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25.7</w:t>
            </w:r>
          </w:p>
        </w:tc>
        <w:tc>
          <w:tcPr>
            <w:tcW w:w="551" w:type="dxa"/>
            <w:shd w:val="clear" w:color="auto" w:fill="auto"/>
            <w:tcMar>
              <w:top w:w="0" w:type="dxa"/>
              <w:left w:w="0" w:type="dxa"/>
              <w:bottom w:w="0" w:type="dxa"/>
              <w:right w:w="0" w:type="dxa"/>
            </w:tcMar>
            <w:vAlign w:val="center"/>
          </w:tcPr>
          <w:p w14:paraId="17844A8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42.1</w:t>
            </w:r>
          </w:p>
        </w:tc>
        <w:tc>
          <w:tcPr>
            <w:tcW w:w="510" w:type="dxa"/>
            <w:shd w:val="clear" w:color="auto" w:fill="auto"/>
            <w:tcMar>
              <w:top w:w="0" w:type="dxa"/>
              <w:left w:w="0" w:type="dxa"/>
              <w:bottom w:w="0" w:type="dxa"/>
              <w:right w:w="0" w:type="dxa"/>
            </w:tcMar>
            <w:vAlign w:val="center"/>
          </w:tcPr>
          <w:p w14:paraId="37EE550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40.0</w:t>
            </w:r>
          </w:p>
        </w:tc>
        <w:tc>
          <w:tcPr>
            <w:tcW w:w="463" w:type="dxa"/>
            <w:shd w:val="clear" w:color="auto" w:fill="auto"/>
            <w:tcMar>
              <w:top w:w="0" w:type="dxa"/>
              <w:left w:w="0" w:type="dxa"/>
              <w:bottom w:w="0" w:type="dxa"/>
              <w:right w:w="0" w:type="dxa"/>
            </w:tcMar>
            <w:vAlign w:val="center"/>
          </w:tcPr>
          <w:p w14:paraId="3673201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463358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55BCB68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510" w:type="dxa"/>
            <w:shd w:val="clear" w:color="auto" w:fill="auto"/>
            <w:tcMar>
              <w:top w:w="0" w:type="dxa"/>
              <w:left w:w="0" w:type="dxa"/>
              <w:bottom w:w="0" w:type="dxa"/>
              <w:right w:w="0" w:type="dxa"/>
            </w:tcMar>
            <w:vAlign w:val="center"/>
          </w:tcPr>
          <w:p w14:paraId="50B01E9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40" w:type="dxa"/>
            <w:shd w:val="clear" w:color="auto" w:fill="auto"/>
            <w:tcMar>
              <w:top w:w="0" w:type="dxa"/>
              <w:left w:w="0" w:type="dxa"/>
              <w:bottom w:w="0" w:type="dxa"/>
              <w:right w:w="0" w:type="dxa"/>
            </w:tcMar>
            <w:vAlign w:val="center"/>
          </w:tcPr>
          <w:p w14:paraId="4A51522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01A716D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D0B3B5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39507ED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7FD4DE6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6460B80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589A824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77F1D78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557" w:type="dxa"/>
            <w:shd w:val="clear" w:color="auto" w:fill="auto"/>
            <w:tcMar>
              <w:top w:w="0" w:type="dxa"/>
              <w:left w:w="0" w:type="dxa"/>
              <w:bottom w:w="0" w:type="dxa"/>
              <w:right w:w="0" w:type="dxa"/>
            </w:tcMar>
            <w:vAlign w:val="center"/>
          </w:tcPr>
          <w:p w14:paraId="0AE2B49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671" w:type="dxa"/>
            <w:shd w:val="clear" w:color="auto" w:fill="auto"/>
            <w:tcMar>
              <w:top w:w="0" w:type="dxa"/>
              <w:left w:w="0" w:type="dxa"/>
              <w:bottom w:w="0" w:type="dxa"/>
              <w:right w:w="0" w:type="dxa"/>
            </w:tcMar>
            <w:vAlign w:val="center"/>
          </w:tcPr>
          <w:p w14:paraId="79A8B43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4A32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13F39D8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w:t>
            </w:r>
          </w:p>
        </w:tc>
        <w:tc>
          <w:tcPr>
            <w:tcW w:w="1059" w:type="dxa"/>
            <w:shd w:val="clear" w:color="auto" w:fill="auto"/>
            <w:tcMar>
              <w:top w:w="0" w:type="dxa"/>
              <w:left w:w="0" w:type="dxa"/>
              <w:bottom w:w="0" w:type="dxa"/>
              <w:right w:w="0" w:type="dxa"/>
            </w:tcMar>
            <w:vAlign w:val="center"/>
          </w:tcPr>
          <w:p w14:paraId="2B3914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6440CA5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真空泵10</w:t>
            </w:r>
          </w:p>
        </w:tc>
        <w:tc>
          <w:tcPr>
            <w:tcW w:w="619" w:type="dxa"/>
            <w:shd w:val="clear" w:color="auto" w:fill="auto"/>
            <w:tcMar>
              <w:top w:w="0" w:type="dxa"/>
              <w:left w:w="0" w:type="dxa"/>
              <w:bottom w:w="0" w:type="dxa"/>
              <w:right w:w="0" w:type="dxa"/>
            </w:tcMar>
            <w:vAlign w:val="center"/>
          </w:tcPr>
          <w:p w14:paraId="468672F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85</w:t>
            </w:r>
          </w:p>
        </w:tc>
        <w:tc>
          <w:tcPr>
            <w:tcW w:w="510" w:type="dxa"/>
            <w:vMerge w:val="continue"/>
            <w:shd w:val="clear" w:color="auto" w:fill="auto"/>
            <w:tcMar>
              <w:top w:w="0" w:type="dxa"/>
              <w:left w:w="0" w:type="dxa"/>
              <w:bottom w:w="0" w:type="dxa"/>
              <w:right w:w="0" w:type="dxa"/>
            </w:tcMar>
            <w:vAlign w:val="center"/>
          </w:tcPr>
          <w:p w14:paraId="4246DE1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6C756F4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w:t>
            </w:r>
          </w:p>
        </w:tc>
        <w:tc>
          <w:tcPr>
            <w:tcW w:w="569" w:type="dxa"/>
            <w:shd w:val="clear" w:color="auto" w:fill="auto"/>
            <w:tcMar>
              <w:top w:w="0" w:type="dxa"/>
              <w:left w:w="0" w:type="dxa"/>
              <w:bottom w:w="0" w:type="dxa"/>
              <w:right w:w="0" w:type="dxa"/>
            </w:tcMar>
            <w:vAlign w:val="center"/>
          </w:tcPr>
          <w:p w14:paraId="3D68D9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-13.7</w:t>
            </w:r>
          </w:p>
        </w:tc>
        <w:tc>
          <w:tcPr>
            <w:tcW w:w="604" w:type="dxa"/>
            <w:shd w:val="clear" w:color="auto" w:fill="auto"/>
            <w:tcMar>
              <w:top w:w="0" w:type="dxa"/>
              <w:left w:w="0" w:type="dxa"/>
              <w:bottom w:w="0" w:type="dxa"/>
              <w:right w:w="0" w:type="dxa"/>
            </w:tcMar>
            <w:vAlign w:val="center"/>
          </w:tcPr>
          <w:p w14:paraId="7384E3C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154F55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29.1</w:t>
            </w:r>
          </w:p>
        </w:tc>
        <w:tc>
          <w:tcPr>
            <w:tcW w:w="466" w:type="dxa"/>
            <w:shd w:val="clear" w:color="auto" w:fill="auto"/>
            <w:tcMar>
              <w:top w:w="0" w:type="dxa"/>
              <w:left w:w="0" w:type="dxa"/>
              <w:bottom w:w="0" w:type="dxa"/>
              <w:right w:w="0" w:type="dxa"/>
            </w:tcMar>
            <w:vAlign w:val="center"/>
          </w:tcPr>
          <w:p w14:paraId="29CB6AB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20.9</w:t>
            </w:r>
          </w:p>
        </w:tc>
        <w:tc>
          <w:tcPr>
            <w:tcW w:w="551" w:type="dxa"/>
            <w:shd w:val="clear" w:color="auto" w:fill="auto"/>
            <w:tcMar>
              <w:top w:w="0" w:type="dxa"/>
              <w:left w:w="0" w:type="dxa"/>
              <w:bottom w:w="0" w:type="dxa"/>
              <w:right w:w="0" w:type="dxa"/>
            </w:tcMar>
            <w:vAlign w:val="center"/>
          </w:tcPr>
          <w:p w14:paraId="559BAF5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42.2</w:t>
            </w:r>
          </w:p>
        </w:tc>
        <w:tc>
          <w:tcPr>
            <w:tcW w:w="510" w:type="dxa"/>
            <w:shd w:val="clear" w:color="auto" w:fill="auto"/>
            <w:tcMar>
              <w:top w:w="0" w:type="dxa"/>
              <w:left w:w="0" w:type="dxa"/>
              <w:bottom w:w="0" w:type="dxa"/>
              <w:right w:w="0" w:type="dxa"/>
            </w:tcMar>
            <w:vAlign w:val="center"/>
          </w:tcPr>
          <w:p w14:paraId="5963A55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44.9</w:t>
            </w:r>
          </w:p>
        </w:tc>
        <w:tc>
          <w:tcPr>
            <w:tcW w:w="463" w:type="dxa"/>
            <w:shd w:val="clear" w:color="auto" w:fill="auto"/>
            <w:tcMar>
              <w:top w:w="0" w:type="dxa"/>
              <w:left w:w="0" w:type="dxa"/>
              <w:bottom w:w="0" w:type="dxa"/>
              <w:right w:w="0" w:type="dxa"/>
            </w:tcMar>
            <w:vAlign w:val="center"/>
          </w:tcPr>
          <w:p w14:paraId="567EB14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63" w:type="dxa"/>
            <w:shd w:val="clear" w:color="auto" w:fill="auto"/>
            <w:tcMar>
              <w:top w:w="0" w:type="dxa"/>
              <w:left w:w="0" w:type="dxa"/>
              <w:bottom w:w="0" w:type="dxa"/>
              <w:right w:w="0" w:type="dxa"/>
            </w:tcMar>
            <w:vAlign w:val="center"/>
          </w:tcPr>
          <w:p w14:paraId="5394A3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67.9</w:t>
            </w:r>
          </w:p>
        </w:tc>
        <w:tc>
          <w:tcPr>
            <w:tcW w:w="463" w:type="dxa"/>
            <w:shd w:val="clear" w:color="auto" w:fill="auto"/>
            <w:tcMar>
              <w:top w:w="0" w:type="dxa"/>
              <w:left w:w="0" w:type="dxa"/>
              <w:bottom w:w="0" w:type="dxa"/>
              <w:right w:w="0" w:type="dxa"/>
            </w:tcMar>
            <w:vAlign w:val="center"/>
          </w:tcPr>
          <w:p w14:paraId="3198EE1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510" w:type="dxa"/>
            <w:shd w:val="clear" w:color="auto" w:fill="auto"/>
            <w:tcMar>
              <w:top w:w="0" w:type="dxa"/>
              <w:left w:w="0" w:type="dxa"/>
              <w:bottom w:w="0" w:type="dxa"/>
              <w:right w:w="0" w:type="dxa"/>
            </w:tcMar>
            <w:vAlign w:val="center"/>
          </w:tcPr>
          <w:p w14:paraId="6E50630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67.8</w:t>
            </w:r>
          </w:p>
        </w:tc>
        <w:tc>
          <w:tcPr>
            <w:tcW w:w="440" w:type="dxa"/>
            <w:shd w:val="clear" w:color="auto" w:fill="auto"/>
            <w:tcMar>
              <w:top w:w="0" w:type="dxa"/>
              <w:left w:w="0" w:type="dxa"/>
              <w:bottom w:w="0" w:type="dxa"/>
              <w:right w:w="0" w:type="dxa"/>
            </w:tcMar>
            <w:vAlign w:val="center"/>
          </w:tcPr>
          <w:p w14:paraId="653713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4E2944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831D99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3AB9BF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33A782D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30D4E5B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481" w:type="dxa"/>
            <w:shd w:val="clear" w:color="auto" w:fill="auto"/>
            <w:tcMar>
              <w:top w:w="0" w:type="dxa"/>
              <w:left w:w="0" w:type="dxa"/>
              <w:bottom w:w="0" w:type="dxa"/>
              <w:right w:w="0" w:type="dxa"/>
            </w:tcMar>
            <w:vAlign w:val="center"/>
          </w:tcPr>
          <w:p w14:paraId="66FD30B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41.4</w:t>
            </w:r>
          </w:p>
        </w:tc>
        <w:tc>
          <w:tcPr>
            <w:tcW w:w="481" w:type="dxa"/>
            <w:shd w:val="clear" w:color="auto" w:fill="auto"/>
            <w:tcMar>
              <w:top w:w="0" w:type="dxa"/>
              <w:left w:w="0" w:type="dxa"/>
              <w:bottom w:w="0" w:type="dxa"/>
              <w:right w:w="0" w:type="dxa"/>
            </w:tcMar>
            <w:vAlign w:val="center"/>
          </w:tcPr>
          <w:p w14:paraId="3EB2AF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557" w:type="dxa"/>
            <w:shd w:val="clear" w:color="auto" w:fill="auto"/>
            <w:tcMar>
              <w:top w:w="0" w:type="dxa"/>
              <w:left w:w="0" w:type="dxa"/>
              <w:bottom w:w="0" w:type="dxa"/>
              <w:right w:w="0" w:type="dxa"/>
            </w:tcMar>
            <w:vAlign w:val="center"/>
          </w:tcPr>
          <w:p w14:paraId="40E0632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41.3</w:t>
            </w:r>
          </w:p>
        </w:tc>
        <w:tc>
          <w:tcPr>
            <w:tcW w:w="671" w:type="dxa"/>
            <w:shd w:val="clear" w:color="auto" w:fill="auto"/>
            <w:tcMar>
              <w:top w:w="0" w:type="dxa"/>
              <w:left w:w="0" w:type="dxa"/>
              <w:bottom w:w="0" w:type="dxa"/>
              <w:right w:w="0" w:type="dxa"/>
            </w:tcMar>
            <w:vAlign w:val="center"/>
          </w:tcPr>
          <w:p w14:paraId="6107576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0E9C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553B328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w:t>
            </w:r>
          </w:p>
        </w:tc>
        <w:tc>
          <w:tcPr>
            <w:tcW w:w="1059" w:type="dxa"/>
            <w:shd w:val="clear" w:color="auto" w:fill="auto"/>
            <w:tcMar>
              <w:top w:w="0" w:type="dxa"/>
              <w:left w:w="0" w:type="dxa"/>
              <w:bottom w:w="0" w:type="dxa"/>
              <w:right w:w="0" w:type="dxa"/>
            </w:tcMar>
            <w:vAlign w:val="center"/>
          </w:tcPr>
          <w:p w14:paraId="0F380D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74BC74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履带式牵引机1</w:t>
            </w:r>
          </w:p>
        </w:tc>
        <w:tc>
          <w:tcPr>
            <w:tcW w:w="619" w:type="dxa"/>
            <w:shd w:val="clear" w:color="auto" w:fill="auto"/>
            <w:tcMar>
              <w:top w:w="0" w:type="dxa"/>
              <w:left w:w="0" w:type="dxa"/>
              <w:bottom w:w="0" w:type="dxa"/>
              <w:right w:w="0" w:type="dxa"/>
            </w:tcMar>
            <w:vAlign w:val="center"/>
          </w:tcPr>
          <w:p w14:paraId="737063B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3482F0A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29C2360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19.7</w:t>
            </w:r>
          </w:p>
        </w:tc>
        <w:tc>
          <w:tcPr>
            <w:tcW w:w="569" w:type="dxa"/>
            <w:shd w:val="clear" w:color="auto" w:fill="auto"/>
            <w:tcMar>
              <w:top w:w="0" w:type="dxa"/>
              <w:left w:w="0" w:type="dxa"/>
              <w:bottom w:w="0" w:type="dxa"/>
              <w:right w:w="0" w:type="dxa"/>
            </w:tcMar>
            <w:vAlign w:val="center"/>
          </w:tcPr>
          <w:p w14:paraId="569962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19.5</w:t>
            </w:r>
          </w:p>
        </w:tc>
        <w:tc>
          <w:tcPr>
            <w:tcW w:w="604" w:type="dxa"/>
            <w:shd w:val="clear" w:color="auto" w:fill="auto"/>
            <w:tcMar>
              <w:top w:w="0" w:type="dxa"/>
              <w:left w:w="0" w:type="dxa"/>
              <w:bottom w:w="0" w:type="dxa"/>
              <w:right w:w="0" w:type="dxa"/>
            </w:tcMar>
            <w:vAlign w:val="center"/>
          </w:tcPr>
          <w:p w14:paraId="0472AB3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14F9E2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25.5</w:t>
            </w:r>
          </w:p>
        </w:tc>
        <w:tc>
          <w:tcPr>
            <w:tcW w:w="466" w:type="dxa"/>
            <w:shd w:val="clear" w:color="auto" w:fill="auto"/>
            <w:tcMar>
              <w:top w:w="0" w:type="dxa"/>
              <w:left w:w="0" w:type="dxa"/>
              <w:bottom w:w="0" w:type="dxa"/>
              <w:right w:w="0" w:type="dxa"/>
            </w:tcMar>
            <w:vAlign w:val="center"/>
          </w:tcPr>
          <w:p w14:paraId="22AD5DE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59.2</w:t>
            </w:r>
          </w:p>
        </w:tc>
        <w:tc>
          <w:tcPr>
            <w:tcW w:w="551" w:type="dxa"/>
            <w:shd w:val="clear" w:color="auto" w:fill="auto"/>
            <w:tcMar>
              <w:top w:w="0" w:type="dxa"/>
              <w:left w:w="0" w:type="dxa"/>
              <w:bottom w:w="0" w:type="dxa"/>
              <w:right w:w="0" w:type="dxa"/>
            </w:tcMar>
            <w:vAlign w:val="center"/>
          </w:tcPr>
          <w:p w14:paraId="6B23EF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44.6</w:t>
            </w:r>
          </w:p>
        </w:tc>
        <w:tc>
          <w:tcPr>
            <w:tcW w:w="510" w:type="dxa"/>
            <w:shd w:val="clear" w:color="auto" w:fill="auto"/>
            <w:tcMar>
              <w:top w:w="0" w:type="dxa"/>
              <w:left w:w="0" w:type="dxa"/>
              <w:bottom w:w="0" w:type="dxa"/>
              <w:right w:w="0" w:type="dxa"/>
            </w:tcMar>
            <w:vAlign w:val="center"/>
          </w:tcPr>
          <w:p w14:paraId="5B87445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6.6</w:t>
            </w:r>
          </w:p>
        </w:tc>
        <w:tc>
          <w:tcPr>
            <w:tcW w:w="463" w:type="dxa"/>
            <w:shd w:val="clear" w:color="auto" w:fill="auto"/>
            <w:tcMar>
              <w:top w:w="0" w:type="dxa"/>
              <w:left w:w="0" w:type="dxa"/>
              <w:bottom w:w="0" w:type="dxa"/>
              <w:right w:w="0" w:type="dxa"/>
            </w:tcMar>
            <w:vAlign w:val="center"/>
          </w:tcPr>
          <w:p w14:paraId="219BC36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3C9721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535DA9F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7C1526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58.2</w:t>
            </w:r>
          </w:p>
        </w:tc>
        <w:tc>
          <w:tcPr>
            <w:tcW w:w="440" w:type="dxa"/>
            <w:shd w:val="clear" w:color="auto" w:fill="auto"/>
            <w:tcMar>
              <w:top w:w="0" w:type="dxa"/>
              <w:left w:w="0" w:type="dxa"/>
              <w:bottom w:w="0" w:type="dxa"/>
              <w:right w:w="0" w:type="dxa"/>
            </w:tcMar>
            <w:vAlign w:val="center"/>
          </w:tcPr>
          <w:p w14:paraId="18BF965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3A7A4C1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0B4679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35D9BE0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5B34154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6E88FEA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580186E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708B91A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557" w:type="dxa"/>
            <w:shd w:val="clear" w:color="auto" w:fill="auto"/>
            <w:tcMar>
              <w:top w:w="0" w:type="dxa"/>
              <w:left w:w="0" w:type="dxa"/>
              <w:bottom w:w="0" w:type="dxa"/>
              <w:right w:w="0" w:type="dxa"/>
            </w:tcMar>
            <w:vAlign w:val="center"/>
          </w:tcPr>
          <w:p w14:paraId="0E76201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31.7</w:t>
            </w:r>
          </w:p>
        </w:tc>
        <w:tc>
          <w:tcPr>
            <w:tcW w:w="671" w:type="dxa"/>
            <w:shd w:val="clear" w:color="auto" w:fill="auto"/>
            <w:tcMar>
              <w:top w:w="0" w:type="dxa"/>
              <w:left w:w="0" w:type="dxa"/>
              <w:bottom w:w="0" w:type="dxa"/>
              <w:right w:w="0" w:type="dxa"/>
            </w:tcMar>
            <w:vAlign w:val="center"/>
          </w:tcPr>
          <w:p w14:paraId="71A7F0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57CF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5F2A6BF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w:t>
            </w:r>
          </w:p>
        </w:tc>
        <w:tc>
          <w:tcPr>
            <w:tcW w:w="1059" w:type="dxa"/>
            <w:shd w:val="clear" w:color="auto" w:fill="auto"/>
            <w:tcMar>
              <w:top w:w="0" w:type="dxa"/>
              <w:left w:w="0" w:type="dxa"/>
              <w:bottom w:w="0" w:type="dxa"/>
              <w:right w:w="0" w:type="dxa"/>
            </w:tcMar>
            <w:vAlign w:val="center"/>
          </w:tcPr>
          <w:p w14:paraId="25B050E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314AA0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履带式牵引机2</w:t>
            </w:r>
          </w:p>
        </w:tc>
        <w:tc>
          <w:tcPr>
            <w:tcW w:w="619" w:type="dxa"/>
            <w:shd w:val="clear" w:color="auto" w:fill="auto"/>
            <w:tcMar>
              <w:top w:w="0" w:type="dxa"/>
              <w:left w:w="0" w:type="dxa"/>
              <w:bottom w:w="0" w:type="dxa"/>
              <w:right w:w="0" w:type="dxa"/>
            </w:tcMar>
            <w:vAlign w:val="center"/>
          </w:tcPr>
          <w:p w14:paraId="654B712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4BBD8CC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17814F8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18.3</w:t>
            </w:r>
          </w:p>
        </w:tc>
        <w:tc>
          <w:tcPr>
            <w:tcW w:w="569" w:type="dxa"/>
            <w:shd w:val="clear" w:color="auto" w:fill="auto"/>
            <w:tcMar>
              <w:top w:w="0" w:type="dxa"/>
              <w:left w:w="0" w:type="dxa"/>
              <w:bottom w:w="0" w:type="dxa"/>
              <w:right w:w="0" w:type="dxa"/>
            </w:tcMar>
            <w:vAlign w:val="center"/>
          </w:tcPr>
          <w:p w14:paraId="21E26C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604" w:type="dxa"/>
            <w:shd w:val="clear" w:color="auto" w:fill="auto"/>
            <w:tcMar>
              <w:top w:w="0" w:type="dxa"/>
              <w:left w:w="0" w:type="dxa"/>
              <w:bottom w:w="0" w:type="dxa"/>
              <w:right w:w="0" w:type="dxa"/>
            </w:tcMar>
            <w:vAlign w:val="center"/>
          </w:tcPr>
          <w:p w14:paraId="266E65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6083A63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25.3</w:t>
            </w:r>
          </w:p>
        </w:tc>
        <w:tc>
          <w:tcPr>
            <w:tcW w:w="466" w:type="dxa"/>
            <w:shd w:val="clear" w:color="auto" w:fill="auto"/>
            <w:tcMar>
              <w:top w:w="0" w:type="dxa"/>
              <w:left w:w="0" w:type="dxa"/>
              <w:bottom w:w="0" w:type="dxa"/>
              <w:right w:w="0" w:type="dxa"/>
            </w:tcMar>
            <w:vAlign w:val="center"/>
          </w:tcPr>
          <w:p w14:paraId="30E3D65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55.4</w:t>
            </w:r>
          </w:p>
        </w:tc>
        <w:tc>
          <w:tcPr>
            <w:tcW w:w="551" w:type="dxa"/>
            <w:shd w:val="clear" w:color="auto" w:fill="auto"/>
            <w:tcMar>
              <w:top w:w="0" w:type="dxa"/>
              <w:left w:w="0" w:type="dxa"/>
              <w:bottom w:w="0" w:type="dxa"/>
              <w:right w:w="0" w:type="dxa"/>
            </w:tcMar>
            <w:vAlign w:val="center"/>
          </w:tcPr>
          <w:p w14:paraId="3D4B3E2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44.9</w:t>
            </w:r>
          </w:p>
        </w:tc>
        <w:tc>
          <w:tcPr>
            <w:tcW w:w="510" w:type="dxa"/>
            <w:shd w:val="clear" w:color="auto" w:fill="auto"/>
            <w:tcMar>
              <w:top w:w="0" w:type="dxa"/>
              <w:left w:w="0" w:type="dxa"/>
              <w:bottom w:w="0" w:type="dxa"/>
              <w:right w:w="0" w:type="dxa"/>
            </w:tcMar>
            <w:vAlign w:val="center"/>
          </w:tcPr>
          <w:p w14:paraId="2CA589E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10.4</w:t>
            </w:r>
          </w:p>
        </w:tc>
        <w:tc>
          <w:tcPr>
            <w:tcW w:w="463" w:type="dxa"/>
            <w:shd w:val="clear" w:color="auto" w:fill="auto"/>
            <w:tcMar>
              <w:top w:w="0" w:type="dxa"/>
              <w:left w:w="0" w:type="dxa"/>
              <w:bottom w:w="0" w:type="dxa"/>
              <w:right w:w="0" w:type="dxa"/>
            </w:tcMar>
            <w:vAlign w:val="center"/>
          </w:tcPr>
          <w:p w14:paraId="23F15F9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769A973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4DD1B5E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095D90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58.0</w:t>
            </w:r>
          </w:p>
        </w:tc>
        <w:tc>
          <w:tcPr>
            <w:tcW w:w="440" w:type="dxa"/>
            <w:shd w:val="clear" w:color="auto" w:fill="auto"/>
            <w:tcMar>
              <w:top w:w="0" w:type="dxa"/>
              <w:left w:w="0" w:type="dxa"/>
              <w:bottom w:w="0" w:type="dxa"/>
              <w:right w:w="0" w:type="dxa"/>
            </w:tcMar>
            <w:vAlign w:val="center"/>
          </w:tcPr>
          <w:p w14:paraId="200C17E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0EC1260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3533DF5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F3A721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6866021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4968674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0B20731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254247F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557" w:type="dxa"/>
            <w:shd w:val="clear" w:color="auto" w:fill="auto"/>
            <w:tcMar>
              <w:top w:w="0" w:type="dxa"/>
              <w:left w:w="0" w:type="dxa"/>
              <w:bottom w:w="0" w:type="dxa"/>
              <w:right w:w="0" w:type="dxa"/>
            </w:tcMar>
            <w:vAlign w:val="center"/>
          </w:tcPr>
          <w:p w14:paraId="73C0E0D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31.5</w:t>
            </w:r>
          </w:p>
        </w:tc>
        <w:tc>
          <w:tcPr>
            <w:tcW w:w="671" w:type="dxa"/>
            <w:shd w:val="clear" w:color="auto" w:fill="auto"/>
            <w:tcMar>
              <w:top w:w="0" w:type="dxa"/>
              <w:left w:w="0" w:type="dxa"/>
              <w:bottom w:w="0" w:type="dxa"/>
              <w:right w:w="0" w:type="dxa"/>
            </w:tcMar>
            <w:vAlign w:val="center"/>
          </w:tcPr>
          <w:p w14:paraId="3A03544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1FB9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0C5B1BC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47</w:t>
            </w:r>
          </w:p>
        </w:tc>
        <w:tc>
          <w:tcPr>
            <w:tcW w:w="1059" w:type="dxa"/>
            <w:shd w:val="clear" w:color="auto" w:fill="auto"/>
            <w:tcMar>
              <w:top w:w="0" w:type="dxa"/>
              <w:left w:w="0" w:type="dxa"/>
              <w:bottom w:w="0" w:type="dxa"/>
              <w:right w:w="0" w:type="dxa"/>
            </w:tcMar>
            <w:vAlign w:val="center"/>
          </w:tcPr>
          <w:p w14:paraId="262358B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17DF33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履带式牵引机3</w:t>
            </w:r>
          </w:p>
        </w:tc>
        <w:tc>
          <w:tcPr>
            <w:tcW w:w="619" w:type="dxa"/>
            <w:shd w:val="clear" w:color="auto" w:fill="auto"/>
            <w:tcMar>
              <w:top w:w="0" w:type="dxa"/>
              <w:left w:w="0" w:type="dxa"/>
              <w:bottom w:w="0" w:type="dxa"/>
              <w:right w:w="0" w:type="dxa"/>
            </w:tcMar>
            <w:vAlign w:val="center"/>
          </w:tcPr>
          <w:p w14:paraId="626E8BA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442DA57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32BE84E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16.6</w:t>
            </w:r>
          </w:p>
        </w:tc>
        <w:tc>
          <w:tcPr>
            <w:tcW w:w="569" w:type="dxa"/>
            <w:shd w:val="clear" w:color="auto" w:fill="auto"/>
            <w:tcMar>
              <w:top w:w="0" w:type="dxa"/>
              <w:left w:w="0" w:type="dxa"/>
              <w:bottom w:w="0" w:type="dxa"/>
              <w:right w:w="0" w:type="dxa"/>
            </w:tcMar>
            <w:vAlign w:val="center"/>
          </w:tcPr>
          <w:p w14:paraId="0E40F6E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12.1</w:t>
            </w:r>
          </w:p>
        </w:tc>
        <w:tc>
          <w:tcPr>
            <w:tcW w:w="604" w:type="dxa"/>
            <w:shd w:val="clear" w:color="auto" w:fill="auto"/>
            <w:tcMar>
              <w:top w:w="0" w:type="dxa"/>
              <w:left w:w="0" w:type="dxa"/>
              <w:bottom w:w="0" w:type="dxa"/>
              <w:right w:w="0" w:type="dxa"/>
            </w:tcMar>
            <w:vAlign w:val="center"/>
          </w:tcPr>
          <w:p w14:paraId="2D451D6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00AF78B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25.2</w:t>
            </w:r>
          </w:p>
        </w:tc>
        <w:tc>
          <w:tcPr>
            <w:tcW w:w="466" w:type="dxa"/>
            <w:shd w:val="clear" w:color="auto" w:fill="auto"/>
            <w:tcMar>
              <w:top w:w="0" w:type="dxa"/>
              <w:left w:w="0" w:type="dxa"/>
              <w:bottom w:w="0" w:type="dxa"/>
              <w:right w:w="0" w:type="dxa"/>
            </w:tcMar>
            <w:vAlign w:val="center"/>
          </w:tcPr>
          <w:p w14:paraId="0B856E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51.1</w:t>
            </w:r>
          </w:p>
        </w:tc>
        <w:tc>
          <w:tcPr>
            <w:tcW w:w="551" w:type="dxa"/>
            <w:shd w:val="clear" w:color="auto" w:fill="auto"/>
            <w:tcMar>
              <w:top w:w="0" w:type="dxa"/>
              <w:left w:w="0" w:type="dxa"/>
              <w:bottom w:w="0" w:type="dxa"/>
              <w:right w:w="0" w:type="dxa"/>
            </w:tcMar>
            <w:vAlign w:val="center"/>
          </w:tcPr>
          <w:p w14:paraId="766238B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45.1</w:t>
            </w:r>
          </w:p>
        </w:tc>
        <w:tc>
          <w:tcPr>
            <w:tcW w:w="510" w:type="dxa"/>
            <w:shd w:val="clear" w:color="auto" w:fill="auto"/>
            <w:tcMar>
              <w:top w:w="0" w:type="dxa"/>
              <w:left w:w="0" w:type="dxa"/>
              <w:bottom w:w="0" w:type="dxa"/>
              <w:right w:w="0" w:type="dxa"/>
            </w:tcMar>
            <w:vAlign w:val="center"/>
          </w:tcPr>
          <w:p w14:paraId="4391CE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14.7</w:t>
            </w:r>
          </w:p>
        </w:tc>
        <w:tc>
          <w:tcPr>
            <w:tcW w:w="463" w:type="dxa"/>
            <w:shd w:val="clear" w:color="auto" w:fill="auto"/>
            <w:tcMar>
              <w:top w:w="0" w:type="dxa"/>
              <w:left w:w="0" w:type="dxa"/>
              <w:bottom w:w="0" w:type="dxa"/>
              <w:right w:w="0" w:type="dxa"/>
            </w:tcMar>
            <w:vAlign w:val="center"/>
          </w:tcPr>
          <w:p w14:paraId="4129DF2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2BA156E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13139C5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322B3C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57.9</w:t>
            </w:r>
          </w:p>
        </w:tc>
        <w:tc>
          <w:tcPr>
            <w:tcW w:w="440" w:type="dxa"/>
            <w:shd w:val="clear" w:color="auto" w:fill="auto"/>
            <w:tcMar>
              <w:top w:w="0" w:type="dxa"/>
              <w:left w:w="0" w:type="dxa"/>
              <w:bottom w:w="0" w:type="dxa"/>
              <w:right w:w="0" w:type="dxa"/>
            </w:tcMar>
            <w:vAlign w:val="center"/>
          </w:tcPr>
          <w:p w14:paraId="20C4CC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30C7AB4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2E35FD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4012F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1E6CD25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0F7A31A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46A00E3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51C5900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557" w:type="dxa"/>
            <w:shd w:val="clear" w:color="auto" w:fill="auto"/>
            <w:tcMar>
              <w:top w:w="0" w:type="dxa"/>
              <w:left w:w="0" w:type="dxa"/>
              <w:bottom w:w="0" w:type="dxa"/>
              <w:right w:w="0" w:type="dxa"/>
            </w:tcMar>
            <w:vAlign w:val="center"/>
          </w:tcPr>
          <w:p w14:paraId="66DE415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31.4</w:t>
            </w:r>
          </w:p>
        </w:tc>
        <w:tc>
          <w:tcPr>
            <w:tcW w:w="671" w:type="dxa"/>
            <w:shd w:val="clear" w:color="auto" w:fill="auto"/>
            <w:tcMar>
              <w:top w:w="0" w:type="dxa"/>
              <w:left w:w="0" w:type="dxa"/>
              <w:bottom w:w="0" w:type="dxa"/>
              <w:right w:w="0" w:type="dxa"/>
            </w:tcMar>
            <w:vAlign w:val="center"/>
          </w:tcPr>
          <w:p w14:paraId="5F88F5F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1E30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7DDA625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48</w:t>
            </w:r>
          </w:p>
        </w:tc>
        <w:tc>
          <w:tcPr>
            <w:tcW w:w="1059" w:type="dxa"/>
            <w:shd w:val="clear" w:color="auto" w:fill="auto"/>
            <w:tcMar>
              <w:top w:w="0" w:type="dxa"/>
              <w:left w:w="0" w:type="dxa"/>
              <w:bottom w:w="0" w:type="dxa"/>
              <w:right w:w="0" w:type="dxa"/>
            </w:tcMar>
            <w:vAlign w:val="center"/>
          </w:tcPr>
          <w:p w14:paraId="736AB96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040EC3D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履带式牵引机4</w:t>
            </w:r>
          </w:p>
        </w:tc>
        <w:tc>
          <w:tcPr>
            <w:tcW w:w="619" w:type="dxa"/>
            <w:shd w:val="clear" w:color="auto" w:fill="auto"/>
            <w:tcMar>
              <w:top w:w="0" w:type="dxa"/>
              <w:left w:w="0" w:type="dxa"/>
              <w:bottom w:w="0" w:type="dxa"/>
              <w:right w:w="0" w:type="dxa"/>
            </w:tcMar>
            <w:vAlign w:val="center"/>
          </w:tcPr>
          <w:p w14:paraId="5B298D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7280868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5D7411E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15.4</w:t>
            </w:r>
          </w:p>
        </w:tc>
        <w:tc>
          <w:tcPr>
            <w:tcW w:w="569" w:type="dxa"/>
            <w:shd w:val="clear" w:color="auto" w:fill="auto"/>
            <w:tcMar>
              <w:top w:w="0" w:type="dxa"/>
              <w:left w:w="0" w:type="dxa"/>
              <w:bottom w:w="0" w:type="dxa"/>
              <w:right w:w="0" w:type="dxa"/>
            </w:tcMar>
            <w:vAlign w:val="center"/>
          </w:tcPr>
          <w:p w14:paraId="5D863FE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8.8</w:t>
            </w:r>
          </w:p>
        </w:tc>
        <w:tc>
          <w:tcPr>
            <w:tcW w:w="604" w:type="dxa"/>
            <w:shd w:val="clear" w:color="auto" w:fill="auto"/>
            <w:tcMar>
              <w:top w:w="0" w:type="dxa"/>
              <w:left w:w="0" w:type="dxa"/>
              <w:bottom w:w="0" w:type="dxa"/>
              <w:right w:w="0" w:type="dxa"/>
            </w:tcMar>
            <w:vAlign w:val="center"/>
          </w:tcPr>
          <w:p w14:paraId="310320C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156288F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25.0</w:t>
            </w:r>
          </w:p>
        </w:tc>
        <w:tc>
          <w:tcPr>
            <w:tcW w:w="466" w:type="dxa"/>
            <w:shd w:val="clear" w:color="auto" w:fill="auto"/>
            <w:tcMar>
              <w:top w:w="0" w:type="dxa"/>
              <w:left w:w="0" w:type="dxa"/>
              <w:bottom w:w="0" w:type="dxa"/>
              <w:right w:w="0" w:type="dxa"/>
            </w:tcMar>
            <w:vAlign w:val="center"/>
          </w:tcPr>
          <w:p w14:paraId="0BA9717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47.7</w:t>
            </w:r>
          </w:p>
        </w:tc>
        <w:tc>
          <w:tcPr>
            <w:tcW w:w="551" w:type="dxa"/>
            <w:shd w:val="clear" w:color="auto" w:fill="auto"/>
            <w:tcMar>
              <w:top w:w="0" w:type="dxa"/>
              <w:left w:w="0" w:type="dxa"/>
              <w:bottom w:w="0" w:type="dxa"/>
              <w:right w:w="0" w:type="dxa"/>
            </w:tcMar>
            <w:vAlign w:val="center"/>
          </w:tcPr>
          <w:p w14:paraId="756AD6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45.5</w:t>
            </w:r>
          </w:p>
        </w:tc>
        <w:tc>
          <w:tcPr>
            <w:tcW w:w="510" w:type="dxa"/>
            <w:shd w:val="clear" w:color="auto" w:fill="auto"/>
            <w:tcMar>
              <w:top w:w="0" w:type="dxa"/>
              <w:left w:w="0" w:type="dxa"/>
              <w:bottom w:w="0" w:type="dxa"/>
              <w:right w:w="0" w:type="dxa"/>
            </w:tcMar>
            <w:vAlign w:val="center"/>
          </w:tcPr>
          <w:p w14:paraId="10A7FAC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18.2</w:t>
            </w:r>
          </w:p>
        </w:tc>
        <w:tc>
          <w:tcPr>
            <w:tcW w:w="463" w:type="dxa"/>
            <w:shd w:val="clear" w:color="auto" w:fill="auto"/>
            <w:tcMar>
              <w:top w:w="0" w:type="dxa"/>
              <w:left w:w="0" w:type="dxa"/>
              <w:bottom w:w="0" w:type="dxa"/>
              <w:right w:w="0" w:type="dxa"/>
            </w:tcMar>
            <w:vAlign w:val="center"/>
          </w:tcPr>
          <w:p w14:paraId="5329DE5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010D3A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05DD819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18E01AE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57.9</w:t>
            </w:r>
          </w:p>
        </w:tc>
        <w:tc>
          <w:tcPr>
            <w:tcW w:w="440" w:type="dxa"/>
            <w:shd w:val="clear" w:color="auto" w:fill="auto"/>
            <w:tcMar>
              <w:top w:w="0" w:type="dxa"/>
              <w:left w:w="0" w:type="dxa"/>
              <w:bottom w:w="0" w:type="dxa"/>
              <w:right w:w="0" w:type="dxa"/>
            </w:tcMar>
            <w:vAlign w:val="center"/>
          </w:tcPr>
          <w:p w14:paraId="7F4249E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622780F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57D61D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E3F4FF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7D9953C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2A8A63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128EF04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4794622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557" w:type="dxa"/>
            <w:shd w:val="clear" w:color="auto" w:fill="auto"/>
            <w:tcMar>
              <w:top w:w="0" w:type="dxa"/>
              <w:left w:w="0" w:type="dxa"/>
              <w:bottom w:w="0" w:type="dxa"/>
              <w:right w:w="0" w:type="dxa"/>
            </w:tcMar>
            <w:vAlign w:val="center"/>
          </w:tcPr>
          <w:p w14:paraId="0AC5ECD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31.4</w:t>
            </w:r>
          </w:p>
        </w:tc>
        <w:tc>
          <w:tcPr>
            <w:tcW w:w="671" w:type="dxa"/>
            <w:shd w:val="clear" w:color="auto" w:fill="auto"/>
            <w:tcMar>
              <w:top w:w="0" w:type="dxa"/>
              <w:left w:w="0" w:type="dxa"/>
              <w:bottom w:w="0" w:type="dxa"/>
              <w:right w:w="0" w:type="dxa"/>
            </w:tcMar>
            <w:vAlign w:val="center"/>
          </w:tcPr>
          <w:p w14:paraId="78AD21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2623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386EBF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49</w:t>
            </w:r>
          </w:p>
        </w:tc>
        <w:tc>
          <w:tcPr>
            <w:tcW w:w="1059" w:type="dxa"/>
            <w:shd w:val="clear" w:color="auto" w:fill="auto"/>
            <w:tcMar>
              <w:top w:w="0" w:type="dxa"/>
              <w:left w:w="0" w:type="dxa"/>
              <w:bottom w:w="0" w:type="dxa"/>
              <w:right w:w="0" w:type="dxa"/>
            </w:tcMar>
            <w:vAlign w:val="center"/>
          </w:tcPr>
          <w:p w14:paraId="37D0FBC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059B6A4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履带式牵引机5</w:t>
            </w:r>
          </w:p>
        </w:tc>
        <w:tc>
          <w:tcPr>
            <w:tcW w:w="619" w:type="dxa"/>
            <w:shd w:val="clear" w:color="auto" w:fill="auto"/>
            <w:tcMar>
              <w:top w:w="0" w:type="dxa"/>
              <w:left w:w="0" w:type="dxa"/>
              <w:bottom w:w="0" w:type="dxa"/>
              <w:right w:w="0" w:type="dxa"/>
            </w:tcMar>
            <w:vAlign w:val="center"/>
          </w:tcPr>
          <w:p w14:paraId="621825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33012AE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5C351C3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13.6</w:t>
            </w:r>
          </w:p>
        </w:tc>
        <w:tc>
          <w:tcPr>
            <w:tcW w:w="569" w:type="dxa"/>
            <w:shd w:val="clear" w:color="auto" w:fill="auto"/>
            <w:tcMar>
              <w:top w:w="0" w:type="dxa"/>
              <w:left w:w="0" w:type="dxa"/>
              <w:bottom w:w="0" w:type="dxa"/>
              <w:right w:w="0" w:type="dxa"/>
            </w:tcMar>
            <w:vAlign w:val="center"/>
          </w:tcPr>
          <w:p w14:paraId="01D1889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5.3</w:t>
            </w:r>
          </w:p>
        </w:tc>
        <w:tc>
          <w:tcPr>
            <w:tcW w:w="604" w:type="dxa"/>
            <w:shd w:val="clear" w:color="auto" w:fill="auto"/>
            <w:tcMar>
              <w:top w:w="0" w:type="dxa"/>
              <w:left w:w="0" w:type="dxa"/>
              <w:bottom w:w="0" w:type="dxa"/>
              <w:right w:w="0" w:type="dxa"/>
            </w:tcMar>
            <w:vAlign w:val="center"/>
          </w:tcPr>
          <w:p w14:paraId="6BDD163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155F0F1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25.1</w:t>
            </w:r>
          </w:p>
        </w:tc>
        <w:tc>
          <w:tcPr>
            <w:tcW w:w="466" w:type="dxa"/>
            <w:shd w:val="clear" w:color="auto" w:fill="auto"/>
            <w:tcMar>
              <w:top w:w="0" w:type="dxa"/>
              <w:left w:w="0" w:type="dxa"/>
              <w:bottom w:w="0" w:type="dxa"/>
              <w:right w:w="0" w:type="dxa"/>
            </w:tcMar>
            <w:vAlign w:val="center"/>
          </w:tcPr>
          <w:p w14:paraId="3DC2107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43.7</w:t>
            </w:r>
          </w:p>
        </w:tc>
        <w:tc>
          <w:tcPr>
            <w:tcW w:w="551" w:type="dxa"/>
            <w:shd w:val="clear" w:color="auto" w:fill="auto"/>
            <w:tcMar>
              <w:top w:w="0" w:type="dxa"/>
              <w:left w:w="0" w:type="dxa"/>
              <w:bottom w:w="0" w:type="dxa"/>
              <w:right w:w="0" w:type="dxa"/>
            </w:tcMar>
            <w:vAlign w:val="center"/>
          </w:tcPr>
          <w:p w14:paraId="683149B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45.5</w:t>
            </w:r>
          </w:p>
        </w:tc>
        <w:tc>
          <w:tcPr>
            <w:tcW w:w="510" w:type="dxa"/>
            <w:shd w:val="clear" w:color="auto" w:fill="auto"/>
            <w:tcMar>
              <w:top w:w="0" w:type="dxa"/>
              <w:left w:w="0" w:type="dxa"/>
              <w:bottom w:w="0" w:type="dxa"/>
              <w:right w:w="0" w:type="dxa"/>
            </w:tcMar>
            <w:vAlign w:val="center"/>
          </w:tcPr>
          <w:p w14:paraId="5188143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22.1</w:t>
            </w:r>
          </w:p>
        </w:tc>
        <w:tc>
          <w:tcPr>
            <w:tcW w:w="463" w:type="dxa"/>
            <w:shd w:val="clear" w:color="auto" w:fill="auto"/>
            <w:tcMar>
              <w:top w:w="0" w:type="dxa"/>
              <w:left w:w="0" w:type="dxa"/>
              <w:bottom w:w="0" w:type="dxa"/>
              <w:right w:w="0" w:type="dxa"/>
            </w:tcMar>
            <w:vAlign w:val="center"/>
          </w:tcPr>
          <w:p w14:paraId="6E28A4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0ACC198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201556C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2C0BE4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57.9</w:t>
            </w:r>
          </w:p>
        </w:tc>
        <w:tc>
          <w:tcPr>
            <w:tcW w:w="440" w:type="dxa"/>
            <w:shd w:val="clear" w:color="auto" w:fill="auto"/>
            <w:tcMar>
              <w:top w:w="0" w:type="dxa"/>
              <w:left w:w="0" w:type="dxa"/>
              <w:bottom w:w="0" w:type="dxa"/>
              <w:right w:w="0" w:type="dxa"/>
            </w:tcMar>
            <w:vAlign w:val="center"/>
          </w:tcPr>
          <w:p w14:paraId="3EE901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274FC04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39F402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32885A3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2FD8B6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6A58F84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70BEFCF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6A8937A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557" w:type="dxa"/>
            <w:shd w:val="clear" w:color="auto" w:fill="auto"/>
            <w:tcMar>
              <w:top w:w="0" w:type="dxa"/>
              <w:left w:w="0" w:type="dxa"/>
              <w:bottom w:w="0" w:type="dxa"/>
              <w:right w:w="0" w:type="dxa"/>
            </w:tcMar>
            <w:vAlign w:val="center"/>
          </w:tcPr>
          <w:p w14:paraId="67A673E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31.4</w:t>
            </w:r>
          </w:p>
        </w:tc>
        <w:tc>
          <w:tcPr>
            <w:tcW w:w="671" w:type="dxa"/>
            <w:shd w:val="clear" w:color="auto" w:fill="auto"/>
            <w:tcMar>
              <w:top w:w="0" w:type="dxa"/>
              <w:left w:w="0" w:type="dxa"/>
              <w:bottom w:w="0" w:type="dxa"/>
              <w:right w:w="0" w:type="dxa"/>
            </w:tcMar>
            <w:vAlign w:val="center"/>
          </w:tcPr>
          <w:p w14:paraId="45A9B32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281E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09CD2B8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w:t>
            </w:r>
          </w:p>
        </w:tc>
        <w:tc>
          <w:tcPr>
            <w:tcW w:w="1059" w:type="dxa"/>
            <w:shd w:val="clear" w:color="auto" w:fill="auto"/>
            <w:tcMar>
              <w:top w:w="0" w:type="dxa"/>
              <w:left w:w="0" w:type="dxa"/>
              <w:bottom w:w="0" w:type="dxa"/>
              <w:right w:w="0" w:type="dxa"/>
            </w:tcMar>
            <w:vAlign w:val="center"/>
          </w:tcPr>
          <w:p w14:paraId="2FD1CF3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4313A7E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履带式牵引机6</w:t>
            </w:r>
          </w:p>
        </w:tc>
        <w:tc>
          <w:tcPr>
            <w:tcW w:w="619" w:type="dxa"/>
            <w:shd w:val="clear" w:color="auto" w:fill="auto"/>
            <w:tcMar>
              <w:top w:w="0" w:type="dxa"/>
              <w:left w:w="0" w:type="dxa"/>
              <w:bottom w:w="0" w:type="dxa"/>
              <w:right w:w="0" w:type="dxa"/>
            </w:tcMar>
            <w:vAlign w:val="center"/>
          </w:tcPr>
          <w:p w14:paraId="56575B3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66F0F7F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2733196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12.1</w:t>
            </w:r>
          </w:p>
        </w:tc>
        <w:tc>
          <w:tcPr>
            <w:tcW w:w="569" w:type="dxa"/>
            <w:shd w:val="clear" w:color="auto" w:fill="auto"/>
            <w:tcMar>
              <w:top w:w="0" w:type="dxa"/>
              <w:left w:w="0" w:type="dxa"/>
              <w:bottom w:w="0" w:type="dxa"/>
              <w:right w:w="0" w:type="dxa"/>
            </w:tcMar>
            <w:vAlign w:val="center"/>
          </w:tcPr>
          <w:p w14:paraId="7B87E01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0.7</w:t>
            </w:r>
          </w:p>
        </w:tc>
        <w:tc>
          <w:tcPr>
            <w:tcW w:w="604" w:type="dxa"/>
            <w:shd w:val="clear" w:color="auto" w:fill="auto"/>
            <w:tcMar>
              <w:top w:w="0" w:type="dxa"/>
              <w:left w:w="0" w:type="dxa"/>
              <w:bottom w:w="0" w:type="dxa"/>
              <w:right w:w="0" w:type="dxa"/>
            </w:tcMar>
            <w:vAlign w:val="center"/>
          </w:tcPr>
          <w:p w14:paraId="360816C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76E0AF1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24.6</w:t>
            </w:r>
          </w:p>
        </w:tc>
        <w:tc>
          <w:tcPr>
            <w:tcW w:w="466" w:type="dxa"/>
            <w:shd w:val="clear" w:color="auto" w:fill="auto"/>
            <w:tcMar>
              <w:top w:w="0" w:type="dxa"/>
              <w:left w:w="0" w:type="dxa"/>
              <w:bottom w:w="0" w:type="dxa"/>
              <w:right w:w="0" w:type="dxa"/>
            </w:tcMar>
            <w:vAlign w:val="center"/>
          </w:tcPr>
          <w:p w14:paraId="07EB1C6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38.9</w:t>
            </w:r>
          </w:p>
        </w:tc>
        <w:tc>
          <w:tcPr>
            <w:tcW w:w="551" w:type="dxa"/>
            <w:shd w:val="clear" w:color="auto" w:fill="auto"/>
            <w:tcMar>
              <w:top w:w="0" w:type="dxa"/>
              <w:left w:w="0" w:type="dxa"/>
              <w:bottom w:w="0" w:type="dxa"/>
              <w:right w:w="0" w:type="dxa"/>
            </w:tcMar>
            <w:vAlign w:val="center"/>
          </w:tcPr>
          <w:p w14:paraId="0C0A81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46.2</w:t>
            </w:r>
          </w:p>
        </w:tc>
        <w:tc>
          <w:tcPr>
            <w:tcW w:w="510" w:type="dxa"/>
            <w:shd w:val="clear" w:color="auto" w:fill="auto"/>
            <w:tcMar>
              <w:top w:w="0" w:type="dxa"/>
              <w:left w:w="0" w:type="dxa"/>
              <w:bottom w:w="0" w:type="dxa"/>
              <w:right w:w="0" w:type="dxa"/>
            </w:tcMar>
            <w:vAlign w:val="center"/>
          </w:tcPr>
          <w:p w14:paraId="469A6AB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26.9</w:t>
            </w:r>
          </w:p>
        </w:tc>
        <w:tc>
          <w:tcPr>
            <w:tcW w:w="463" w:type="dxa"/>
            <w:shd w:val="clear" w:color="auto" w:fill="auto"/>
            <w:tcMar>
              <w:top w:w="0" w:type="dxa"/>
              <w:left w:w="0" w:type="dxa"/>
              <w:bottom w:w="0" w:type="dxa"/>
              <w:right w:w="0" w:type="dxa"/>
            </w:tcMar>
            <w:vAlign w:val="center"/>
          </w:tcPr>
          <w:p w14:paraId="5B20CC8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2F4BEA8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4E7B925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2A93B1A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40" w:type="dxa"/>
            <w:shd w:val="clear" w:color="auto" w:fill="auto"/>
            <w:tcMar>
              <w:top w:w="0" w:type="dxa"/>
              <w:left w:w="0" w:type="dxa"/>
              <w:bottom w:w="0" w:type="dxa"/>
              <w:right w:w="0" w:type="dxa"/>
            </w:tcMar>
            <w:vAlign w:val="center"/>
          </w:tcPr>
          <w:p w14:paraId="460B872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7007A88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BB0E5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EF1213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2F895EE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48924FB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23F0355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345F04B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557" w:type="dxa"/>
            <w:shd w:val="clear" w:color="auto" w:fill="auto"/>
            <w:tcMar>
              <w:top w:w="0" w:type="dxa"/>
              <w:left w:w="0" w:type="dxa"/>
              <w:bottom w:w="0" w:type="dxa"/>
              <w:right w:w="0" w:type="dxa"/>
            </w:tcMar>
            <w:vAlign w:val="center"/>
          </w:tcPr>
          <w:p w14:paraId="3DB733D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671" w:type="dxa"/>
            <w:shd w:val="clear" w:color="auto" w:fill="auto"/>
            <w:tcMar>
              <w:top w:w="0" w:type="dxa"/>
              <w:left w:w="0" w:type="dxa"/>
              <w:bottom w:w="0" w:type="dxa"/>
              <w:right w:w="0" w:type="dxa"/>
            </w:tcMar>
            <w:vAlign w:val="center"/>
          </w:tcPr>
          <w:p w14:paraId="69105A2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26A4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30603A9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w:t>
            </w:r>
          </w:p>
        </w:tc>
        <w:tc>
          <w:tcPr>
            <w:tcW w:w="1059" w:type="dxa"/>
            <w:shd w:val="clear" w:color="auto" w:fill="auto"/>
            <w:tcMar>
              <w:top w:w="0" w:type="dxa"/>
              <w:left w:w="0" w:type="dxa"/>
              <w:bottom w:w="0" w:type="dxa"/>
              <w:right w:w="0" w:type="dxa"/>
            </w:tcMar>
            <w:vAlign w:val="center"/>
          </w:tcPr>
          <w:p w14:paraId="04F6041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77A4D8E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履带式牵引机7</w:t>
            </w:r>
          </w:p>
        </w:tc>
        <w:tc>
          <w:tcPr>
            <w:tcW w:w="619" w:type="dxa"/>
            <w:shd w:val="clear" w:color="auto" w:fill="auto"/>
            <w:tcMar>
              <w:top w:w="0" w:type="dxa"/>
              <w:left w:w="0" w:type="dxa"/>
              <w:bottom w:w="0" w:type="dxa"/>
              <w:right w:w="0" w:type="dxa"/>
            </w:tcMar>
            <w:vAlign w:val="center"/>
          </w:tcPr>
          <w:p w14:paraId="34F94FD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6C57773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25351DA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9.6</w:t>
            </w:r>
          </w:p>
        </w:tc>
        <w:tc>
          <w:tcPr>
            <w:tcW w:w="569" w:type="dxa"/>
            <w:shd w:val="clear" w:color="auto" w:fill="auto"/>
            <w:tcMar>
              <w:top w:w="0" w:type="dxa"/>
              <w:left w:w="0" w:type="dxa"/>
              <w:bottom w:w="0" w:type="dxa"/>
              <w:right w:w="0" w:type="dxa"/>
            </w:tcMar>
            <w:vAlign w:val="center"/>
          </w:tcPr>
          <w:p w14:paraId="2280ED9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w:t>
            </w:r>
          </w:p>
        </w:tc>
        <w:tc>
          <w:tcPr>
            <w:tcW w:w="604" w:type="dxa"/>
            <w:shd w:val="clear" w:color="auto" w:fill="auto"/>
            <w:tcMar>
              <w:top w:w="0" w:type="dxa"/>
              <w:left w:w="0" w:type="dxa"/>
              <w:bottom w:w="0" w:type="dxa"/>
              <w:right w:w="0" w:type="dxa"/>
            </w:tcMar>
            <w:vAlign w:val="center"/>
          </w:tcPr>
          <w:p w14:paraId="44C5111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256A7B8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25.1</w:t>
            </w:r>
          </w:p>
        </w:tc>
        <w:tc>
          <w:tcPr>
            <w:tcW w:w="466" w:type="dxa"/>
            <w:shd w:val="clear" w:color="auto" w:fill="auto"/>
            <w:tcMar>
              <w:top w:w="0" w:type="dxa"/>
              <w:left w:w="0" w:type="dxa"/>
              <w:bottom w:w="0" w:type="dxa"/>
              <w:right w:w="0" w:type="dxa"/>
            </w:tcMar>
            <w:vAlign w:val="center"/>
          </w:tcPr>
          <w:p w14:paraId="742FFEE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34.1</w:t>
            </w:r>
          </w:p>
        </w:tc>
        <w:tc>
          <w:tcPr>
            <w:tcW w:w="551" w:type="dxa"/>
            <w:shd w:val="clear" w:color="auto" w:fill="auto"/>
            <w:tcMar>
              <w:top w:w="0" w:type="dxa"/>
              <w:left w:w="0" w:type="dxa"/>
              <w:bottom w:w="0" w:type="dxa"/>
              <w:right w:w="0" w:type="dxa"/>
            </w:tcMar>
            <w:vAlign w:val="center"/>
          </w:tcPr>
          <w:p w14:paraId="75D0630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45.8</w:t>
            </w:r>
          </w:p>
        </w:tc>
        <w:tc>
          <w:tcPr>
            <w:tcW w:w="510" w:type="dxa"/>
            <w:shd w:val="clear" w:color="auto" w:fill="auto"/>
            <w:tcMar>
              <w:top w:w="0" w:type="dxa"/>
              <w:left w:w="0" w:type="dxa"/>
              <w:bottom w:w="0" w:type="dxa"/>
              <w:right w:w="0" w:type="dxa"/>
            </w:tcMar>
            <w:vAlign w:val="center"/>
          </w:tcPr>
          <w:p w14:paraId="0D9D87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31.8</w:t>
            </w:r>
          </w:p>
        </w:tc>
        <w:tc>
          <w:tcPr>
            <w:tcW w:w="463" w:type="dxa"/>
            <w:shd w:val="clear" w:color="auto" w:fill="auto"/>
            <w:tcMar>
              <w:top w:w="0" w:type="dxa"/>
              <w:left w:w="0" w:type="dxa"/>
              <w:bottom w:w="0" w:type="dxa"/>
              <w:right w:w="0" w:type="dxa"/>
            </w:tcMar>
            <w:vAlign w:val="center"/>
          </w:tcPr>
          <w:p w14:paraId="3B8C7B2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091F624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233E74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28A1B54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40" w:type="dxa"/>
            <w:shd w:val="clear" w:color="auto" w:fill="auto"/>
            <w:tcMar>
              <w:top w:w="0" w:type="dxa"/>
              <w:left w:w="0" w:type="dxa"/>
              <w:bottom w:w="0" w:type="dxa"/>
              <w:right w:w="0" w:type="dxa"/>
            </w:tcMar>
            <w:vAlign w:val="center"/>
          </w:tcPr>
          <w:p w14:paraId="6814342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3478A51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0735A2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3A70C04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4D741EF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4D1DEEE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15D8F5B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220C85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557" w:type="dxa"/>
            <w:shd w:val="clear" w:color="auto" w:fill="auto"/>
            <w:tcMar>
              <w:top w:w="0" w:type="dxa"/>
              <w:left w:w="0" w:type="dxa"/>
              <w:bottom w:w="0" w:type="dxa"/>
              <w:right w:w="0" w:type="dxa"/>
            </w:tcMar>
            <w:vAlign w:val="center"/>
          </w:tcPr>
          <w:p w14:paraId="65512FD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671" w:type="dxa"/>
            <w:shd w:val="clear" w:color="auto" w:fill="auto"/>
            <w:tcMar>
              <w:top w:w="0" w:type="dxa"/>
              <w:left w:w="0" w:type="dxa"/>
              <w:bottom w:w="0" w:type="dxa"/>
              <w:right w:w="0" w:type="dxa"/>
            </w:tcMar>
            <w:vAlign w:val="center"/>
          </w:tcPr>
          <w:p w14:paraId="6C73EAF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13F7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6849A8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52</w:t>
            </w:r>
          </w:p>
        </w:tc>
        <w:tc>
          <w:tcPr>
            <w:tcW w:w="1059" w:type="dxa"/>
            <w:shd w:val="clear" w:color="auto" w:fill="auto"/>
            <w:tcMar>
              <w:top w:w="0" w:type="dxa"/>
              <w:left w:w="0" w:type="dxa"/>
              <w:bottom w:w="0" w:type="dxa"/>
              <w:right w:w="0" w:type="dxa"/>
            </w:tcMar>
            <w:vAlign w:val="center"/>
          </w:tcPr>
          <w:p w14:paraId="28607FF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4AA535A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履带式牵引机8</w:t>
            </w:r>
          </w:p>
        </w:tc>
        <w:tc>
          <w:tcPr>
            <w:tcW w:w="619" w:type="dxa"/>
            <w:shd w:val="clear" w:color="auto" w:fill="auto"/>
            <w:tcMar>
              <w:top w:w="0" w:type="dxa"/>
              <w:left w:w="0" w:type="dxa"/>
              <w:bottom w:w="0" w:type="dxa"/>
              <w:right w:w="0" w:type="dxa"/>
            </w:tcMar>
            <w:vAlign w:val="center"/>
          </w:tcPr>
          <w:p w14:paraId="204D74E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0F9236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7ABB88A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w:t>
            </w:r>
          </w:p>
        </w:tc>
        <w:tc>
          <w:tcPr>
            <w:tcW w:w="569" w:type="dxa"/>
            <w:shd w:val="clear" w:color="auto" w:fill="auto"/>
            <w:tcMar>
              <w:top w:w="0" w:type="dxa"/>
              <w:left w:w="0" w:type="dxa"/>
              <w:bottom w:w="0" w:type="dxa"/>
              <w:right w:w="0" w:type="dxa"/>
            </w:tcMar>
            <w:vAlign w:val="center"/>
          </w:tcPr>
          <w:p w14:paraId="7A4768A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-7.3</w:t>
            </w:r>
          </w:p>
        </w:tc>
        <w:tc>
          <w:tcPr>
            <w:tcW w:w="604" w:type="dxa"/>
            <w:shd w:val="clear" w:color="auto" w:fill="auto"/>
            <w:tcMar>
              <w:top w:w="0" w:type="dxa"/>
              <w:left w:w="0" w:type="dxa"/>
              <w:bottom w:w="0" w:type="dxa"/>
              <w:right w:w="0" w:type="dxa"/>
            </w:tcMar>
            <w:vAlign w:val="center"/>
          </w:tcPr>
          <w:p w14:paraId="6C7F28F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11E520F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24.8</w:t>
            </w:r>
          </w:p>
        </w:tc>
        <w:tc>
          <w:tcPr>
            <w:tcW w:w="466" w:type="dxa"/>
            <w:shd w:val="clear" w:color="auto" w:fill="auto"/>
            <w:tcMar>
              <w:top w:w="0" w:type="dxa"/>
              <w:left w:w="0" w:type="dxa"/>
              <w:bottom w:w="0" w:type="dxa"/>
              <w:right w:w="0" w:type="dxa"/>
            </w:tcMar>
            <w:vAlign w:val="center"/>
          </w:tcPr>
          <w:p w14:paraId="096E985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30.0</w:t>
            </w:r>
          </w:p>
        </w:tc>
        <w:tc>
          <w:tcPr>
            <w:tcW w:w="551" w:type="dxa"/>
            <w:shd w:val="clear" w:color="auto" w:fill="auto"/>
            <w:tcMar>
              <w:top w:w="0" w:type="dxa"/>
              <w:left w:w="0" w:type="dxa"/>
              <w:bottom w:w="0" w:type="dxa"/>
              <w:right w:w="0" w:type="dxa"/>
            </w:tcMar>
            <w:vAlign w:val="center"/>
          </w:tcPr>
          <w:p w14:paraId="0E4A36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46.2</w:t>
            </w:r>
          </w:p>
        </w:tc>
        <w:tc>
          <w:tcPr>
            <w:tcW w:w="510" w:type="dxa"/>
            <w:shd w:val="clear" w:color="auto" w:fill="auto"/>
            <w:tcMar>
              <w:top w:w="0" w:type="dxa"/>
              <w:left w:w="0" w:type="dxa"/>
              <w:bottom w:w="0" w:type="dxa"/>
              <w:right w:w="0" w:type="dxa"/>
            </w:tcMar>
            <w:vAlign w:val="center"/>
          </w:tcPr>
          <w:p w14:paraId="36F3764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35.8</w:t>
            </w:r>
          </w:p>
        </w:tc>
        <w:tc>
          <w:tcPr>
            <w:tcW w:w="463" w:type="dxa"/>
            <w:shd w:val="clear" w:color="auto" w:fill="auto"/>
            <w:tcMar>
              <w:top w:w="0" w:type="dxa"/>
              <w:left w:w="0" w:type="dxa"/>
              <w:bottom w:w="0" w:type="dxa"/>
              <w:right w:w="0" w:type="dxa"/>
            </w:tcMar>
            <w:vAlign w:val="center"/>
          </w:tcPr>
          <w:p w14:paraId="0FBC6D9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265DFE0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597F328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5FA887E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40" w:type="dxa"/>
            <w:shd w:val="clear" w:color="auto" w:fill="auto"/>
            <w:tcMar>
              <w:top w:w="0" w:type="dxa"/>
              <w:left w:w="0" w:type="dxa"/>
              <w:bottom w:w="0" w:type="dxa"/>
              <w:right w:w="0" w:type="dxa"/>
            </w:tcMar>
            <w:vAlign w:val="center"/>
          </w:tcPr>
          <w:p w14:paraId="74EF918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3D053C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307A3C3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2D59BC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494AE7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5AAF77C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4B1700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012019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557" w:type="dxa"/>
            <w:shd w:val="clear" w:color="auto" w:fill="auto"/>
            <w:tcMar>
              <w:top w:w="0" w:type="dxa"/>
              <w:left w:w="0" w:type="dxa"/>
              <w:bottom w:w="0" w:type="dxa"/>
              <w:right w:w="0" w:type="dxa"/>
            </w:tcMar>
            <w:vAlign w:val="center"/>
          </w:tcPr>
          <w:p w14:paraId="2B49CB6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671" w:type="dxa"/>
            <w:shd w:val="clear" w:color="auto" w:fill="auto"/>
            <w:tcMar>
              <w:top w:w="0" w:type="dxa"/>
              <w:left w:w="0" w:type="dxa"/>
              <w:bottom w:w="0" w:type="dxa"/>
              <w:right w:w="0" w:type="dxa"/>
            </w:tcMar>
            <w:vAlign w:val="center"/>
          </w:tcPr>
          <w:p w14:paraId="6580EB5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1ECA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5B71C78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53</w:t>
            </w:r>
          </w:p>
        </w:tc>
        <w:tc>
          <w:tcPr>
            <w:tcW w:w="1059" w:type="dxa"/>
            <w:shd w:val="clear" w:color="auto" w:fill="auto"/>
            <w:tcMar>
              <w:top w:w="0" w:type="dxa"/>
              <w:left w:w="0" w:type="dxa"/>
              <w:bottom w:w="0" w:type="dxa"/>
              <w:right w:w="0" w:type="dxa"/>
            </w:tcMar>
            <w:vAlign w:val="center"/>
          </w:tcPr>
          <w:p w14:paraId="578C444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289CB29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履带式牵引机9</w:t>
            </w:r>
          </w:p>
        </w:tc>
        <w:tc>
          <w:tcPr>
            <w:tcW w:w="619" w:type="dxa"/>
            <w:shd w:val="clear" w:color="auto" w:fill="auto"/>
            <w:tcMar>
              <w:top w:w="0" w:type="dxa"/>
              <w:left w:w="0" w:type="dxa"/>
              <w:bottom w:w="0" w:type="dxa"/>
              <w:right w:w="0" w:type="dxa"/>
            </w:tcMar>
            <w:vAlign w:val="center"/>
          </w:tcPr>
          <w:p w14:paraId="2B81881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4D37433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28A38B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6.9</w:t>
            </w:r>
          </w:p>
        </w:tc>
        <w:tc>
          <w:tcPr>
            <w:tcW w:w="569" w:type="dxa"/>
            <w:shd w:val="clear" w:color="auto" w:fill="auto"/>
            <w:tcMar>
              <w:top w:w="0" w:type="dxa"/>
              <w:left w:w="0" w:type="dxa"/>
              <w:bottom w:w="0" w:type="dxa"/>
              <w:right w:w="0" w:type="dxa"/>
            </w:tcMar>
            <w:vAlign w:val="center"/>
          </w:tcPr>
          <w:p w14:paraId="1D60B86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604" w:type="dxa"/>
            <w:shd w:val="clear" w:color="auto" w:fill="auto"/>
            <w:tcMar>
              <w:top w:w="0" w:type="dxa"/>
              <w:left w:w="0" w:type="dxa"/>
              <w:bottom w:w="0" w:type="dxa"/>
              <w:right w:w="0" w:type="dxa"/>
            </w:tcMar>
            <w:vAlign w:val="center"/>
          </w:tcPr>
          <w:p w14:paraId="676F49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1786DFC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24.4</w:t>
            </w:r>
          </w:p>
        </w:tc>
        <w:tc>
          <w:tcPr>
            <w:tcW w:w="466" w:type="dxa"/>
            <w:shd w:val="clear" w:color="auto" w:fill="auto"/>
            <w:tcMar>
              <w:top w:w="0" w:type="dxa"/>
              <w:left w:w="0" w:type="dxa"/>
              <w:bottom w:w="0" w:type="dxa"/>
              <w:right w:w="0" w:type="dxa"/>
            </w:tcMar>
            <w:vAlign w:val="center"/>
          </w:tcPr>
          <w:p w14:paraId="106928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26.1</w:t>
            </w:r>
          </w:p>
        </w:tc>
        <w:tc>
          <w:tcPr>
            <w:tcW w:w="551" w:type="dxa"/>
            <w:shd w:val="clear" w:color="auto" w:fill="auto"/>
            <w:tcMar>
              <w:top w:w="0" w:type="dxa"/>
              <w:left w:w="0" w:type="dxa"/>
              <w:bottom w:w="0" w:type="dxa"/>
              <w:right w:w="0" w:type="dxa"/>
            </w:tcMar>
            <w:vAlign w:val="center"/>
          </w:tcPr>
          <w:p w14:paraId="668402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46.7</w:t>
            </w:r>
          </w:p>
        </w:tc>
        <w:tc>
          <w:tcPr>
            <w:tcW w:w="510" w:type="dxa"/>
            <w:shd w:val="clear" w:color="auto" w:fill="auto"/>
            <w:tcMar>
              <w:top w:w="0" w:type="dxa"/>
              <w:left w:w="0" w:type="dxa"/>
              <w:bottom w:w="0" w:type="dxa"/>
              <w:right w:w="0" w:type="dxa"/>
            </w:tcMar>
            <w:vAlign w:val="center"/>
          </w:tcPr>
          <w:p w14:paraId="4E1BBF0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39.7</w:t>
            </w:r>
          </w:p>
        </w:tc>
        <w:tc>
          <w:tcPr>
            <w:tcW w:w="463" w:type="dxa"/>
            <w:shd w:val="clear" w:color="auto" w:fill="auto"/>
            <w:tcMar>
              <w:top w:w="0" w:type="dxa"/>
              <w:left w:w="0" w:type="dxa"/>
              <w:bottom w:w="0" w:type="dxa"/>
              <w:right w:w="0" w:type="dxa"/>
            </w:tcMar>
            <w:vAlign w:val="center"/>
          </w:tcPr>
          <w:p w14:paraId="4506BBC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5CE3289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2CE698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7576CD3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40" w:type="dxa"/>
            <w:shd w:val="clear" w:color="auto" w:fill="auto"/>
            <w:tcMar>
              <w:top w:w="0" w:type="dxa"/>
              <w:left w:w="0" w:type="dxa"/>
              <w:bottom w:w="0" w:type="dxa"/>
              <w:right w:w="0" w:type="dxa"/>
            </w:tcMar>
            <w:vAlign w:val="center"/>
          </w:tcPr>
          <w:p w14:paraId="3F67E8F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4B261E7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2B590D4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38FBB39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3B85CC7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50CF790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6DDF74E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7A54260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557" w:type="dxa"/>
            <w:shd w:val="clear" w:color="auto" w:fill="auto"/>
            <w:tcMar>
              <w:top w:w="0" w:type="dxa"/>
              <w:left w:w="0" w:type="dxa"/>
              <w:bottom w:w="0" w:type="dxa"/>
              <w:right w:w="0" w:type="dxa"/>
            </w:tcMar>
            <w:vAlign w:val="center"/>
          </w:tcPr>
          <w:p w14:paraId="1E6189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671" w:type="dxa"/>
            <w:shd w:val="clear" w:color="auto" w:fill="auto"/>
            <w:tcMar>
              <w:top w:w="0" w:type="dxa"/>
              <w:left w:w="0" w:type="dxa"/>
              <w:bottom w:w="0" w:type="dxa"/>
              <w:right w:w="0" w:type="dxa"/>
            </w:tcMar>
            <w:vAlign w:val="center"/>
          </w:tcPr>
          <w:p w14:paraId="4D0C70B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68F8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4DB4A9A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w:t>
            </w:r>
          </w:p>
        </w:tc>
        <w:tc>
          <w:tcPr>
            <w:tcW w:w="1059" w:type="dxa"/>
            <w:shd w:val="clear" w:color="auto" w:fill="auto"/>
            <w:tcMar>
              <w:top w:w="0" w:type="dxa"/>
              <w:left w:w="0" w:type="dxa"/>
              <w:bottom w:w="0" w:type="dxa"/>
              <w:right w:w="0" w:type="dxa"/>
            </w:tcMar>
            <w:vAlign w:val="center"/>
          </w:tcPr>
          <w:p w14:paraId="6CF2ACE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6C70F69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履带式牵引机10</w:t>
            </w:r>
          </w:p>
        </w:tc>
        <w:tc>
          <w:tcPr>
            <w:tcW w:w="619" w:type="dxa"/>
            <w:shd w:val="clear" w:color="auto" w:fill="auto"/>
            <w:tcMar>
              <w:top w:w="0" w:type="dxa"/>
              <w:left w:w="0" w:type="dxa"/>
              <w:bottom w:w="0" w:type="dxa"/>
              <w:right w:w="0" w:type="dxa"/>
            </w:tcMar>
            <w:vAlign w:val="center"/>
          </w:tcPr>
          <w:p w14:paraId="2A770F5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75</w:t>
            </w:r>
          </w:p>
        </w:tc>
        <w:tc>
          <w:tcPr>
            <w:tcW w:w="510" w:type="dxa"/>
            <w:vMerge w:val="continue"/>
            <w:shd w:val="clear" w:color="auto" w:fill="auto"/>
            <w:tcMar>
              <w:top w:w="0" w:type="dxa"/>
              <w:left w:w="0" w:type="dxa"/>
              <w:bottom w:w="0" w:type="dxa"/>
              <w:right w:w="0" w:type="dxa"/>
            </w:tcMar>
            <w:vAlign w:val="center"/>
          </w:tcPr>
          <w:p w14:paraId="6FDDC75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6582C59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w:t>
            </w:r>
          </w:p>
        </w:tc>
        <w:tc>
          <w:tcPr>
            <w:tcW w:w="569" w:type="dxa"/>
            <w:shd w:val="clear" w:color="auto" w:fill="auto"/>
            <w:tcMar>
              <w:top w:w="0" w:type="dxa"/>
              <w:left w:w="0" w:type="dxa"/>
              <w:bottom w:w="0" w:type="dxa"/>
              <w:right w:w="0" w:type="dxa"/>
            </w:tcMar>
            <w:vAlign w:val="center"/>
          </w:tcPr>
          <w:p w14:paraId="77C61C3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-15.6</w:t>
            </w:r>
          </w:p>
        </w:tc>
        <w:tc>
          <w:tcPr>
            <w:tcW w:w="604" w:type="dxa"/>
            <w:shd w:val="clear" w:color="auto" w:fill="auto"/>
            <w:tcMar>
              <w:top w:w="0" w:type="dxa"/>
              <w:left w:w="0" w:type="dxa"/>
              <w:bottom w:w="0" w:type="dxa"/>
              <w:right w:w="0" w:type="dxa"/>
            </w:tcMar>
            <w:vAlign w:val="center"/>
          </w:tcPr>
          <w:p w14:paraId="66C2ACD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1105F7D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24.1</w:t>
            </w:r>
          </w:p>
        </w:tc>
        <w:tc>
          <w:tcPr>
            <w:tcW w:w="466" w:type="dxa"/>
            <w:shd w:val="clear" w:color="auto" w:fill="auto"/>
            <w:tcMar>
              <w:top w:w="0" w:type="dxa"/>
              <w:left w:w="0" w:type="dxa"/>
              <w:bottom w:w="0" w:type="dxa"/>
              <w:right w:w="0" w:type="dxa"/>
            </w:tcMar>
            <w:vAlign w:val="center"/>
          </w:tcPr>
          <w:p w14:paraId="4581194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21.2</w:t>
            </w:r>
          </w:p>
        </w:tc>
        <w:tc>
          <w:tcPr>
            <w:tcW w:w="551" w:type="dxa"/>
            <w:shd w:val="clear" w:color="auto" w:fill="auto"/>
            <w:tcMar>
              <w:top w:w="0" w:type="dxa"/>
              <w:left w:w="0" w:type="dxa"/>
              <w:bottom w:w="0" w:type="dxa"/>
              <w:right w:w="0" w:type="dxa"/>
            </w:tcMar>
            <w:vAlign w:val="center"/>
          </w:tcPr>
          <w:p w14:paraId="44B1ED8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47.2</w:t>
            </w:r>
          </w:p>
        </w:tc>
        <w:tc>
          <w:tcPr>
            <w:tcW w:w="510" w:type="dxa"/>
            <w:shd w:val="clear" w:color="auto" w:fill="auto"/>
            <w:tcMar>
              <w:top w:w="0" w:type="dxa"/>
              <w:left w:w="0" w:type="dxa"/>
              <w:bottom w:w="0" w:type="dxa"/>
              <w:right w:w="0" w:type="dxa"/>
            </w:tcMar>
            <w:vAlign w:val="center"/>
          </w:tcPr>
          <w:p w14:paraId="0ECAE25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44.6</w:t>
            </w:r>
          </w:p>
        </w:tc>
        <w:tc>
          <w:tcPr>
            <w:tcW w:w="463" w:type="dxa"/>
            <w:shd w:val="clear" w:color="auto" w:fill="auto"/>
            <w:tcMar>
              <w:top w:w="0" w:type="dxa"/>
              <w:left w:w="0" w:type="dxa"/>
              <w:bottom w:w="0" w:type="dxa"/>
              <w:right w:w="0" w:type="dxa"/>
            </w:tcMar>
            <w:vAlign w:val="center"/>
          </w:tcPr>
          <w:p w14:paraId="511E11A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63" w:type="dxa"/>
            <w:shd w:val="clear" w:color="auto" w:fill="auto"/>
            <w:tcMar>
              <w:top w:w="0" w:type="dxa"/>
              <w:left w:w="0" w:type="dxa"/>
              <w:bottom w:w="0" w:type="dxa"/>
              <w:right w:w="0" w:type="dxa"/>
            </w:tcMar>
            <w:vAlign w:val="center"/>
          </w:tcPr>
          <w:p w14:paraId="3A7996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57.9</w:t>
            </w:r>
          </w:p>
        </w:tc>
        <w:tc>
          <w:tcPr>
            <w:tcW w:w="463" w:type="dxa"/>
            <w:shd w:val="clear" w:color="auto" w:fill="auto"/>
            <w:tcMar>
              <w:top w:w="0" w:type="dxa"/>
              <w:left w:w="0" w:type="dxa"/>
              <w:bottom w:w="0" w:type="dxa"/>
              <w:right w:w="0" w:type="dxa"/>
            </w:tcMar>
            <w:vAlign w:val="center"/>
          </w:tcPr>
          <w:p w14:paraId="6D94382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510" w:type="dxa"/>
            <w:shd w:val="clear" w:color="auto" w:fill="auto"/>
            <w:tcMar>
              <w:top w:w="0" w:type="dxa"/>
              <w:left w:w="0" w:type="dxa"/>
              <w:bottom w:w="0" w:type="dxa"/>
              <w:right w:w="0" w:type="dxa"/>
            </w:tcMar>
            <w:vAlign w:val="center"/>
          </w:tcPr>
          <w:p w14:paraId="62EFF67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57.8</w:t>
            </w:r>
          </w:p>
        </w:tc>
        <w:tc>
          <w:tcPr>
            <w:tcW w:w="440" w:type="dxa"/>
            <w:shd w:val="clear" w:color="auto" w:fill="auto"/>
            <w:tcMar>
              <w:top w:w="0" w:type="dxa"/>
              <w:left w:w="0" w:type="dxa"/>
              <w:bottom w:w="0" w:type="dxa"/>
              <w:right w:w="0" w:type="dxa"/>
            </w:tcMar>
            <w:vAlign w:val="center"/>
          </w:tcPr>
          <w:p w14:paraId="310E5E4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62DF31E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ED521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BD33A0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0D37CA5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0E875E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481" w:type="dxa"/>
            <w:shd w:val="clear" w:color="auto" w:fill="auto"/>
            <w:tcMar>
              <w:top w:w="0" w:type="dxa"/>
              <w:left w:w="0" w:type="dxa"/>
              <w:bottom w:w="0" w:type="dxa"/>
              <w:right w:w="0" w:type="dxa"/>
            </w:tcMar>
            <w:vAlign w:val="center"/>
          </w:tcPr>
          <w:p w14:paraId="0D4F8A8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31.4</w:t>
            </w:r>
          </w:p>
        </w:tc>
        <w:tc>
          <w:tcPr>
            <w:tcW w:w="481" w:type="dxa"/>
            <w:shd w:val="clear" w:color="auto" w:fill="auto"/>
            <w:tcMar>
              <w:top w:w="0" w:type="dxa"/>
              <w:left w:w="0" w:type="dxa"/>
              <w:bottom w:w="0" w:type="dxa"/>
              <w:right w:w="0" w:type="dxa"/>
            </w:tcMar>
            <w:vAlign w:val="center"/>
          </w:tcPr>
          <w:p w14:paraId="171A121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557" w:type="dxa"/>
            <w:shd w:val="clear" w:color="auto" w:fill="auto"/>
            <w:tcMar>
              <w:top w:w="0" w:type="dxa"/>
              <w:left w:w="0" w:type="dxa"/>
              <w:bottom w:w="0" w:type="dxa"/>
              <w:right w:w="0" w:type="dxa"/>
            </w:tcMar>
            <w:vAlign w:val="center"/>
          </w:tcPr>
          <w:p w14:paraId="764AAD3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31.3</w:t>
            </w:r>
          </w:p>
        </w:tc>
        <w:tc>
          <w:tcPr>
            <w:tcW w:w="671" w:type="dxa"/>
            <w:shd w:val="clear" w:color="auto" w:fill="auto"/>
            <w:tcMar>
              <w:top w:w="0" w:type="dxa"/>
              <w:left w:w="0" w:type="dxa"/>
              <w:bottom w:w="0" w:type="dxa"/>
              <w:right w:w="0" w:type="dxa"/>
            </w:tcMar>
            <w:vAlign w:val="center"/>
          </w:tcPr>
          <w:p w14:paraId="32726C3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0118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2B46416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w:t>
            </w:r>
          </w:p>
        </w:tc>
        <w:tc>
          <w:tcPr>
            <w:tcW w:w="1059" w:type="dxa"/>
            <w:shd w:val="clear" w:color="auto" w:fill="auto"/>
            <w:tcMar>
              <w:top w:w="0" w:type="dxa"/>
              <w:left w:w="0" w:type="dxa"/>
              <w:bottom w:w="0" w:type="dxa"/>
              <w:right w:w="0" w:type="dxa"/>
            </w:tcMar>
            <w:vAlign w:val="center"/>
          </w:tcPr>
          <w:p w14:paraId="0BB9BEA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50CFD1B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板材切割机1</w:t>
            </w:r>
          </w:p>
        </w:tc>
        <w:tc>
          <w:tcPr>
            <w:tcW w:w="619" w:type="dxa"/>
            <w:shd w:val="clear" w:color="auto" w:fill="auto"/>
            <w:tcMar>
              <w:top w:w="0" w:type="dxa"/>
              <w:left w:w="0" w:type="dxa"/>
              <w:bottom w:w="0" w:type="dxa"/>
              <w:right w:w="0" w:type="dxa"/>
            </w:tcMar>
            <w:vAlign w:val="center"/>
          </w:tcPr>
          <w:p w14:paraId="4C8F0BB4">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8</w:t>
            </w:r>
            <w:r>
              <w:rPr>
                <w:rFonts w:hint="eastAsia" w:cs="Times New Roman"/>
                <w:color w:val="auto"/>
                <w:sz w:val="21"/>
                <w:szCs w:val="21"/>
                <w:highlight w:val="none"/>
                <w:lang w:val="en-US" w:eastAsia="zh-CN"/>
              </w:rPr>
              <w:t>0</w:t>
            </w:r>
          </w:p>
        </w:tc>
        <w:tc>
          <w:tcPr>
            <w:tcW w:w="510" w:type="dxa"/>
            <w:vMerge w:val="continue"/>
            <w:shd w:val="clear" w:color="auto" w:fill="auto"/>
            <w:tcMar>
              <w:top w:w="0" w:type="dxa"/>
              <w:left w:w="0" w:type="dxa"/>
              <w:bottom w:w="0" w:type="dxa"/>
              <w:right w:w="0" w:type="dxa"/>
            </w:tcMar>
            <w:vAlign w:val="center"/>
          </w:tcPr>
          <w:p w14:paraId="586768F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1C8789C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24.2</w:t>
            </w:r>
          </w:p>
        </w:tc>
        <w:tc>
          <w:tcPr>
            <w:tcW w:w="569" w:type="dxa"/>
            <w:shd w:val="clear" w:color="auto" w:fill="auto"/>
            <w:tcMar>
              <w:top w:w="0" w:type="dxa"/>
              <w:left w:w="0" w:type="dxa"/>
              <w:bottom w:w="0" w:type="dxa"/>
              <w:right w:w="0" w:type="dxa"/>
            </w:tcMar>
            <w:vAlign w:val="center"/>
          </w:tcPr>
          <w:p w14:paraId="446560E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17.9</w:t>
            </w:r>
          </w:p>
        </w:tc>
        <w:tc>
          <w:tcPr>
            <w:tcW w:w="604" w:type="dxa"/>
            <w:shd w:val="clear" w:color="auto" w:fill="auto"/>
            <w:tcMar>
              <w:top w:w="0" w:type="dxa"/>
              <w:left w:w="0" w:type="dxa"/>
              <w:bottom w:w="0" w:type="dxa"/>
              <w:right w:w="0" w:type="dxa"/>
            </w:tcMar>
            <w:vAlign w:val="center"/>
          </w:tcPr>
          <w:p w14:paraId="61D07CD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22F1F64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20.8</w:t>
            </w:r>
          </w:p>
        </w:tc>
        <w:tc>
          <w:tcPr>
            <w:tcW w:w="466" w:type="dxa"/>
            <w:shd w:val="clear" w:color="auto" w:fill="auto"/>
            <w:tcMar>
              <w:top w:w="0" w:type="dxa"/>
              <w:left w:w="0" w:type="dxa"/>
              <w:bottom w:w="0" w:type="dxa"/>
              <w:right w:w="0" w:type="dxa"/>
            </w:tcMar>
            <w:vAlign w:val="center"/>
          </w:tcPr>
          <w:p w14:paraId="5CE3D4A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59.7</w:t>
            </w:r>
          </w:p>
        </w:tc>
        <w:tc>
          <w:tcPr>
            <w:tcW w:w="551" w:type="dxa"/>
            <w:shd w:val="clear" w:color="auto" w:fill="auto"/>
            <w:tcMar>
              <w:top w:w="0" w:type="dxa"/>
              <w:left w:w="0" w:type="dxa"/>
              <w:bottom w:w="0" w:type="dxa"/>
              <w:right w:w="0" w:type="dxa"/>
            </w:tcMar>
            <w:vAlign w:val="center"/>
          </w:tcPr>
          <w:p w14:paraId="556CA0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49.4</w:t>
            </w:r>
          </w:p>
        </w:tc>
        <w:tc>
          <w:tcPr>
            <w:tcW w:w="510" w:type="dxa"/>
            <w:shd w:val="clear" w:color="auto" w:fill="auto"/>
            <w:tcMar>
              <w:top w:w="0" w:type="dxa"/>
              <w:left w:w="0" w:type="dxa"/>
              <w:bottom w:w="0" w:type="dxa"/>
              <w:right w:w="0" w:type="dxa"/>
            </w:tcMar>
            <w:vAlign w:val="center"/>
          </w:tcPr>
          <w:p w14:paraId="13AA844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w:t>
            </w:r>
          </w:p>
        </w:tc>
        <w:tc>
          <w:tcPr>
            <w:tcW w:w="463" w:type="dxa"/>
            <w:shd w:val="clear" w:color="auto" w:fill="auto"/>
            <w:tcMar>
              <w:top w:w="0" w:type="dxa"/>
              <w:left w:w="0" w:type="dxa"/>
              <w:bottom w:w="0" w:type="dxa"/>
              <w:right w:w="0" w:type="dxa"/>
            </w:tcMar>
            <w:vAlign w:val="center"/>
          </w:tcPr>
          <w:p w14:paraId="62B55BF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7AE5C6C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1430569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3678510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63.3</w:t>
            </w:r>
          </w:p>
        </w:tc>
        <w:tc>
          <w:tcPr>
            <w:tcW w:w="440" w:type="dxa"/>
            <w:shd w:val="clear" w:color="auto" w:fill="auto"/>
            <w:tcMar>
              <w:top w:w="0" w:type="dxa"/>
              <w:left w:w="0" w:type="dxa"/>
              <w:bottom w:w="0" w:type="dxa"/>
              <w:right w:w="0" w:type="dxa"/>
            </w:tcMar>
            <w:vAlign w:val="center"/>
          </w:tcPr>
          <w:p w14:paraId="541548D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4EA49EA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B4C998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E0A180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12F2789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07297C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7AE5602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5028BF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1C936EC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36.8</w:t>
            </w:r>
          </w:p>
        </w:tc>
        <w:tc>
          <w:tcPr>
            <w:tcW w:w="671" w:type="dxa"/>
            <w:shd w:val="clear" w:color="auto" w:fill="auto"/>
            <w:tcMar>
              <w:top w:w="0" w:type="dxa"/>
              <w:left w:w="0" w:type="dxa"/>
              <w:bottom w:w="0" w:type="dxa"/>
              <w:right w:w="0" w:type="dxa"/>
            </w:tcMar>
            <w:vAlign w:val="center"/>
          </w:tcPr>
          <w:p w14:paraId="6C71927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1347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3B52CB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56</w:t>
            </w:r>
          </w:p>
        </w:tc>
        <w:tc>
          <w:tcPr>
            <w:tcW w:w="1059" w:type="dxa"/>
            <w:shd w:val="clear" w:color="auto" w:fill="auto"/>
            <w:tcMar>
              <w:top w:w="0" w:type="dxa"/>
              <w:left w:w="0" w:type="dxa"/>
              <w:bottom w:w="0" w:type="dxa"/>
              <w:right w:w="0" w:type="dxa"/>
            </w:tcMar>
            <w:vAlign w:val="center"/>
          </w:tcPr>
          <w:p w14:paraId="51CEB4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1EB0443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板材切割机2</w:t>
            </w:r>
          </w:p>
        </w:tc>
        <w:tc>
          <w:tcPr>
            <w:tcW w:w="619" w:type="dxa"/>
            <w:shd w:val="clear" w:color="auto" w:fill="auto"/>
            <w:tcMar>
              <w:top w:w="0" w:type="dxa"/>
              <w:left w:w="0" w:type="dxa"/>
              <w:bottom w:w="0" w:type="dxa"/>
              <w:right w:w="0" w:type="dxa"/>
            </w:tcMar>
            <w:vAlign w:val="center"/>
          </w:tcPr>
          <w:p w14:paraId="353345B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r>
              <w:rPr>
                <w:rFonts w:hint="eastAsia" w:cs="Times New Roman"/>
                <w:color w:val="auto"/>
                <w:sz w:val="21"/>
                <w:szCs w:val="21"/>
                <w:highlight w:val="none"/>
                <w:lang w:val="en-US" w:eastAsia="zh-CN"/>
              </w:rPr>
              <w:t>0</w:t>
            </w:r>
          </w:p>
        </w:tc>
        <w:tc>
          <w:tcPr>
            <w:tcW w:w="510" w:type="dxa"/>
            <w:vMerge w:val="continue"/>
            <w:shd w:val="clear" w:color="auto" w:fill="auto"/>
            <w:tcMar>
              <w:top w:w="0" w:type="dxa"/>
              <w:left w:w="0" w:type="dxa"/>
              <w:bottom w:w="0" w:type="dxa"/>
              <w:right w:w="0" w:type="dxa"/>
            </w:tcMar>
            <w:vAlign w:val="center"/>
          </w:tcPr>
          <w:p w14:paraId="44C49A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557AC55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22.8</w:t>
            </w:r>
          </w:p>
        </w:tc>
        <w:tc>
          <w:tcPr>
            <w:tcW w:w="569" w:type="dxa"/>
            <w:shd w:val="clear" w:color="auto" w:fill="auto"/>
            <w:tcMar>
              <w:top w:w="0" w:type="dxa"/>
              <w:left w:w="0" w:type="dxa"/>
              <w:bottom w:w="0" w:type="dxa"/>
              <w:right w:w="0" w:type="dxa"/>
            </w:tcMar>
            <w:vAlign w:val="center"/>
          </w:tcPr>
          <w:p w14:paraId="6385984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13.9</w:t>
            </w:r>
          </w:p>
        </w:tc>
        <w:tc>
          <w:tcPr>
            <w:tcW w:w="604" w:type="dxa"/>
            <w:shd w:val="clear" w:color="auto" w:fill="auto"/>
            <w:tcMar>
              <w:top w:w="0" w:type="dxa"/>
              <w:left w:w="0" w:type="dxa"/>
              <w:bottom w:w="0" w:type="dxa"/>
              <w:right w:w="0" w:type="dxa"/>
            </w:tcMar>
            <w:vAlign w:val="center"/>
          </w:tcPr>
          <w:p w14:paraId="51DA0E2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4889B9F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20.4</w:t>
            </w:r>
          </w:p>
        </w:tc>
        <w:tc>
          <w:tcPr>
            <w:tcW w:w="466" w:type="dxa"/>
            <w:shd w:val="clear" w:color="auto" w:fill="auto"/>
            <w:tcMar>
              <w:top w:w="0" w:type="dxa"/>
              <w:left w:w="0" w:type="dxa"/>
              <w:bottom w:w="0" w:type="dxa"/>
              <w:right w:w="0" w:type="dxa"/>
            </w:tcMar>
            <w:vAlign w:val="center"/>
          </w:tcPr>
          <w:p w14:paraId="761CB6D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55.5</w:t>
            </w:r>
          </w:p>
        </w:tc>
        <w:tc>
          <w:tcPr>
            <w:tcW w:w="551" w:type="dxa"/>
            <w:shd w:val="clear" w:color="auto" w:fill="auto"/>
            <w:tcMar>
              <w:top w:w="0" w:type="dxa"/>
              <w:left w:w="0" w:type="dxa"/>
              <w:bottom w:w="0" w:type="dxa"/>
              <w:right w:w="0" w:type="dxa"/>
            </w:tcMar>
            <w:vAlign w:val="center"/>
          </w:tcPr>
          <w:p w14:paraId="5E66202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49.9</w:t>
            </w:r>
          </w:p>
        </w:tc>
        <w:tc>
          <w:tcPr>
            <w:tcW w:w="510" w:type="dxa"/>
            <w:shd w:val="clear" w:color="auto" w:fill="auto"/>
            <w:tcMar>
              <w:top w:w="0" w:type="dxa"/>
              <w:left w:w="0" w:type="dxa"/>
              <w:bottom w:w="0" w:type="dxa"/>
              <w:right w:w="0" w:type="dxa"/>
            </w:tcMar>
            <w:vAlign w:val="center"/>
          </w:tcPr>
          <w:p w14:paraId="3FBC65B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10.4</w:t>
            </w:r>
          </w:p>
        </w:tc>
        <w:tc>
          <w:tcPr>
            <w:tcW w:w="463" w:type="dxa"/>
            <w:shd w:val="clear" w:color="auto" w:fill="auto"/>
            <w:tcMar>
              <w:top w:w="0" w:type="dxa"/>
              <w:left w:w="0" w:type="dxa"/>
              <w:bottom w:w="0" w:type="dxa"/>
              <w:right w:w="0" w:type="dxa"/>
            </w:tcMar>
            <w:vAlign w:val="center"/>
          </w:tcPr>
          <w:p w14:paraId="0D5D8CA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383DAC8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360F95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54D02EA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63.0</w:t>
            </w:r>
          </w:p>
        </w:tc>
        <w:tc>
          <w:tcPr>
            <w:tcW w:w="440" w:type="dxa"/>
            <w:shd w:val="clear" w:color="auto" w:fill="auto"/>
            <w:tcMar>
              <w:top w:w="0" w:type="dxa"/>
              <w:left w:w="0" w:type="dxa"/>
              <w:bottom w:w="0" w:type="dxa"/>
              <w:right w:w="0" w:type="dxa"/>
            </w:tcMar>
            <w:vAlign w:val="center"/>
          </w:tcPr>
          <w:p w14:paraId="2FF6C84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4F9172B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2EE87B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B26609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4A075CA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693296F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2699012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1E13614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344ACC0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36.5</w:t>
            </w:r>
          </w:p>
        </w:tc>
        <w:tc>
          <w:tcPr>
            <w:tcW w:w="671" w:type="dxa"/>
            <w:shd w:val="clear" w:color="auto" w:fill="auto"/>
            <w:tcMar>
              <w:top w:w="0" w:type="dxa"/>
              <w:left w:w="0" w:type="dxa"/>
              <w:bottom w:w="0" w:type="dxa"/>
              <w:right w:w="0" w:type="dxa"/>
            </w:tcMar>
            <w:vAlign w:val="center"/>
          </w:tcPr>
          <w:p w14:paraId="718991F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0089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51C9826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w:t>
            </w:r>
          </w:p>
        </w:tc>
        <w:tc>
          <w:tcPr>
            <w:tcW w:w="1059" w:type="dxa"/>
            <w:shd w:val="clear" w:color="auto" w:fill="auto"/>
            <w:tcMar>
              <w:top w:w="0" w:type="dxa"/>
              <w:left w:w="0" w:type="dxa"/>
              <w:bottom w:w="0" w:type="dxa"/>
              <w:right w:w="0" w:type="dxa"/>
            </w:tcMar>
            <w:vAlign w:val="center"/>
          </w:tcPr>
          <w:p w14:paraId="202E177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3417B4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板材切割机3</w:t>
            </w:r>
          </w:p>
        </w:tc>
        <w:tc>
          <w:tcPr>
            <w:tcW w:w="619" w:type="dxa"/>
            <w:shd w:val="clear" w:color="auto" w:fill="auto"/>
            <w:tcMar>
              <w:top w:w="0" w:type="dxa"/>
              <w:left w:w="0" w:type="dxa"/>
              <w:bottom w:w="0" w:type="dxa"/>
              <w:right w:w="0" w:type="dxa"/>
            </w:tcMar>
            <w:vAlign w:val="center"/>
          </w:tcPr>
          <w:p w14:paraId="07E0B26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r>
              <w:rPr>
                <w:rFonts w:hint="eastAsia" w:cs="Times New Roman"/>
                <w:color w:val="auto"/>
                <w:sz w:val="21"/>
                <w:szCs w:val="21"/>
                <w:highlight w:val="none"/>
                <w:lang w:val="en-US" w:eastAsia="zh-CN"/>
              </w:rPr>
              <w:t>0</w:t>
            </w:r>
          </w:p>
        </w:tc>
        <w:tc>
          <w:tcPr>
            <w:tcW w:w="510" w:type="dxa"/>
            <w:vMerge w:val="continue"/>
            <w:shd w:val="clear" w:color="auto" w:fill="auto"/>
            <w:tcMar>
              <w:top w:w="0" w:type="dxa"/>
              <w:left w:w="0" w:type="dxa"/>
              <w:bottom w:w="0" w:type="dxa"/>
              <w:right w:w="0" w:type="dxa"/>
            </w:tcMar>
            <w:vAlign w:val="center"/>
          </w:tcPr>
          <w:p w14:paraId="00C14A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26DAEE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21.1</w:t>
            </w:r>
          </w:p>
        </w:tc>
        <w:tc>
          <w:tcPr>
            <w:tcW w:w="569" w:type="dxa"/>
            <w:shd w:val="clear" w:color="auto" w:fill="auto"/>
            <w:tcMar>
              <w:top w:w="0" w:type="dxa"/>
              <w:left w:w="0" w:type="dxa"/>
              <w:bottom w:w="0" w:type="dxa"/>
              <w:right w:w="0" w:type="dxa"/>
            </w:tcMar>
            <w:vAlign w:val="center"/>
          </w:tcPr>
          <w:p w14:paraId="65A1C32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10.1</w:t>
            </w:r>
          </w:p>
        </w:tc>
        <w:tc>
          <w:tcPr>
            <w:tcW w:w="604" w:type="dxa"/>
            <w:shd w:val="clear" w:color="auto" w:fill="auto"/>
            <w:tcMar>
              <w:top w:w="0" w:type="dxa"/>
              <w:left w:w="0" w:type="dxa"/>
              <w:bottom w:w="0" w:type="dxa"/>
              <w:right w:w="0" w:type="dxa"/>
            </w:tcMar>
            <w:vAlign w:val="center"/>
          </w:tcPr>
          <w:p w14:paraId="06C69A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18EDEBB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20.3</w:t>
            </w:r>
          </w:p>
        </w:tc>
        <w:tc>
          <w:tcPr>
            <w:tcW w:w="466" w:type="dxa"/>
            <w:shd w:val="clear" w:color="auto" w:fill="auto"/>
            <w:tcMar>
              <w:top w:w="0" w:type="dxa"/>
              <w:left w:w="0" w:type="dxa"/>
              <w:bottom w:w="0" w:type="dxa"/>
              <w:right w:w="0" w:type="dxa"/>
            </w:tcMar>
            <w:vAlign w:val="center"/>
          </w:tcPr>
          <w:p w14:paraId="7D7C887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51.4</w:t>
            </w:r>
          </w:p>
        </w:tc>
        <w:tc>
          <w:tcPr>
            <w:tcW w:w="551" w:type="dxa"/>
            <w:shd w:val="clear" w:color="auto" w:fill="auto"/>
            <w:tcMar>
              <w:top w:w="0" w:type="dxa"/>
              <w:left w:w="0" w:type="dxa"/>
              <w:bottom w:w="0" w:type="dxa"/>
              <w:right w:w="0" w:type="dxa"/>
            </w:tcMar>
            <w:vAlign w:val="center"/>
          </w:tcPr>
          <w:p w14:paraId="46D316C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50.1</w:t>
            </w:r>
          </w:p>
        </w:tc>
        <w:tc>
          <w:tcPr>
            <w:tcW w:w="510" w:type="dxa"/>
            <w:shd w:val="clear" w:color="auto" w:fill="auto"/>
            <w:tcMar>
              <w:top w:w="0" w:type="dxa"/>
              <w:left w:w="0" w:type="dxa"/>
              <w:bottom w:w="0" w:type="dxa"/>
              <w:right w:w="0" w:type="dxa"/>
            </w:tcMar>
            <w:vAlign w:val="center"/>
          </w:tcPr>
          <w:p w14:paraId="722E43E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14.6</w:t>
            </w:r>
          </w:p>
        </w:tc>
        <w:tc>
          <w:tcPr>
            <w:tcW w:w="463" w:type="dxa"/>
            <w:shd w:val="clear" w:color="auto" w:fill="auto"/>
            <w:tcMar>
              <w:top w:w="0" w:type="dxa"/>
              <w:left w:w="0" w:type="dxa"/>
              <w:bottom w:w="0" w:type="dxa"/>
              <w:right w:w="0" w:type="dxa"/>
            </w:tcMar>
            <w:vAlign w:val="center"/>
          </w:tcPr>
          <w:p w14:paraId="0A36A73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7568D36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61CEEC2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185BF2C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40" w:type="dxa"/>
            <w:shd w:val="clear" w:color="auto" w:fill="auto"/>
            <w:tcMar>
              <w:top w:w="0" w:type="dxa"/>
              <w:left w:w="0" w:type="dxa"/>
              <w:bottom w:w="0" w:type="dxa"/>
              <w:right w:w="0" w:type="dxa"/>
            </w:tcMar>
            <w:vAlign w:val="center"/>
          </w:tcPr>
          <w:p w14:paraId="21D0E32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2CCFF83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0D45F9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2DCD9C5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35AF78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330709C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11534E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75B466A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6DB817E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671" w:type="dxa"/>
            <w:shd w:val="clear" w:color="auto" w:fill="auto"/>
            <w:tcMar>
              <w:top w:w="0" w:type="dxa"/>
              <w:left w:w="0" w:type="dxa"/>
              <w:bottom w:w="0" w:type="dxa"/>
              <w:right w:w="0" w:type="dxa"/>
            </w:tcMar>
            <w:vAlign w:val="center"/>
          </w:tcPr>
          <w:p w14:paraId="4A8E8A5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5D49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6462E2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58</w:t>
            </w:r>
          </w:p>
        </w:tc>
        <w:tc>
          <w:tcPr>
            <w:tcW w:w="1059" w:type="dxa"/>
            <w:shd w:val="clear" w:color="auto" w:fill="auto"/>
            <w:tcMar>
              <w:top w:w="0" w:type="dxa"/>
              <w:left w:w="0" w:type="dxa"/>
              <w:bottom w:w="0" w:type="dxa"/>
              <w:right w:w="0" w:type="dxa"/>
            </w:tcMar>
            <w:vAlign w:val="center"/>
          </w:tcPr>
          <w:p w14:paraId="54687A7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33582A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板材切割机4</w:t>
            </w:r>
          </w:p>
        </w:tc>
        <w:tc>
          <w:tcPr>
            <w:tcW w:w="619" w:type="dxa"/>
            <w:shd w:val="clear" w:color="auto" w:fill="auto"/>
            <w:tcMar>
              <w:top w:w="0" w:type="dxa"/>
              <w:left w:w="0" w:type="dxa"/>
              <w:bottom w:w="0" w:type="dxa"/>
              <w:right w:w="0" w:type="dxa"/>
            </w:tcMar>
            <w:vAlign w:val="center"/>
          </w:tcPr>
          <w:p w14:paraId="519A663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r>
              <w:rPr>
                <w:rFonts w:hint="eastAsia" w:cs="Times New Roman"/>
                <w:color w:val="auto"/>
                <w:sz w:val="21"/>
                <w:szCs w:val="21"/>
                <w:highlight w:val="none"/>
                <w:lang w:val="en-US" w:eastAsia="zh-CN"/>
              </w:rPr>
              <w:t>0</w:t>
            </w:r>
          </w:p>
        </w:tc>
        <w:tc>
          <w:tcPr>
            <w:tcW w:w="510" w:type="dxa"/>
            <w:vMerge w:val="continue"/>
            <w:shd w:val="clear" w:color="auto" w:fill="auto"/>
            <w:tcMar>
              <w:top w:w="0" w:type="dxa"/>
              <w:left w:w="0" w:type="dxa"/>
              <w:bottom w:w="0" w:type="dxa"/>
              <w:right w:w="0" w:type="dxa"/>
            </w:tcMar>
            <w:vAlign w:val="center"/>
          </w:tcPr>
          <w:p w14:paraId="271EA3B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2C0F05B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19.5</w:t>
            </w:r>
          </w:p>
        </w:tc>
        <w:tc>
          <w:tcPr>
            <w:tcW w:w="569" w:type="dxa"/>
            <w:shd w:val="clear" w:color="auto" w:fill="auto"/>
            <w:tcMar>
              <w:top w:w="0" w:type="dxa"/>
              <w:left w:w="0" w:type="dxa"/>
              <w:bottom w:w="0" w:type="dxa"/>
              <w:right w:w="0" w:type="dxa"/>
            </w:tcMar>
            <w:vAlign w:val="center"/>
          </w:tcPr>
          <w:p w14:paraId="009847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6.6</w:t>
            </w:r>
          </w:p>
        </w:tc>
        <w:tc>
          <w:tcPr>
            <w:tcW w:w="604" w:type="dxa"/>
            <w:shd w:val="clear" w:color="auto" w:fill="auto"/>
            <w:tcMar>
              <w:top w:w="0" w:type="dxa"/>
              <w:left w:w="0" w:type="dxa"/>
              <w:bottom w:w="0" w:type="dxa"/>
              <w:right w:w="0" w:type="dxa"/>
            </w:tcMar>
            <w:vAlign w:val="center"/>
          </w:tcPr>
          <w:p w14:paraId="7BEB0A7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1DC48D3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20.3</w:t>
            </w:r>
          </w:p>
        </w:tc>
        <w:tc>
          <w:tcPr>
            <w:tcW w:w="466" w:type="dxa"/>
            <w:shd w:val="clear" w:color="auto" w:fill="auto"/>
            <w:tcMar>
              <w:top w:w="0" w:type="dxa"/>
              <w:left w:w="0" w:type="dxa"/>
              <w:bottom w:w="0" w:type="dxa"/>
              <w:right w:w="0" w:type="dxa"/>
            </w:tcMar>
            <w:vAlign w:val="center"/>
          </w:tcPr>
          <w:p w14:paraId="03CA896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47.5</w:t>
            </w:r>
          </w:p>
        </w:tc>
        <w:tc>
          <w:tcPr>
            <w:tcW w:w="551" w:type="dxa"/>
            <w:shd w:val="clear" w:color="auto" w:fill="auto"/>
            <w:tcMar>
              <w:top w:w="0" w:type="dxa"/>
              <w:left w:w="0" w:type="dxa"/>
              <w:bottom w:w="0" w:type="dxa"/>
              <w:right w:w="0" w:type="dxa"/>
            </w:tcMar>
            <w:vAlign w:val="center"/>
          </w:tcPr>
          <w:p w14:paraId="545933E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50.2</w:t>
            </w:r>
          </w:p>
        </w:tc>
        <w:tc>
          <w:tcPr>
            <w:tcW w:w="510" w:type="dxa"/>
            <w:shd w:val="clear" w:color="auto" w:fill="auto"/>
            <w:tcMar>
              <w:top w:w="0" w:type="dxa"/>
              <w:left w:w="0" w:type="dxa"/>
              <w:bottom w:w="0" w:type="dxa"/>
              <w:right w:w="0" w:type="dxa"/>
            </w:tcMar>
            <w:vAlign w:val="center"/>
          </w:tcPr>
          <w:p w14:paraId="1EAC66F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18.4</w:t>
            </w:r>
          </w:p>
        </w:tc>
        <w:tc>
          <w:tcPr>
            <w:tcW w:w="463" w:type="dxa"/>
            <w:shd w:val="clear" w:color="auto" w:fill="auto"/>
            <w:tcMar>
              <w:top w:w="0" w:type="dxa"/>
              <w:left w:w="0" w:type="dxa"/>
              <w:bottom w:w="0" w:type="dxa"/>
              <w:right w:w="0" w:type="dxa"/>
            </w:tcMar>
            <w:vAlign w:val="center"/>
          </w:tcPr>
          <w:p w14:paraId="367A71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68C70C6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544E29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5124B6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40" w:type="dxa"/>
            <w:shd w:val="clear" w:color="auto" w:fill="auto"/>
            <w:tcMar>
              <w:top w:w="0" w:type="dxa"/>
              <w:left w:w="0" w:type="dxa"/>
              <w:bottom w:w="0" w:type="dxa"/>
              <w:right w:w="0" w:type="dxa"/>
            </w:tcMar>
            <w:vAlign w:val="center"/>
          </w:tcPr>
          <w:p w14:paraId="7937A7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5D68A2C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B4EA56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4E0D8B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45DAF3A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6CB8D72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7B7ECA8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09E884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37C203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671" w:type="dxa"/>
            <w:shd w:val="clear" w:color="auto" w:fill="auto"/>
            <w:tcMar>
              <w:top w:w="0" w:type="dxa"/>
              <w:left w:w="0" w:type="dxa"/>
              <w:bottom w:w="0" w:type="dxa"/>
              <w:right w:w="0" w:type="dxa"/>
            </w:tcMar>
            <w:vAlign w:val="center"/>
          </w:tcPr>
          <w:p w14:paraId="0EC17D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7346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2F75F99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59</w:t>
            </w:r>
          </w:p>
        </w:tc>
        <w:tc>
          <w:tcPr>
            <w:tcW w:w="1059" w:type="dxa"/>
            <w:shd w:val="clear" w:color="auto" w:fill="auto"/>
            <w:tcMar>
              <w:top w:w="0" w:type="dxa"/>
              <w:left w:w="0" w:type="dxa"/>
              <w:bottom w:w="0" w:type="dxa"/>
              <w:right w:w="0" w:type="dxa"/>
            </w:tcMar>
            <w:vAlign w:val="center"/>
          </w:tcPr>
          <w:p w14:paraId="14B4CF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19F7884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板材切割机5</w:t>
            </w:r>
          </w:p>
        </w:tc>
        <w:tc>
          <w:tcPr>
            <w:tcW w:w="619" w:type="dxa"/>
            <w:shd w:val="clear" w:color="auto" w:fill="auto"/>
            <w:tcMar>
              <w:top w:w="0" w:type="dxa"/>
              <w:left w:w="0" w:type="dxa"/>
              <w:bottom w:w="0" w:type="dxa"/>
              <w:right w:w="0" w:type="dxa"/>
            </w:tcMar>
            <w:vAlign w:val="center"/>
          </w:tcPr>
          <w:p w14:paraId="7B7AE1E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r>
              <w:rPr>
                <w:rFonts w:hint="eastAsia" w:cs="Times New Roman"/>
                <w:color w:val="auto"/>
                <w:sz w:val="21"/>
                <w:szCs w:val="21"/>
                <w:highlight w:val="none"/>
                <w:lang w:val="en-US" w:eastAsia="zh-CN"/>
              </w:rPr>
              <w:t>0</w:t>
            </w:r>
          </w:p>
        </w:tc>
        <w:tc>
          <w:tcPr>
            <w:tcW w:w="510" w:type="dxa"/>
            <w:vMerge w:val="continue"/>
            <w:shd w:val="clear" w:color="auto" w:fill="auto"/>
            <w:tcMar>
              <w:top w:w="0" w:type="dxa"/>
              <w:left w:w="0" w:type="dxa"/>
              <w:bottom w:w="0" w:type="dxa"/>
              <w:right w:w="0" w:type="dxa"/>
            </w:tcMar>
            <w:vAlign w:val="center"/>
          </w:tcPr>
          <w:p w14:paraId="73D7342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26CD54F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18.2</w:t>
            </w:r>
          </w:p>
        </w:tc>
        <w:tc>
          <w:tcPr>
            <w:tcW w:w="569" w:type="dxa"/>
            <w:shd w:val="clear" w:color="auto" w:fill="auto"/>
            <w:tcMar>
              <w:top w:w="0" w:type="dxa"/>
              <w:left w:w="0" w:type="dxa"/>
              <w:bottom w:w="0" w:type="dxa"/>
              <w:right w:w="0" w:type="dxa"/>
            </w:tcMar>
            <w:vAlign w:val="center"/>
          </w:tcPr>
          <w:p w14:paraId="0E7F9DB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604" w:type="dxa"/>
            <w:shd w:val="clear" w:color="auto" w:fill="auto"/>
            <w:tcMar>
              <w:top w:w="0" w:type="dxa"/>
              <w:left w:w="0" w:type="dxa"/>
              <w:bottom w:w="0" w:type="dxa"/>
              <w:right w:w="0" w:type="dxa"/>
            </w:tcMar>
            <w:vAlign w:val="center"/>
          </w:tcPr>
          <w:p w14:paraId="1E48914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7001EFF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20.0</w:t>
            </w:r>
          </w:p>
        </w:tc>
        <w:tc>
          <w:tcPr>
            <w:tcW w:w="466" w:type="dxa"/>
            <w:shd w:val="clear" w:color="auto" w:fill="auto"/>
            <w:tcMar>
              <w:top w:w="0" w:type="dxa"/>
              <w:left w:w="0" w:type="dxa"/>
              <w:bottom w:w="0" w:type="dxa"/>
              <w:right w:w="0" w:type="dxa"/>
            </w:tcMar>
            <w:vAlign w:val="center"/>
          </w:tcPr>
          <w:p w14:paraId="65E850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43.7</w:t>
            </w:r>
          </w:p>
        </w:tc>
        <w:tc>
          <w:tcPr>
            <w:tcW w:w="551" w:type="dxa"/>
            <w:shd w:val="clear" w:color="auto" w:fill="auto"/>
            <w:tcMar>
              <w:top w:w="0" w:type="dxa"/>
              <w:left w:w="0" w:type="dxa"/>
              <w:bottom w:w="0" w:type="dxa"/>
              <w:right w:w="0" w:type="dxa"/>
            </w:tcMar>
            <w:vAlign w:val="center"/>
          </w:tcPr>
          <w:p w14:paraId="4D67EF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50.6</w:t>
            </w:r>
          </w:p>
        </w:tc>
        <w:tc>
          <w:tcPr>
            <w:tcW w:w="510" w:type="dxa"/>
            <w:shd w:val="clear" w:color="auto" w:fill="auto"/>
            <w:tcMar>
              <w:top w:w="0" w:type="dxa"/>
              <w:left w:w="0" w:type="dxa"/>
              <w:bottom w:w="0" w:type="dxa"/>
              <w:right w:w="0" w:type="dxa"/>
            </w:tcMar>
            <w:vAlign w:val="center"/>
          </w:tcPr>
          <w:p w14:paraId="2A84B71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22.2</w:t>
            </w:r>
          </w:p>
        </w:tc>
        <w:tc>
          <w:tcPr>
            <w:tcW w:w="463" w:type="dxa"/>
            <w:shd w:val="clear" w:color="auto" w:fill="auto"/>
            <w:tcMar>
              <w:top w:w="0" w:type="dxa"/>
              <w:left w:w="0" w:type="dxa"/>
              <w:bottom w:w="0" w:type="dxa"/>
              <w:right w:w="0" w:type="dxa"/>
            </w:tcMar>
            <w:vAlign w:val="center"/>
          </w:tcPr>
          <w:p w14:paraId="3F0356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3626791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29BEEC3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21D13B7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40" w:type="dxa"/>
            <w:shd w:val="clear" w:color="auto" w:fill="auto"/>
            <w:tcMar>
              <w:top w:w="0" w:type="dxa"/>
              <w:left w:w="0" w:type="dxa"/>
              <w:bottom w:w="0" w:type="dxa"/>
              <w:right w:w="0" w:type="dxa"/>
            </w:tcMar>
            <w:vAlign w:val="center"/>
          </w:tcPr>
          <w:p w14:paraId="549775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1C17703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7F5DC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3BF76F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075EEA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56AEC2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4C3B23E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18B2BE2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3A9740C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671" w:type="dxa"/>
            <w:shd w:val="clear" w:color="auto" w:fill="auto"/>
            <w:tcMar>
              <w:top w:w="0" w:type="dxa"/>
              <w:left w:w="0" w:type="dxa"/>
              <w:bottom w:w="0" w:type="dxa"/>
              <w:right w:w="0" w:type="dxa"/>
            </w:tcMar>
            <w:vAlign w:val="center"/>
          </w:tcPr>
          <w:p w14:paraId="74CEBA5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4D81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29F827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w:t>
            </w:r>
          </w:p>
        </w:tc>
        <w:tc>
          <w:tcPr>
            <w:tcW w:w="1059" w:type="dxa"/>
            <w:shd w:val="clear" w:color="auto" w:fill="auto"/>
            <w:tcMar>
              <w:top w:w="0" w:type="dxa"/>
              <w:left w:w="0" w:type="dxa"/>
              <w:bottom w:w="0" w:type="dxa"/>
              <w:right w:w="0" w:type="dxa"/>
            </w:tcMar>
            <w:vAlign w:val="center"/>
          </w:tcPr>
          <w:p w14:paraId="4CA2B8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456A30B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板材切割机6</w:t>
            </w:r>
          </w:p>
        </w:tc>
        <w:tc>
          <w:tcPr>
            <w:tcW w:w="619" w:type="dxa"/>
            <w:shd w:val="clear" w:color="auto" w:fill="auto"/>
            <w:tcMar>
              <w:top w:w="0" w:type="dxa"/>
              <w:left w:w="0" w:type="dxa"/>
              <w:bottom w:w="0" w:type="dxa"/>
              <w:right w:w="0" w:type="dxa"/>
            </w:tcMar>
            <w:vAlign w:val="center"/>
          </w:tcPr>
          <w:p w14:paraId="1299393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r>
              <w:rPr>
                <w:rFonts w:hint="eastAsia" w:cs="Times New Roman"/>
                <w:color w:val="auto"/>
                <w:sz w:val="21"/>
                <w:szCs w:val="21"/>
                <w:highlight w:val="none"/>
                <w:lang w:val="en-US" w:eastAsia="zh-CN"/>
              </w:rPr>
              <w:t>0</w:t>
            </w:r>
          </w:p>
        </w:tc>
        <w:tc>
          <w:tcPr>
            <w:tcW w:w="510" w:type="dxa"/>
            <w:vMerge w:val="continue"/>
            <w:shd w:val="clear" w:color="auto" w:fill="auto"/>
            <w:tcMar>
              <w:top w:w="0" w:type="dxa"/>
              <w:left w:w="0" w:type="dxa"/>
              <w:bottom w:w="0" w:type="dxa"/>
              <w:right w:w="0" w:type="dxa"/>
            </w:tcMar>
            <w:vAlign w:val="center"/>
          </w:tcPr>
          <w:p w14:paraId="5F76AB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5B1DB6F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569" w:type="dxa"/>
            <w:shd w:val="clear" w:color="auto" w:fill="auto"/>
            <w:tcMar>
              <w:top w:w="0" w:type="dxa"/>
              <w:left w:w="0" w:type="dxa"/>
              <w:bottom w:w="0" w:type="dxa"/>
              <w:right w:w="0" w:type="dxa"/>
            </w:tcMar>
            <w:vAlign w:val="center"/>
          </w:tcPr>
          <w:p w14:paraId="6C2DC93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-0.9</w:t>
            </w:r>
          </w:p>
        </w:tc>
        <w:tc>
          <w:tcPr>
            <w:tcW w:w="604" w:type="dxa"/>
            <w:shd w:val="clear" w:color="auto" w:fill="auto"/>
            <w:tcMar>
              <w:top w:w="0" w:type="dxa"/>
              <w:left w:w="0" w:type="dxa"/>
              <w:bottom w:w="0" w:type="dxa"/>
              <w:right w:w="0" w:type="dxa"/>
            </w:tcMar>
            <w:vAlign w:val="center"/>
          </w:tcPr>
          <w:p w14:paraId="1866303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7AE5E37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20.3</w:t>
            </w:r>
          </w:p>
        </w:tc>
        <w:tc>
          <w:tcPr>
            <w:tcW w:w="466" w:type="dxa"/>
            <w:shd w:val="clear" w:color="auto" w:fill="auto"/>
            <w:tcMar>
              <w:top w:w="0" w:type="dxa"/>
              <w:left w:w="0" w:type="dxa"/>
              <w:bottom w:w="0" w:type="dxa"/>
              <w:right w:w="0" w:type="dxa"/>
            </w:tcMar>
            <w:vAlign w:val="center"/>
          </w:tcPr>
          <w:p w14:paraId="670C5DE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39.2</w:t>
            </w:r>
          </w:p>
        </w:tc>
        <w:tc>
          <w:tcPr>
            <w:tcW w:w="551" w:type="dxa"/>
            <w:shd w:val="clear" w:color="auto" w:fill="auto"/>
            <w:tcMar>
              <w:top w:w="0" w:type="dxa"/>
              <w:left w:w="0" w:type="dxa"/>
              <w:bottom w:w="0" w:type="dxa"/>
              <w:right w:w="0" w:type="dxa"/>
            </w:tcMar>
            <w:vAlign w:val="center"/>
          </w:tcPr>
          <w:p w14:paraId="35080C8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50.4</w:t>
            </w:r>
          </w:p>
        </w:tc>
        <w:tc>
          <w:tcPr>
            <w:tcW w:w="510" w:type="dxa"/>
            <w:shd w:val="clear" w:color="auto" w:fill="auto"/>
            <w:tcMar>
              <w:top w:w="0" w:type="dxa"/>
              <w:left w:w="0" w:type="dxa"/>
              <w:bottom w:w="0" w:type="dxa"/>
              <w:right w:w="0" w:type="dxa"/>
            </w:tcMar>
            <w:vAlign w:val="center"/>
          </w:tcPr>
          <w:p w14:paraId="578EA9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26.7</w:t>
            </w:r>
          </w:p>
        </w:tc>
        <w:tc>
          <w:tcPr>
            <w:tcW w:w="463" w:type="dxa"/>
            <w:shd w:val="clear" w:color="auto" w:fill="auto"/>
            <w:tcMar>
              <w:top w:w="0" w:type="dxa"/>
              <w:left w:w="0" w:type="dxa"/>
              <w:bottom w:w="0" w:type="dxa"/>
              <w:right w:w="0" w:type="dxa"/>
            </w:tcMar>
            <w:vAlign w:val="center"/>
          </w:tcPr>
          <w:p w14:paraId="5C0AFE3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3465098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6B4C266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00BBD83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40" w:type="dxa"/>
            <w:shd w:val="clear" w:color="auto" w:fill="auto"/>
            <w:tcMar>
              <w:top w:w="0" w:type="dxa"/>
              <w:left w:w="0" w:type="dxa"/>
              <w:bottom w:w="0" w:type="dxa"/>
              <w:right w:w="0" w:type="dxa"/>
            </w:tcMar>
            <w:vAlign w:val="center"/>
          </w:tcPr>
          <w:p w14:paraId="0A6DEC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1D38C91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83D1B3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22BC40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3BE3538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39EF3B2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6CD1F48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7D63BD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116D27E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671" w:type="dxa"/>
            <w:shd w:val="clear" w:color="auto" w:fill="auto"/>
            <w:tcMar>
              <w:top w:w="0" w:type="dxa"/>
              <w:left w:w="0" w:type="dxa"/>
              <w:bottom w:w="0" w:type="dxa"/>
              <w:right w:w="0" w:type="dxa"/>
            </w:tcMar>
            <w:vAlign w:val="center"/>
          </w:tcPr>
          <w:p w14:paraId="2C5B45C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1A67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3798A3F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61</w:t>
            </w:r>
          </w:p>
        </w:tc>
        <w:tc>
          <w:tcPr>
            <w:tcW w:w="1059" w:type="dxa"/>
            <w:shd w:val="clear" w:color="auto" w:fill="auto"/>
            <w:tcMar>
              <w:top w:w="0" w:type="dxa"/>
              <w:left w:w="0" w:type="dxa"/>
              <w:bottom w:w="0" w:type="dxa"/>
              <w:right w:w="0" w:type="dxa"/>
            </w:tcMar>
            <w:vAlign w:val="center"/>
          </w:tcPr>
          <w:p w14:paraId="7AA76F9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7890DBE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板材切割机7</w:t>
            </w:r>
          </w:p>
        </w:tc>
        <w:tc>
          <w:tcPr>
            <w:tcW w:w="619" w:type="dxa"/>
            <w:shd w:val="clear" w:color="auto" w:fill="auto"/>
            <w:tcMar>
              <w:top w:w="0" w:type="dxa"/>
              <w:left w:w="0" w:type="dxa"/>
              <w:bottom w:w="0" w:type="dxa"/>
              <w:right w:w="0" w:type="dxa"/>
            </w:tcMar>
            <w:vAlign w:val="center"/>
          </w:tcPr>
          <w:p w14:paraId="784DCD2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r>
              <w:rPr>
                <w:rFonts w:hint="eastAsia" w:cs="Times New Roman"/>
                <w:color w:val="auto"/>
                <w:sz w:val="21"/>
                <w:szCs w:val="21"/>
                <w:highlight w:val="none"/>
                <w:lang w:val="en-US" w:eastAsia="zh-CN"/>
              </w:rPr>
              <w:t>0</w:t>
            </w:r>
          </w:p>
        </w:tc>
        <w:tc>
          <w:tcPr>
            <w:tcW w:w="510" w:type="dxa"/>
            <w:vMerge w:val="continue"/>
            <w:shd w:val="clear" w:color="auto" w:fill="auto"/>
            <w:tcMar>
              <w:top w:w="0" w:type="dxa"/>
              <w:left w:w="0" w:type="dxa"/>
              <w:bottom w:w="0" w:type="dxa"/>
              <w:right w:w="0" w:type="dxa"/>
            </w:tcMar>
            <w:vAlign w:val="center"/>
          </w:tcPr>
          <w:p w14:paraId="36B0AC5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6F63633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14.3</w:t>
            </w:r>
          </w:p>
        </w:tc>
        <w:tc>
          <w:tcPr>
            <w:tcW w:w="569" w:type="dxa"/>
            <w:shd w:val="clear" w:color="auto" w:fill="auto"/>
            <w:tcMar>
              <w:top w:w="0" w:type="dxa"/>
              <w:left w:w="0" w:type="dxa"/>
              <w:bottom w:w="0" w:type="dxa"/>
              <w:right w:w="0" w:type="dxa"/>
            </w:tcMar>
            <w:vAlign w:val="center"/>
          </w:tcPr>
          <w:p w14:paraId="1E32A9B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-5.3</w:t>
            </w:r>
          </w:p>
        </w:tc>
        <w:tc>
          <w:tcPr>
            <w:tcW w:w="604" w:type="dxa"/>
            <w:shd w:val="clear" w:color="auto" w:fill="auto"/>
            <w:tcMar>
              <w:top w:w="0" w:type="dxa"/>
              <w:left w:w="0" w:type="dxa"/>
              <w:bottom w:w="0" w:type="dxa"/>
              <w:right w:w="0" w:type="dxa"/>
            </w:tcMar>
            <w:vAlign w:val="center"/>
          </w:tcPr>
          <w:p w14:paraId="4CBE20C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3991ADC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20.1</w:t>
            </w:r>
          </w:p>
        </w:tc>
        <w:tc>
          <w:tcPr>
            <w:tcW w:w="466" w:type="dxa"/>
            <w:shd w:val="clear" w:color="auto" w:fill="auto"/>
            <w:tcMar>
              <w:top w:w="0" w:type="dxa"/>
              <w:left w:w="0" w:type="dxa"/>
              <w:bottom w:w="0" w:type="dxa"/>
              <w:right w:w="0" w:type="dxa"/>
            </w:tcMar>
            <w:vAlign w:val="center"/>
          </w:tcPr>
          <w:p w14:paraId="49D1AFB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34.5</w:t>
            </w:r>
          </w:p>
        </w:tc>
        <w:tc>
          <w:tcPr>
            <w:tcW w:w="551" w:type="dxa"/>
            <w:shd w:val="clear" w:color="auto" w:fill="auto"/>
            <w:tcMar>
              <w:top w:w="0" w:type="dxa"/>
              <w:left w:w="0" w:type="dxa"/>
              <w:bottom w:w="0" w:type="dxa"/>
              <w:right w:w="0" w:type="dxa"/>
            </w:tcMar>
            <w:vAlign w:val="center"/>
          </w:tcPr>
          <w:p w14:paraId="52FB4D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50.8</w:t>
            </w:r>
          </w:p>
        </w:tc>
        <w:tc>
          <w:tcPr>
            <w:tcW w:w="510" w:type="dxa"/>
            <w:shd w:val="clear" w:color="auto" w:fill="auto"/>
            <w:tcMar>
              <w:top w:w="0" w:type="dxa"/>
              <w:left w:w="0" w:type="dxa"/>
              <w:bottom w:w="0" w:type="dxa"/>
              <w:right w:w="0" w:type="dxa"/>
            </w:tcMar>
            <w:vAlign w:val="center"/>
          </w:tcPr>
          <w:p w14:paraId="7D82D00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31.4</w:t>
            </w:r>
          </w:p>
        </w:tc>
        <w:tc>
          <w:tcPr>
            <w:tcW w:w="463" w:type="dxa"/>
            <w:shd w:val="clear" w:color="auto" w:fill="auto"/>
            <w:tcMar>
              <w:top w:w="0" w:type="dxa"/>
              <w:left w:w="0" w:type="dxa"/>
              <w:bottom w:w="0" w:type="dxa"/>
              <w:right w:w="0" w:type="dxa"/>
            </w:tcMar>
            <w:vAlign w:val="center"/>
          </w:tcPr>
          <w:p w14:paraId="27D576C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0616E63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2F55F57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1131377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40" w:type="dxa"/>
            <w:shd w:val="clear" w:color="auto" w:fill="auto"/>
            <w:tcMar>
              <w:top w:w="0" w:type="dxa"/>
              <w:left w:w="0" w:type="dxa"/>
              <w:bottom w:w="0" w:type="dxa"/>
              <w:right w:w="0" w:type="dxa"/>
            </w:tcMar>
            <w:vAlign w:val="center"/>
          </w:tcPr>
          <w:p w14:paraId="59DFD5B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4AA99EA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293DB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718B98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60A6AF7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086825A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47AECC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005191D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3BCA736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671" w:type="dxa"/>
            <w:shd w:val="clear" w:color="auto" w:fill="auto"/>
            <w:tcMar>
              <w:top w:w="0" w:type="dxa"/>
              <w:left w:w="0" w:type="dxa"/>
              <w:bottom w:w="0" w:type="dxa"/>
              <w:right w:w="0" w:type="dxa"/>
            </w:tcMar>
            <w:vAlign w:val="center"/>
          </w:tcPr>
          <w:p w14:paraId="06A29A8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47C5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41986B4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w:t>
            </w:r>
          </w:p>
        </w:tc>
        <w:tc>
          <w:tcPr>
            <w:tcW w:w="1059" w:type="dxa"/>
            <w:shd w:val="clear" w:color="auto" w:fill="auto"/>
            <w:tcMar>
              <w:top w:w="0" w:type="dxa"/>
              <w:left w:w="0" w:type="dxa"/>
              <w:bottom w:w="0" w:type="dxa"/>
              <w:right w:w="0" w:type="dxa"/>
            </w:tcMar>
            <w:vAlign w:val="center"/>
          </w:tcPr>
          <w:p w14:paraId="07CE736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236B82C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板材切割机8</w:t>
            </w:r>
          </w:p>
        </w:tc>
        <w:tc>
          <w:tcPr>
            <w:tcW w:w="619" w:type="dxa"/>
            <w:shd w:val="clear" w:color="auto" w:fill="auto"/>
            <w:tcMar>
              <w:top w:w="0" w:type="dxa"/>
              <w:left w:w="0" w:type="dxa"/>
              <w:bottom w:w="0" w:type="dxa"/>
              <w:right w:w="0" w:type="dxa"/>
            </w:tcMar>
            <w:vAlign w:val="center"/>
          </w:tcPr>
          <w:p w14:paraId="448256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r>
              <w:rPr>
                <w:rFonts w:hint="eastAsia" w:cs="Times New Roman"/>
                <w:color w:val="auto"/>
                <w:sz w:val="21"/>
                <w:szCs w:val="21"/>
                <w:highlight w:val="none"/>
                <w:lang w:val="en-US" w:eastAsia="zh-CN"/>
              </w:rPr>
              <w:t>0</w:t>
            </w:r>
          </w:p>
        </w:tc>
        <w:tc>
          <w:tcPr>
            <w:tcW w:w="510" w:type="dxa"/>
            <w:vMerge w:val="continue"/>
            <w:shd w:val="clear" w:color="auto" w:fill="auto"/>
            <w:tcMar>
              <w:top w:w="0" w:type="dxa"/>
              <w:left w:w="0" w:type="dxa"/>
              <w:bottom w:w="0" w:type="dxa"/>
              <w:right w:w="0" w:type="dxa"/>
            </w:tcMar>
            <w:vAlign w:val="center"/>
          </w:tcPr>
          <w:p w14:paraId="20FD4F7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2011649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12.9</w:t>
            </w:r>
          </w:p>
        </w:tc>
        <w:tc>
          <w:tcPr>
            <w:tcW w:w="569" w:type="dxa"/>
            <w:shd w:val="clear" w:color="auto" w:fill="auto"/>
            <w:tcMar>
              <w:top w:w="0" w:type="dxa"/>
              <w:left w:w="0" w:type="dxa"/>
              <w:bottom w:w="0" w:type="dxa"/>
              <w:right w:w="0" w:type="dxa"/>
            </w:tcMar>
            <w:vAlign w:val="center"/>
          </w:tcPr>
          <w:p w14:paraId="084C4C9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-9.3</w:t>
            </w:r>
          </w:p>
        </w:tc>
        <w:tc>
          <w:tcPr>
            <w:tcW w:w="604" w:type="dxa"/>
            <w:shd w:val="clear" w:color="auto" w:fill="auto"/>
            <w:tcMar>
              <w:top w:w="0" w:type="dxa"/>
              <w:left w:w="0" w:type="dxa"/>
              <w:bottom w:w="0" w:type="dxa"/>
              <w:right w:w="0" w:type="dxa"/>
            </w:tcMar>
            <w:vAlign w:val="center"/>
          </w:tcPr>
          <w:p w14:paraId="5D8D0F5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5B75623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19.6</w:t>
            </w:r>
          </w:p>
        </w:tc>
        <w:tc>
          <w:tcPr>
            <w:tcW w:w="466" w:type="dxa"/>
            <w:shd w:val="clear" w:color="auto" w:fill="auto"/>
            <w:tcMar>
              <w:top w:w="0" w:type="dxa"/>
              <w:left w:w="0" w:type="dxa"/>
              <w:bottom w:w="0" w:type="dxa"/>
              <w:right w:w="0" w:type="dxa"/>
            </w:tcMar>
            <w:vAlign w:val="center"/>
          </w:tcPr>
          <w:p w14:paraId="102410F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30.3</w:t>
            </w:r>
          </w:p>
        </w:tc>
        <w:tc>
          <w:tcPr>
            <w:tcW w:w="551" w:type="dxa"/>
            <w:shd w:val="clear" w:color="auto" w:fill="auto"/>
            <w:tcMar>
              <w:top w:w="0" w:type="dxa"/>
              <w:left w:w="0" w:type="dxa"/>
              <w:bottom w:w="0" w:type="dxa"/>
              <w:right w:w="0" w:type="dxa"/>
            </w:tcMar>
            <w:vAlign w:val="center"/>
          </w:tcPr>
          <w:p w14:paraId="0927D4E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51.3</w:t>
            </w:r>
          </w:p>
        </w:tc>
        <w:tc>
          <w:tcPr>
            <w:tcW w:w="510" w:type="dxa"/>
            <w:shd w:val="clear" w:color="auto" w:fill="auto"/>
            <w:tcMar>
              <w:top w:w="0" w:type="dxa"/>
              <w:left w:w="0" w:type="dxa"/>
              <w:bottom w:w="0" w:type="dxa"/>
              <w:right w:w="0" w:type="dxa"/>
            </w:tcMar>
            <w:vAlign w:val="center"/>
          </w:tcPr>
          <w:p w14:paraId="51BD44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35.6</w:t>
            </w:r>
          </w:p>
        </w:tc>
        <w:tc>
          <w:tcPr>
            <w:tcW w:w="463" w:type="dxa"/>
            <w:shd w:val="clear" w:color="auto" w:fill="auto"/>
            <w:tcMar>
              <w:top w:w="0" w:type="dxa"/>
              <w:left w:w="0" w:type="dxa"/>
              <w:bottom w:w="0" w:type="dxa"/>
              <w:right w:w="0" w:type="dxa"/>
            </w:tcMar>
            <w:vAlign w:val="center"/>
          </w:tcPr>
          <w:p w14:paraId="1D7F4D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0F44C6D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65F7DAF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4739D02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40" w:type="dxa"/>
            <w:shd w:val="clear" w:color="auto" w:fill="auto"/>
            <w:tcMar>
              <w:top w:w="0" w:type="dxa"/>
              <w:left w:w="0" w:type="dxa"/>
              <w:bottom w:w="0" w:type="dxa"/>
              <w:right w:w="0" w:type="dxa"/>
            </w:tcMar>
            <w:vAlign w:val="center"/>
          </w:tcPr>
          <w:p w14:paraId="4999CE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5CACCAD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7D773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234D626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2705B48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217B5E4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13D33E3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3ACFC60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37FDDA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671" w:type="dxa"/>
            <w:shd w:val="clear" w:color="auto" w:fill="auto"/>
            <w:tcMar>
              <w:top w:w="0" w:type="dxa"/>
              <w:left w:w="0" w:type="dxa"/>
              <w:bottom w:w="0" w:type="dxa"/>
              <w:right w:w="0" w:type="dxa"/>
            </w:tcMar>
            <w:vAlign w:val="center"/>
          </w:tcPr>
          <w:p w14:paraId="5209177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1C75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1D911E1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63</w:t>
            </w:r>
          </w:p>
        </w:tc>
        <w:tc>
          <w:tcPr>
            <w:tcW w:w="1059" w:type="dxa"/>
            <w:shd w:val="clear" w:color="auto" w:fill="auto"/>
            <w:tcMar>
              <w:top w:w="0" w:type="dxa"/>
              <w:left w:w="0" w:type="dxa"/>
              <w:bottom w:w="0" w:type="dxa"/>
              <w:right w:w="0" w:type="dxa"/>
            </w:tcMar>
            <w:vAlign w:val="center"/>
          </w:tcPr>
          <w:p w14:paraId="227984D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5AB678C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板材切割机9</w:t>
            </w:r>
          </w:p>
        </w:tc>
        <w:tc>
          <w:tcPr>
            <w:tcW w:w="619" w:type="dxa"/>
            <w:shd w:val="clear" w:color="auto" w:fill="auto"/>
            <w:tcMar>
              <w:top w:w="0" w:type="dxa"/>
              <w:left w:w="0" w:type="dxa"/>
              <w:bottom w:w="0" w:type="dxa"/>
              <w:right w:w="0" w:type="dxa"/>
            </w:tcMar>
            <w:vAlign w:val="center"/>
          </w:tcPr>
          <w:p w14:paraId="22D6B89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r>
              <w:rPr>
                <w:rFonts w:hint="eastAsia" w:cs="Times New Roman"/>
                <w:color w:val="auto"/>
                <w:sz w:val="21"/>
                <w:szCs w:val="21"/>
                <w:highlight w:val="none"/>
                <w:lang w:val="en-US" w:eastAsia="zh-CN"/>
              </w:rPr>
              <w:t>0</w:t>
            </w:r>
          </w:p>
        </w:tc>
        <w:tc>
          <w:tcPr>
            <w:tcW w:w="510" w:type="dxa"/>
            <w:vMerge w:val="continue"/>
            <w:shd w:val="clear" w:color="auto" w:fill="auto"/>
            <w:tcMar>
              <w:top w:w="0" w:type="dxa"/>
              <w:left w:w="0" w:type="dxa"/>
              <w:bottom w:w="0" w:type="dxa"/>
              <w:right w:w="0" w:type="dxa"/>
            </w:tcMar>
            <w:vAlign w:val="center"/>
          </w:tcPr>
          <w:p w14:paraId="0C59DF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25258E1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11.6</w:t>
            </w:r>
          </w:p>
        </w:tc>
        <w:tc>
          <w:tcPr>
            <w:tcW w:w="569" w:type="dxa"/>
            <w:shd w:val="clear" w:color="auto" w:fill="auto"/>
            <w:tcMar>
              <w:top w:w="0" w:type="dxa"/>
              <w:left w:w="0" w:type="dxa"/>
              <w:bottom w:w="0" w:type="dxa"/>
              <w:right w:w="0" w:type="dxa"/>
            </w:tcMar>
            <w:vAlign w:val="center"/>
          </w:tcPr>
          <w:p w14:paraId="7E0835D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-13.6</w:t>
            </w:r>
          </w:p>
        </w:tc>
        <w:tc>
          <w:tcPr>
            <w:tcW w:w="604" w:type="dxa"/>
            <w:shd w:val="clear" w:color="auto" w:fill="auto"/>
            <w:tcMar>
              <w:top w:w="0" w:type="dxa"/>
              <w:left w:w="0" w:type="dxa"/>
              <w:bottom w:w="0" w:type="dxa"/>
              <w:right w:w="0" w:type="dxa"/>
            </w:tcMar>
            <w:vAlign w:val="center"/>
          </w:tcPr>
          <w:p w14:paraId="10AF899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3A65D7F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19.0</w:t>
            </w:r>
          </w:p>
        </w:tc>
        <w:tc>
          <w:tcPr>
            <w:tcW w:w="466" w:type="dxa"/>
            <w:shd w:val="clear" w:color="auto" w:fill="auto"/>
            <w:tcMar>
              <w:top w:w="0" w:type="dxa"/>
              <w:left w:w="0" w:type="dxa"/>
              <w:bottom w:w="0" w:type="dxa"/>
              <w:right w:w="0" w:type="dxa"/>
            </w:tcMar>
            <w:vAlign w:val="center"/>
          </w:tcPr>
          <w:p w14:paraId="7226256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25.9</w:t>
            </w:r>
          </w:p>
        </w:tc>
        <w:tc>
          <w:tcPr>
            <w:tcW w:w="551" w:type="dxa"/>
            <w:shd w:val="clear" w:color="auto" w:fill="auto"/>
            <w:tcMar>
              <w:top w:w="0" w:type="dxa"/>
              <w:left w:w="0" w:type="dxa"/>
              <w:bottom w:w="0" w:type="dxa"/>
              <w:right w:w="0" w:type="dxa"/>
            </w:tcMar>
            <w:vAlign w:val="center"/>
          </w:tcPr>
          <w:p w14:paraId="42B0BE9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52.1</w:t>
            </w:r>
          </w:p>
        </w:tc>
        <w:tc>
          <w:tcPr>
            <w:tcW w:w="510" w:type="dxa"/>
            <w:shd w:val="clear" w:color="auto" w:fill="auto"/>
            <w:tcMar>
              <w:top w:w="0" w:type="dxa"/>
              <w:left w:w="0" w:type="dxa"/>
              <w:bottom w:w="0" w:type="dxa"/>
              <w:right w:w="0" w:type="dxa"/>
            </w:tcMar>
            <w:vAlign w:val="center"/>
          </w:tcPr>
          <w:p w14:paraId="3F0494D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40.1</w:t>
            </w:r>
          </w:p>
        </w:tc>
        <w:tc>
          <w:tcPr>
            <w:tcW w:w="463" w:type="dxa"/>
            <w:shd w:val="clear" w:color="auto" w:fill="auto"/>
            <w:tcMar>
              <w:top w:w="0" w:type="dxa"/>
              <w:left w:w="0" w:type="dxa"/>
              <w:bottom w:w="0" w:type="dxa"/>
              <w:right w:w="0" w:type="dxa"/>
            </w:tcMar>
            <w:vAlign w:val="center"/>
          </w:tcPr>
          <w:p w14:paraId="7B0E8C9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3A21B82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24B4194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5EDE2D7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40" w:type="dxa"/>
            <w:shd w:val="clear" w:color="auto" w:fill="auto"/>
            <w:tcMar>
              <w:top w:w="0" w:type="dxa"/>
              <w:left w:w="0" w:type="dxa"/>
              <w:bottom w:w="0" w:type="dxa"/>
              <w:right w:w="0" w:type="dxa"/>
            </w:tcMar>
            <w:vAlign w:val="center"/>
          </w:tcPr>
          <w:p w14:paraId="459DFD9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48B0904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2F50A63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273637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72C304B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09C1639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664DCC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76DDC9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67B8634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671" w:type="dxa"/>
            <w:shd w:val="clear" w:color="auto" w:fill="auto"/>
            <w:tcMar>
              <w:top w:w="0" w:type="dxa"/>
              <w:left w:w="0" w:type="dxa"/>
              <w:bottom w:w="0" w:type="dxa"/>
              <w:right w:w="0" w:type="dxa"/>
            </w:tcMar>
            <w:vAlign w:val="center"/>
          </w:tcPr>
          <w:p w14:paraId="2B359BC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71C1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2E93DD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64</w:t>
            </w:r>
          </w:p>
        </w:tc>
        <w:tc>
          <w:tcPr>
            <w:tcW w:w="1059" w:type="dxa"/>
            <w:shd w:val="clear" w:color="auto" w:fill="auto"/>
            <w:tcMar>
              <w:top w:w="0" w:type="dxa"/>
              <w:left w:w="0" w:type="dxa"/>
              <w:bottom w:w="0" w:type="dxa"/>
              <w:right w:w="0" w:type="dxa"/>
            </w:tcMar>
            <w:vAlign w:val="center"/>
          </w:tcPr>
          <w:p w14:paraId="71ACA6B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4219D81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板材切割机10</w:t>
            </w:r>
          </w:p>
        </w:tc>
        <w:tc>
          <w:tcPr>
            <w:tcW w:w="619" w:type="dxa"/>
            <w:shd w:val="clear" w:color="auto" w:fill="auto"/>
            <w:tcMar>
              <w:top w:w="0" w:type="dxa"/>
              <w:left w:w="0" w:type="dxa"/>
              <w:bottom w:w="0" w:type="dxa"/>
              <w:right w:w="0" w:type="dxa"/>
            </w:tcMar>
            <w:vAlign w:val="center"/>
          </w:tcPr>
          <w:p w14:paraId="7992A16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r>
              <w:rPr>
                <w:rFonts w:hint="eastAsia" w:cs="Times New Roman"/>
                <w:color w:val="auto"/>
                <w:sz w:val="21"/>
                <w:szCs w:val="21"/>
                <w:highlight w:val="none"/>
                <w:lang w:val="en-US" w:eastAsia="zh-CN"/>
              </w:rPr>
              <w:t>0</w:t>
            </w:r>
          </w:p>
        </w:tc>
        <w:tc>
          <w:tcPr>
            <w:tcW w:w="510" w:type="dxa"/>
            <w:vMerge w:val="continue"/>
            <w:shd w:val="clear" w:color="auto" w:fill="auto"/>
            <w:tcMar>
              <w:top w:w="0" w:type="dxa"/>
              <w:left w:w="0" w:type="dxa"/>
              <w:bottom w:w="0" w:type="dxa"/>
              <w:right w:w="0" w:type="dxa"/>
            </w:tcMar>
            <w:vAlign w:val="center"/>
          </w:tcPr>
          <w:p w14:paraId="7D8E339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7A2BD13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9.8</w:t>
            </w:r>
          </w:p>
        </w:tc>
        <w:tc>
          <w:tcPr>
            <w:tcW w:w="569" w:type="dxa"/>
            <w:shd w:val="clear" w:color="auto" w:fill="auto"/>
            <w:tcMar>
              <w:top w:w="0" w:type="dxa"/>
              <w:left w:w="0" w:type="dxa"/>
              <w:bottom w:w="0" w:type="dxa"/>
              <w:right w:w="0" w:type="dxa"/>
            </w:tcMar>
            <w:vAlign w:val="center"/>
          </w:tcPr>
          <w:p w14:paraId="0588E26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-17.5</w:t>
            </w:r>
          </w:p>
        </w:tc>
        <w:tc>
          <w:tcPr>
            <w:tcW w:w="604" w:type="dxa"/>
            <w:shd w:val="clear" w:color="auto" w:fill="auto"/>
            <w:tcMar>
              <w:top w:w="0" w:type="dxa"/>
              <w:left w:w="0" w:type="dxa"/>
              <w:bottom w:w="0" w:type="dxa"/>
              <w:right w:w="0" w:type="dxa"/>
            </w:tcMar>
            <w:vAlign w:val="center"/>
          </w:tcPr>
          <w:p w14:paraId="71116F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1CBB563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19.0</w:t>
            </w:r>
          </w:p>
        </w:tc>
        <w:tc>
          <w:tcPr>
            <w:tcW w:w="466" w:type="dxa"/>
            <w:shd w:val="clear" w:color="auto" w:fill="auto"/>
            <w:tcMar>
              <w:top w:w="0" w:type="dxa"/>
              <w:left w:w="0" w:type="dxa"/>
              <w:bottom w:w="0" w:type="dxa"/>
              <w:right w:w="0" w:type="dxa"/>
            </w:tcMar>
            <w:vAlign w:val="center"/>
          </w:tcPr>
          <w:p w14:paraId="005126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21.6</w:t>
            </w:r>
          </w:p>
        </w:tc>
        <w:tc>
          <w:tcPr>
            <w:tcW w:w="551" w:type="dxa"/>
            <w:shd w:val="clear" w:color="auto" w:fill="auto"/>
            <w:tcMar>
              <w:top w:w="0" w:type="dxa"/>
              <w:left w:w="0" w:type="dxa"/>
              <w:bottom w:w="0" w:type="dxa"/>
              <w:right w:w="0" w:type="dxa"/>
            </w:tcMar>
            <w:vAlign w:val="center"/>
          </w:tcPr>
          <w:p w14:paraId="420D44B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52.2</w:t>
            </w:r>
          </w:p>
        </w:tc>
        <w:tc>
          <w:tcPr>
            <w:tcW w:w="510" w:type="dxa"/>
            <w:shd w:val="clear" w:color="auto" w:fill="auto"/>
            <w:tcMar>
              <w:top w:w="0" w:type="dxa"/>
              <w:left w:w="0" w:type="dxa"/>
              <w:bottom w:w="0" w:type="dxa"/>
              <w:right w:w="0" w:type="dxa"/>
            </w:tcMar>
            <w:vAlign w:val="center"/>
          </w:tcPr>
          <w:p w14:paraId="0853FB1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44.4</w:t>
            </w:r>
          </w:p>
        </w:tc>
        <w:tc>
          <w:tcPr>
            <w:tcW w:w="463" w:type="dxa"/>
            <w:shd w:val="clear" w:color="auto" w:fill="auto"/>
            <w:tcMar>
              <w:top w:w="0" w:type="dxa"/>
              <w:left w:w="0" w:type="dxa"/>
              <w:bottom w:w="0" w:type="dxa"/>
              <w:right w:w="0" w:type="dxa"/>
            </w:tcMar>
            <w:vAlign w:val="center"/>
          </w:tcPr>
          <w:p w14:paraId="2C3ED75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2E59BA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572358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2AB7AEC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40" w:type="dxa"/>
            <w:shd w:val="clear" w:color="auto" w:fill="auto"/>
            <w:tcMar>
              <w:top w:w="0" w:type="dxa"/>
              <w:left w:w="0" w:type="dxa"/>
              <w:bottom w:w="0" w:type="dxa"/>
              <w:right w:w="0" w:type="dxa"/>
            </w:tcMar>
            <w:vAlign w:val="center"/>
          </w:tcPr>
          <w:p w14:paraId="29E2619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477820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2F0E121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DA4642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7FD087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0A8FBE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0AC0D59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073C8C6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34547A6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671" w:type="dxa"/>
            <w:shd w:val="clear" w:color="auto" w:fill="auto"/>
            <w:tcMar>
              <w:top w:w="0" w:type="dxa"/>
              <w:left w:w="0" w:type="dxa"/>
              <w:bottom w:w="0" w:type="dxa"/>
              <w:right w:w="0" w:type="dxa"/>
            </w:tcMar>
            <w:vAlign w:val="center"/>
          </w:tcPr>
          <w:p w14:paraId="26D6D8B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57BD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7EB2E67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w:t>
            </w:r>
          </w:p>
        </w:tc>
        <w:tc>
          <w:tcPr>
            <w:tcW w:w="1059" w:type="dxa"/>
            <w:shd w:val="clear" w:color="auto" w:fill="auto"/>
            <w:tcMar>
              <w:top w:w="0" w:type="dxa"/>
              <w:left w:w="0" w:type="dxa"/>
              <w:bottom w:w="0" w:type="dxa"/>
              <w:right w:w="0" w:type="dxa"/>
            </w:tcMar>
            <w:vAlign w:val="center"/>
          </w:tcPr>
          <w:p w14:paraId="5811BE2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677990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覆膜机1</w:t>
            </w:r>
          </w:p>
        </w:tc>
        <w:tc>
          <w:tcPr>
            <w:tcW w:w="619" w:type="dxa"/>
            <w:shd w:val="clear" w:color="auto" w:fill="auto"/>
            <w:tcMar>
              <w:top w:w="0" w:type="dxa"/>
              <w:left w:w="0" w:type="dxa"/>
              <w:bottom w:w="0" w:type="dxa"/>
              <w:right w:w="0" w:type="dxa"/>
            </w:tcMar>
            <w:vAlign w:val="center"/>
          </w:tcPr>
          <w:p w14:paraId="074E36D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r>
              <w:rPr>
                <w:rFonts w:hint="eastAsia" w:cs="Times New Roman"/>
                <w:color w:val="auto"/>
                <w:sz w:val="21"/>
                <w:szCs w:val="21"/>
                <w:highlight w:val="none"/>
                <w:lang w:val="en-US" w:eastAsia="zh-CN"/>
              </w:rPr>
              <w:t>0</w:t>
            </w:r>
          </w:p>
        </w:tc>
        <w:tc>
          <w:tcPr>
            <w:tcW w:w="510" w:type="dxa"/>
            <w:vMerge w:val="continue"/>
            <w:shd w:val="clear" w:color="auto" w:fill="auto"/>
            <w:tcMar>
              <w:top w:w="0" w:type="dxa"/>
              <w:left w:w="0" w:type="dxa"/>
              <w:bottom w:w="0" w:type="dxa"/>
              <w:right w:w="0" w:type="dxa"/>
            </w:tcMar>
            <w:vAlign w:val="center"/>
          </w:tcPr>
          <w:p w14:paraId="105B3F5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37ECC33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w:t>
            </w:r>
          </w:p>
        </w:tc>
        <w:tc>
          <w:tcPr>
            <w:tcW w:w="569" w:type="dxa"/>
            <w:shd w:val="clear" w:color="auto" w:fill="auto"/>
            <w:tcMar>
              <w:top w:w="0" w:type="dxa"/>
              <w:left w:w="0" w:type="dxa"/>
              <w:bottom w:w="0" w:type="dxa"/>
              <w:right w:w="0" w:type="dxa"/>
            </w:tcMar>
            <w:vAlign w:val="center"/>
          </w:tcPr>
          <w:p w14:paraId="40ABC7B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15.6</w:t>
            </w:r>
          </w:p>
        </w:tc>
        <w:tc>
          <w:tcPr>
            <w:tcW w:w="604" w:type="dxa"/>
            <w:shd w:val="clear" w:color="auto" w:fill="auto"/>
            <w:tcMar>
              <w:top w:w="0" w:type="dxa"/>
              <w:left w:w="0" w:type="dxa"/>
              <w:bottom w:w="0" w:type="dxa"/>
              <w:right w:w="0" w:type="dxa"/>
            </w:tcMar>
            <w:vAlign w:val="center"/>
          </w:tcPr>
          <w:p w14:paraId="528808A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66DC796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15.5</w:t>
            </w:r>
          </w:p>
        </w:tc>
        <w:tc>
          <w:tcPr>
            <w:tcW w:w="466" w:type="dxa"/>
            <w:shd w:val="clear" w:color="auto" w:fill="auto"/>
            <w:tcMar>
              <w:top w:w="0" w:type="dxa"/>
              <w:left w:w="0" w:type="dxa"/>
              <w:bottom w:w="0" w:type="dxa"/>
              <w:right w:w="0" w:type="dxa"/>
            </w:tcMar>
            <w:vAlign w:val="center"/>
          </w:tcPr>
          <w:p w14:paraId="132AE20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59.8</w:t>
            </w:r>
          </w:p>
        </w:tc>
        <w:tc>
          <w:tcPr>
            <w:tcW w:w="551" w:type="dxa"/>
            <w:shd w:val="clear" w:color="auto" w:fill="auto"/>
            <w:tcMar>
              <w:top w:w="0" w:type="dxa"/>
              <w:left w:w="0" w:type="dxa"/>
              <w:bottom w:w="0" w:type="dxa"/>
              <w:right w:w="0" w:type="dxa"/>
            </w:tcMar>
            <w:vAlign w:val="center"/>
          </w:tcPr>
          <w:p w14:paraId="4A2D859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54.7</w:t>
            </w:r>
          </w:p>
        </w:tc>
        <w:tc>
          <w:tcPr>
            <w:tcW w:w="510" w:type="dxa"/>
            <w:shd w:val="clear" w:color="auto" w:fill="auto"/>
            <w:tcMar>
              <w:top w:w="0" w:type="dxa"/>
              <w:left w:w="0" w:type="dxa"/>
              <w:bottom w:w="0" w:type="dxa"/>
              <w:right w:w="0" w:type="dxa"/>
            </w:tcMar>
            <w:vAlign w:val="center"/>
          </w:tcPr>
          <w:p w14:paraId="3CFE04A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w:t>
            </w:r>
          </w:p>
        </w:tc>
        <w:tc>
          <w:tcPr>
            <w:tcW w:w="463" w:type="dxa"/>
            <w:shd w:val="clear" w:color="auto" w:fill="auto"/>
            <w:tcMar>
              <w:top w:w="0" w:type="dxa"/>
              <w:left w:w="0" w:type="dxa"/>
              <w:bottom w:w="0" w:type="dxa"/>
              <w:right w:w="0" w:type="dxa"/>
            </w:tcMar>
            <w:vAlign w:val="center"/>
          </w:tcPr>
          <w:p w14:paraId="3D37C05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363E398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6E4BCA1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5604ACC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63.3</w:t>
            </w:r>
          </w:p>
        </w:tc>
        <w:tc>
          <w:tcPr>
            <w:tcW w:w="440" w:type="dxa"/>
            <w:shd w:val="clear" w:color="auto" w:fill="auto"/>
            <w:tcMar>
              <w:top w:w="0" w:type="dxa"/>
              <w:left w:w="0" w:type="dxa"/>
              <w:bottom w:w="0" w:type="dxa"/>
              <w:right w:w="0" w:type="dxa"/>
            </w:tcMar>
            <w:vAlign w:val="center"/>
          </w:tcPr>
          <w:p w14:paraId="4E95579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7BBB2D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E06B84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31446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0A51878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75A533E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42F24A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11D30C9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48FD8B7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36.8</w:t>
            </w:r>
          </w:p>
        </w:tc>
        <w:tc>
          <w:tcPr>
            <w:tcW w:w="671" w:type="dxa"/>
            <w:shd w:val="clear" w:color="auto" w:fill="auto"/>
            <w:tcMar>
              <w:top w:w="0" w:type="dxa"/>
              <w:left w:w="0" w:type="dxa"/>
              <w:bottom w:w="0" w:type="dxa"/>
              <w:right w:w="0" w:type="dxa"/>
            </w:tcMar>
            <w:vAlign w:val="center"/>
          </w:tcPr>
          <w:p w14:paraId="6B47D68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3311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26C8DA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66</w:t>
            </w:r>
          </w:p>
        </w:tc>
        <w:tc>
          <w:tcPr>
            <w:tcW w:w="1059" w:type="dxa"/>
            <w:shd w:val="clear" w:color="auto" w:fill="auto"/>
            <w:tcMar>
              <w:top w:w="0" w:type="dxa"/>
              <w:left w:w="0" w:type="dxa"/>
              <w:bottom w:w="0" w:type="dxa"/>
              <w:right w:w="0" w:type="dxa"/>
            </w:tcMar>
            <w:vAlign w:val="center"/>
          </w:tcPr>
          <w:p w14:paraId="1AA17A9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2781C4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覆膜机2</w:t>
            </w:r>
          </w:p>
        </w:tc>
        <w:tc>
          <w:tcPr>
            <w:tcW w:w="619" w:type="dxa"/>
            <w:shd w:val="clear" w:color="auto" w:fill="auto"/>
            <w:tcMar>
              <w:top w:w="0" w:type="dxa"/>
              <w:left w:w="0" w:type="dxa"/>
              <w:bottom w:w="0" w:type="dxa"/>
              <w:right w:w="0" w:type="dxa"/>
            </w:tcMar>
            <w:vAlign w:val="center"/>
          </w:tcPr>
          <w:p w14:paraId="39BDC1B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r>
              <w:rPr>
                <w:rFonts w:hint="eastAsia" w:cs="Times New Roman"/>
                <w:color w:val="auto"/>
                <w:sz w:val="21"/>
                <w:szCs w:val="21"/>
                <w:highlight w:val="none"/>
                <w:lang w:val="en-US" w:eastAsia="zh-CN"/>
              </w:rPr>
              <w:t>0</w:t>
            </w:r>
          </w:p>
        </w:tc>
        <w:tc>
          <w:tcPr>
            <w:tcW w:w="510" w:type="dxa"/>
            <w:vMerge w:val="continue"/>
            <w:shd w:val="clear" w:color="auto" w:fill="auto"/>
            <w:tcMar>
              <w:top w:w="0" w:type="dxa"/>
              <w:left w:w="0" w:type="dxa"/>
              <w:bottom w:w="0" w:type="dxa"/>
              <w:right w:w="0" w:type="dxa"/>
            </w:tcMar>
            <w:vAlign w:val="center"/>
          </w:tcPr>
          <w:p w14:paraId="7999EC9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5FAF16A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26.9</w:t>
            </w:r>
          </w:p>
        </w:tc>
        <w:tc>
          <w:tcPr>
            <w:tcW w:w="569" w:type="dxa"/>
            <w:shd w:val="clear" w:color="auto" w:fill="auto"/>
            <w:tcMar>
              <w:top w:w="0" w:type="dxa"/>
              <w:left w:w="0" w:type="dxa"/>
              <w:bottom w:w="0" w:type="dxa"/>
              <w:right w:w="0" w:type="dxa"/>
            </w:tcMar>
            <w:vAlign w:val="center"/>
          </w:tcPr>
          <w:p w14:paraId="7E77A0F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12.1</w:t>
            </w:r>
          </w:p>
        </w:tc>
        <w:tc>
          <w:tcPr>
            <w:tcW w:w="604" w:type="dxa"/>
            <w:shd w:val="clear" w:color="auto" w:fill="auto"/>
            <w:tcMar>
              <w:top w:w="0" w:type="dxa"/>
              <w:left w:w="0" w:type="dxa"/>
              <w:bottom w:w="0" w:type="dxa"/>
              <w:right w:w="0" w:type="dxa"/>
            </w:tcMar>
            <w:vAlign w:val="center"/>
          </w:tcPr>
          <w:p w14:paraId="532AB3A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09E391E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15.9</w:t>
            </w:r>
          </w:p>
        </w:tc>
        <w:tc>
          <w:tcPr>
            <w:tcW w:w="466" w:type="dxa"/>
            <w:shd w:val="clear" w:color="auto" w:fill="auto"/>
            <w:tcMar>
              <w:top w:w="0" w:type="dxa"/>
              <w:left w:w="0" w:type="dxa"/>
              <w:bottom w:w="0" w:type="dxa"/>
              <w:right w:w="0" w:type="dxa"/>
            </w:tcMar>
            <w:vAlign w:val="center"/>
          </w:tcPr>
          <w:p w14:paraId="46D26D0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55.7</w:t>
            </w:r>
          </w:p>
        </w:tc>
        <w:tc>
          <w:tcPr>
            <w:tcW w:w="551" w:type="dxa"/>
            <w:shd w:val="clear" w:color="auto" w:fill="auto"/>
            <w:tcMar>
              <w:top w:w="0" w:type="dxa"/>
              <w:left w:w="0" w:type="dxa"/>
              <w:bottom w:w="0" w:type="dxa"/>
              <w:right w:w="0" w:type="dxa"/>
            </w:tcMar>
            <w:vAlign w:val="center"/>
          </w:tcPr>
          <w:p w14:paraId="0F16E4B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54.4</w:t>
            </w:r>
          </w:p>
        </w:tc>
        <w:tc>
          <w:tcPr>
            <w:tcW w:w="510" w:type="dxa"/>
            <w:shd w:val="clear" w:color="auto" w:fill="auto"/>
            <w:tcMar>
              <w:top w:w="0" w:type="dxa"/>
              <w:left w:w="0" w:type="dxa"/>
              <w:bottom w:w="0" w:type="dxa"/>
              <w:right w:w="0" w:type="dxa"/>
            </w:tcMar>
            <w:vAlign w:val="center"/>
          </w:tcPr>
          <w:p w14:paraId="5108D7C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w:t>
            </w:r>
          </w:p>
        </w:tc>
        <w:tc>
          <w:tcPr>
            <w:tcW w:w="463" w:type="dxa"/>
            <w:shd w:val="clear" w:color="auto" w:fill="auto"/>
            <w:tcMar>
              <w:top w:w="0" w:type="dxa"/>
              <w:left w:w="0" w:type="dxa"/>
              <w:bottom w:w="0" w:type="dxa"/>
              <w:right w:w="0" w:type="dxa"/>
            </w:tcMar>
            <w:vAlign w:val="center"/>
          </w:tcPr>
          <w:p w14:paraId="045A246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44C6789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137B0C6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295052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63.0</w:t>
            </w:r>
          </w:p>
        </w:tc>
        <w:tc>
          <w:tcPr>
            <w:tcW w:w="440" w:type="dxa"/>
            <w:shd w:val="clear" w:color="auto" w:fill="auto"/>
            <w:tcMar>
              <w:top w:w="0" w:type="dxa"/>
              <w:left w:w="0" w:type="dxa"/>
              <w:bottom w:w="0" w:type="dxa"/>
              <w:right w:w="0" w:type="dxa"/>
            </w:tcMar>
            <w:vAlign w:val="center"/>
          </w:tcPr>
          <w:p w14:paraId="24ED0C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5A64F89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A65BD4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362D3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2540CC9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412C260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512A5DE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34CCA6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003438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36.5</w:t>
            </w:r>
          </w:p>
        </w:tc>
        <w:tc>
          <w:tcPr>
            <w:tcW w:w="671" w:type="dxa"/>
            <w:shd w:val="clear" w:color="auto" w:fill="auto"/>
            <w:tcMar>
              <w:top w:w="0" w:type="dxa"/>
              <w:left w:w="0" w:type="dxa"/>
              <w:bottom w:w="0" w:type="dxa"/>
              <w:right w:w="0" w:type="dxa"/>
            </w:tcMar>
            <w:vAlign w:val="center"/>
          </w:tcPr>
          <w:p w14:paraId="68CD243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2D8F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43B65A5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w:t>
            </w:r>
          </w:p>
        </w:tc>
        <w:tc>
          <w:tcPr>
            <w:tcW w:w="1059" w:type="dxa"/>
            <w:shd w:val="clear" w:color="auto" w:fill="auto"/>
            <w:tcMar>
              <w:top w:w="0" w:type="dxa"/>
              <w:left w:w="0" w:type="dxa"/>
              <w:bottom w:w="0" w:type="dxa"/>
              <w:right w:w="0" w:type="dxa"/>
            </w:tcMar>
            <w:vAlign w:val="center"/>
          </w:tcPr>
          <w:p w14:paraId="0F95458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11E9790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覆膜机3</w:t>
            </w:r>
          </w:p>
        </w:tc>
        <w:tc>
          <w:tcPr>
            <w:tcW w:w="619" w:type="dxa"/>
            <w:shd w:val="clear" w:color="auto" w:fill="auto"/>
            <w:tcMar>
              <w:top w:w="0" w:type="dxa"/>
              <w:left w:w="0" w:type="dxa"/>
              <w:bottom w:w="0" w:type="dxa"/>
              <w:right w:w="0" w:type="dxa"/>
            </w:tcMar>
            <w:vAlign w:val="center"/>
          </w:tcPr>
          <w:p w14:paraId="799854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r>
              <w:rPr>
                <w:rFonts w:hint="eastAsia" w:cs="Times New Roman"/>
                <w:color w:val="auto"/>
                <w:sz w:val="21"/>
                <w:szCs w:val="21"/>
                <w:highlight w:val="none"/>
                <w:lang w:val="en-US" w:eastAsia="zh-CN"/>
              </w:rPr>
              <w:t>0</w:t>
            </w:r>
          </w:p>
        </w:tc>
        <w:tc>
          <w:tcPr>
            <w:tcW w:w="510" w:type="dxa"/>
            <w:vMerge w:val="continue"/>
            <w:shd w:val="clear" w:color="auto" w:fill="auto"/>
            <w:tcMar>
              <w:top w:w="0" w:type="dxa"/>
              <w:left w:w="0" w:type="dxa"/>
              <w:bottom w:w="0" w:type="dxa"/>
              <w:right w:w="0" w:type="dxa"/>
            </w:tcMar>
            <w:vAlign w:val="center"/>
          </w:tcPr>
          <w:p w14:paraId="699D148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3ACDD0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25.6</w:t>
            </w:r>
          </w:p>
        </w:tc>
        <w:tc>
          <w:tcPr>
            <w:tcW w:w="569" w:type="dxa"/>
            <w:shd w:val="clear" w:color="auto" w:fill="auto"/>
            <w:tcMar>
              <w:top w:w="0" w:type="dxa"/>
              <w:left w:w="0" w:type="dxa"/>
              <w:bottom w:w="0" w:type="dxa"/>
              <w:right w:w="0" w:type="dxa"/>
            </w:tcMar>
            <w:vAlign w:val="center"/>
          </w:tcPr>
          <w:p w14:paraId="747722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7.4</w:t>
            </w:r>
          </w:p>
        </w:tc>
        <w:tc>
          <w:tcPr>
            <w:tcW w:w="604" w:type="dxa"/>
            <w:shd w:val="clear" w:color="auto" w:fill="auto"/>
            <w:tcMar>
              <w:top w:w="0" w:type="dxa"/>
              <w:left w:w="0" w:type="dxa"/>
              <w:bottom w:w="0" w:type="dxa"/>
              <w:right w:w="0" w:type="dxa"/>
            </w:tcMar>
            <w:vAlign w:val="center"/>
          </w:tcPr>
          <w:p w14:paraId="34FEC28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0BCCBB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w:t>
            </w:r>
          </w:p>
        </w:tc>
        <w:tc>
          <w:tcPr>
            <w:tcW w:w="466" w:type="dxa"/>
            <w:shd w:val="clear" w:color="auto" w:fill="auto"/>
            <w:tcMar>
              <w:top w:w="0" w:type="dxa"/>
              <w:left w:w="0" w:type="dxa"/>
              <w:bottom w:w="0" w:type="dxa"/>
              <w:right w:w="0" w:type="dxa"/>
            </w:tcMar>
            <w:vAlign w:val="center"/>
          </w:tcPr>
          <w:p w14:paraId="02178B9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50.9</w:t>
            </w:r>
          </w:p>
        </w:tc>
        <w:tc>
          <w:tcPr>
            <w:tcW w:w="551" w:type="dxa"/>
            <w:shd w:val="clear" w:color="auto" w:fill="auto"/>
            <w:tcMar>
              <w:top w:w="0" w:type="dxa"/>
              <w:left w:w="0" w:type="dxa"/>
              <w:bottom w:w="0" w:type="dxa"/>
              <w:right w:w="0" w:type="dxa"/>
            </w:tcMar>
            <w:vAlign w:val="center"/>
          </w:tcPr>
          <w:p w14:paraId="3B9662F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55.3</w:t>
            </w:r>
          </w:p>
        </w:tc>
        <w:tc>
          <w:tcPr>
            <w:tcW w:w="510" w:type="dxa"/>
            <w:shd w:val="clear" w:color="auto" w:fill="auto"/>
            <w:tcMar>
              <w:top w:w="0" w:type="dxa"/>
              <w:left w:w="0" w:type="dxa"/>
              <w:bottom w:w="0" w:type="dxa"/>
              <w:right w:w="0" w:type="dxa"/>
            </w:tcMar>
            <w:vAlign w:val="center"/>
          </w:tcPr>
          <w:p w14:paraId="3E4712A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w:t>
            </w:r>
          </w:p>
        </w:tc>
        <w:tc>
          <w:tcPr>
            <w:tcW w:w="463" w:type="dxa"/>
            <w:shd w:val="clear" w:color="auto" w:fill="auto"/>
            <w:tcMar>
              <w:top w:w="0" w:type="dxa"/>
              <w:left w:w="0" w:type="dxa"/>
              <w:bottom w:w="0" w:type="dxa"/>
              <w:right w:w="0" w:type="dxa"/>
            </w:tcMar>
            <w:vAlign w:val="center"/>
          </w:tcPr>
          <w:p w14:paraId="4FA0815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4DDC7CB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156352F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06EA08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40" w:type="dxa"/>
            <w:shd w:val="clear" w:color="auto" w:fill="auto"/>
            <w:tcMar>
              <w:top w:w="0" w:type="dxa"/>
              <w:left w:w="0" w:type="dxa"/>
              <w:bottom w:w="0" w:type="dxa"/>
              <w:right w:w="0" w:type="dxa"/>
            </w:tcMar>
            <w:vAlign w:val="center"/>
          </w:tcPr>
          <w:p w14:paraId="7B7691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144204C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563CF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22A069F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725C6A1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3887607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374D22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615BA87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04CC718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671" w:type="dxa"/>
            <w:shd w:val="clear" w:color="auto" w:fill="auto"/>
            <w:tcMar>
              <w:top w:w="0" w:type="dxa"/>
              <w:left w:w="0" w:type="dxa"/>
              <w:bottom w:w="0" w:type="dxa"/>
              <w:right w:w="0" w:type="dxa"/>
            </w:tcMar>
            <w:vAlign w:val="center"/>
          </w:tcPr>
          <w:p w14:paraId="21E014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4585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47D3E03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68</w:t>
            </w:r>
          </w:p>
        </w:tc>
        <w:tc>
          <w:tcPr>
            <w:tcW w:w="1059" w:type="dxa"/>
            <w:shd w:val="clear" w:color="auto" w:fill="auto"/>
            <w:tcMar>
              <w:top w:w="0" w:type="dxa"/>
              <w:left w:w="0" w:type="dxa"/>
              <w:bottom w:w="0" w:type="dxa"/>
              <w:right w:w="0" w:type="dxa"/>
            </w:tcMar>
            <w:vAlign w:val="center"/>
          </w:tcPr>
          <w:p w14:paraId="66BE3BE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6471DD3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覆膜机4</w:t>
            </w:r>
          </w:p>
        </w:tc>
        <w:tc>
          <w:tcPr>
            <w:tcW w:w="619" w:type="dxa"/>
            <w:shd w:val="clear" w:color="auto" w:fill="auto"/>
            <w:tcMar>
              <w:top w:w="0" w:type="dxa"/>
              <w:left w:w="0" w:type="dxa"/>
              <w:bottom w:w="0" w:type="dxa"/>
              <w:right w:w="0" w:type="dxa"/>
            </w:tcMar>
            <w:vAlign w:val="center"/>
          </w:tcPr>
          <w:p w14:paraId="2C7A13F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r>
              <w:rPr>
                <w:rFonts w:hint="eastAsia" w:cs="Times New Roman"/>
                <w:color w:val="auto"/>
                <w:sz w:val="21"/>
                <w:szCs w:val="21"/>
                <w:highlight w:val="none"/>
                <w:lang w:val="en-US" w:eastAsia="zh-CN"/>
              </w:rPr>
              <w:t>0</w:t>
            </w:r>
          </w:p>
        </w:tc>
        <w:tc>
          <w:tcPr>
            <w:tcW w:w="510" w:type="dxa"/>
            <w:vMerge w:val="continue"/>
            <w:shd w:val="clear" w:color="auto" w:fill="auto"/>
            <w:tcMar>
              <w:top w:w="0" w:type="dxa"/>
              <w:left w:w="0" w:type="dxa"/>
              <w:bottom w:w="0" w:type="dxa"/>
              <w:right w:w="0" w:type="dxa"/>
            </w:tcMar>
            <w:vAlign w:val="center"/>
          </w:tcPr>
          <w:p w14:paraId="63E09EE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516E9FB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w:t>
            </w:r>
          </w:p>
        </w:tc>
        <w:tc>
          <w:tcPr>
            <w:tcW w:w="569" w:type="dxa"/>
            <w:shd w:val="clear" w:color="auto" w:fill="auto"/>
            <w:tcMar>
              <w:top w:w="0" w:type="dxa"/>
              <w:left w:w="0" w:type="dxa"/>
              <w:bottom w:w="0" w:type="dxa"/>
              <w:right w:w="0" w:type="dxa"/>
            </w:tcMar>
            <w:vAlign w:val="center"/>
          </w:tcPr>
          <w:p w14:paraId="53BD763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w:t>
            </w:r>
          </w:p>
        </w:tc>
        <w:tc>
          <w:tcPr>
            <w:tcW w:w="604" w:type="dxa"/>
            <w:shd w:val="clear" w:color="auto" w:fill="auto"/>
            <w:tcMar>
              <w:top w:w="0" w:type="dxa"/>
              <w:left w:w="0" w:type="dxa"/>
              <w:bottom w:w="0" w:type="dxa"/>
              <w:right w:w="0" w:type="dxa"/>
            </w:tcMar>
            <w:vAlign w:val="center"/>
          </w:tcPr>
          <w:p w14:paraId="7E5FE0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4A360F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15.3</w:t>
            </w:r>
          </w:p>
        </w:tc>
        <w:tc>
          <w:tcPr>
            <w:tcW w:w="466" w:type="dxa"/>
            <w:shd w:val="clear" w:color="auto" w:fill="auto"/>
            <w:tcMar>
              <w:top w:w="0" w:type="dxa"/>
              <w:left w:w="0" w:type="dxa"/>
              <w:bottom w:w="0" w:type="dxa"/>
              <w:right w:w="0" w:type="dxa"/>
            </w:tcMar>
            <w:vAlign w:val="center"/>
          </w:tcPr>
          <w:p w14:paraId="7EB6498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47.5</w:t>
            </w:r>
          </w:p>
        </w:tc>
        <w:tc>
          <w:tcPr>
            <w:tcW w:w="551" w:type="dxa"/>
            <w:shd w:val="clear" w:color="auto" w:fill="auto"/>
            <w:tcMar>
              <w:top w:w="0" w:type="dxa"/>
              <w:left w:w="0" w:type="dxa"/>
              <w:bottom w:w="0" w:type="dxa"/>
              <w:right w:w="0" w:type="dxa"/>
            </w:tcMar>
            <w:vAlign w:val="center"/>
          </w:tcPr>
          <w:p w14:paraId="4F4BD92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55.2</w:t>
            </w:r>
          </w:p>
        </w:tc>
        <w:tc>
          <w:tcPr>
            <w:tcW w:w="510" w:type="dxa"/>
            <w:shd w:val="clear" w:color="auto" w:fill="auto"/>
            <w:tcMar>
              <w:top w:w="0" w:type="dxa"/>
              <w:left w:w="0" w:type="dxa"/>
              <w:bottom w:w="0" w:type="dxa"/>
              <w:right w:w="0" w:type="dxa"/>
            </w:tcMar>
            <w:vAlign w:val="center"/>
          </w:tcPr>
          <w:p w14:paraId="7F1CA1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18.5</w:t>
            </w:r>
          </w:p>
        </w:tc>
        <w:tc>
          <w:tcPr>
            <w:tcW w:w="463" w:type="dxa"/>
            <w:shd w:val="clear" w:color="auto" w:fill="auto"/>
            <w:tcMar>
              <w:top w:w="0" w:type="dxa"/>
              <w:left w:w="0" w:type="dxa"/>
              <w:bottom w:w="0" w:type="dxa"/>
              <w:right w:w="0" w:type="dxa"/>
            </w:tcMar>
            <w:vAlign w:val="center"/>
          </w:tcPr>
          <w:p w14:paraId="198D9DE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691F52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2109E0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44B5F50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40" w:type="dxa"/>
            <w:shd w:val="clear" w:color="auto" w:fill="auto"/>
            <w:tcMar>
              <w:top w:w="0" w:type="dxa"/>
              <w:left w:w="0" w:type="dxa"/>
              <w:bottom w:w="0" w:type="dxa"/>
              <w:right w:w="0" w:type="dxa"/>
            </w:tcMar>
            <w:vAlign w:val="center"/>
          </w:tcPr>
          <w:p w14:paraId="3820096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0FFFE17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790250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2C73E72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1A13DAA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38793D2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50659E8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049262A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16E2A0F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671" w:type="dxa"/>
            <w:shd w:val="clear" w:color="auto" w:fill="auto"/>
            <w:tcMar>
              <w:top w:w="0" w:type="dxa"/>
              <w:left w:w="0" w:type="dxa"/>
              <w:bottom w:w="0" w:type="dxa"/>
              <w:right w:w="0" w:type="dxa"/>
            </w:tcMar>
            <w:vAlign w:val="center"/>
          </w:tcPr>
          <w:p w14:paraId="094CB73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7D28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38ABD9F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69</w:t>
            </w:r>
          </w:p>
        </w:tc>
        <w:tc>
          <w:tcPr>
            <w:tcW w:w="1059" w:type="dxa"/>
            <w:shd w:val="clear" w:color="auto" w:fill="auto"/>
            <w:tcMar>
              <w:top w:w="0" w:type="dxa"/>
              <w:left w:w="0" w:type="dxa"/>
              <w:bottom w:w="0" w:type="dxa"/>
              <w:right w:w="0" w:type="dxa"/>
            </w:tcMar>
            <w:vAlign w:val="center"/>
          </w:tcPr>
          <w:p w14:paraId="14F26F8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lang w:val="en-US" w:eastAsia="zh-CN"/>
              </w:rPr>
              <w:t>滇皖建材</w:t>
            </w:r>
            <w:r>
              <w:rPr>
                <w:rFonts w:hint="default" w:ascii="Times New Roman" w:hAnsi="Times New Roman" w:eastAsia="宋体" w:cs="Times New Roman"/>
                <w:color w:val="auto"/>
                <w:sz w:val="21"/>
                <w:szCs w:val="21"/>
              </w:rPr>
              <w:t>-声屏障</w:t>
            </w:r>
          </w:p>
        </w:tc>
        <w:tc>
          <w:tcPr>
            <w:tcW w:w="1258" w:type="dxa"/>
            <w:shd w:val="clear" w:color="auto" w:fill="auto"/>
            <w:tcMar>
              <w:top w:w="0" w:type="dxa"/>
              <w:left w:w="0" w:type="dxa"/>
              <w:bottom w:w="0" w:type="dxa"/>
              <w:right w:w="0" w:type="dxa"/>
            </w:tcMar>
            <w:vAlign w:val="center"/>
          </w:tcPr>
          <w:p w14:paraId="3D014A9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覆膜机5</w:t>
            </w:r>
          </w:p>
        </w:tc>
        <w:tc>
          <w:tcPr>
            <w:tcW w:w="619" w:type="dxa"/>
            <w:shd w:val="clear" w:color="auto" w:fill="auto"/>
            <w:tcMar>
              <w:top w:w="0" w:type="dxa"/>
              <w:left w:w="0" w:type="dxa"/>
              <w:bottom w:w="0" w:type="dxa"/>
              <w:right w:w="0" w:type="dxa"/>
            </w:tcMar>
            <w:vAlign w:val="center"/>
          </w:tcPr>
          <w:p w14:paraId="4823AC8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r>
              <w:rPr>
                <w:rFonts w:hint="eastAsia" w:cs="Times New Roman"/>
                <w:color w:val="auto"/>
                <w:sz w:val="21"/>
                <w:szCs w:val="21"/>
                <w:highlight w:val="none"/>
                <w:lang w:val="en-US" w:eastAsia="zh-CN"/>
              </w:rPr>
              <w:t>0</w:t>
            </w:r>
          </w:p>
        </w:tc>
        <w:tc>
          <w:tcPr>
            <w:tcW w:w="510" w:type="dxa"/>
            <w:vMerge w:val="continue"/>
            <w:shd w:val="clear" w:color="auto" w:fill="auto"/>
            <w:tcMar>
              <w:top w:w="0" w:type="dxa"/>
              <w:left w:w="0" w:type="dxa"/>
              <w:bottom w:w="0" w:type="dxa"/>
              <w:right w:w="0" w:type="dxa"/>
            </w:tcMar>
            <w:vAlign w:val="center"/>
          </w:tcPr>
          <w:p w14:paraId="4CE6C0D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29D937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22.4</w:t>
            </w:r>
          </w:p>
        </w:tc>
        <w:tc>
          <w:tcPr>
            <w:tcW w:w="569" w:type="dxa"/>
            <w:shd w:val="clear" w:color="auto" w:fill="auto"/>
            <w:tcMar>
              <w:top w:w="0" w:type="dxa"/>
              <w:left w:w="0" w:type="dxa"/>
              <w:bottom w:w="0" w:type="dxa"/>
              <w:right w:w="0" w:type="dxa"/>
            </w:tcMar>
            <w:vAlign w:val="center"/>
          </w:tcPr>
          <w:p w14:paraId="55220A0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0.9</w:t>
            </w:r>
          </w:p>
        </w:tc>
        <w:tc>
          <w:tcPr>
            <w:tcW w:w="604" w:type="dxa"/>
            <w:shd w:val="clear" w:color="auto" w:fill="auto"/>
            <w:tcMar>
              <w:top w:w="0" w:type="dxa"/>
              <w:left w:w="0" w:type="dxa"/>
              <w:bottom w:w="0" w:type="dxa"/>
              <w:right w:w="0" w:type="dxa"/>
            </w:tcMar>
            <w:vAlign w:val="center"/>
          </w:tcPr>
          <w:p w14:paraId="349EB7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06F9664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15.3</w:t>
            </w:r>
          </w:p>
        </w:tc>
        <w:tc>
          <w:tcPr>
            <w:tcW w:w="466" w:type="dxa"/>
            <w:shd w:val="clear" w:color="auto" w:fill="auto"/>
            <w:tcMar>
              <w:top w:w="0" w:type="dxa"/>
              <w:left w:w="0" w:type="dxa"/>
              <w:bottom w:w="0" w:type="dxa"/>
              <w:right w:w="0" w:type="dxa"/>
            </w:tcMar>
            <w:vAlign w:val="center"/>
          </w:tcPr>
          <w:p w14:paraId="3EFA25A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43.7</w:t>
            </w:r>
          </w:p>
        </w:tc>
        <w:tc>
          <w:tcPr>
            <w:tcW w:w="551" w:type="dxa"/>
            <w:shd w:val="clear" w:color="auto" w:fill="auto"/>
            <w:tcMar>
              <w:top w:w="0" w:type="dxa"/>
              <w:left w:w="0" w:type="dxa"/>
              <w:bottom w:w="0" w:type="dxa"/>
              <w:right w:w="0" w:type="dxa"/>
            </w:tcMar>
            <w:vAlign w:val="center"/>
          </w:tcPr>
          <w:p w14:paraId="0E39033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55.3</w:t>
            </w:r>
          </w:p>
        </w:tc>
        <w:tc>
          <w:tcPr>
            <w:tcW w:w="510" w:type="dxa"/>
            <w:shd w:val="clear" w:color="auto" w:fill="auto"/>
            <w:tcMar>
              <w:top w:w="0" w:type="dxa"/>
              <w:left w:w="0" w:type="dxa"/>
              <w:bottom w:w="0" w:type="dxa"/>
              <w:right w:w="0" w:type="dxa"/>
            </w:tcMar>
            <w:vAlign w:val="center"/>
          </w:tcPr>
          <w:p w14:paraId="15B343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22.3</w:t>
            </w:r>
          </w:p>
        </w:tc>
        <w:tc>
          <w:tcPr>
            <w:tcW w:w="463" w:type="dxa"/>
            <w:shd w:val="clear" w:color="auto" w:fill="auto"/>
            <w:tcMar>
              <w:top w:w="0" w:type="dxa"/>
              <w:left w:w="0" w:type="dxa"/>
              <w:bottom w:w="0" w:type="dxa"/>
              <w:right w:w="0" w:type="dxa"/>
            </w:tcMar>
            <w:vAlign w:val="center"/>
          </w:tcPr>
          <w:p w14:paraId="16B94B9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617D8D6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137163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74A83E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40" w:type="dxa"/>
            <w:shd w:val="clear" w:color="auto" w:fill="auto"/>
            <w:tcMar>
              <w:top w:w="0" w:type="dxa"/>
              <w:left w:w="0" w:type="dxa"/>
              <w:bottom w:w="0" w:type="dxa"/>
              <w:right w:w="0" w:type="dxa"/>
            </w:tcMar>
            <w:vAlign w:val="center"/>
          </w:tcPr>
          <w:p w14:paraId="2CA7A23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昼间</w:t>
            </w:r>
          </w:p>
        </w:tc>
        <w:tc>
          <w:tcPr>
            <w:tcW w:w="449" w:type="dxa"/>
            <w:shd w:val="clear" w:color="auto" w:fill="auto"/>
            <w:tcMar>
              <w:top w:w="0" w:type="dxa"/>
              <w:left w:w="0" w:type="dxa"/>
              <w:bottom w:w="0" w:type="dxa"/>
              <w:right w:w="0" w:type="dxa"/>
            </w:tcMar>
            <w:vAlign w:val="center"/>
          </w:tcPr>
          <w:p w14:paraId="6A955C8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F5DD87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2F5F401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3CB928E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33E4E13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4426C5C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0F1B8ED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4D44605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671" w:type="dxa"/>
            <w:shd w:val="clear" w:color="auto" w:fill="auto"/>
            <w:tcMar>
              <w:top w:w="0" w:type="dxa"/>
              <w:left w:w="0" w:type="dxa"/>
              <w:bottom w:w="0" w:type="dxa"/>
              <w:right w:w="0" w:type="dxa"/>
            </w:tcMar>
            <w:vAlign w:val="center"/>
          </w:tcPr>
          <w:p w14:paraId="51D2336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76AC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383527B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w:t>
            </w:r>
          </w:p>
        </w:tc>
        <w:tc>
          <w:tcPr>
            <w:tcW w:w="1059" w:type="dxa"/>
            <w:shd w:val="clear" w:color="auto" w:fill="auto"/>
            <w:tcMar>
              <w:top w:w="0" w:type="dxa"/>
              <w:left w:w="0" w:type="dxa"/>
              <w:bottom w:w="0" w:type="dxa"/>
              <w:right w:w="0" w:type="dxa"/>
            </w:tcMar>
            <w:vAlign w:val="center"/>
          </w:tcPr>
          <w:p w14:paraId="1616118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highlight w:val="none"/>
                <w:lang w:val="en-US" w:eastAsia="zh-CN"/>
              </w:rPr>
              <w:t>滇皖建材</w:t>
            </w:r>
            <w:r>
              <w:rPr>
                <w:rFonts w:hint="default" w:ascii="Times New Roman" w:hAnsi="Times New Roman" w:eastAsia="宋体" w:cs="Times New Roman"/>
                <w:color w:val="auto"/>
                <w:sz w:val="21"/>
                <w:szCs w:val="21"/>
                <w:highlight w:val="none"/>
              </w:rPr>
              <w:t>-声屏障</w:t>
            </w:r>
          </w:p>
        </w:tc>
        <w:tc>
          <w:tcPr>
            <w:tcW w:w="1258" w:type="dxa"/>
            <w:shd w:val="clear" w:color="auto" w:fill="auto"/>
            <w:tcMar>
              <w:top w:w="0" w:type="dxa"/>
              <w:left w:w="0" w:type="dxa"/>
              <w:bottom w:w="0" w:type="dxa"/>
              <w:right w:w="0" w:type="dxa"/>
            </w:tcMar>
            <w:vAlign w:val="center"/>
          </w:tcPr>
          <w:p w14:paraId="535063B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覆膜机6</w:t>
            </w:r>
          </w:p>
        </w:tc>
        <w:tc>
          <w:tcPr>
            <w:tcW w:w="619" w:type="dxa"/>
            <w:shd w:val="clear" w:color="auto" w:fill="auto"/>
            <w:tcMar>
              <w:top w:w="0" w:type="dxa"/>
              <w:left w:w="0" w:type="dxa"/>
              <w:bottom w:w="0" w:type="dxa"/>
              <w:right w:w="0" w:type="dxa"/>
            </w:tcMar>
            <w:vAlign w:val="center"/>
          </w:tcPr>
          <w:p w14:paraId="6689DF1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r>
              <w:rPr>
                <w:rFonts w:hint="eastAsia" w:cs="Times New Roman"/>
                <w:color w:val="auto"/>
                <w:sz w:val="21"/>
                <w:szCs w:val="21"/>
                <w:highlight w:val="none"/>
                <w:lang w:val="en-US" w:eastAsia="zh-CN"/>
              </w:rPr>
              <w:t>0</w:t>
            </w:r>
          </w:p>
        </w:tc>
        <w:tc>
          <w:tcPr>
            <w:tcW w:w="510" w:type="dxa"/>
            <w:vMerge w:val="continue"/>
            <w:shd w:val="clear" w:color="auto" w:fill="auto"/>
            <w:tcMar>
              <w:top w:w="0" w:type="dxa"/>
              <w:left w:w="0" w:type="dxa"/>
              <w:bottom w:w="0" w:type="dxa"/>
              <w:right w:w="0" w:type="dxa"/>
            </w:tcMar>
            <w:vAlign w:val="center"/>
          </w:tcPr>
          <w:p w14:paraId="5DAF648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110DDA4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20.3</w:t>
            </w:r>
          </w:p>
        </w:tc>
        <w:tc>
          <w:tcPr>
            <w:tcW w:w="569" w:type="dxa"/>
            <w:shd w:val="clear" w:color="auto" w:fill="auto"/>
            <w:tcMar>
              <w:top w:w="0" w:type="dxa"/>
              <w:left w:w="0" w:type="dxa"/>
              <w:bottom w:w="0" w:type="dxa"/>
              <w:right w:w="0" w:type="dxa"/>
            </w:tcMar>
            <w:vAlign w:val="center"/>
          </w:tcPr>
          <w:p w14:paraId="053A69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w:t>
            </w:r>
          </w:p>
        </w:tc>
        <w:tc>
          <w:tcPr>
            <w:tcW w:w="604" w:type="dxa"/>
            <w:shd w:val="clear" w:color="auto" w:fill="auto"/>
            <w:tcMar>
              <w:top w:w="0" w:type="dxa"/>
              <w:left w:w="0" w:type="dxa"/>
              <w:bottom w:w="0" w:type="dxa"/>
              <w:right w:w="0" w:type="dxa"/>
            </w:tcMar>
            <w:vAlign w:val="center"/>
          </w:tcPr>
          <w:p w14:paraId="18CEB69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5319B24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15.7</w:t>
            </w:r>
          </w:p>
        </w:tc>
        <w:tc>
          <w:tcPr>
            <w:tcW w:w="466" w:type="dxa"/>
            <w:shd w:val="clear" w:color="auto" w:fill="auto"/>
            <w:tcMar>
              <w:top w:w="0" w:type="dxa"/>
              <w:left w:w="0" w:type="dxa"/>
              <w:bottom w:w="0" w:type="dxa"/>
              <w:right w:w="0" w:type="dxa"/>
            </w:tcMar>
            <w:vAlign w:val="center"/>
          </w:tcPr>
          <w:p w14:paraId="297F31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39.5</w:t>
            </w:r>
          </w:p>
        </w:tc>
        <w:tc>
          <w:tcPr>
            <w:tcW w:w="551" w:type="dxa"/>
            <w:shd w:val="clear" w:color="auto" w:fill="auto"/>
            <w:tcMar>
              <w:top w:w="0" w:type="dxa"/>
              <w:left w:w="0" w:type="dxa"/>
              <w:bottom w:w="0" w:type="dxa"/>
              <w:right w:w="0" w:type="dxa"/>
            </w:tcMar>
            <w:vAlign w:val="center"/>
          </w:tcPr>
          <w:p w14:paraId="44A79BA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55.0</w:t>
            </w:r>
          </w:p>
        </w:tc>
        <w:tc>
          <w:tcPr>
            <w:tcW w:w="510" w:type="dxa"/>
            <w:shd w:val="clear" w:color="auto" w:fill="auto"/>
            <w:tcMar>
              <w:top w:w="0" w:type="dxa"/>
              <w:left w:w="0" w:type="dxa"/>
              <w:bottom w:w="0" w:type="dxa"/>
              <w:right w:w="0" w:type="dxa"/>
            </w:tcMar>
            <w:vAlign w:val="center"/>
          </w:tcPr>
          <w:p w14:paraId="3127A4B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63" w:type="dxa"/>
            <w:shd w:val="clear" w:color="auto" w:fill="auto"/>
            <w:tcMar>
              <w:top w:w="0" w:type="dxa"/>
              <w:left w:w="0" w:type="dxa"/>
              <w:bottom w:w="0" w:type="dxa"/>
              <w:right w:w="0" w:type="dxa"/>
            </w:tcMar>
            <w:vAlign w:val="center"/>
          </w:tcPr>
          <w:p w14:paraId="45748FB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1F577EB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7C278B9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44842D4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40" w:type="dxa"/>
            <w:shd w:val="clear" w:color="auto" w:fill="auto"/>
            <w:tcMar>
              <w:top w:w="0" w:type="dxa"/>
              <w:left w:w="0" w:type="dxa"/>
              <w:bottom w:w="0" w:type="dxa"/>
              <w:right w:w="0" w:type="dxa"/>
            </w:tcMar>
            <w:vAlign w:val="center"/>
          </w:tcPr>
          <w:p w14:paraId="14DF49C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无</w:t>
            </w:r>
          </w:p>
        </w:tc>
        <w:tc>
          <w:tcPr>
            <w:tcW w:w="449" w:type="dxa"/>
            <w:shd w:val="clear" w:color="auto" w:fill="auto"/>
            <w:tcMar>
              <w:top w:w="0" w:type="dxa"/>
              <w:left w:w="0" w:type="dxa"/>
              <w:bottom w:w="0" w:type="dxa"/>
              <w:right w:w="0" w:type="dxa"/>
            </w:tcMar>
            <w:vAlign w:val="center"/>
          </w:tcPr>
          <w:p w14:paraId="65A9213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F7AF6A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B76B50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5112C1F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22C37D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13F1DE4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14ADF4E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129A8F6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671" w:type="dxa"/>
            <w:shd w:val="clear" w:color="auto" w:fill="auto"/>
            <w:tcMar>
              <w:top w:w="0" w:type="dxa"/>
              <w:left w:w="0" w:type="dxa"/>
              <w:bottom w:w="0" w:type="dxa"/>
              <w:right w:w="0" w:type="dxa"/>
            </w:tcMar>
            <w:vAlign w:val="center"/>
          </w:tcPr>
          <w:p w14:paraId="3C753A2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113B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5DBB6BC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71</w:t>
            </w:r>
          </w:p>
        </w:tc>
        <w:tc>
          <w:tcPr>
            <w:tcW w:w="1059" w:type="dxa"/>
            <w:shd w:val="clear" w:color="auto" w:fill="auto"/>
            <w:tcMar>
              <w:top w:w="0" w:type="dxa"/>
              <w:left w:w="0" w:type="dxa"/>
              <w:bottom w:w="0" w:type="dxa"/>
              <w:right w:w="0" w:type="dxa"/>
            </w:tcMar>
            <w:vAlign w:val="center"/>
          </w:tcPr>
          <w:p w14:paraId="46FD536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highlight w:val="none"/>
                <w:lang w:val="en-US" w:eastAsia="zh-CN"/>
              </w:rPr>
              <w:t>滇皖建材</w:t>
            </w:r>
            <w:r>
              <w:rPr>
                <w:rFonts w:hint="default" w:ascii="Times New Roman" w:hAnsi="Times New Roman" w:eastAsia="宋体" w:cs="Times New Roman"/>
                <w:color w:val="auto"/>
                <w:sz w:val="21"/>
                <w:szCs w:val="21"/>
                <w:highlight w:val="none"/>
              </w:rPr>
              <w:t>-声屏障</w:t>
            </w:r>
          </w:p>
        </w:tc>
        <w:tc>
          <w:tcPr>
            <w:tcW w:w="1258" w:type="dxa"/>
            <w:shd w:val="clear" w:color="auto" w:fill="auto"/>
            <w:tcMar>
              <w:top w:w="0" w:type="dxa"/>
              <w:left w:w="0" w:type="dxa"/>
              <w:bottom w:w="0" w:type="dxa"/>
              <w:right w:w="0" w:type="dxa"/>
            </w:tcMar>
            <w:vAlign w:val="center"/>
          </w:tcPr>
          <w:p w14:paraId="117130D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覆膜机7</w:t>
            </w:r>
          </w:p>
        </w:tc>
        <w:tc>
          <w:tcPr>
            <w:tcW w:w="619" w:type="dxa"/>
            <w:shd w:val="clear" w:color="auto" w:fill="auto"/>
            <w:tcMar>
              <w:top w:w="0" w:type="dxa"/>
              <w:left w:w="0" w:type="dxa"/>
              <w:bottom w:w="0" w:type="dxa"/>
              <w:right w:w="0" w:type="dxa"/>
            </w:tcMar>
            <w:vAlign w:val="center"/>
          </w:tcPr>
          <w:p w14:paraId="3D387D8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r>
              <w:rPr>
                <w:rFonts w:hint="eastAsia" w:cs="Times New Roman"/>
                <w:color w:val="auto"/>
                <w:sz w:val="21"/>
                <w:szCs w:val="21"/>
                <w:highlight w:val="none"/>
                <w:lang w:val="en-US" w:eastAsia="zh-CN"/>
              </w:rPr>
              <w:t>0</w:t>
            </w:r>
          </w:p>
        </w:tc>
        <w:tc>
          <w:tcPr>
            <w:tcW w:w="510" w:type="dxa"/>
            <w:vMerge w:val="continue"/>
            <w:shd w:val="clear" w:color="auto" w:fill="auto"/>
            <w:tcMar>
              <w:top w:w="0" w:type="dxa"/>
              <w:left w:w="0" w:type="dxa"/>
              <w:bottom w:w="0" w:type="dxa"/>
              <w:right w:w="0" w:type="dxa"/>
            </w:tcMar>
            <w:vAlign w:val="center"/>
          </w:tcPr>
          <w:p w14:paraId="2532108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0C809F8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18.6</w:t>
            </w:r>
          </w:p>
        </w:tc>
        <w:tc>
          <w:tcPr>
            <w:tcW w:w="569" w:type="dxa"/>
            <w:shd w:val="clear" w:color="auto" w:fill="auto"/>
            <w:tcMar>
              <w:top w:w="0" w:type="dxa"/>
              <w:left w:w="0" w:type="dxa"/>
              <w:bottom w:w="0" w:type="dxa"/>
              <w:right w:w="0" w:type="dxa"/>
            </w:tcMar>
            <w:vAlign w:val="center"/>
          </w:tcPr>
          <w:p w14:paraId="1D43F0E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-6.9</w:t>
            </w:r>
          </w:p>
        </w:tc>
        <w:tc>
          <w:tcPr>
            <w:tcW w:w="604" w:type="dxa"/>
            <w:shd w:val="clear" w:color="auto" w:fill="auto"/>
            <w:tcMar>
              <w:top w:w="0" w:type="dxa"/>
              <w:left w:w="0" w:type="dxa"/>
              <w:bottom w:w="0" w:type="dxa"/>
              <w:right w:w="0" w:type="dxa"/>
            </w:tcMar>
            <w:vAlign w:val="center"/>
          </w:tcPr>
          <w:p w14:paraId="029A849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15DADD6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15.5</w:t>
            </w:r>
          </w:p>
        </w:tc>
        <w:tc>
          <w:tcPr>
            <w:tcW w:w="466" w:type="dxa"/>
            <w:shd w:val="clear" w:color="auto" w:fill="auto"/>
            <w:tcMar>
              <w:top w:w="0" w:type="dxa"/>
              <w:left w:w="0" w:type="dxa"/>
              <w:bottom w:w="0" w:type="dxa"/>
              <w:right w:w="0" w:type="dxa"/>
            </w:tcMar>
            <w:vAlign w:val="center"/>
          </w:tcPr>
          <w:p w14:paraId="7BC3ECF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35.0</w:t>
            </w:r>
          </w:p>
        </w:tc>
        <w:tc>
          <w:tcPr>
            <w:tcW w:w="551" w:type="dxa"/>
            <w:shd w:val="clear" w:color="auto" w:fill="auto"/>
            <w:tcMar>
              <w:top w:w="0" w:type="dxa"/>
              <w:left w:w="0" w:type="dxa"/>
              <w:bottom w:w="0" w:type="dxa"/>
              <w:right w:w="0" w:type="dxa"/>
            </w:tcMar>
            <w:vAlign w:val="center"/>
          </w:tcPr>
          <w:p w14:paraId="244202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55.4</w:t>
            </w:r>
          </w:p>
        </w:tc>
        <w:tc>
          <w:tcPr>
            <w:tcW w:w="510" w:type="dxa"/>
            <w:shd w:val="clear" w:color="auto" w:fill="auto"/>
            <w:tcMar>
              <w:top w:w="0" w:type="dxa"/>
              <w:left w:w="0" w:type="dxa"/>
              <w:bottom w:w="0" w:type="dxa"/>
              <w:right w:w="0" w:type="dxa"/>
            </w:tcMar>
            <w:vAlign w:val="center"/>
          </w:tcPr>
          <w:p w14:paraId="2091C94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31.0</w:t>
            </w:r>
          </w:p>
        </w:tc>
        <w:tc>
          <w:tcPr>
            <w:tcW w:w="463" w:type="dxa"/>
            <w:shd w:val="clear" w:color="auto" w:fill="auto"/>
            <w:tcMar>
              <w:top w:w="0" w:type="dxa"/>
              <w:left w:w="0" w:type="dxa"/>
              <w:bottom w:w="0" w:type="dxa"/>
              <w:right w:w="0" w:type="dxa"/>
            </w:tcMar>
            <w:vAlign w:val="center"/>
          </w:tcPr>
          <w:p w14:paraId="3992F49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684C40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3B7E189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0A294E6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40" w:type="dxa"/>
            <w:shd w:val="clear" w:color="auto" w:fill="auto"/>
            <w:tcMar>
              <w:top w:w="0" w:type="dxa"/>
              <w:left w:w="0" w:type="dxa"/>
              <w:bottom w:w="0" w:type="dxa"/>
              <w:right w:w="0" w:type="dxa"/>
            </w:tcMar>
            <w:vAlign w:val="center"/>
          </w:tcPr>
          <w:p w14:paraId="5CFF518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无</w:t>
            </w:r>
          </w:p>
        </w:tc>
        <w:tc>
          <w:tcPr>
            <w:tcW w:w="449" w:type="dxa"/>
            <w:shd w:val="clear" w:color="auto" w:fill="auto"/>
            <w:tcMar>
              <w:top w:w="0" w:type="dxa"/>
              <w:left w:w="0" w:type="dxa"/>
              <w:bottom w:w="0" w:type="dxa"/>
              <w:right w:w="0" w:type="dxa"/>
            </w:tcMar>
            <w:vAlign w:val="center"/>
          </w:tcPr>
          <w:p w14:paraId="7D500D1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3AC8CA7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D1642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4B7219D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6618794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14F5E2D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3AF533C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24E569D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671" w:type="dxa"/>
            <w:shd w:val="clear" w:color="auto" w:fill="auto"/>
            <w:tcMar>
              <w:top w:w="0" w:type="dxa"/>
              <w:left w:w="0" w:type="dxa"/>
              <w:bottom w:w="0" w:type="dxa"/>
              <w:right w:w="0" w:type="dxa"/>
            </w:tcMar>
            <w:vAlign w:val="center"/>
          </w:tcPr>
          <w:p w14:paraId="3A58C47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5358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2B5A285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w:t>
            </w:r>
          </w:p>
        </w:tc>
        <w:tc>
          <w:tcPr>
            <w:tcW w:w="1059" w:type="dxa"/>
            <w:shd w:val="clear" w:color="auto" w:fill="auto"/>
            <w:tcMar>
              <w:top w:w="0" w:type="dxa"/>
              <w:left w:w="0" w:type="dxa"/>
              <w:bottom w:w="0" w:type="dxa"/>
              <w:right w:w="0" w:type="dxa"/>
            </w:tcMar>
            <w:vAlign w:val="center"/>
          </w:tcPr>
          <w:p w14:paraId="0B6F70E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highlight w:val="none"/>
                <w:lang w:val="en-US" w:eastAsia="zh-CN"/>
              </w:rPr>
              <w:t>滇皖建材</w:t>
            </w:r>
            <w:r>
              <w:rPr>
                <w:rFonts w:hint="default" w:ascii="Times New Roman" w:hAnsi="Times New Roman" w:eastAsia="宋体" w:cs="Times New Roman"/>
                <w:color w:val="auto"/>
                <w:sz w:val="21"/>
                <w:szCs w:val="21"/>
                <w:highlight w:val="none"/>
              </w:rPr>
              <w:t>-声屏障</w:t>
            </w:r>
          </w:p>
        </w:tc>
        <w:tc>
          <w:tcPr>
            <w:tcW w:w="1258" w:type="dxa"/>
            <w:shd w:val="clear" w:color="auto" w:fill="auto"/>
            <w:tcMar>
              <w:top w:w="0" w:type="dxa"/>
              <w:left w:w="0" w:type="dxa"/>
              <w:bottom w:w="0" w:type="dxa"/>
              <w:right w:w="0" w:type="dxa"/>
            </w:tcMar>
            <w:vAlign w:val="center"/>
          </w:tcPr>
          <w:p w14:paraId="46D4670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覆膜机8</w:t>
            </w:r>
          </w:p>
        </w:tc>
        <w:tc>
          <w:tcPr>
            <w:tcW w:w="619" w:type="dxa"/>
            <w:shd w:val="clear" w:color="auto" w:fill="auto"/>
            <w:tcMar>
              <w:top w:w="0" w:type="dxa"/>
              <w:left w:w="0" w:type="dxa"/>
              <w:bottom w:w="0" w:type="dxa"/>
              <w:right w:w="0" w:type="dxa"/>
            </w:tcMar>
            <w:vAlign w:val="center"/>
          </w:tcPr>
          <w:p w14:paraId="5CC0E48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r>
              <w:rPr>
                <w:rFonts w:hint="eastAsia" w:cs="Times New Roman"/>
                <w:color w:val="auto"/>
                <w:sz w:val="21"/>
                <w:szCs w:val="21"/>
                <w:highlight w:val="none"/>
                <w:lang w:val="en-US" w:eastAsia="zh-CN"/>
              </w:rPr>
              <w:t>0</w:t>
            </w:r>
          </w:p>
        </w:tc>
        <w:tc>
          <w:tcPr>
            <w:tcW w:w="510" w:type="dxa"/>
            <w:vMerge w:val="continue"/>
            <w:shd w:val="clear" w:color="auto" w:fill="auto"/>
            <w:tcMar>
              <w:top w:w="0" w:type="dxa"/>
              <w:left w:w="0" w:type="dxa"/>
              <w:bottom w:w="0" w:type="dxa"/>
              <w:right w:w="0" w:type="dxa"/>
            </w:tcMar>
            <w:vAlign w:val="center"/>
          </w:tcPr>
          <w:p w14:paraId="2EB16FA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141AE2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17.1</w:t>
            </w:r>
          </w:p>
        </w:tc>
        <w:tc>
          <w:tcPr>
            <w:tcW w:w="569" w:type="dxa"/>
            <w:shd w:val="clear" w:color="auto" w:fill="auto"/>
            <w:tcMar>
              <w:top w:w="0" w:type="dxa"/>
              <w:left w:w="0" w:type="dxa"/>
              <w:bottom w:w="0" w:type="dxa"/>
              <w:right w:w="0" w:type="dxa"/>
            </w:tcMar>
            <w:vAlign w:val="center"/>
          </w:tcPr>
          <w:p w14:paraId="5A9CACC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604" w:type="dxa"/>
            <w:shd w:val="clear" w:color="auto" w:fill="auto"/>
            <w:tcMar>
              <w:top w:w="0" w:type="dxa"/>
              <w:left w:w="0" w:type="dxa"/>
              <w:bottom w:w="0" w:type="dxa"/>
              <w:right w:w="0" w:type="dxa"/>
            </w:tcMar>
            <w:vAlign w:val="center"/>
          </w:tcPr>
          <w:p w14:paraId="493CB1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2C4108E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w:t>
            </w:r>
          </w:p>
        </w:tc>
        <w:tc>
          <w:tcPr>
            <w:tcW w:w="466" w:type="dxa"/>
            <w:shd w:val="clear" w:color="auto" w:fill="auto"/>
            <w:tcMar>
              <w:top w:w="0" w:type="dxa"/>
              <w:left w:w="0" w:type="dxa"/>
              <w:bottom w:w="0" w:type="dxa"/>
              <w:right w:w="0" w:type="dxa"/>
            </w:tcMar>
            <w:vAlign w:val="center"/>
          </w:tcPr>
          <w:p w14:paraId="2040F3E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30.7</w:t>
            </w:r>
          </w:p>
        </w:tc>
        <w:tc>
          <w:tcPr>
            <w:tcW w:w="551" w:type="dxa"/>
            <w:shd w:val="clear" w:color="auto" w:fill="auto"/>
            <w:tcMar>
              <w:top w:w="0" w:type="dxa"/>
              <w:left w:w="0" w:type="dxa"/>
              <w:bottom w:w="0" w:type="dxa"/>
              <w:right w:w="0" w:type="dxa"/>
            </w:tcMar>
            <w:vAlign w:val="center"/>
          </w:tcPr>
          <w:p w14:paraId="275A1F4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55.9</w:t>
            </w:r>
          </w:p>
        </w:tc>
        <w:tc>
          <w:tcPr>
            <w:tcW w:w="510" w:type="dxa"/>
            <w:shd w:val="clear" w:color="auto" w:fill="auto"/>
            <w:tcMar>
              <w:top w:w="0" w:type="dxa"/>
              <w:left w:w="0" w:type="dxa"/>
              <w:bottom w:w="0" w:type="dxa"/>
              <w:right w:w="0" w:type="dxa"/>
            </w:tcMar>
            <w:vAlign w:val="center"/>
          </w:tcPr>
          <w:p w14:paraId="640C9C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35.4</w:t>
            </w:r>
          </w:p>
        </w:tc>
        <w:tc>
          <w:tcPr>
            <w:tcW w:w="463" w:type="dxa"/>
            <w:shd w:val="clear" w:color="auto" w:fill="auto"/>
            <w:tcMar>
              <w:top w:w="0" w:type="dxa"/>
              <w:left w:w="0" w:type="dxa"/>
              <w:bottom w:w="0" w:type="dxa"/>
              <w:right w:w="0" w:type="dxa"/>
            </w:tcMar>
            <w:vAlign w:val="center"/>
          </w:tcPr>
          <w:p w14:paraId="7DDCFB0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0E35E6C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6B8149C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184126F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40" w:type="dxa"/>
            <w:shd w:val="clear" w:color="auto" w:fill="auto"/>
            <w:tcMar>
              <w:top w:w="0" w:type="dxa"/>
              <w:left w:w="0" w:type="dxa"/>
              <w:bottom w:w="0" w:type="dxa"/>
              <w:right w:w="0" w:type="dxa"/>
            </w:tcMar>
            <w:vAlign w:val="center"/>
          </w:tcPr>
          <w:p w14:paraId="520B50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无</w:t>
            </w:r>
          </w:p>
        </w:tc>
        <w:tc>
          <w:tcPr>
            <w:tcW w:w="449" w:type="dxa"/>
            <w:shd w:val="clear" w:color="auto" w:fill="auto"/>
            <w:tcMar>
              <w:top w:w="0" w:type="dxa"/>
              <w:left w:w="0" w:type="dxa"/>
              <w:bottom w:w="0" w:type="dxa"/>
              <w:right w:w="0" w:type="dxa"/>
            </w:tcMar>
            <w:vAlign w:val="center"/>
          </w:tcPr>
          <w:p w14:paraId="56412A1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3A8118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7AC4D90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0BEF0CD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255B85A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756217F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76FCCAA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2037211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671" w:type="dxa"/>
            <w:shd w:val="clear" w:color="auto" w:fill="auto"/>
            <w:tcMar>
              <w:top w:w="0" w:type="dxa"/>
              <w:left w:w="0" w:type="dxa"/>
              <w:bottom w:w="0" w:type="dxa"/>
              <w:right w:w="0" w:type="dxa"/>
            </w:tcMar>
            <w:vAlign w:val="center"/>
          </w:tcPr>
          <w:p w14:paraId="77AB16A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3D4B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4D28CBF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73</w:t>
            </w:r>
          </w:p>
        </w:tc>
        <w:tc>
          <w:tcPr>
            <w:tcW w:w="1059" w:type="dxa"/>
            <w:shd w:val="clear" w:color="auto" w:fill="auto"/>
            <w:tcMar>
              <w:top w:w="0" w:type="dxa"/>
              <w:left w:w="0" w:type="dxa"/>
              <w:bottom w:w="0" w:type="dxa"/>
              <w:right w:w="0" w:type="dxa"/>
            </w:tcMar>
            <w:vAlign w:val="center"/>
          </w:tcPr>
          <w:p w14:paraId="3D9192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highlight w:val="none"/>
                <w:lang w:val="en-US" w:eastAsia="zh-CN"/>
              </w:rPr>
              <w:t>滇皖建材</w:t>
            </w:r>
            <w:r>
              <w:rPr>
                <w:rFonts w:hint="default" w:ascii="Times New Roman" w:hAnsi="Times New Roman" w:eastAsia="宋体" w:cs="Times New Roman"/>
                <w:color w:val="auto"/>
                <w:sz w:val="21"/>
                <w:szCs w:val="21"/>
                <w:highlight w:val="none"/>
              </w:rPr>
              <w:t>-声屏障</w:t>
            </w:r>
          </w:p>
        </w:tc>
        <w:tc>
          <w:tcPr>
            <w:tcW w:w="1258" w:type="dxa"/>
            <w:shd w:val="clear" w:color="auto" w:fill="auto"/>
            <w:tcMar>
              <w:top w:w="0" w:type="dxa"/>
              <w:left w:w="0" w:type="dxa"/>
              <w:bottom w:w="0" w:type="dxa"/>
              <w:right w:w="0" w:type="dxa"/>
            </w:tcMar>
            <w:vAlign w:val="center"/>
          </w:tcPr>
          <w:p w14:paraId="2BB5A88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覆膜机9</w:t>
            </w:r>
          </w:p>
        </w:tc>
        <w:tc>
          <w:tcPr>
            <w:tcW w:w="619" w:type="dxa"/>
            <w:shd w:val="clear" w:color="auto" w:fill="auto"/>
            <w:tcMar>
              <w:top w:w="0" w:type="dxa"/>
              <w:left w:w="0" w:type="dxa"/>
              <w:bottom w:w="0" w:type="dxa"/>
              <w:right w:w="0" w:type="dxa"/>
            </w:tcMar>
            <w:vAlign w:val="center"/>
          </w:tcPr>
          <w:p w14:paraId="3798B42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r>
              <w:rPr>
                <w:rFonts w:hint="eastAsia" w:cs="Times New Roman"/>
                <w:color w:val="auto"/>
                <w:sz w:val="21"/>
                <w:szCs w:val="21"/>
                <w:highlight w:val="none"/>
                <w:lang w:val="en-US" w:eastAsia="zh-CN"/>
              </w:rPr>
              <w:t>0</w:t>
            </w:r>
          </w:p>
        </w:tc>
        <w:tc>
          <w:tcPr>
            <w:tcW w:w="510" w:type="dxa"/>
            <w:vMerge w:val="continue"/>
            <w:shd w:val="clear" w:color="auto" w:fill="auto"/>
            <w:tcMar>
              <w:top w:w="0" w:type="dxa"/>
              <w:left w:w="0" w:type="dxa"/>
              <w:bottom w:w="0" w:type="dxa"/>
              <w:right w:w="0" w:type="dxa"/>
            </w:tcMar>
            <w:vAlign w:val="center"/>
          </w:tcPr>
          <w:p w14:paraId="5F3F111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2FFC13D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15.5</w:t>
            </w:r>
          </w:p>
        </w:tc>
        <w:tc>
          <w:tcPr>
            <w:tcW w:w="569" w:type="dxa"/>
            <w:shd w:val="clear" w:color="auto" w:fill="auto"/>
            <w:tcMar>
              <w:top w:w="0" w:type="dxa"/>
              <w:left w:w="0" w:type="dxa"/>
              <w:bottom w:w="0" w:type="dxa"/>
              <w:right w:w="0" w:type="dxa"/>
            </w:tcMar>
            <w:vAlign w:val="center"/>
          </w:tcPr>
          <w:p w14:paraId="0E84E2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-15.4</w:t>
            </w:r>
          </w:p>
        </w:tc>
        <w:tc>
          <w:tcPr>
            <w:tcW w:w="604" w:type="dxa"/>
            <w:shd w:val="clear" w:color="auto" w:fill="auto"/>
            <w:tcMar>
              <w:top w:w="0" w:type="dxa"/>
              <w:left w:w="0" w:type="dxa"/>
              <w:bottom w:w="0" w:type="dxa"/>
              <w:right w:w="0" w:type="dxa"/>
            </w:tcMar>
            <w:vAlign w:val="center"/>
          </w:tcPr>
          <w:p w14:paraId="3699042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476F764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14.7</w:t>
            </w:r>
          </w:p>
        </w:tc>
        <w:tc>
          <w:tcPr>
            <w:tcW w:w="466" w:type="dxa"/>
            <w:shd w:val="clear" w:color="auto" w:fill="auto"/>
            <w:tcMar>
              <w:top w:w="0" w:type="dxa"/>
              <w:left w:w="0" w:type="dxa"/>
              <w:bottom w:w="0" w:type="dxa"/>
              <w:right w:w="0" w:type="dxa"/>
            </w:tcMar>
            <w:vAlign w:val="center"/>
          </w:tcPr>
          <w:p w14:paraId="02A7855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26.0</w:t>
            </w:r>
          </w:p>
        </w:tc>
        <w:tc>
          <w:tcPr>
            <w:tcW w:w="551" w:type="dxa"/>
            <w:shd w:val="clear" w:color="auto" w:fill="auto"/>
            <w:tcMar>
              <w:top w:w="0" w:type="dxa"/>
              <w:left w:w="0" w:type="dxa"/>
              <w:bottom w:w="0" w:type="dxa"/>
              <w:right w:w="0" w:type="dxa"/>
            </w:tcMar>
            <w:vAlign w:val="center"/>
          </w:tcPr>
          <w:p w14:paraId="22196FD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56.4</w:t>
            </w:r>
          </w:p>
        </w:tc>
        <w:tc>
          <w:tcPr>
            <w:tcW w:w="510" w:type="dxa"/>
            <w:shd w:val="clear" w:color="auto" w:fill="auto"/>
            <w:tcMar>
              <w:top w:w="0" w:type="dxa"/>
              <w:left w:w="0" w:type="dxa"/>
              <w:bottom w:w="0" w:type="dxa"/>
              <w:right w:w="0" w:type="dxa"/>
            </w:tcMar>
            <w:vAlign w:val="center"/>
          </w:tcPr>
          <w:p w14:paraId="231D23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40.0</w:t>
            </w:r>
          </w:p>
        </w:tc>
        <w:tc>
          <w:tcPr>
            <w:tcW w:w="463" w:type="dxa"/>
            <w:shd w:val="clear" w:color="auto" w:fill="auto"/>
            <w:tcMar>
              <w:top w:w="0" w:type="dxa"/>
              <w:left w:w="0" w:type="dxa"/>
              <w:bottom w:w="0" w:type="dxa"/>
              <w:right w:w="0" w:type="dxa"/>
            </w:tcMar>
            <w:vAlign w:val="center"/>
          </w:tcPr>
          <w:p w14:paraId="363610C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2406C34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367622F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5CBE6F7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40" w:type="dxa"/>
            <w:shd w:val="clear" w:color="auto" w:fill="auto"/>
            <w:tcMar>
              <w:top w:w="0" w:type="dxa"/>
              <w:left w:w="0" w:type="dxa"/>
              <w:bottom w:w="0" w:type="dxa"/>
              <w:right w:w="0" w:type="dxa"/>
            </w:tcMar>
            <w:vAlign w:val="center"/>
          </w:tcPr>
          <w:p w14:paraId="6666F6A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无</w:t>
            </w:r>
          </w:p>
        </w:tc>
        <w:tc>
          <w:tcPr>
            <w:tcW w:w="449" w:type="dxa"/>
            <w:shd w:val="clear" w:color="auto" w:fill="auto"/>
            <w:tcMar>
              <w:top w:w="0" w:type="dxa"/>
              <w:left w:w="0" w:type="dxa"/>
              <w:bottom w:w="0" w:type="dxa"/>
              <w:right w:w="0" w:type="dxa"/>
            </w:tcMar>
            <w:vAlign w:val="center"/>
          </w:tcPr>
          <w:p w14:paraId="799A63F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53B02FB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1BFD10A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054CB98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419DD45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06DE84F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7331A33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1CC0D3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671" w:type="dxa"/>
            <w:shd w:val="clear" w:color="auto" w:fill="auto"/>
            <w:tcMar>
              <w:top w:w="0" w:type="dxa"/>
              <w:left w:w="0" w:type="dxa"/>
              <w:bottom w:w="0" w:type="dxa"/>
              <w:right w:w="0" w:type="dxa"/>
            </w:tcMar>
            <w:vAlign w:val="center"/>
          </w:tcPr>
          <w:p w14:paraId="6821474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5451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3971C50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74</w:t>
            </w:r>
          </w:p>
        </w:tc>
        <w:tc>
          <w:tcPr>
            <w:tcW w:w="1059" w:type="dxa"/>
            <w:shd w:val="clear" w:color="auto" w:fill="auto"/>
            <w:tcMar>
              <w:top w:w="0" w:type="dxa"/>
              <w:left w:w="0" w:type="dxa"/>
              <w:bottom w:w="0" w:type="dxa"/>
              <w:right w:w="0" w:type="dxa"/>
            </w:tcMar>
            <w:vAlign w:val="center"/>
          </w:tcPr>
          <w:p w14:paraId="1CB72E7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highlight w:val="none"/>
                <w:lang w:val="en-US" w:eastAsia="zh-CN"/>
              </w:rPr>
              <w:t>滇皖建材</w:t>
            </w:r>
            <w:r>
              <w:rPr>
                <w:rFonts w:hint="default" w:ascii="Times New Roman" w:hAnsi="Times New Roman" w:eastAsia="宋体" w:cs="Times New Roman"/>
                <w:color w:val="auto"/>
                <w:sz w:val="21"/>
                <w:szCs w:val="21"/>
                <w:highlight w:val="none"/>
              </w:rPr>
              <w:t>-声屏障</w:t>
            </w:r>
          </w:p>
        </w:tc>
        <w:tc>
          <w:tcPr>
            <w:tcW w:w="1258" w:type="dxa"/>
            <w:shd w:val="clear" w:color="auto" w:fill="auto"/>
            <w:tcMar>
              <w:top w:w="0" w:type="dxa"/>
              <w:left w:w="0" w:type="dxa"/>
              <w:bottom w:w="0" w:type="dxa"/>
              <w:right w:w="0" w:type="dxa"/>
            </w:tcMar>
            <w:vAlign w:val="center"/>
          </w:tcPr>
          <w:p w14:paraId="0BC19BF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覆膜机10</w:t>
            </w:r>
          </w:p>
        </w:tc>
        <w:tc>
          <w:tcPr>
            <w:tcW w:w="619" w:type="dxa"/>
            <w:shd w:val="clear" w:color="auto" w:fill="auto"/>
            <w:tcMar>
              <w:top w:w="0" w:type="dxa"/>
              <w:left w:w="0" w:type="dxa"/>
              <w:bottom w:w="0" w:type="dxa"/>
              <w:right w:w="0" w:type="dxa"/>
            </w:tcMar>
            <w:vAlign w:val="center"/>
          </w:tcPr>
          <w:p w14:paraId="0F77F4F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r>
              <w:rPr>
                <w:rFonts w:hint="eastAsia" w:cs="Times New Roman"/>
                <w:color w:val="auto"/>
                <w:sz w:val="21"/>
                <w:szCs w:val="21"/>
                <w:highlight w:val="none"/>
                <w:lang w:val="en-US" w:eastAsia="zh-CN"/>
              </w:rPr>
              <w:t>0</w:t>
            </w:r>
          </w:p>
        </w:tc>
        <w:tc>
          <w:tcPr>
            <w:tcW w:w="510" w:type="dxa"/>
            <w:vMerge w:val="continue"/>
            <w:shd w:val="clear" w:color="auto" w:fill="auto"/>
            <w:tcMar>
              <w:top w:w="0" w:type="dxa"/>
              <w:left w:w="0" w:type="dxa"/>
              <w:bottom w:w="0" w:type="dxa"/>
              <w:right w:w="0" w:type="dxa"/>
            </w:tcMar>
            <w:vAlign w:val="center"/>
          </w:tcPr>
          <w:p w14:paraId="1E0EED9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454EC0C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569" w:type="dxa"/>
            <w:shd w:val="clear" w:color="auto" w:fill="auto"/>
            <w:tcMar>
              <w:top w:w="0" w:type="dxa"/>
              <w:left w:w="0" w:type="dxa"/>
              <w:bottom w:w="0" w:type="dxa"/>
              <w:right w:w="0" w:type="dxa"/>
            </w:tcMar>
            <w:vAlign w:val="center"/>
          </w:tcPr>
          <w:p w14:paraId="259D4E8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-19.4</w:t>
            </w:r>
          </w:p>
        </w:tc>
        <w:tc>
          <w:tcPr>
            <w:tcW w:w="604" w:type="dxa"/>
            <w:shd w:val="clear" w:color="auto" w:fill="auto"/>
            <w:tcMar>
              <w:top w:w="0" w:type="dxa"/>
              <w:left w:w="0" w:type="dxa"/>
              <w:bottom w:w="0" w:type="dxa"/>
              <w:right w:w="0" w:type="dxa"/>
            </w:tcMar>
            <w:vAlign w:val="center"/>
          </w:tcPr>
          <w:p w14:paraId="4794F0C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66D3E45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14.4</w:t>
            </w:r>
          </w:p>
        </w:tc>
        <w:tc>
          <w:tcPr>
            <w:tcW w:w="466" w:type="dxa"/>
            <w:shd w:val="clear" w:color="auto" w:fill="auto"/>
            <w:tcMar>
              <w:top w:w="0" w:type="dxa"/>
              <w:left w:w="0" w:type="dxa"/>
              <w:bottom w:w="0" w:type="dxa"/>
              <w:right w:w="0" w:type="dxa"/>
            </w:tcMar>
            <w:vAlign w:val="center"/>
          </w:tcPr>
          <w:p w14:paraId="13F6E5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21.8</w:t>
            </w:r>
          </w:p>
        </w:tc>
        <w:tc>
          <w:tcPr>
            <w:tcW w:w="551" w:type="dxa"/>
            <w:shd w:val="clear" w:color="auto" w:fill="auto"/>
            <w:tcMar>
              <w:top w:w="0" w:type="dxa"/>
              <w:left w:w="0" w:type="dxa"/>
              <w:bottom w:w="0" w:type="dxa"/>
              <w:right w:w="0" w:type="dxa"/>
            </w:tcMar>
            <w:vAlign w:val="center"/>
          </w:tcPr>
          <w:p w14:paraId="5A18B34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56.8</w:t>
            </w:r>
          </w:p>
        </w:tc>
        <w:tc>
          <w:tcPr>
            <w:tcW w:w="510" w:type="dxa"/>
            <w:shd w:val="clear" w:color="auto" w:fill="auto"/>
            <w:tcMar>
              <w:top w:w="0" w:type="dxa"/>
              <w:left w:w="0" w:type="dxa"/>
              <w:bottom w:w="0" w:type="dxa"/>
              <w:right w:w="0" w:type="dxa"/>
            </w:tcMar>
            <w:vAlign w:val="center"/>
          </w:tcPr>
          <w:p w14:paraId="0199379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44.3</w:t>
            </w:r>
          </w:p>
        </w:tc>
        <w:tc>
          <w:tcPr>
            <w:tcW w:w="463" w:type="dxa"/>
            <w:shd w:val="clear" w:color="auto" w:fill="auto"/>
            <w:tcMar>
              <w:top w:w="0" w:type="dxa"/>
              <w:left w:w="0" w:type="dxa"/>
              <w:bottom w:w="0" w:type="dxa"/>
              <w:right w:w="0" w:type="dxa"/>
            </w:tcMar>
            <w:vAlign w:val="center"/>
          </w:tcPr>
          <w:p w14:paraId="077210F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7C1F562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4A29E75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510" w:type="dxa"/>
            <w:shd w:val="clear" w:color="auto" w:fill="auto"/>
            <w:tcMar>
              <w:top w:w="0" w:type="dxa"/>
              <w:left w:w="0" w:type="dxa"/>
              <w:bottom w:w="0" w:type="dxa"/>
              <w:right w:w="0" w:type="dxa"/>
            </w:tcMar>
            <w:vAlign w:val="center"/>
          </w:tcPr>
          <w:p w14:paraId="438FC08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40" w:type="dxa"/>
            <w:shd w:val="clear" w:color="auto" w:fill="auto"/>
            <w:tcMar>
              <w:top w:w="0" w:type="dxa"/>
              <w:left w:w="0" w:type="dxa"/>
              <w:bottom w:w="0" w:type="dxa"/>
              <w:right w:w="0" w:type="dxa"/>
            </w:tcMar>
            <w:vAlign w:val="center"/>
          </w:tcPr>
          <w:p w14:paraId="218A6C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无</w:t>
            </w:r>
          </w:p>
        </w:tc>
        <w:tc>
          <w:tcPr>
            <w:tcW w:w="449" w:type="dxa"/>
            <w:shd w:val="clear" w:color="auto" w:fill="auto"/>
            <w:tcMar>
              <w:top w:w="0" w:type="dxa"/>
              <w:left w:w="0" w:type="dxa"/>
              <w:bottom w:w="0" w:type="dxa"/>
              <w:right w:w="0" w:type="dxa"/>
            </w:tcMar>
            <w:vAlign w:val="center"/>
          </w:tcPr>
          <w:p w14:paraId="04A676E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209089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02DE93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6A13D49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6C9780C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71D9CF5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46577A2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557" w:type="dxa"/>
            <w:shd w:val="clear" w:color="auto" w:fill="auto"/>
            <w:tcMar>
              <w:top w:w="0" w:type="dxa"/>
              <w:left w:w="0" w:type="dxa"/>
              <w:bottom w:w="0" w:type="dxa"/>
              <w:right w:w="0" w:type="dxa"/>
            </w:tcMar>
            <w:vAlign w:val="center"/>
          </w:tcPr>
          <w:p w14:paraId="491D20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671" w:type="dxa"/>
            <w:shd w:val="clear" w:color="auto" w:fill="auto"/>
            <w:tcMar>
              <w:top w:w="0" w:type="dxa"/>
              <w:left w:w="0" w:type="dxa"/>
              <w:bottom w:w="0" w:type="dxa"/>
              <w:right w:w="0" w:type="dxa"/>
            </w:tcMar>
            <w:vAlign w:val="center"/>
          </w:tcPr>
          <w:p w14:paraId="07BC403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1F2A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3983CEF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75</w:t>
            </w:r>
          </w:p>
        </w:tc>
        <w:tc>
          <w:tcPr>
            <w:tcW w:w="1059" w:type="dxa"/>
            <w:shd w:val="clear" w:color="auto" w:fill="auto"/>
            <w:tcMar>
              <w:top w:w="0" w:type="dxa"/>
              <w:left w:w="0" w:type="dxa"/>
              <w:bottom w:w="0" w:type="dxa"/>
              <w:right w:w="0" w:type="dxa"/>
            </w:tcMar>
            <w:vAlign w:val="center"/>
          </w:tcPr>
          <w:p w14:paraId="72E51D0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highlight w:val="none"/>
                <w:lang w:val="en-US" w:eastAsia="zh-CN"/>
              </w:rPr>
              <w:t>滇皖建材</w:t>
            </w:r>
            <w:r>
              <w:rPr>
                <w:rFonts w:hint="default" w:ascii="Times New Roman" w:hAnsi="Times New Roman" w:eastAsia="宋体" w:cs="Times New Roman"/>
                <w:color w:val="auto"/>
                <w:sz w:val="21"/>
                <w:szCs w:val="21"/>
                <w:highlight w:val="none"/>
              </w:rPr>
              <w:t>-声屏障</w:t>
            </w:r>
          </w:p>
        </w:tc>
        <w:tc>
          <w:tcPr>
            <w:tcW w:w="1258" w:type="dxa"/>
            <w:shd w:val="clear" w:color="auto" w:fill="auto"/>
            <w:tcMar>
              <w:top w:w="0" w:type="dxa"/>
              <w:left w:w="0" w:type="dxa"/>
              <w:bottom w:w="0" w:type="dxa"/>
              <w:right w:w="0" w:type="dxa"/>
            </w:tcMar>
            <w:vAlign w:val="center"/>
          </w:tcPr>
          <w:p w14:paraId="3D1BAD3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空压机1</w:t>
            </w:r>
          </w:p>
        </w:tc>
        <w:tc>
          <w:tcPr>
            <w:tcW w:w="619" w:type="dxa"/>
            <w:shd w:val="clear" w:color="auto" w:fill="auto"/>
            <w:tcMar>
              <w:top w:w="0" w:type="dxa"/>
              <w:left w:w="0" w:type="dxa"/>
              <w:bottom w:w="0" w:type="dxa"/>
              <w:right w:w="0" w:type="dxa"/>
            </w:tcMar>
            <w:vAlign w:val="center"/>
          </w:tcPr>
          <w:p w14:paraId="5699B2F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0</w:t>
            </w:r>
          </w:p>
        </w:tc>
        <w:tc>
          <w:tcPr>
            <w:tcW w:w="510" w:type="dxa"/>
            <w:vMerge w:val="continue"/>
            <w:shd w:val="clear" w:color="auto" w:fill="auto"/>
            <w:tcMar>
              <w:top w:w="0" w:type="dxa"/>
              <w:left w:w="0" w:type="dxa"/>
              <w:bottom w:w="0" w:type="dxa"/>
              <w:right w:w="0" w:type="dxa"/>
            </w:tcMar>
            <w:vAlign w:val="center"/>
          </w:tcPr>
          <w:p w14:paraId="4569886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4504264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-27.7</w:t>
            </w:r>
          </w:p>
        </w:tc>
        <w:tc>
          <w:tcPr>
            <w:tcW w:w="569" w:type="dxa"/>
            <w:shd w:val="clear" w:color="auto" w:fill="auto"/>
            <w:tcMar>
              <w:top w:w="0" w:type="dxa"/>
              <w:left w:w="0" w:type="dxa"/>
              <w:bottom w:w="0" w:type="dxa"/>
              <w:right w:w="0" w:type="dxa"/>
            </w:tcMar>
            <w:vAlign w:val="center"/>
          </w:tcPr>
          <w:p w14:paraId="0562D2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-6.7</w:t>
            </w:r>
          </w:p>
        </w:tc>
        <w:tc>
          <w:tcPr>
            <w:tcW w:w="604" w:type="dxa"/>
            <w:shd w:val="clear" w:color="auto" w:fill="auto"/>
            <w:tcMar>
              <w:top w:w="0" w:type="dxa"/>
              <w:left w:w="0" w:type="dxa"/>
              <w:bottom w:w="0" w:type="dxa"/>
              <w:right w:w="0" w:type="dxa"/>
            </w:tcMar>
            <w:vAlign w:val="center"/>
          </w:tcPr>
          <w:p w14:paraId="154D3D5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43FF89F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57.6</w:t>
            </w:r>
          </w:p>
        </w:tc>
        <w:tc>
          <w:tcPr>
            <w:tcW w:w="466" w:type="dxa"/>
            <w:shd w:val="clear" w:color="auto" w:fill="auto"/>
            <w:tcMar>
              <w:top w:w="0" w:type="dxa"/>
              <w:left w:w="0" w:type="dxa"/>
              <w:bottom w:w="0" w:type="dxa"/>
              <w:right w:w="0" w:type="dxa"/>
            </w:tcMar>
            <w:vAlign w:val="center"/>
          </w:tcPr>
          <w:p w14:paraId="4863FC2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14.6</w:t>
            </w:r>
          </w:p>
        </w:tc>
        <w:tc>
          <w:tcPr>
            <w:tcW w:w="551" w:type="dxa"/>
            <w:shd w:val="clear" w:color="auto" w:fill="auto"/>
            <w:tcMar>
              <w:top w:w="0" w:type="dxa"/>
              <w:left w:w="0" w:type="dxa"/>
              <w:bottom w:w="0" w:type="dxa"/>
              <w:right w:w="0" w:type="dxa"/>
            </w:tcMar>
            <w:vAlign w:val="center"/>
          </w:tcPr>
          <w:p w14:paraId="3E0E4F2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13.8</w:t>
            </w:r>
          </w:p>
        </w:tc>
        <w:tc>
          <w:tcPr>
            <w:tcW w:w="510" w:type="dxa"/>
            <w:shd w:val="clear" w:color="auto" w:fill="auto"/>
            <w:tcMar>
              <w:top w:w="0" w:type="dxa"/>
              <w:left w:w="0" w:type="dxa"/>
              <w:bottom w:w="0" w:type="dxa"/>
              <w:right w:w="0" w:type="dxa"/>
            </w:tcMar>
            <w:vAlign w:val="center"/>
          </w:tcPr>
          <w:p w14:paraId="360F8A4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50.5</w:t>
            </w:r>
          </w:p>
        </w:tc>
        <w:tc>
          <w:tcPr>
            <w:tcW w:w="463" w:type="dxa"/>
            <w:shd w:val="clear" w:color="auto" w:fill="auto"/>
            <w:tcMar>
              <w:top w:w="0" w:type="dxa"/>
              <w:left w:w="0" w:type="dxa"/>
              <w:bottom w:w="0" w:type="dxa"/>
              <w:right w:w="0" w:type="dxa"/>
            </w:tcMar>
            <w:vAlign w:val="center"/>
          </w:tcPr>
          <w:p w14:paraId="1FB4458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72.8</w:t>
            </w:r>
          </w:p>
        </w:tc>
        <w:tc>
          <w:tcPr>
            <w:tcW w:w="463" w:type="dxa"/>
            <w:shd w:val="clear" w:color="auto" w:fill="auto"/>
            <w:tcMar>
              <w:top w:w="0" w:type="dxa"/>
              <w:left w:w="0" w:type="dxa"/>
              <w:bottom w:w="0" w:type="dxa"/>
              <w:right w:w="0" w:type="dxa"/>
            </w:tcMar>
            <w:vAlign w:val="center"/>
          </w:tcPr>
          <w:p w14:paraId="0CCD3BB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72.9</w:t>
            </w:r>
          </w:p>
        </w:tc>
        <w:tc>
          <w:tcPr>
            <w:tcW w:w="463" w:type="dxa"/>
            <w:shd w:val="clear" w:color="auto" w:fill="auto"/>
            <w:tcMar>
              <w:top w:w="0" w:type="dxa"/>
              <w:left w:w="0" w:type="dxa"/>
              <w:bottom w:w="0" w:type="dxa"/>
              <w:right w:w="0" w:type="dxa"/>
            </w:tcMar>
            <w:vAlign w:val="center"/>
          </w:tcPr>
          <w:p w14:paraId="3AE0DF9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72.9</w:t>
            </w:r>
          </w:p>
        </w:tc>
        <w:tc>
          <w:tcPr>
            <w:tcW w:w="510" w:type="dxa"/>
            <w:shd w:val="clear" w:color="auto" w:fill="auto"/>
            <w:tcMar>
              <w:top w:w="0" w:type="dxa"/>
              <w:left w:w="0" w:type="dxa"/>
              <w:bottom w:w="0" w:type="dxa"/>
              <w:right w:w="0" w:type="dxa"/>
            </w:tcMar>
            <w:vAlign w:val="center"/>
          </w:tcPr>
          <w:p w14:paraId="46A4897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72.8</w:t>
            </w:r>
          </w:p>
        </w:tc>
        <w:tc>
          <w:tcPr>
            <w:tcW w:w="440" w:type="dxa"/>
            <w:shd w:val="clear" w:color="auto" w:fill="auto"/>
            <w:tcMar>
              <w:top w:w="0" w:type="dxa"/>
              <w:left w:w="0" w:type="dxa"/>
              <w:bottom w:w="0" w:type="dxa"/>
              <w:right w:w="0" w:type="dxa"/>
            </w:tcMar>
            <w:vAlign w:val="center"/>
          </w:tcPr>
          <w:p w14:paraId="455A64A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无</w:t>
            </w:r>
          </w:p>
        </w:tc>
        <w:tc>
          <w:tcPr>
            <w:tcW w:w="449" w:type="dxa"/>
            <w:shd w:val="clear" w:color="auto" w:fill="auto"/>
            <w:tcMar>
              <w:top w:w="0" w:type="dxa"/>
              <w:left w:w="0" w:type="dxa"/>
              <w:bottom w:w="0" w:type="dxa"/>
              <w:right w:w="0" w:type="dxa"/>
            </w:tcMar>
            <w:vAlign w:val="center"/>
          </w:tcPr>
          <w:p w14:paraId="7C36276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209565B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1F2C7C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6048849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1CABEC9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46.3</w:t>
            </w:r>
          </w:p>
        </w:tc>
        <w:tc>
          <w:tcPr>
            <w:tcW w:w="481" w:type="dxa"/>
            <w:shd w:val="clear" w:color="auto" w:fill="auto"/>
            <w:tcMar>
              <w:top w:w="0" w:type="dxa"/>
              <w:left w:w="0" w:type="dxa"/>
              <w:bottom w:w="0" w:type="dxa"/>
              <w:right w:w="0" w:type="dxa"/>
            </w:tcMar>
            <w:vAlign w:val="center"/>
          </w:tcPr>
          <w:p w14:paraId="09EAB92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46.4</w:t>
            </w:r>
          </w:p>
        </w:tc>
        <w:tc>
          <w:tcPr>
            <w:tcW w:w="481" w:type="dxa"/>
            <w:shd w:val="clear" w:color="auto" w:fill="auto"/>
            <w:tcMar>
              <w:top w:w="0" w:type="dxa"/>
              <w:left w:w="0" w:type="dxa"/>
              <w:bottom w:w="0" w:type="dxa"/>
              <w:right w:w="0" w:type="dxa"/>
            </w:tcMar>
            <w:vAlign w:val="center"/>
          </w:tcPr>
          <w:p w14:paraId="7CAD3EE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46.4</w:t>
            </w:r>
          </w:p>
        </w:tc>
        <w:tc>
          <w:tcPr>
            <w:tcW w:w="557" w:type="dxa"/>
            <w:shd w:val="clear" w:color="auto" w:fill="auto"/>
            <w:tcMar>
              <w:top w:w="0" w:type="dxa"/>
              <w:left w:w="0" w:type="dxa"/>
              <w:bottom w:w="0" w:type="dxa"/>
              <w:right w:w="0" w:type="dxa"/>
            </w:tcMar>
            <w:vAlign w:val="center"/>
          </w:tcPr>
          <w:p w14:paraId="4A7EE3D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46.3</w:t>
            </w:r>
          </w:p>
        </w:tc>
        <w:tc>
          <w:tcPr>
            <w:tcW w:w="671" w:type="dxa"/>
            <w:shd w:val="clear" w:color="auto" w:fill="auto"/>
            <w:tcMar>
              <w:top w:w="0" w:type="dxa"/>
              <w:left w:w="0" w:type="dxa"/>
              <w:bottom w:w="0" w:type="dxa"/>
              <w:right w:w="0" w:type="dxa"/>
            </w:tcMar>
            <w:vAlign w:val="center"/>
          </w:tcPr>
          <w:p w14:paraId="5B4B2D5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31B0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4710EB3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76</w:t>
            </w:r>
          </w:p>
        </w:tc>
        <w:tc>
          <w:tcPr>
            <w:tcW w:w="1059" w:type="dxa"/>
            <w:shd w:val="clear" w:color="auto" w:fill="auto"/>
            <w:tcMar>
              <w:top w:w="0" w:type="dxa"/>
              <w:left w:w="0" w:type="dxa"/>
              <w:bottom w:w="0" w:type="dxa"/>
              <w:right w:w="0" w:type="dxa"/>
            </w:tcMar>
            <w:vAlign w:val="center"/>
          </w:tcPr>
          <w:p w14:paraId="32A7EF3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highlight w:val="none"/>
                <w:lang w:val="en-US" w:eastAsia="zh-CN"/>
              </w:rPr>
              <w:t>滇皖建材</w:t>
            </w:r>
            <w:r>
              <w:rPr>
                <w:rFonts w:hint="default" w:ascii="Times New Roman" w:hAnsi="Times New Roman" w:eastAsia="宋体" w:cs="Times New Roman"/>
                <w:color w:val="auto"/>
                <w:sz w:val="21"/>
                <w:szCs w:val="21"/>
                <w:highlight w:val="none"/>
              </w:rPr>
              <w:t>-声屏障</w:t>
            </w:r>
          </w:p>
        </w:tc>
        <w:tc>
          <w:tcPr>
            <w:tcW w:w="1258" w:type="dxa"/>
            <w:shd w:val="clear" w:color="auto" w:fill="auto"/>
            <w:tcMar>
              <w:top w:w="0" w:type="dxa"/>
              <w:left w:w="0" w:type="dxa"/>
              <w:bottom w:w="0" w:type="dxa"/>
              <w:right w:w="0" w:type="dxa"/>
            </w:tcMar>
            <w:vAlign w:val="center"/>
          </w:tcPr>
          <w:p w14:paraId="2A72CF1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空压机2</w:t>
            </w:r>
          </w:p>
        </w:tc>
        <w:tc>
          <w:tcPr>
            <w:tcW w:w="619" w:type="dxa"/>
            <w:shd w:val="clear" w:color="auto" w:fill="auto"/>
            <w:tcMar>
              <w:top w:w="0" w:type="dxa"/>
              <w:left w:w="0" w:type="dxa"/>
              <w:bottom w:w="0" w:type="dxa"/>
              <w:right w:w="0" w:type="dxa"/>
            </w:tcMar>
            <w:vAlign w:val="center"/>
          </w:tcPr>
          <w:p w14:paraId="5388BAD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0</w:t>
            </w:r>
          </w:p>
        </w:tc>
        <w:tc>
          <w:tcPr>
            <w:tcW w:w="510" w:type="dxa"/>
            <w:vMerge w:val="continue"/>
            <w:shd w:val="clear" w:color="auto" w:fill="auto"/>
            <w:tcMar>
              <w:top w:w="0" w:type="dxa"/>
              <w:left w:w="0" w:type="dxa"/>
              <w:bottom w:w="0" w:type="dxa"/>
              <w:right w:w="0" w:type="dxa"/>
            </w:tcMar>
            <w:vAlign w:val="center"/>
          </w:tcPr>
          <w:p w14:paraId="7534516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74BDAF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-30.8</w:t>
            </w:r>
          </w:p>
        </w:tc>
        <w:tc>
          <w:tcPr>
            <w:tcW w:w="569" w:type="dxa"/>
            <w:shd w:val="clear" w:color="auto" w:fill="auto"/>
            <w:tcMar>
              <w:top w:w="0" w:type="dxa"/>
              <w:left w:w="0" w:type="dxa"/>
              <w:bottom w:w="0" w:type="dxa"/>
              <w:right w:w="0" w:type="dxa"/>
            </w:tcMar>
            <w:vAlign w:val="center"/>
          </w:tcPr>
          <w:p w14:paraId="4557148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-12.7</w:t>
            </w:r>
          </w:p>
        </w:tc>
        <w:tc>
          <w:tcPr>
            <w:tcW w:w="604" w:type="dxa"/>
            <w:shd w:val="clear" w:color="auto" w:fill="auto"/>
            <w:tcMar>
              <w:top w:w="0" w:type="dxa"/>
              <w:left w:w="0" w:type="dxa"/>
              <w:bottom w:w="0" w:type="dxa"/>
              <w:right w:w="0" w:type="dxa"/>
            </w:tcMar>
            <w:vAlign w:val="center"/>
          </w:tcPr>
          <w:p w14:paraId="7907F48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6504B92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57.9</w:t>
            </w:r>
          </w:p>
        </w:tc>
        <w:tc>
          <w:tcPr>
            <w:tcW w:w="466" w:type="dxa"/>
            <w:shd w:val="clear" w:color="auto" w:fill="auto"/>
            <w:tcMar>
              <w:top w:w="0" w:type="dxa"/>
              <w:left w:w="0" w:type="dxa"/>
              <w:bottom w:w="0" w:type="dxa"/>
              <w:right w:w="0" w:type="dxa"/>
            </w:tcMar>
            <w:vAlign w:val="center"/>
          </w:tcPr>
          <w:p w14:paraId="4E585A8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7.8</w:t>
            </w:r>
          </w:p>
        </w:tc>
        <w:tc>
          <w:tcPr>
            <w:tcW w:w="551" w:type="dxa"/>
            <w:shd w:val="clear" w:color="auto" w:fill="auto"/>
            <w:tcMar>
              <w:top w:w="0" w:type="dxa"/>
              <w:left w:w="0" w:type="dxa"/>
              <w:bottom w:w="0" w:type="dxa"/>
              <w:right w:w="0" w:type="dxa"/>
            </w:tcMar>
            <w:vAlign w:val="center"/>
          </w:tcPr>
          <w:p w14:paraId="27EE40C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13.7</w:t>
            </w:r>
          </w:p>
        </w:tc>
        <w:tc>
          <w:tcPr>
            <w:tcW w:w="510" w:type="dxa"/>
            <w:shd w:val="clear" w:color="auto" w:fill="auto"/>
            <w:tcMar>
              <w:top w:w="0" w:type="dxa"/>
              <w:left w:w="0" w:type="dxa"/>
              <w:bottom w:w="0" w:type="dxa"/>
              <w:right w:w="0" w:type="dxa"/>
            </w:tcMar>
            <w:vAlign w:val="center"/>
          </w:tcPr>
          <w:p w14:paraId="54F073F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57.2</w:t>
            </w:r>
          </w:p>
        </w:tc>
        <w:tc>
          <w:tcPr>
            <w:tcW w:w="463" w:type="dxa"/>
            <w:shd w:val="clear" w:color="auto" w:fill="auto"/>
            <w:tcMar>
              <w:top w:w="0" w:type="dxa"/>
              <w:left w:w="0" w:type="dxa"/>
              <w:bottom w:w="0" w:type="dxa"/>
              <w:right w:w="0" w:type="dxa"/>
            </w:tcMar>
            <w:vAlign w:val="center"/>
          </w:tcPr>
          <w:p w14:paraId="1D8F916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72.8</w:t>
            </w:r>
          </w:p>
        </w:tc>
        <w:tc>
          <w:tcPr>
            <w:tcW w:w="463" w:type="dxa"/>
            <w:shd w:val="clear" w:color="auto" w:fill="auto"/>
            <w:tcMar>
              <w:top w:w="0" w:type="dxa"/>
              <w:left w:w="0" w:type="dxa"/>
              <w:bottom w:w="0" w:type="dxa"/>
              <w:right w:w="0" w:type="dxa"/>
            </w:tcMar>
            <w:vAlign w:val="center"/>
          </w:tcPr>
          <w:p w14:paraId="791B225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73.1</w:t>
            </w:r>
          </w:p>
        </w:tc>
        <w:tc>
          <w:tcPr>
            <w:tcW w:w="463" w:type="dxa"/>
            <w:shd w:val="clear" w:color="auto" w:fill="auto"/>
            <w:tcMar>
              <w:top w:w="0" w:type="dxa"/>
              <w:left w:w="0" w:type="dxa"/>
              <w:bottom w:w="0" w:type="dxa"/>
              <w:right w:w="0" w:type="dxa"/>
            </w:tcMar>
            <w:vAlign w:val="center"/>
          </w:tcPr>
          <w:p w14:paraId="2DE2ABE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72.9</w:t>
            </w:r>
          </w:p>
        </w:tc>
        <w:tc>
          <w:tcPr>
            <w:tcW w:w="510" w:type="dxa"/>
            <w:shd w:val="clear" w:color="auto" w:fill="auto"/>
            <w:tcMar>
              <w:top w:w="0" w:type="dxa"/>
              <w:left w:w="0" w:type="dxa"/>
              <w:bottom w:w="0" w:type="dxa"/>
              <w:right w:w="0" w:type="dxa"/>
            </w:tcMar>
            <w:vAlign w:val="center"/>
          </w:tcPr>
          <w:p w14:paraId="40C2A67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72.8</w:t>
            </w:r>
          </w:p>
        </w:tc>
        <w:tc>
          <w:tcPr>
            <w:tcW w:w="440" w:type="dxa"/>
            <w:shd w:val="clear" w:color="auto" w:fill="auto"/>
            <w:tcMar>
              <w:top w:w="0" w:type="dxa"/>
              <w:left w:w="0" w:type="dxa"/>
              <w:bottom w:w="0" w:type="dxa"/>
              <w:right w:w="0" w:type="dxa"/>
            </w:tcMar>
            <w:vAlign w:val="center"/>
          </w:tcPr>
          <w:p w14:paraId="688286E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无</w:t>
            </w:r>
          </w:p>
        </w:tc>
        <w:tc>
          <w:tcPr>
            <w:tcW w:w="449" w:type="dxa"/>
            <w:shd w:val="clear" w:color="auto" w:fill="auto"/>
            <w:tcMar>
              <w:top w:w="0" w:type="dxa"/>
              <w:left w:w="0" w:type="dxa"/>
              <w:bottom w:w="0" w:type="dxa"/>
              <w:right w:w="0" w:type="dxa"/>
            </w:tcMar>
            <w:vAlign w:val="center"/>
          </w:tcPr>
          <w:p w14:paraId="78FF87A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01746E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041F014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0F1CF61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2E455D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46.3</w:t>
            </w:r>
          </w:p>
        </w:tc>
        <w:tc>
          <w:tcPr>
            <w:tcW w:w="481" w:type="dxa"/>
            <w:shd w:val="clear" w:color="auto" w:fill="auto"/>
            <w:tcMar>
              <w:top w:w="0" w:type="dxa"/>
              <w:left w:w="0" w:type="dxa"/>
              <w:bottom w:w="0" w:type="dxa"/>
              <w:right w:w="0" w:type="dxa"/>
            </w:tcMar>
            <w:vAlign w:val="center"/>
          </w:tcPr>
          <w:p w14:paraId="1344B25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46.6</w:t>
            </w:r>
          </w:p>
        </w:tc>
        <w:tc>
          <w:tcPr>
            <w:tcW w:w="481" w:type="dxa"/>
            <w:shd w:val="clear" w:color="auto" w:fill="auto"/>
            <w:tcMar>
              <w:top w:w="0" w:type="dxa"/>
              <w:left w:w="0" w:type="dxa"/>
              <w:bottom w:w="0" w:type="dxa"/>
              <w:right w:w="0" w:type="dxa"/>
            </w:tcMar>
            <w:vAlign w:val="center"/>
          </w:tcPr>
          <w:p w14:paraId="7126F94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46.4</w:t>
            </w:r>
          </w:p>
        </w:tc>
        <w:tc>
          <w:tcPr>
            <w:tcW w:w="557" w:type="dxa"/>
            <w:shd w:val="clear" w:color="auto" w:fill="auto"/>
            <w:tcMar>
              <w:top w:w="0" w:type="dxa"/>
              <w:left w:w="0" w:type="dxa"/>
              <w:bottom w:w="0" w:type="dxa"/>
              <w:right w:w="0" w:type="dxa"/>
            </w:tcMar>
            <w:vAlign w:val="center"/>
          </w:tcPr>
          <w:p w14:paraId="6C086F2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46.3</w:t>
            </w:r>
          </w:p>
        </w:tc>
        <w:tc>
          <w:tcPr>
            <w:tcW w:w="671" w:type="dxa"/>
            <w:shd w:val="clear" w:color="auto" w:fill="auto"/>
            <w:tcMar>
              <w:top w:w="0" w:type="dxa"/>
              <w:left w:w="0" w:type="dxa"/>
              <w:bottom w:w="0" w:type="dxa"/>
              <w:right w:w="0" w:type="dxa"/>
            </w:tcMar>
            <w:vAlign w:val="center"/>
          </w:tcPr>
          <w:p w14:paraId="1B402B6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tr w14:paraId="75E0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48" w:type="dxa"/>
            <w:shd w:val="clear" w:color="auto" w:fill="auto"/>
            <w:tcMar>
              <w:top w:w="0" w:type="dxa"/>
              <w:left w:w="0" w:type="dxa"/>
              <w:bottom w:w="0" w:type="dxa"/>
              <w:right w:w="0" w:type="dxa"/>
            </w:tcMar>
            <w:vAlign w:val="center"/>
          </w:tcPr>
          <w:p w14:paraId="50DB4C6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77</w:t>
            </w:r>
          </w:p>
        </w:tc>
        <w:tc>
          <w:tcPr>
            <w:tcW w:w="1059" w:type="dxa"/>
            <w:shd w:val="clear" w:color="auto" w:fill="auto"/>
            <w:tcMar>
              <w:top w:w="0" w:type="dxa"/>
              <w:left w:w="0" w:type="dxa"/>
              <w:bottom w:w="0" w:type="dxa"/>
              <w:right w:w="0" w:type="dxa"/>
            </w:tcMar>
            <w:vAlign w:val="center"/>
          </w:tcPr>
          <w:p w14:paraId="67C0C80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eastAsia" w:ascii="Arial" w:hAnsi="Arial" w:eastAsia="宋体" w:cs="Arial"/>
                <w:color w:val="auto"/>
                <w:sz w:val="20"/>
                <w:highlight w:val="none"/>
                <w:lang w:val="en-US" w:eastAsia="zh-CN"/>
              </w:rPr>
              <w:t>滇皖建材</w:t>
            </w:r>
            <w:r>
              <w:rPr>
                <w:rFonts w:hint="default" w:ascii="Times New Roman" w:hAnsi="Times New Roman" w:eastAsia="宋体" w:cs="Times New Roman"/>
                <w:color w:val="auto"/>
                <w:sz w:val="21"/>
                <w:szCs w:val="21"/>
                <w:highlight w:val="none"/>
              </w:rPr>
              <w:t>-声屏障</w:t>
            </w:r>
          </w:p>
        </w:tc>
        <w:tc>
          <w:tcPr>
            <w:tcW w:w="1258" w:type="dxa"/>
            <w:shd w:val="clear" w:color="auto" w:fill="auto"/>
            <w:tcMar>
              <w:top w:w="0" w:type="dxa"/>
              <w:left w:w="0" w:type="dxa"/>
              <w:bottom w:w="0" w:type="dxa"/>
              <w:right w:w="0" w:type="dxa"/>
            </w:tcMar>
            <w:vAlign w:val="center"/>
          </w:tcPr>
          <w:p w14:paraId="49C813DB">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冷却塔</w:t>
            </w:r>
          </w:p>
        </w:tc>
        <w:tc>
          <w:tcPr>
            <w:tcW w:w="619" w:type="dxa"/>
            <w:shd w:val="clear" w:color="auto" w:fill="auto"/>
            <w:tcMar>
              <w:top w:w="0" w:type="dxa"/>
              <w:left w:w="0" w:type="dxa"/>
              <w:bottom w:w="0" w:type="dxa"/>
              <w:right w:w="0" w:type="dxa"/>
            </w:tcMar>
            <w:vAlign w:val="center"/>
          </w:tcPr>
          <w:p w14:paraId="38EAD16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w:t>
            </w:r>
          </w:p>
        </w:tc>
        <w:tc>
          <w:tcPr>
            <w:tcW w:w="510" w:type="dxa"/>
            <w:vMerge w:val="continue"/>
            <w:shd w:val="clear" w:color="auto" w:fill="auto"/>
            <w:tcMar>
              <w:top w:w="0" w:type="dxa"/>
              <w:left w:w="0" w:type="dxa"/>
              <w:bottom w:w="0" w:type="dxa"/>
              <w:right w:w="0" w:type="dxa"/>
            </w:tcMar>
            <w:vAlign w:val="center"/>
          </w:tcPr>
          <w:p w14:paraId="46D11DC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tc>
        <w:tc>
          <w:tcPr>
            <w:tcW w:w="569" w:type="dxa"/>
            <w:shd w:val="clear" w:color="auto" w:fill="auto"/>
            <w:tcMar>
              <w:top w:w="0" w:type="dxa"/>
              <w:left w:w="0" w:type="dxa"/>
              <w:bottom w:w="0" w:type="dxa"/>
              <w:right w:w="0" w:type="dxa"/>
            </w:tcMar>
            <w:vAlign w:val="center"/>
          </w:tcPr>
          <w:p w14:paraId="422BF3C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-35.3</w:t>
            </w:r>
          </w:p>
        </w:tc>
        <w:tc>
          <w:tcPr>
            <w:tcW w:w="569" w:type="dxa"/>
            <w:shd w:val="clear" w:color="auto" w:fill="auto"/>
            <w:tcMar>
              <w:top w:w="0" w:type="dxa"/>
              <w:left w:w="0" w:type="dxa"/>
              <w:bottom w:w="0" w:type="dxa"/>
              <w:right w:w="0" w:type="dxa"/>
            </w:tcMar>
            <w:vAlign w:val="center"/>
          </w:tcPr>
          <w:p w14:paraId="1A6D5D3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-4.8</w:t>
            </w:r>
          </w:p>
        </w:tc>
        <w:tc>
          <w:tcPr>
            <w:tcW w:w="604" w:type="dxa"/>
            <w:shd w:val="clear" w:color="auto" w:fill="auto"/>
            <w:tcMar>
              <w:top w:w="0" w:type="dxa"/>
              <w:left w:w="0" w:type="dxa"/>
              <w:bottom w:w="0" w:type="dxa"/>
              <w:right w:w="0" w:type="dxa"/>
            </w:tcMar>
            <w:vAlign w:val="center"/>
          </w:tcPr>
          <w:p w14:paraId="06D6440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51" w:type="dxa"/>
            <w:shd w:val="clear" w:color="auto" w:fill="auto"/>
            <w:tcMar>
              <w:top w:w="0" w:type="dxa"/>
              <w:left w:w="0" w:type="dxa"/>
              <w:bottom w:w="0" w:type="dxa"/>
              <w:right w:w="0" w:type="dxa"/>
            </w:tcMar>
            <w:vAlign w:val="center"/>
          </w:tcPr>
          <w:p w14:paraId="066AD03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65.3</w:t>
            </w:r>
          </w:p>
        </w:tc>
        <w:tc>
          <w:tcPr>
            <w:tcW w:w="466" w:type="dxa"/>
            <w:shd w:val="clear" w:color="auto" w:fill="auto"/>
            <w:tcMar>
              <w:top w:w="0" w:type="dxa"/>
              <w:left w:w="0" w:type="dxa"/>
              <w:bottom w:w="0" w:type="dxa"/>
              <w:right w:w="0" w:type="dxa"/>
            </w:tcMar>
            <w:vAlign w:val="center"/>
          </w:tcPr>
          <w:p w14:paraId="3E5E07A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12.9</w:t>
            </w:r>
          </w:p>
        </w:tc>
        <w:tc>
          <w:tcPr>
            <w:tcW w:w="551" w:type="dxa"/>
            <w:shd w:val="clear" w:color="auto" w:fill="auto"/>
            <w:tcMar>
              <w:top w:w="0" w:type="dxa"/>
              <w:left w:w="0" w:type="dxa"/>
              <w:bottom w:w="0" w:type="dxa"/>
              <w:right w:w="0" w:type="dxa"/>
            </w:tcMar>
            <w:vAlign w:val="center"/>
          </w:tcPr>
          <w:p w14:paraId="069CCDF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w:t>
            </w:r>
          </w:p>
        </w:tc>
        <w:tc>
          <w:tcPr>
            <w:tcW w:w="510" w:type="dxa"/>
            <w:shd w:val="clear" w:color="auto" w:fill="auto"/>
            <w:tcMar>
              <w:top w:w="0" w:type="dxa"/>
              <w:left w:w="0" w:type="dxa"/>
              <w:bottom w:w="0" w:type="dxa"/>
              <w:right w:w="0" w:type="dxa"/>
            </w:tcMar>
            <w:vAlign w:val="center"/>
          </w:tcPr>
          <w:p w14:paraId="6ED1DDD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52.0</w:t>
            </w:r>
          </w:p>
        </w:tc>
        <w:tc>
          <w:tcPr>
            <w:tcW w:w="463" w:type="dxa"/>
            <w:shd w:val="clear" w:color="auto" w:fill="auto"/>
            <w:tcMar>
              <w:top w:w="0" w:type="dxa"/>
              <w:left w:w="0" w:type="dxa"/>
              <w:bottom w:w="0" w:type="dxa"/>
              <w:right w:w="0" w:type="dxa"/>
            </w:tcMar>
            <w:vAlign w:val="center"/>
          </w:tcPr>
          <w:p w14:paraId="0ACD79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63" w:type="dxa"/>
            <w:shd w:val="clear" w:color="auto" w:fill="auto"/>
            <w:tcMar>
              <w:top w:w="0" w:type="dxa"/>
              <w:left w:w="0" w:type="dxa"/>
              <w:bottom w:w="0" w:type="dxa"/>
              <w:right w:w="0" w:type="dxa"/>
            </w:tcMar>
            <w:vAlign w:val="center"/>
          </w:tcPr>
          <w:p w14:paraId="4987B8F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62.9</w:t>
            </w:r>
          </w:p>
        </w:tc>
        <w:tc>
          <w:tcPr>
            <w:tcW w:w="463" w:type="dxa"/>
            <w:shd w:val="clear" w:color="auto" w:fill="auto"/>
            <w:tcMar>
              <w:top w:w="0" w:type="dxa"/>
              <w:left w:w="0" w:type="dxa"/>
              <w:bottom w:w="0" w:type="dxa"/>
              <w:right w:w="0" w:type="dxa"/>
            </w:tcMar>
            <w:vAlign w:val="center"/>
          </w:tcPr>
          <w:p w14:paraId="379905A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63.3</w:t>
            </w:r>
          </w:p>
        </w:tc>
        <w:tc>
          <w:tcPr>
            <w:tcW w:w="510" w:type="dxa"/>
            <w:shd w:val="clear" w:color="auto" w:fill="auto"/>
            <w:tcMar>
              <w:top w:w="0" w:type="dxa"/>
              <w:left w:w="0" w:type="dxa"/>
              <w:bottom w:w="0" w:type="dxa"/>
              <w:right w:w="0" w:type="dxa"/>
            </w:tcMar>
            <w:vAlign w:val="center"/>
          </w:tcPr>
          <w:p w14:paraId="4D87FB6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62.8</w:t>
            </w:r>
          </w:p>
        </w:tc>
        <w:tc>
          <w:tcPr>
            <w:tcW w:w="440" w:type="dxa"/>
            <w:shd w:val="clear" w:color="auto" w:fill="auto"/>
            <w:tcMar>
              <w:top w:w="0" w:type="dxa"/>
              <w:left w:w="0" w:type="dxa"/>
              <w:bottom w:w="0" w:type="dxa"/>
              <w:right w:w="0" w:type="dxa"/>
            </w:tcMar>
            <w:vAlign w:val="center"/>
          </w:tcPr>
          <w:p w14:paraId="5E23121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无</w:t>
            </w:r>
          </w:p>
        </w:tc>
        <w:tc>
          <w:tcPr>
            <w:tcW w:w="449" w:type="dxa"/>
            <w:shd w:val="clear" w:color="auto" w:fill="auto"/>
            <w:tcMar>
              <w:top w:w="0" w:type="dxa"/>
              <w:left w:w="0" w:type="dxa"/>
              <w:bottom w:w="0" w:type="dxa"/>
              <w:right w:w="0" w:type="dxa"/>
            </w:tcMar>
            <w:vAlign w:val="center"/>
          </w:tcPr>
          <w:p w14:paraId="0189423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691A104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49" w:type="dxa"/>
            <w:shd w:val="clear" w:color="auto" w:fill="auto"/>
            <w:tcMar>
              <w:top w:w="0" w:type="dxa"/>
              <w:left w:w="0" w:type="dxa"/>
              <w:bottom w:w="0" w:type="dxa"/>
              <w:right w:w="0" w:type="dxa"/>
            </w:tcMar>
            <w:vAlign w:val="center"/>
          </w:tcPr>
          <w:p w14:paraId="46DDCEE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78" w:type="dxa"/>
            <w:shd w:val="clear" w:color="auto" w:fill="auto"/>
            <w:tcMar>
              <w:top w:w="0" w:type="dxa"/>
              <w:left w:w="0" w:type="dxa"/>
              <w:bottom w:w="0" w:type="dxa"/>
              <w:right w:w="0" w:type="dxa"/>
            </w:tcMar>
            <w:vAlign w:val="center"/>
          </w:tcPr>
          <w:p w14:paraId="34ADE0C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481" w:type="dxa"/>
            <w:shd w:val="clear" w:color="auto" w:fill="auto"/>
            <w:tcMar>
              <w:top w:w="0" w:type="dxa"/>
              <w:left w:w="0" w:type="dxa"/>
              <w:bottom w:w="0" w:type="dxa"/>
              <w:right w:w="0" w:type="dxa"/>
            </w:tcMar>
            <w:vAlign w:val="center"/>
          </w:tcPr>
          <w:p w14:paraId="3E9D3E6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481" w:type="dxa"/>
            <w:shd w:val="clear" w:color="auto" w:fill="auto"/>
            <w:tcMar>
              <w:top w:w="0" w:type="dxa"/>
              <w:left w:w="0" w:type="dxa"/>
              <w:bottom w:w="0" w:type="dxa"/>
              <w:right w:w="0" w:type="dxa"/>
            </w:tcMar>
            <w:vAlign w:val="center"/>
          </w:tcPr>
          <w:p w14:paraId="16E69D4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36.4</w:t>
            </w:r>
          </w:p>
        </w:tc>
        <w:tc>
          <w:tcPr>
            <w:tcW w:w="481" w:type="dxa"/>
            <w:shd w:val="clear" w:color="auto" w:fill="auto"/>
            <w:tcMar>
              <w:top w:w="0" w:type="dxa"/>
              <w:left w:w="0" w:type="dxa"/>
              <w:bottom w:w="0" w:type="dxa"/>
              <w:right w:w="0" w:type="dxa"/>
            </w:tcMar>
            <w:vAlign w:val="center"/>
          </w:tcPr>
          <w:p w14:paraId="39696D5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36.8</w:t>
            </w:r>
          </w:p>
        </w:tc>
        <w:tc>
          <w:tcPr>
            <w:tcW w:w="557" w:type="dxa"/>
            <w:shd w:val="clear" w:color="auto" w:fill="auto"/>
            <w:tcMar>
              <w:top w:w="0" w:type="dxa"/>
              <w:left w:w="0" w:type="dxa"/>
              <w:bottom w:w="0" w:type="dxa"/>
              <w:right w:w="0" w:type="dxa"/>
            </w:tcMar>
            <w:vAlign w:val="center"/>
          </w:tcPr>
          <w:p w14:paraId="401E72B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36.3</w:t>
            </w:r>
          </w:p>
        </w:tc>
        <w:tc>
          <w:tcPr>
            <w:tcW w:w="671" w:type="dxa"/>
            <w:shd w:val="clear" w:color="auto" w:fill="auto"/>
            <w:tcMar>
              <w:top w:w="0" w:type="dxa"/>
              <w:left w:w="0" w:type="dxa"/>
              <w:bottom w:w="0" w:type="dxa"/>
              <w:right w:w="0" w:type="dxa"/>
            </w:tcMar>
            <w:vAlign w:val="center"/>
          </w:tcPr>
          <w:p w14:paraId="3D48DD5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r>
      <w:bookmarkEnd w:id="24"/>
    </w:tbl>
    <w:p w14:paraId="7063F9C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rPr>
      </w:pPr>
    </w:p>
    <w:p w14:paraId="2CC73BC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yellow"/>
        </w:rPr>
        <w:sectPr>
          <w:pgSz w:w="16840" w:h="11907" w:orient="landscape"/>
          <w:pgMar w:top="1531" w:right="1701" w:bottom="1531" w:left="2127"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6"/>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23"/>
      </w:tblGrid>
      <w:tr w14:paraId="7390B6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8" w:type="dxa"/>
            <w:tcMar>
              <w:left w:w="28" w:type="dxa"/>
              <w:right w:w="28" w:type="dxa"/>
            </w:tcMar>
            <w:vAlign w:val="center"/>
          </w:tcPr>
          <w:p w14:paraId="4697F1F8">
            <w:pPr>
              <w:shd w:val="clear"/>
              <w:adjustRightInd w:val="0"/>
              <w:snapToGrid w:val="0"/>
              <w:jc w:val="center"/>
              <w:rPr>
                <w:rFonts w:hint="default" w:ascii="Times New Roman" w:hAnsi="Times New Roman" w:eastAsia="宋体" w:cs="Times New Roman"/>
                <w:bCs/>
                <w:color w:val="auto"/>
                <w:sz w:val="24"/>
                <w:szCs w:val="24"/>
                <w:highlight w:val="none"/>
              </w:rPr>
            </w:pPr>
            <w:bookmarkStart w:id="26" w:name="_Toc4859"/>
            <w:r>
              <w:rPr>
                <w:rFonts w:hint="default" w:ascii="Times New Roman" w:hAnsi="Times New Roman" w:eastAsia="宋体" w:cs="Times New Roman"/>
                <w:bCs/>
                <w:color w:val="auto"/>
                <w:sz w:val="24"/>
                <w:szCs w:val="24"/>
                <w:highlight w:val="none"/>
              </w:rPr>
              <w:t>运营</w:t>
            </w:r>
          </w:p>
          <w:p w14:paraId="78F27B5F">
            <w:pPr>
              <w:shd w:val="clea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14:paraId="361D5F59">
            <w:pPr>
              <w:shd w:val="clea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14:paraId="71B86BDF">
            <w:pPr>
              <w:shd w:val="clea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14:paraId="576308B8">
            <w:pPr>
              <w:shd w:val="clea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14:paraId="4B949703">
            <w:pPr>
              <w:shd w:val="clea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623" w:type="dxa"/>
            <w:vAlign w:val="top"/>
          </w:tcPr>
          <w:p w14:paraId="0428055A">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表中坐标以厂界中心（</w:t>
            </w:r>
            <w:r>
              <w:rPr>
                <w:rFonts w:hint="eastAsia"/>
                <w:color w:val="auto"/>
                <w:sz w:val="24"/>
              </w:rPr>
              <w:t>东</w:t>
            </w:r>
            <w:r>
              <w:rPr>
                <w:color w:val="auto"/>
                <w:sz w:val="24"/>
              </w:rPr>
              <w:t>经</w:t>
            </w:r>
            <w:r>
              <w:rPr>
                <w:rFonts w:hint="eastAsia"/>
                <w:color w:val="auto"/>
                <w:sz w:val="24"/>
                <w:lang w:val="en-US" w:eastAsia="zh-CN"/>
              </w:rPr>
              <w:t>103</w:t>
            </w:r>
            <w:r>
              <w:rPr>
                <w:color w:val="auto"/>
                <w:sz w:val="24"/>
              </w:rPr>
              <w:t>°</w:t>
            </w:r>
            <w:r>
              <w:rPr>
                <w:rFonts w:hint="eastAsia"/>
                <w:color w:val="auto"/>
                <w:sz w:val="24"/>
                <w:lang w:val="en-US" w:eastAsia="zh-CN"/>
              </w:rPr>
              <w:t>12</w:t>
            </w:r>
            <w:r>
              <w:rPr>
                <w:rFonts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45.</w:t>
            </w:r>
            <w:r>
              <w:rPr>
                <w:rFonts w:hint="eastAsia" w:cs="Times New Roman"/>
                <w:color w:val="auto"/>
                <w:sz w:val="24"/>
                <w:lang w:val="en-US" w:eastAsia="zh-CN"/>
              </w:rPr>
              <w:t>745</w:t>
            </w:r>
            <w:r>
              <w:rPr>
                <w:rFonts w:ascii="Times New Roman" w:hAnsi="Times New Roman" w:eastAsia="宋体" w:cs="Times New Roman"/>
                <w:color w:val="auto"/>
                <w:sz w:val="24"/>
              </w:rPr>
              <w:t>″</w:t>
            </w:r>
            <w:r>
              <w:rPr>
                <w:color w:val="auto"/>
                <w:sz w:val="24"/>
              </w:rPr>
              <w:t>，北纬2</w:t>
            </w:r>
            <w:r>
              <w:rPr>
                <w:rFonts w:ascii="Times New Roman" w:hAnsi="Times New Roman" w:eastAsia="宋体" w:cs="Times New Roman"/>
                <w:color w:val="auto"/>
                <w:sz w:val="24"/>
              </w:rPr>
              <w:t>5°</w:t>
            </w:r>
            <w:r>
              <w:rPr>
                <w:rFonts w:hint="eastAsia" w:ascii="Times New Roman" w:hAnsi="Times New Roman" w:eastAsia="宋体" w:cs="Times New Roman"/>
                <w:color w:val="auto"/>
                <w:sz w:val="24"/>
                <w:lang w:val="en-US" w:eastAsia="zh-CN"/>
              </w:rPr>
              <w:t>34</w:t>
            </w:r>
            <w:r>
              <w:rPr>
                <w:rFonts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51.</w:t>
            </w:r>
            <w:r>
              <w:rPr>
                <w:rFonts w:hint="eastAsia" w:cs="Times New Roman"/>
                <w:color w:val="auto"/>
                <w:sz w:val="24"/>
                <w:lang w:val="en-US" w:eastAsia="zh-CN"/>
              </w:rPr>
              <w:t>945</w:t>
            </w:r>
            <w:r>
              <w:rPr>
                <w:rFonts w:ascii="Times New Roman" w:hAnsi="Times New Roman" w:eastAsia="宋体" w:cs="Times New Roman"/>
                <w:color w:val="auto"/>
                <w:sz w:val="24"/>
              </w:rPr>
              <w:t>″</w:t>
            </w:r>
            <w:r>
              <w:rPr>
                <w:rFonts w:hint="default" w:ascii="Times New Roman" w:hAnsi="Times New Roman" w:eastAsia="宋体" w:cs="Times New Roman"/>
                <w:color w:val="auto"/>
                <w:sz w:val="24"/>
                <w:highlight w:val="none"/>
                <w:lang w:val="en-US" w:eastAsia="zh-CN"/>
              </w:rPr>
              <w:t>）为坐标原点，正东向为X轴正方向，正北向为Y轴正方向。</w:t>
            </w:r>
          </w:p>
          <w:p w14:paraId="3E7E2D9C">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（2）预测范围、点位与评价因子</w:t>
            </w:r>
          </w:p>
          <w:p w14:paraId="51613A1A">
            <w:pPr>
              <w:shd w:val="clea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①噪声预测范围为：厂界外1m。</w:t>
            </w:r>
          </w:p>
          <w:p w14:paraId="54E58A0F">
            <w:pPr>
              <w:shd w:val="clea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②预测点位：厂界噪声，在东、南、西、北厂界各设置一个。</w:t>
            </w:r>
          </w:p>
          <w:p w14:paraId="70B94837">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③</w:t>
            </w:r>
            <w:r>
              <w:rPr>
                <w:rFonts w:hint="default" w:ascii="Times New Roman" w:hAnsi="Times New Roman" w:eastAsia="宋体" w:cs="Times New Roman"/>
                <w:color w:val="auto"/>
                <w:sz w:val="24"/>
                <w:highlight w:val="none"/>
              </w:rPr>
              <w:t>厂界噪声预测因子：昼夜等效连续A声级。</w:t>
            </w:r>
          </w:p>
          <w:p w14:paraId="7E573353">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④</w:t>
            </w:r>
            <w:r>
              <w:rPr>
                <w:rFonts w:hint="default" w:ascii="Times New Roman" w:hAnsi="Times New Roman" w:eastAsia="宋体" w:cs="Times New Roman"/>
                <w:color w:val="auto"/>
                <w:sz w:val="24"/>
                <w:highlight w:val="none"/>
              </w:rPr>
              <w:t>基础数据</w:t>
            </w:r>
          </w:p>
          <w:p w14:paraId="74808CC4">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项目噪声环境影响预测基础数据见表4-</w:t>
            </w:r>
            <w:r>
              <w:rPr>
                <w:rFonts w:hint="default" w:ascii="Times New Roman" w:hAnsi="Times New Roman" w:eastAsia="宋体" w:cs="Times New Roman"/>
                <w:color w:val="auto"/>
                <w:sz w:val="24"/>
                <w:highlight w:val="none"/>
                <w:lang w:val="en-US" w:eastAsia="zh-CN"/>
              </w:rPr>
              <w:t>2</w:t>
            </w:r>
            <w:r>
              <w:rPr>
                <w:rFonts w:hint="eastAsia" w:cs="Times New Roman"/>
                <w:color w:val="auto"/>
                <w:sz w:val="24"/>
                <w:highlight w:val="none"/>
                <w:lang w:val="en-US" w:eastAsia="zh-CN"/>
              </w:rPr>
              <w:t>1</w:t>
            </w:r>
            <w:r>
              <w:rPr>
                <w:rFonts w:hint="default" w:ascii="Times New Roman" w:hAnsi="Times New Roman" w:eastAsia="宋体" w:cs="Times New Roman"/>
                <w:color w:val="auto"/>
                <w:sz w:val="24"/>
                <w:highlight w:val="none"/>
              </w:rPr>
              <w:t>。</w:t>
            </w:r>
          </w:p>
          <w:p w14:paraId="02E302FD">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default" w:ascii="Times New Roman" w:hAnsi="Times New Roman" w:eastAsia="宋体" w:cs="Times New Roman"/>
                <w:b/>
                <w:bCs/>
                <w:color w:val="auto"/>
                <w:sz w:val="21"/>
                <w:szCs w:val="21"/>
                <w:highlight w:val="none"/>
                <w:lang w:val="en-US" w:eastAsia="zh-CN"/>
              </w:rPr>
              <w:t>2</w:t>
            </w:r>
            <w:r>
              <w:rPr>
                <w:rFonts w:hint="eastAsia"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项目噪声环境影响预测基础数据表</w:t>
            </w:r>
          </w:p>
          <w:tbl>
            <w:tblPr>
              <w:tblStyle w:val="26"/>
              <w:tblW w:w="84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42"/>
              <w:gridCol w:w="2754"/>
              <w:gridCol w:w="2102"/>
              <w:gridCol w:w="2102"/>
            </w:tblGrid>
            <w:tr w14:paraId="232775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42" w:type="dxa"/>
                  <w:noWrap w:val="0"/>
                  <w:vAlign w:val="center"/>
                </w:tcPr>
                <w:p w14:paraId="04B201BF">
                  <w:pPr>
                    <w:shd w:val="clear"/>
                    <w:jc w:val="center"/>
                    <w:rPr>
                      <w:rFonts w:hint="default" w:ascii="Times New Roman" w:hAnsi="Times New Roman" w:eastAsia="宋体" w:cs="Times New Roman"/>
                      <w:b/>
                      <w:bCs w:val="0"/>
                      <w:color w:val="auto"/>
                      <w:szCs w:val="21"/>
                      <w:highlight w:val="none"/>
                    </w:rPr>
                  </w:pPr>
                  <w:bookmarkStart w:id="27" w:name="PT_4"/>
                  <w:r>
                    <w:rPr>
                      <w:rFonts w:hint="default" w:ascii="Times New Roman" w:hAnsi="Times New Roman" w:eastAsia="宋体" w:cs="Times New Roman"/>
                      <w:b/>
                      <w:bCs w:val="0"/>
                      <w:color w:val="auto"/>
                      <w:szCs w:val="21"/>
                      <w:highlight w:val="none"/>
                    </w:rPr>
                    <w:t>序号</w:t>
                  </w:r>
                </w:p>
              </w:tc>
              <w:tc>
                <w:tcPr>
                  <w:tcW w:w="2754" w:type="dxa"/>
                  <w:noWrap w:val="0"/>
                  <w:vAlign w:val="center"/>
                </w:tcPr>
                <w:p w14:paraId="27427055">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名称</w:t>
                  </w:r>
                </w:p>
              </w:tc>
              <w:tc>
                <w:tcPr>
                  <w:tcW w:w="2102" w:type="dxa"/>
                  <w:noWrap w:val="0"/>
                  <w:vAlign w:val="center"/>
                </w:tcPr>
                <w:p w14:paraId="438326A4">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单位</w:t>
                  </w:r>
                </w:p>
              </w:tc>
              <w:tc>
                <w:tcPr>
                  <w:tcW w:w="2102" w:type="dxa"/>
                  <w:noWrap w:val="0"/>
                  <w:vAlign w:val="center"/>
                </w:tcPr>
                <w:p w14:paraId="19888A98">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数据</w:t>
                  </w:r>
                </w:p>
                <w:bookmarkEnd w:id="27"/>
              </w:tc>
            </w:tr>
            <w:tr w14:paraId="5A6302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42" w:type="dxa"/>
                  <w:noWrap w:val="0"/>
                  <w:vAlign w:val="center"/>
                </w:tcPr>
                <w:p w14:paraId="00F50BCC">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c>
                <w:tcPr>
                  <w:tcW w:w="2754" w:type="dxa"/>
                  <w:noWrap w:val="0"/>
                  <w:vAlign w:val="center"/>
                </w:tcPr>
                <w:p w14:paraId="206D8414">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年平均风速</w:t>
                  </w:r>
                </w:p>
              </w:tc>
              <w:tc>
                <w:tcPr>
                  <w:tcW w:w="2102" w:type="dxa"/>
                  <w:noWrap w:val="0"/>
                  <w:vAlign w:val="center"/>
                </w:tcPr>
                <w:p w14:paraId="446E3DCD">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m/s</w:t>
                  </w:r>
                </w:p>
              </w:tc>
              <w:tc>
                <w:tcPr>
                  <w:tcW w:w="2102" w:type="dxa"/>
                  <w:noWrap w:val="0"/>
                  <w:vAlign w:val="center"/>
                </w:tcPr>
                <w:p w14:paraId="0C729B3C">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3.0</w:t>
                  </w:r>
                </w:p>
              </w:tc>
            </w:tr>
            <w:tr w14:paraId="40BCC9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42" w:type="dxa"/>
                  <w:noWrap w:val="0"/>
                  <w:vAlign w:val="center"/>
                </w:tcPr>
                <w:p w14:paraId="69A050EF">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w:t>
                  </w:r>
                </w:p>
              </w:tc>
              <w:tc>
                <w:tcPr>
                  <w:tcW w:w="2754" w:type="dxa"/>
                  <w:noWrap w:val="0"/>
                  <w:vAlign w:val="center"/>
                </w:tcPr>
                <w:p w14:paraId="50F7CCA0">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主导风向</w:t>
                  </w:r>
                </w:p>
              </w:tc>
              <w:tc>
                <w:tcPr>
                  <w:tcW w:w="2102" w:type="dxa"/>
                  <w:noWrap w:val="0"/>
                  <w:vAlign w:val="center"/>
                </w:tcPr>
                <w:p w14:paraId="030F3D97">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2102" w:type="dxa"/>
                  <w:noWrap w:val="0"/>
                  <w:vAlign w:val="center"/>
                </w:tcPr>
                <w:p w14:paraId="6176C5A6">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西南风</w:t>
                  </w:r>
                </w:p>
              </w:tc>
            </w:tr>
            <w:tr w14:paraId="5AD834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42" w:type="dxa"/>
                  <w:noWrap w:val="0"/>
                  <w:vAlign w:val="center"/>
                </w:tcPr>
                <w:p w14:paraId="1B0F85AB">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3</w:t>
                  </w:r>
                </w:p>
              </w:tc>
              <w:tc>
                <w:tcPr>
                  <w:tcW w:w="2754" w:type="dxa"/>
                  <w:noWrap w:val="0"/>
                  <w:vAlign w:val="center"/>
                </w:tcPr>
                <w:p w14:paraId="49840E5A">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年平均气温</w:t>
                  </w:r>
                </w:p>
              </w:tc>
              <w:tc>
                <w:tcPr>
                  <w:tcW w:w="2102" w:type="dxa"/>
                  <w:noWrap w:val="0"/>
                  <w:vAlign w:val="center"/>
                </w:tcPr>
                <w:p w14:paraId="41B52D04">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2102" w:type="dxa"/>
                  <w:noWrap w:val="0"/>
                  <w:vAlign w:val="center"/>
                </w:tcPr>
                <w:p w14:paraId="16DC57ED">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14.4</w:t>
                  </w:r>
                </w:p>
              </w:tc>
            </w:tr>
            <w:tr w14:paraId="4735BE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42" w:type="dxa"/>
                  <w:noWrap w:val="0"/>
                  <w:vAlign w:val="center"/>
                </w:tcPr>
                <w:p w14:paraId="7BFC231F">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4</w:t>
                  </w:r>
                </w:p>
              </w:tc>
              <w:tc>
                <w:tcPr>
                  <w:tcW w:w="2754" w:type="dxa"/>
                  <w:noWrap w:val="0"/>
                  <w:vAlign w:val="center"/>
                </w:tcPr>
                <w:p w14:paraId="54B23BD8">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年平均相对湿度</w:t>
                  </w:r>
                </w:p>
              </w:tc>
              <w:tc>
                <w:tcPr>
                  <w:tcW w:w="2102" w:type="dxa"/>
                  <w:noWrap w:val="0"/>
                  <w:vAlign w:val="center"/>
                </w:tcPr>
                <w:p w14:paraId="4A040AFA">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2102" w:type="dxa"/>
                  <w:noWrap w:val="0"/>
                  <w:vAlign w:val="center"/>
                </w:tcPr>
                <w:p w14:paraId="589EE961">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50</w:t>
                  </w:r>
                </w:p>
              </w:tc>
            </w:tr>
            <w:tr w14:paraId="07AA5F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42" w:type="dxa"/>
                  <w:noWrap w:val="0"/>
                  <w:vAlign w:val="center"/>
                </w:tcPr>
                <w:p w14:paraId="66E64BEC">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5</w:t>
                  </w:r>
                </w:p>
              </w:tc>
              <w:tc>
                <w:tcPr>
                  <w:tcW w:w="2754" w:type="dxa"/>
                  <w:noWrap w:val="0"/>
                  <w:vAlign w:val="center"/>
                </w:tcPr>
                <w:p w14:paraId="4E4688CD">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大气压强</w:t>
                  </w:r>
                </w:p>
              </w:tc>
              <w:tc>
                <w:tcPr>
                  <w:tcW w:w="2102" w:type="dxa"/>
                  <w:noWrap w:val="0"/>
                  <w:vAlign w:val="center"/>
                </w:tcPr>
                <w:p w14:paraId="3321A836">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atm</w:t>
                  </w:r>
                </w:p>
              </w:tc>
              <w:tc>
                <w:tcPr>
                  <w:tcW w:w="2102" w:type="dxa"/>
                  <w:noWrap w:val="0"/>
                  <w:vAlign w:val="center"/>
                </w:tcPr>
                <w:p w14:paraId="49896B21">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r>
          </w:tbl>
          <w:p w14:paraId="111F750A">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声源和预测点间的地形、高差、障碍物、树林、灌木等的分布情况以及地面覆盖情况（如草地、水面、水泥地面、土质地面等）根据现场踏勘、项目</w:t>
            </w:r>
            <w:r>
              <w:rPr>
                <w:rFonts w:hint="eastAsia" w:cs="Times New Roman"/>
                <w:color w:val="auto"/>
                <w:sz w:val="24"/>
                <w:highlight w:val="none"/>
                <w:lang w:eastAsia="zh-CN"/>
              </w:rPr>
              <w:t>总平面图</w:t>
            </w:r>
            <w:r>
              <w:rPr>
                <w:rFonts w:hint="default" w:ascii="Times New Roman" w:hAnsi="Times New Roman" w:eastAsia="宋体" w:cs="Times New Roman"/>
                <w:color w:val="auto"/>
                <w:sz w:val="24"/>
                <w:highlight w:val="none"/>
              </w:rPr>
              <w:t>等，并结合卫星图片地理信息数据确定，数据精度为10m。</w:t>
            </w:r>
          </w:p>
          <w:p w14:paraId="5AE3B793">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（3）声环境影响预测</w:t>
            </w:r>
          </w:p>
          <w:p w14:paraId="22A4D62C">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w:t>
            </w:r>
            <w:r>
              <w:rPr>
                <w:rFonts w:hint="default" w:ascii="Times New Roman" w:hAnsi="Times New Roman" w:eastAsia="宋体" w:cs="Times New Roman"/>
                <w:color w:val="auto"/>
                <w:sz w:val="24"/>
                <w:highlight w:val="none"/>
              </w:rPr>
              <w:t>建筑物插入损失</w:t>
            </w:r>
            <w:r>
              <w:rPr>
                <w:rFonts w:hint="default" w:ascii="Times New Roman" w:hAnsi="Times New Roman" w:eastAsia="宋体" w:cs="Times New Roman"/>
                <w:color w:val="auto"/>
                <w:sz w:val="24"/>
                <w:highlight w:val="none"/>
                <w:lang w:val="en-US" w:eastAsia="zh-CN"/>
              </w:rPr>
              <w:t>计算</w:t>
            </w:r>
          </w:p>
          <w:p w14:paraId="665BA405">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根据</w:t>
            </w:r>
            <w:r>
              <w:rPr>
                <w:rFonts w:hint="default" w:ascii="Times New Roman" w:hAnsi="Times New Roman" w:eastAsia="宋体" w:cs="Times New Roman"/>
                <w:color w:val="auto"/>
                <w:sz w:val="24"/>
                <w:highlight w:val="none"/>
              </w:rPr>
              <w:t>《环境影响评</w:t>
            </w:r>
            <w:r>
              <w:rPr>
                <w:rFonts w:hint="default" w:ascii="Times New Roman" w:hAnsi="Times New Roman" w:eastAsia="宋体" w:cs="Times New Roman"/>
                <w:color w:val="auto"/>
                <w:kern w:val="0"/>
                <w:sz w:val="24"/>
                <w:highlight w:val="none"/>
                <w:lang w:bidi="ar"/>
              </w:rPr>
              <w:t>价技术导则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sz w:val="24"/>
                <w:highlight w:val="none"/>
                <w:lang w:eastAsia="zh-CN"/>
              </w:rPr>
              <w:t>附录</w:t>
            </w:r>
            <w:r>
              <w:rPr>
                <w:rFonts w:hint="default" w:ascii="Times New Roman" w:hAnsi="Times New Roman" w:eastAsia="宋体" w:cs="Times New Roman"/>
                <w:color w:val="auto"/>
                <w:sz w:val="24"/>
                <w:highlight w:val="none"/>
                <w:lang w:val="en-US" w:eastAsia="zh-CN"/>
              </w:rPr>
              <w:t>B可知，</w:t>
            </w:r>
            <w:r>
              <w:rPr>
                <w:rFonts w:hint="default" w:ascii="Times New Roman" w:hAnsi="Times New Roman" w:eastAsia="宋体" w:cs="Times New Roman"/>
                <w:color w:val="auto"/>
                <w:sz w:val="24"/>
                <w:highlight w:val="none"/>
              </w:rPr>
              <w:t>室内声源可采用等效室外声源声功率级法进行计算。设靠近开口处（或窗户）室内、室外某倍频带的声压级分别为L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和L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。若声源所在室内声场为近似扩散声场，则室外的倍频带声压级可按以下公式近似求出：</w:t>
            </w:r>
          </w:p>
          <w:p w14:paraId="39912002">
            <w:pPr>
              <w:shd w:val="clear"/>
              <w:snapToGrid w:val="0"/>
              <w:spacing w:line="360" w:lineRule="auto"/>
              <w:ind w:firstLine="480" w:firstLineChars="20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-（TL+6）</w:t>
            </w:r>
          </w:p>
          <w:p w14:paraId="5823F43D">
            <w:pPr>
              <w:shd w:val="clea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式中：TL—隔墙（或窗户）倍频带的隔声量，dB。</w:t>
            </w:r>
          </w:p>
          <w:p w14:paraId="7BA111F5">
            <w:pPr>
              <w:shd w:val="clea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综上可知，建筑物插入损失等于建筑物隔音量</w:t>
            </w:r>
            <w:r>
              <w:rPr>
                <w:rFonts w:hint="default" w:ascii="Times New Roman" w:hAnsi="Times New Roman" w:eastAsia="宋体" w:cs="Times New Roman"/>
                <w:color w:val="auto"/>
                <w:sz w:val="24"/>
                <w:szCs w:val="24"/>
                <w:highlight w:val="none"/>
                <w:lang w:val="en-US" w:eastAsia="zh-CN"/>
              </w:rPr>
              <w:t>+6。本项目高噪声设备安装消声减振装置，根据</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不同厚度墙壁和常用板材的隔声量汇表</w:t>
            </w:r>
            <w:r>
              <w:rPr>
                <w:rFonts w:hint="default" w:ascii="Times New Roman" w:hAnsi="Times New Roman" w:eastAsia="宋体" w:cs="Times New Roman"/>
                <w:color w:val="auto"/>
                <w:kern w:val="0"/>
                <w:sz w:val="24"/>
                <w:highlight w:val="none"/>
                <w:lang w:bidi="ar"/>
              </w:rPr>
              <w:t>》</w:t>
            </w:r>
            <w:r>
              <w:rPr>
                <w:rFonts w:hint="default" w:ascii="Times New Roman" w:hAnsi="Times New Roman" w:eastAsia="宋体" w:cs="Times New Roman"/>
                <w:color w:val="auto"/>
                <w:kern w:val="0"/>
                <w:sz w:val="24"/>
                <w:highlight w:val="none"/>
                <w:lang w:val="en-US" w:eastAsia="zh-CN" w:bidi="ar"/>
              </w:rPr>
              <w:t>可知，单层板平均隔声量为20.5</w:t>
            </w:r>
            <w:r>
              <w:rPr>
                <w:rFonts w:hint="default" w:ascii="Times New Roman" w:hAnsi="Times New Roman" w:eastAsia="宋体" w:cs="Times New Roman"/>
                <w:color w:val="auto"/>
                <w:sz w:val="24"/>
                <w:highlight w:val="none"/>
              </w:rPr>
              <w:t>dB</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24"/>
                <w:highlight w:val="none"/>
                <w:lang w:val="en-US" w:eastAsia="zh-CN"/>
              </w:rPr>
              <w:t>本项目生产厂房为单层铁皮活动板房，因此本项目建筑物隔音量选取20.5</w:t>
            </w:r>
            <w:r>
              <w:rPr>
                <w:rFonts w:hint="default" w:ascii="Times New Roman" w:hAnsi="Times New Roman" w:eastAsia="宋体" w:cs="Times New Roman"/>
                <w:color w:val="auto"/>
                <w:sz w:val="24"/>
                <w:highlight w:val="none"/>
              </w:rPr>
              <w:t>dB</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），则建筑物插入损失即为</w:t>
            </w:r>
            <w:r>
              <w:rPr>
                <w:rFonts w:hint="default" w:ascii="Times New Roman" w:hAnsi="Times New Roman" w:eastAsia="宋体" w:cs="Times New Roman"/>
                <w:color w:val="auto"/>
                <w:sz w:val="24"/>
                <w:highlight w:val="none"/>
                <w:lang w:val="en-US" w:eastAsia="zh-CN"/>
              </w:rPr>
              <w:t>26.5</w:t>
            </w:r>
            <w:r>
              <w:rPr>
                <w:rFonts w:hint="default" w:ascii="Times New Roman" w:hAnsi="Times New Roman" w:eastAsia="宋体" w:cs="Times New Roman"/>
                <w:color w:val="auto"/>
                <w:sz w:val="24"/>
                <w:highlight w:val="none"/>
              </w:rPr>
              <w:t>dB</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w:t>
            </w:r>
          </w:p>
          <w:p w14:paraId="6CE82909">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②</w:t>
            </w:r>
            <w:r>
              <w:rPr>
                <w:rFonts w:hint="default" w:ascii="Times New Roman" w:hAnsi="Times New Roman" w:eastAsia="宋体" w:cs="Times New Roman"/>
                <w:color w:val="auto"/>
                <w:sz w:val="24"/>
                <w:highlight w:val="none"/>
              </w:rPr>
              <w:t>预测方法</w:t>
            </w:r>
          </w:p>
          <w:p w14:paraId="6D81FD93">
            <w:pPr>
              <w:widowControl/>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lang w:bidi="ar"/>
              </w:rPr>
              <w:t>噪声传播过程中有三个要素：即声源、传播途径和接受者。根据项目采取的治理措施及降噪效果，采用《环境影响评价技术导则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推荐的工业噪声预测模式，本评价只考虑几何发散引起的衰减量来预测项目对厂界的贡献点的影响。</w:t>
            </w:r>
          </w:p>
          <w:p w14:paraId="749792AB">
            <w:pPr>
              <w:shd w:val="clea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0"/>
                <w:sz w:val="24"/>
                <w:highlight w:val="none"/>
                <w:lang w:bidi="ar"/>
              </w:rPr>
              <w:t>预测方法为：依据各噪声源与各预测点的距离计算出各噪声设备产生的噪声对各预测点的影响值，并根据能量合成法叠加各噪声设备对各预测点的噪声贡献值，来预测分析本项目</w:t>
            </w:r>
            <w:r>
              <w:rPr>
                <w:rFonts w:hint="default" w:ascii="Times New Roman" w:hAnsi="Times New Roman" w:eastAsia="宋体" w:cs="Times New Roman"/>
                <w:color w:val="auto"/>
                <w:kern w:val="0"/>
                <w:sz w:val="24"/>
                <w:highlight w:val="none"/>
                <w:lang w:eastAsia="zh-CN" w:bidi="ar"/>
              </w:rPr>
              <w:t>运营期</w:t>
            </w:r>
            <w:r>
              <w:rPr>
                <w:rFonts w:hint="default" w:ascii="Times New Roman" w:hAnsi="Times New Roman" w:eastAsia="宋体" w:cs="Times New Roman"/>
                <w:color w:val="auto"/>
                <w:kern w:val="0"/>
                <w:sz w:val="24"/>
                <w:highlight w:val="none"/>
                <w:lang w:bidi="ar"/>
              </w:rPr>
              <w:t>对厂界及周围声环境的影响。</w:t>
            </w:r>
          </w:p>
          <w:p w14:paraId="58FE55EB">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③</w:t>
            </w:r>
            <w:r>
              <w:rPr>
                <w:rFonts w:hint="default" w:ascii="Times New Roman" w:hAnsi="Times New Roman" w:eastAsia="宋体" w:cs="Times New Roman"/>
                <w:color w:val="auto"/>
                <w:sz w:val="24"/>
                <w:highlight w:val="none"/>
              </w:rPr>
              <w:t>预测模式</w:t>
            </w:r>
          </w:p>
          <w:p w14:paraId="31A83001">
            <w:pPr>
              <w:widowControl/>
              <w:shd w:val="clear"/>
              <w:spacing w:line="360" w:lineRule="auto"/>
              <w:ind w:firstLine="480" w:firstLineChars="200"/>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采用《环境影响评价技术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中的噪声预测模式预测本项目的主要噪声设备对周围声环境的影响。预测模式如下：</w:t>
            </w:r>
          </w:p>
          <w:p w14:paraId="24946272">
            <w:pPr>
              <w:pStyle w:val="51"/>
              <w:keepNext w:val="0"/>
              <w:keepLines w:val="0"/>
              <w:pageBreakBefore w:val="0"/>
              <w:shd w:val="clear"/>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A、</w:t>
            </w:r>
            <w:r>
              <w:rPr>
                <w:rFonts w:hint="default" w:ascii="Times New Roman" w:hAnsi="Times New Roman" w:eastAsia="宋体" w:cs="Times New Roman"/>
                <w:color w:val="auto"/>
                <w:highlight w:val="none"/>
              </w:rPr>
              <w:t>本项目只考虑几何发散衰减，公式按照：</w:t>
            </w:r>
          </w:p>
          <w:p w14:paraId="6199AE41">
            <w:pPr>
              <w:pStyle w:val="51"/>
              <w:keepNext w:val="0"/>
              <w:keepLines w:val="0"/>
              <w:pageBreakBefore w:val="0"/>
              <w:shd w:val="clear"/>
              <w:tabs>
                <w:tab w:val="bar" w:pos="9540"/>
              </w:tabs>
              <w:kinsoku/>
              <w:wordWrap/>
              <w:overflowPunct/>
              <w:topLinePunct w:val="0"/>
              <w:bidi w:val="0"/>
              <w:snapToGrid w:val="0"/>
              <w:spacing w:after="0" w:line="360" w:lineRule="auto"/>
              <w:ind w:right="0" w:rightChars="0" w:firstLine="0" w:firstLine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r</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rPr>
              <w:t>（r</w:t>
            </w:r>
            <w:r>
              <w:rPr>
                <w:rFonts w:hint="default" w:ascii="Times New Roman" w:hAnsi="Times New Roman" w:eastAsia="宋体" w:cs="Times New Roman"/>
                <w:color w:val="auto"/>
                <w:highlight w:val="none"/>
                <w:vertAlign w:val="subscript"/>
              </w:rPr>
              <w:t>0</w:t>
            </w: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p>
          <w:p w14:paraId="63F304E9">
            <w:pPr>
              <w:pStyle w:val="16"/>
              <w:keepNext w:val="0"/>
              <w:keepLines w:val="0"/>
              <w:pageBreakBefore w:val="0"/>
              <w:shd w:val="clear"/>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——距声源r处的A声级，dB（A）；</w:t>
            </w:r>
          </w:p>
          <w:p w14:paraId="43BF05FD">
            <w:pPr>
              <w:pStyle w:val="16"/>
              <w:keepNext w:val="0"/>
              <w:keepLines w:val="0"/>
              <w:pageBreakBefore w:val="0"/>
              <w:shd w:val="clear"/>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——参考位置r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处的A声级，dB（A）；</w:t>
            </w:r>
          </w:p>
          <w:p w14:paraId="2343AD7F">
            <w:pPr>
              <w:pStyle w:val="51"/>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r>
              <w:rPr>
                <w:rFonts w:hint="default" w:ascii="Times New Roman" w:hAnsi="Times New Roman" w:eastAsia="宋体" w:cs="Times New Roman"/>
                <w:color w:val="auto"/>
                <w:highlight w:val="none"/>
              </w:rPr>
              <w:t>——几何发散引起的衰减，dB；</w:t>
            </w:r>
          </w:p>
          <w:p w14:paraId="20A0C7FF">
            <w:pPr>
              <w:pStyle w:val="51"/>
              <w:keepNext w:val="0"/>
              <w:keepLines w:val="0"/>
              <w:pageBreakBefore w:val="0"/>
              <w:shd w:val="clear"/>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B、</w:t>
            </w:r>
            <w:r>
              <w:rPr>
                <w:rFonts w:hint="default" w:ascii="Times New Roman" w:hAnsi="Times New Roman" w:eastAsia="宋体" w:cs="Times New Roman"/>
                <w:color w:val="auto"/>
                <w:highlight w:val="none"/>
              </w:rPr>
              <w:t>声源的几何发散衰减公式：</w:t>
            </w:r>
          </w:p>
          <w:p w14:paraId="357011C4">
            <w:pPr>
              <w:pStyle w:val="16"/>
              <w:keepNext w:val="0"/>
              <w:keepLines w:val="0"/>
              <w:pageBreakBefore w:val="0"/>
              <w:shd w:val="clear"/>
              <w:kinsoku/>
              <w:wordWrap/>
              <w:overflowPunct/>
              <w:topLinePunct w:val="0"/>
              <w:bidi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=20lg（r/r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w:t>
            </w:r>
          </w:p>
          <w:p w14:paraId="4AEE68C9">
            <w:pPr>
              <w:pStyle w:val="16"/>
              <w:keepNext w:val="0"/>
              <w:keepLines w:val="0"/>
              <w:pageBreakBefore w:val="0"/>
              <w:shd w:val="clear"/>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——几何发散引起的衰减，dB；</w:t>
            </w:r>
          </w:p>
          <w:p w14:paraId="6569B0DE">
            <w:pPr>
              <w:pStyle w:val="51"/>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r——预测点距声源的距离；</w:t>
            </w:r>
          </w:p>
          <w:p w14:paraId="182D9575">
            <w:pPr>
              <w:pStyle w:val="16"/>
              <w:keepNext w:val="0"/>
              <w:keepLines w:val="0"/>
              <w:pageBreakBefore w:val="0"/>
              <w:shd w:val="clear"/>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——参考位置距声源的距离；</w:t>
            </w:r>
          </w:p>
          <w:p w14:paraId="1DBD3EFA">
            <w:pPr>
              <w:pStyle w:val="51"/>
              <w:keepNext w:val="0"/>
              <w:keepLines w:val="0"/>
              <w:pageBreakBefore w:val="0"/>
              <w:shd w:val="clear"/>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C、</w:t>
            </w:r>
            <w:r>
              <w:rPr>
                <w:rFonts w:hint="default" w:ascii="Times New Roman" w:hAnsi="Times New Roman" w:eastAsia="宋体" w:cs="Times New Roman"/>
                <w:color w:val="auto"/>
                <w:highlight w:val="none"/>
              </w:rPr>
              <w:t>工业企业噪声计算公式：</w:t>
            </w:r>
          </w:p>
          <w:p w14:paraId="5E803169">
            <w:pPr>
              <w:pStyle w:val="16"/>
              <w:keepNext w:val="0"/>
              <w:keepLines w:val="0"/>
              <w:pageBreakBefore w:val="0"/>
              <w:shd w:val="clear"/>
              <w:kinsoku/>
              <w:wordWrap/>
              <w:overflowPunct/>
              <w:topLinePunct w:val="0"/>
              <w:bidi w:val="0"/>
              <w:adjustRightInd w:val="0"/>
              <w:snapToGrid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position w:val="-34"/>
                <w:sz w:val="24"/>
                <w:highlight w:val="none"/>
              </w:rPr>
              <w:object>
                <v:shape id="_x0000_i1028" o:spt="75" type="#_x0000_t75" style="height:40pt;width:203pt;" o:ole="t" filled="f" o:preferrelative="t" stroked="f" coordsize="21600,21600">
                  <v:path/>
                  <v:fill on="f" focussize="0,0"/>
                  <v:stroke on="f"/>
                  <v:imagedata r:id="rId19" o:title=""/>
                  <o:lock v:ext="edit" aspectratio="t"/>
                  <w10:wrap type="none"/>
                  <w10:anchorlock/>
                </v:shape>
                <o:OLEObject Type="Embed" ProgID="Equation.KSEE3" ShapeID="_x0000_i1028" DrawAspect="Content" ObjectID="_1468075729" r:id="rId18">
                  <o:LockedField>false</o:LockedField>
                </o:OLEObject>
              </w:object>
            </w:r>
          </w:p>
          <w:p w14:paraId="69FF37FF">
            <w:pPr>
              <w:pStyle w:val="16"/>
              <w:keepNext w:val="0"/>
              <w:keepLines w:val="0"/>
              <w:pageBreakBefore w:val="0"/>
              <w:shd w:val="clear"/>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eqg</w:t>
            </w:r>
            <w:r>
              <w:rPr>
                <w:rFonts w:hint="default" w:ascii="Times New Roman" w:hAnsi="Times New Roman" w:eastAsia="宋体" w:cs="Times New Roman"/>
                <w:color w:val="auto"/>
                <w:sz w:val="24"/>
                <w:highlight w:val="none"/>
              </w:rPr>
              <w:t>——建设项目声源在预测点产生的噪声贡献值，dB；</w:t>
            </w:r>
          </w:p>
          <w:p w14:paraId="46848B2A">
            <w:pPr>
              <w:pStyle w:val="16"/>
              <w:keepNext w:val="0"/>
              <w:keepLines w:val="0"/>
              <w:pageBreakBefore w:val="0"/>
              <w:shd w:val="clear"/>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T——用于计算等效声级的时间，s；</w:t>
            </w:r>
          </w:p>
          <w:p w14:paraId="791B9892">
            <w:pPr>
              <w:pStyle w:val="51"/>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N——室外声源个数；</w:t>
            </w:r>
          </w:p>
          <w:p w14:paraId="3AD8FE74">
            <w:pPr>
              <w:pStyle w:val="51"/>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t</w:t>
            </w:r>
            <w:r>
              <w:rPr>
                <w:rFonts w:hint="default" w:ascii="Times New Roman" w:hAnsi="Times New Roman" w:eastAsia="宋体" w:cs="Times New Roman"/>
                <w:color w:val="auto"/>
                <w:highlight w:val="none"/>
                <w:vertAlign w:val="subscript"/>
              </w:rPr>
              <w:t>i</w:t>
            </w:r>
            <w:r>
              <w:rPr>
                <w:rFonts w:hint="default" w:ascii="Times New Roman" w:hAnsi="Times New Roman" w:eastAsia="宋体" w:cs="Times New Roman"/>
                <w:color w:val="auto"/>
                <w:highlight w:val="none"/>
              </w:rPr>
              <w:t>——在T时间内i声源工作时间，s；</w:t>
            </w:r>
          </w:p>
          <w:p w14:paraId="739C3171">
            <w:pPr>
              <w:pStyle w:val="51"/>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M——等效室外声源个数；</w:t>
            </w:r>
          </w:p>
          <w:p w14:paraId="4F7A6A18">
            <w:pPr>
              <w:pStyle w:val="51"/>
              <w:keepNext w:val="0"/>
              <w:keepLines w:val="0"/>
              <w:pageBreakBefore w:val="0"/>
              <w:shd w:val="clear"/>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kern w:val="0"/>
                <w:sz w:val="24"/>
                <w:highlight w:val="none"/>
                <w:lang w:val="en-US" w:eastAsia="zh-CN" w:bidi="ar"/>
              </w:rPr>
            </w:pPr>
            <w:r>
              <w:rPr>
                <w:rFonts w:hint="default" w:ascii="Times New Roman" w:hAnsi="Times New Roman" w:eastAsia="宋体" w:cs="Times New Roman"/>
                <w:color w:val="auto"/>
                <w:highlight w:val="none"/>
              </w:rPr>
              <w:t>tj——在T时间内j声</w:t>
            </w:r>
            <w:r>
              <w:rPr>
                <w:rFonts w:hint="default" w:ascii="Times New Roman" w:hAnsi="Times New Roman" w:eastAsia="宋体" w:cs="Times New Roman"/>
                <w:color w:val="auto"/>
                <w:sz w:val="24"/>
                <w:highlight w:val="none"/>
              </w:rPr>
              <w:t>源工作时间，s。</w:t>
            </w:r>
          </w:p>
          <w:p w14:paraId="7BC67555">
            <w:pPr>
              <w:shd w:val="clea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③预测结果</w:t>
            </w:r>
          </w:p>
          <w:p w14:paraId="4D63E715">
            <w:pPr>
              <w:keepNext w:val="0"/>
              <w:keepLines w:val="0"/>
              <w:pageBreakBefore w:val="0"/>
              <w:widowControl w:val="0"/>
              <w:shd w:val="clear"/>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color w:val="auto"/>
                <w:kern w:val="0"/>
                <w:sz w:val="24"/>
                <w:highlight w:val="none"/>
                <w:lang w:bidi="ar"/>
              </w:rPr>
              <w:t>本次环评厂界噪声预测采用环保小智噪声助手预测软件预测，通过预测模型计算，项目厂界噪声预测结果与达标分析见表4-</w:t>
            </w:r>
            <w:r>
              <w:rPr>
                <w:rFonts w:hint="default" w:ascii="Times New Roman" w:hAnsi="Times New Roman" w:eastAsia="宋体" w:cs="Times New Roman"/>
                <w:color w:val="auto"/>
                <w:kern w:val="0"/>
                <w:sz w:val="24"/>
                <w:highlight w:val="none"/>
                <w:lang w:val="en-US" w:eastAsia="zh-CN" w:bidi="ar"/>
              </w:rPr>
              <w:t>2</w:t>
            </w:r>
            <w:r>
              <w:rPr>
                <w:rFonts w:hint="eastAsia" w:cs="Times New Roman"/>
                <w:color w:val="auto"/>
                <w:kern w:val="0"/>
                <w:sz w:val="24"/>
                <w:highlight w:val="none"/>
                <w:lang w:val="en-US" w:eastAsia="zh-CN" w:bidi="ar"/>
              </w:rPr>
              <w:t>2</w:t>
            </w:r>
            <w:r>
              <w:rPr>
                <w:rFonts w:hint="default" w:ascii="Times New Roman" w:hAnsi="Times New Roman" w:eastAsia="宋体" w:cs="Times New Roman"/>
                <w:color w:val="auto"/>
                <w:kern w:val="0"/>
                <w:sz w:val="24"/>
                <w:highlight w:val="none"/>
                <w:lang w:bidi="ar"/>
              </w:rPr>
              <w:t>。</w:t>
            </w:r>
          </w:p>
          <w:p w14:paraId="6B005BB9">
            <w:pPr>
              <w:keepNext w:val="0"/>
              <w:keepLines w:val="0"/>
              <w:pageBreakBefore w:val="0"/>
              <w:widowControl/>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default" w:ascii="Times New Roman" w:hAnsi="Times New Roman" w:eastAsia="宋体" w:cs="Times New Roman"/>
                <w:b/>
                <w:bCs/>
                <w:color w:val="auto"/>
                <w:sz w:val="21"/>
                <w:szCs w:val="21"/>
                <w:highlight w:val="none"/>
                <w:lang w:val="en-US" w:eastAsia="zh-CN"/>
              </w:rPr>
              <w:t>2</w:t>
            </w:r>
            <w:r>
              <w:rPr>
                <w:rFonts w:hint="eastAsia"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 xml:space="preserve">  厂界噪声预测结果与达标分析表</w:t>
            </w:r>
            <w:bookmarkStart w:id="28" w:name="PT_7"/>
          </w:p>
          <w:tbl>
            <w:tblPr>
              <w:tblStyle w:val="26"/>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1"/>
              <w:gridCol w:w="803"/>
              <w:gridCol w:w="803"/>
              <w:gridCol w:w="1011"/>
              <w:gridCol w:w="785"/>
              <w:gridCol w:w="1417"/>
              <w:gridCol w:w="1418"/>
              <w:gridCol w:w="1188"/>
            </w:tblGrid>
            <w:tr w14:paraId="2484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restart"/>
                  <w:shd w:val="clear" w:color="auto" w:fill="auto"/>
                  <w:vAlign w:val="center"/>
                </w:tcPr>
                <w:p w14:paraId="2271CE38">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预测方位</w:t>
                  </w:r>
                </w:p>
              </w:tc>
              <w:tc>
                <w:tcPr>
                  <w:tcW w:w="2617" w:type="dxa"/>
                  <w:gridSpan w:val="3"/>
                  <w:shd w:val="clear" w:color="auto" w:fill="auto"/>
                  <w:vAlign w:val="center"/>
                </w:tcPr>
                <w:p w14:paraId="5CD92A50">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lang w:val="en-US" w:eastAsia="zh-CN"/>
                    </w:rPr>
                    <w:t>最大值点</w:t>
                  </w:r>
                  <w:r>
                    <w:rPr>
                      <w:rFonts w:hint="default" w:ascii="Times New Roman" w:hAnsi="Times New Roman" w:eastAsia="宋体" w:cs="Times New Roman"/>
                      <w:b/>
                      <w:color w:val="auto"/>
                      <w:sz w:val="21"/>
                      <w:szCs w:val="21"/>
                      <w:highlight w:val="none"/>
                    </w:rPr>
                    <w:t>空间相对位置/m</w:t>
                  </w:r>
                </w:p>
              </w:tc>
              <w:tc>
                <w:tcPr>
                  <w:tcW w:w="785" w:type="dxa"/>
                  <w:vMerge w:val="restart"/>
                  <w:shd w:val="clear" w:color="auto" w:fill="auto"/>
                  <w:vAlign w:val="center"/>
                </w:tcPr>
                <w:p w14:paraId="7CF8A98C">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时段</w:t>
                  </w:r>
                </w:p>
              </w:tc>
              <w:tc>
                <w:tcPr>
                  <w:tcW w:w="1417" w:type="dxa"/>
                  <w:vMerge w:val="restart"/>
                  <w:shd w:val="clear" w:color="auto" w:fill="auto"/>
                  <w:vAlign w:val="center"/>
                </w:tcPr>
                <w:p w14:paraId="371F4BC0">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贡献值（dB</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A</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w:t>
                  </w:r>
                </w:p>
              </w:tc>
              <w:tc>
                <w:tcPr>
                  <w:tcW w:w="1418" w:type="dxa"/>
                  <w:vMerge w:val="restart"/>
                  <w:shd w:val="clear" w:color="auto" w:fill="auto"/>
                  <w:vAlign w:val="center"/>
                </w:tcPr>
                <w:p w14:paraId="05E8B759">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标准限值（dB</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A</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w:t>
                  </w:r>
                </w:p>
              </w:tc>
              <w:tc>
                <w:tcPr>
                  <w:tcW w:w="1188" w:type="dxa"/>
                  <w:vMerge w:val="restart"/>
                  <w:shd w:val="clear" w:color="auto" w:fill="auto"/>
                  <w:vAlign w:val="center"/>
                </w:tcPr>
                <w:p w14:paraId="170970B1">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达标情况</w:t>
                  </w:r>
                </w:p>
              </w:tc>
            </w:tr>
            <w:tr w14:paraId="15C9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vMerge w:val="continue"/>
                  <w:shd w:val="clear" w:color="auto" w:fill="auto"/>
                  <w:vAlign w:val="center"/>
                </w:tcPr>
                <w:p w14:paraId="0BD5BF78">
                  <w:pPr>
                    <w:shd w:val="clear"/>
                    <w:jc w:val="center"/>
                    <w:rPr>
                      <w:rFonts w:hint="default" w:ascii="Times New Roman" w:hAnsi="Times New Roman" w:eastAsia="宋体" w:cs="Times New Roman"/>
                      <w:color w:val="auto"/>
                      <w:sz w:val="21"/>
                      <w:szCs w:val="21"/>
                      <w:highlight w:val="none"/>
                    </w:rPr>
                  </w:pPr>
                </w:p>
              </w:tc>
              <w:tc>
                <w:tcPr>
                  <w:tcW w:w="803" w:type="dxa"/>
                  <w:shd w:val="clear" w:color="auto" w:fill="auto"/>
                  <w:vAlign w:val="center"/>
                </w:tcPr>
                <w:p w14:paraId="60195BBA">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w:t>
                  </w:r>
                </w:p>
              </w:tc>
              <w:tc>
                <w:tcPr>
                  <w:tcW w:w="803" w:type="dxa"/>
                  <w:shd w:val="clear" w:color="auto" w:fill="auto"/>
                  <w:vAlign w:val="center"/>
                </w:tcPr>
                <w:p w14:paraId="7736E783">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Y</w:t>
                  </w:r>
                </w:p>
              </w:tc>
              <w:tc>
                <w:tcPr>
                  <w:tcW w:w="1011" w:type="dxa"/>
                  <w:shd w:val="clear" w:color="auto" w:fill="auto"/>
                  <w:vAlign w:val="center"/>
                </w:tcPr>
                <w:p w14:paraId="490DEB17">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w:t>
                  </w:r>
                </w:p>
              </w:tc>
              <w:tc>
                <w:tcPr>
                  <w:tcW w:w="785" w:type="dxa"/>
                  <w:vMerge w:val="continue"/>
                  <w:shd w:val="clear" w:color="auto" w:fill="auto"/>
                  <w:vAlign w:val="center"/>
                </w:tcPr>
                <w:p w14:paraId="11C7B3F5">
                  <w:pPr>
                    <w:shd w:val="clear"/>
                    <w:jc w:val="center"/>
                    <w:rPr>
                      <w:rFonts w:hint="default" w:ascii="Times New Roman" w:hAnsi="Times New Roman" w:eastAsia="宋体" w:cs="Times New Roman"/>
                      <w:color w:val="auto"/>
                      <w:sz w:val="21"/>
                      <w:szCs w:val="21"/>
                      <w:highlight w:val="none"/>
                    </w:rPr>
                  </w:pPr>
                </w:p>
              </w:tc>
              <w:tc>
                <w:tcPr>
                  <w:tcW w:w="1417" w:type="dxa"/>
                  <w:vMerge w:val="continue"/>
                  <w:shd w:val="clear" w:color="auto" w:fill="auto"/>
                  <w:vAlign w:val="center"/>
                </w:tcPr>
                <w:p w14:paraId="731F3C8D">
                  <w:pPr>
                    <w:shd w:val="clear"/>
                    <w:jc w:val="center"/>
                    <w:rPr>
                      <w:rFonts w:hint="default" w:ascii="Times New Roman" w:hAnsi="Times New Roman" w:eastAsia="宋体" w:cs="Times New Roman"/>
                      <w:color w:val="auto"/>
                      <w:sz w:val="21"/>
                      <w:szCs w:val="21"/>
                      <w:highlight w:val="none"/>
                    </w:rPr>
                  </w:pPr>
                </w:p>
              </w:tc>
              <w:tc>
                <w:tcPr>
                  <w:tcW w:w="1418" w:type="dxa"/>
                  <w:vMerge w:val="continue"/>
                  <w:shd w:val="clear" w:color="auto" w:fill="auto"/>
                  <w:vAlign w:val="center"/>
                </w:tcPr>
                <w:p w14:paraId="1117876B">
                  <w:pPr>
                    <w:shd w:val="clear"/>
                    <w:jc w:val="center"/>
                    <w:rPr>
                      <w:rFonts w:hint="default" w:ascii="Times New Roman" w:hAnsi="Times New Roman" w:eastAsia="宋体" w:cs="Times New Roman"/>
                      <w:color w:val="auto"/>
                      <w:sz w:val="21"/>
                      <w:szCs w:val="21"/>
                      <w:highlight w:val="none"/>
                    </w:rPr>
                  </w:pPr>
                </w:p>
              </w:tc>
              <w:tc>
                <w:tcPr>
                  <w:tcW w:w="1188" w:type="dxa"/>
                  <w:vMerge w:val="continue"/>
                  <w:shd w:val="clear" w:color="auto" w:fill="auto"/>
                  <w:vAlign w:val="center"/>
                </w:tcPr>
                <w:p w14:paraId="645E4100">
                  <w:pPr>
                    <w:shd w:val="clear"/>
                    <w:jc w:val="center"/>
                    <w:rPr>
                      <w:rFonts w:hint="default" w:ascii="Times New Roman" w:hAnsi="Times New Roman" w:eastAsia="宋体" w:cs="Times New Roman"/>
                      <w:color w:val="auto"/>
                      <w:sz w:val="21"/>
                      <w:szCs w:val="21"/>
                      <w:highlight w:val="none"/>
                    </w:rPr>
                  </w:pPr>
                </w:p>
              </w:tc>
            </w:tr>
            <w:tr w14:paraId="6CF8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shd w:val="clear" w:color="auto" w:fill="auto"/>
                  <w:vAlign w:val="center"/>
                </w:tcPr>
                <w:p w14:paraId="1F3DD309">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东侧</w:t>
                  </w:r>
                </w:p>
              </w:tc>
              <w:tc>
                <w:tcPr>
                  <w:tcW w:w="803" w:type="dxa"/>
                  <w:shd w:val="clear" w:color="auto" w:fill="auto"/>
                  <w:vAlign w:val="center"/>
                </w:tcPr>
                <w:p w14:paraId="6EB1FD19">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27.6</w:t>
                  </w:r>
                </w:p>
              </w:tc>
              <w:tc>
                <w:tcPr>
                  <w:tcW w:w="803" w:type="dxa"/>
                  <w:shd w:val="clear" w:color="auto" w:fill="auto"/>
                  <w:vAlign w:val="center"/>
                </w:tcPr>
                <w:p w14:paraId="0CA83EED">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24.9</w:t>
                  </w:r>
                </w:p>
              </w:tc>
              <w:tc>
                <w:tcPr>
                  <w:tcW w:w="1011" w:type="dxa"/>
                  <w:shd w:val="clear" w:color="auto" w:fill="auto"/>
                  <w:vAlign w:val="center"/>
                </w:tcPr>
                <w:p w14:paraId="60B44641">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14:paraId="5D56F96A">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14:paraId="169593C7">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59.6</w:t>
                  </w:r>
                </w:p>
              </w:tc>
              <w:tc>
                <w:tcPr>
                  <w:tcW w:w="1418" w:type="dxa"/>
                  <w:shd w:val="clear" w:color="auto" w:fill="auto"/>
                  <w:vAlign w:val="center"/>
                </w:tcPr>
                <w:p w14:paraId="4DD835DF">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14:paraId="3C5139C4">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17A7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shd w:val="clear" w:color="auto" w:fill="auto"/>
                  <w:vAlign w:val="center"/>
                </w:tcPr>
                <w:p w14:paraId="4E247634">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南侧</w:t>
                  </w:r>
                </w:p>
              </w:tc>
              <w:tc>
                <w:tcPr>
                  <w:tcW w:w="803" w:type="dxa"/>
                  <w:shd w:val="clear" w:color="auto" w:fill="auto"/>
                  <w:vAlign w:val="center"/>
                </w:tcPr>
                <w:p w14:paraId="144FB445">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-24.5</w:t>
                  </w:r>
                </w:p>
              </w:tc>
              <w:tc>
                <w:tcPr>
                  <w:tcW w:w="803" w:type="dxa"/>
                  <w:shd w:val="clear" w:color="auto" w:fill="auto"/>
                  <w:vAlign w:val="center"/>
                </w:tcPr>
                <w:p w14:paraId="12569278">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-25.8</w:t>
                  </w:r>
                </w:p>
              </w:tc>
              <w:tc>
                <w:tcPr>
                  <w:tcW w:w="1011" w:type="dxa"/>
                  <w:shd w:val="clear" w:color="auto" w:fill="auto"/>
                  <w:vAlign w:val="center"/>
                </w:tcPr>
                <w:p w14:paraId="69050190">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14:paraId="65DB89E5">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14:paraId="5F6F965C">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59.3</w:t>
                  </w:r>
                </w:p>
              </w:tc>
              <w:tc>
                <w:tcPr>
                  <w:tcW w:w="1418" w:type="dxa"/>
                  <w:shd w:val="clear" w:color="auto" w:fill="auto"/>
                  <w:vAlign w:val="center"/>
                </w:tcPr>
                <w:p w14:paraId="0796D8C0">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14:paraId="692CFACD">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2EF7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shd w:val="clear" w:color="auto" w:fill="auto"/>
                  <w:vAlign w:val="center"/>
                </w:tcPr>
                <w:p w14:paraId="754B6012">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西侧</w:t>
                  </w:r>
                </w:p>
              </w:tc>
              <w:tc>
                <w:tcPr>
                  <w:tcW w:w="803" w:type="dxa"/>
                  <w:shd w:val="clear" w:color="auto" w:fill="auto"/>
                  <w:vAlign w:val="center"/>
                </w:tcPr>
                <w:p w14:paraId="487B836D">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-34.9</w:t>
                  </w:r>
                </w:p>
              </w:tc>
              <w:tc>
                <w:tcPr>
                  <w:tcW w:w="803" w:type="dxa"/>
                  <w:shd w:val="clear" w:color="auto" w:fill="auto"/>
                  <w:vAlign w:val="center"/>
                </w:tcPr>
                <w:p w14:paraId="7F920E60">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12.9</w:t>
                  </w:r>
                </w:p>
              </w:tc>
              <w:tc>
                <w:tcPr>
                  <w:tcW w:w="1011" w:type="dxa"/>
                  <w:shd w:val="clear" w:color="auto" w:fill="auto"/>
                  <w:vAlign w:val="center"/>
                </w:tcPr>
                <w:p w14:paraId="3E359B9F">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14:paraId="42D282A6">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14:paraId="79F729EC">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60.4</w:t>
                  </w:r>
                </w:p>
              </w:tc>
              <w:tc>
                <w:tcPr>
                  <w:tcW w:w="1418" w:type="dxa"/>
                  <w:shd w:val="clear" w:color="auto" w:fill="auto"/>
                  <w:vAlign w:val="center"/>
                </w:tcPr>
                <w:p w14:paraId="4478EFA2">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14:paraId="25DB7263">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6C94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shd w:val="clear" w:color="auto" w:fill="auto"/>
                  <w:vAlign w:val="center"/>
                </w:tcPr>
                <w:p w14:paraId="6C3A3070">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北侧</w:t>
                  </w:r>
                </w:p>
              </w:tc>
              <w:tc>
                <w:tcPr>
                  <w:tcW w:w="803" w:type="dxa"/>
                  <w:shd w:val="clear" w:color="auto" w:fill="auto"/>
                  <w:vAlign w:val="center"/>
                </w:tcPr>
                <w:p w14:paraId="4718CC5F">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5.8</w:t>
                  </w:r>
                </w:p>
              </w:tc>
              <w:tc>
                <w:tcPr>
                  <w:tcW w:w="803" w:type="dxa"/>
                  <w:shd w:val="clear" w:color="auto" w:fill="auto"/>
                  <w:vAlign w:val="center"/>
                </w:tcPr>
                <w:p w14:paraId="34D34B81">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35</w:t>
                  </w:r>
                </w:p>
              </w:tc>
              <w:tc>
                <w:tcPr>
                  <w:tcW w:w="1011" w:type="dxa"/>
                  <w:shd w:val="clear" w:color="auto" w:fill="auto"/>
                  <w:vAlign w:val="center"/>
                </w:tcPr>
                <w:p w14:paraId="6495FFC2">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1.2</w:t>
                  </w:r>
                </w:p>
              </w:tc>
              <w:tc>
                <w:tcPr>
                  <w:tcW w:w="785" w:type="dxa"/>
                  <w:shd w:val="clear" w:color="auto" w:fill="auto"/>
                  <w:vAlign w:val="center"/>
                </w:tcPr>
                <w:p w14:paraId="0FCD1903">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417" w:type="dxa"/>
                  <w:shd w:val="clear" w:color="auto" w:fill="auto"/>
                  <w:vAlign w:val="center"/>
                </w:tcPr>
                <w:p w14:paraId="10A162DD">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60.3</w:t>
                  </w:r>
                </w:p>
              </w:tc>
              <w:tc>
                <w:tcPr>
                  <w:tcW w:w="1418" w:type="dxa"/>
                  <w:shd w:val="clear" w:color="auto" w:fill="auto"/>
                  <w:vAlign w:val="center"/>
                </w:tcPr>
                <w:p w14:paraId="64841830">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65</w:t>
                  </w:r>
                </w:p>
              </w:tc>
              <w:tc>
                <w:tcPr>
                  <w:tcW w:w="1188" w:type="dxa"/>
                  <w:shd w:val="clear" w:color="auto" w:fill="auto"/>
                  <w:vAlign w:val="center"/>
                </w:tcPr>
                <w:p w14:paraId="0EB6E50A">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4F72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8526" w:type="dxa"/>
                  <w:gridSpan w:val="8"/>
                  <w:shd w:val="clear" w:color="auto" w:fill="auto"/>
                  <w:vAlign w:val="center"/>
                </w:tcPr>
                <w:p w14:paraId="5B50D1B5">
                  <w:pPr>
                    <w:shd w:val="clear"/>
                    <w:jc w:val="center"/>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bCs/>
                      <w:color w:val="auto"/>
                      <w:sz w:val="21"/>
                      <w:szCs w:val="21"/>
                      <w:highlight w:val="none"/>
                    </w:rPr>
                    <w:t>注：表中坐标以</w:t>
                  </w:r>
                  <w:r>
                    <w:rPr>
                      <w:rFonts w:hint="default" w:ascii="Times New Roman" w:hAnsi="Times New Roman" w:eastAsia="宋体" w:cs="Times New Roman"/>
                      <w:bCs/>
                      <w:color w:val="auto"/>
                      <w:sz w:val="21"/>
                      <w:szCs w:val="21"/>
                      <w:highlight w:val="none"/>
                      <w:lang w:val="en-US" w:eastAsia="zh-CN"/>
                    </w:rPr>
                    <w:t>厂界中心（</w:t>
                  </w:r>
                  <w:r>
                    <w:rPr>
                      <w:rFonts w:hint="eastAsia" w:ascii="Times New Roman" w:hAnsi="Times New Roman" w:eastAsia="宋体" w:cs="Times New Roman"/>
                      <w:bCs/>
                      <w:color w:val="auto"/>
                      <w:sz w:val="21"/>
                      <w:szCs w:val="21"/>
                      <w:highlight w:val="none"/>
                    </w:rPr>
                    <w:t>东</w:t>
                  </w:r>
                  <w:r>
                    <w:rPr>
                      <w:rFonts w:hint="default" w:ascii="Times New Roman" w:hAnsi="Times New Roman" w:eastAsia="宋体" w:cs="Times New Roman"/>
                      <w:bCs/>
                      <w:color w:val="auto"/>
                      <w:sz w:val="21"/>
                      <w:szCs w:val="21"/>
                      <w:highlight w:val="none"/>
                    </w:rPr>
                    <w:t>经</w:t>
                  </w:r>
                  <w:r>
                    <w:rPr>
                      <w:rFonts w:hint="eastAsia" w:ascii="Times New Roman" w:hAnsi="Times New Roman" w:eastAsia="宋体" w:cs="Times New Roman"/>
                      <w:bCs/>
                      <w:color w:val="auto"/>
                      <w:sz w:val="21"/>
                      <w:szCs w:val="21"/>
                      <w:highlight w:val="none"/>
                      <w:lang w:val="en-US" w:eastAsia="zh-CN"/>
                    </w:rPr>
                    <w:t>103</w:t>
                  </w:r>
                  <w:r>
                    <w:rPr>
                      <w:rFonts w:hint="default" w:ascii="Times New Roman" w:hAnsi="Times New Roman" w:eastAsia="宋体" w:cs="Times New Roman"/>
                      <w:bCs/>
                      <w:color w:val="auto"/>
                      <w:sz w:val="21"/>
                      <w:szCs w:val="21"/>
                      <w:highlight w:val="none"/>
                    </w:rPr>
                    <w:t>°</w:t>
                  </w:r>
                  <w:r>
                    <w:rPr>
                      <w:rFonts w:hint="eastAsia" w:ascii="Times New Roman" w:hAnsi="Times New Roman" w:eastAsia="宋体" w:cs="Times New Roman"/>
                      <w:bCs/>
                      <w:color w:val="auto"/>
                      <w:sz w:val="21"/>
                      <w:szCs w:val="21"/>
                      <w:highlight w:val="none"/>
                      <w:lang w:val="en-US" w:eastAsia="zh-CN"/>
                    </w:rPr>
                    <w:t>12</w:t>
                  </w:r>
                  <w:r>
                    <w:rPr>
                      <w:rFonts w:hint="default" w:ascii="Times New Roman" w:hAnsi="Times New Roman" w:eastAsia="宋体" w:cs="Times New Roman"/>
                      <w:bCs/>
                      <w:color w:val="auto"/>
                      <w:sz w:val="21"/>
                      <w:szCs w:val="21"/>
                      <w:highlight w:val="none"/>
                    </w:rPr>
                    <w:t>′</w:t>
                  </w:r>
                  <w:r>
                    <w:rPr>
                      <w:rFonts w:hint="eastAsia" w:ascii="Times New Roman" w:hAnsi="Times New Roman" w:eastAsia="宋体" w:cs="Times New Roman"/>
                      <w:bCs/>
                      <w:color w:val="auto"/>
                      <w:sz w:val="21"/>
                      <w:szCs w:val="21"/>
                      <w:highlight w:val="none"/>
                      <w:lang w:val="en-US" w:eastAsia="zh-CN"/>
                    </w:rPr>
                    <w:t>45.745</w:t>
                  </w:r>
                  <w:r>
                    <w:rPr>
                      <w:rFonts w:hint="default" w:ascii="Times New Roman" w:hAnsi="Times New Roman" w:eastAsia="宋体" w:cs="Times New Roman"/>
                      <w:bCs/>
                      <w:color w:val="auto"/>
                      <w:sz w:val="21"/>
                      <w:szCs w:val="21"/>
                      <w:highlight w:val="none"/>
                    </w:rPr>
                    <w:t>″，北纬25°</w:t>
                  </w:r>
                  <w:r>
                    <w:rPr>
                      <w:rFonts w:hint="eastAsia" w:ascii="Times New Roman" w:hAnsi="Times New Roman" w:eastAsia="宋体" w:cs="Times New Roman"/>
                      <w:bCs/>
                      <w:color w:val="auto"/>
                      <w:sz w:val="21"/>
                      <w:szCs w:val="21"/>
                      <w:highlight w:val="none"/>
                      <w:lang w:val="en-US" w:eastAsia="zh-CN"/>
                    </w:rPr>
                    <w:t>34</w:t>
                  </w:r>
                  <w:r>
                    <w:rPr>
                      <w:rFonts w:hint="default" w:ascii="Times New Roman" w:hAnsi="Times New Roman" w:eastAsia="宋体" w:cs="Times New Roman"/>
                      <w:bCs/>
                      <w:color w:val="auto"/>
                      <w:sz w:val="21"/>
                      <w:szCs w:val="21"/>
                      <w:highlight w:val="none"/>
                    </w:rPr>
                    <w:t>′</w:t>
                  </w:r>
                  <w:r>
                    <w:rPr>
                      <w:rFonts w:hint="eastAsia" w:ascii="Times New Roman" w:hAnsi="Times New Roman" w:eastAsia="宋体" w:cs="Times New Roman"/>
                      <w:bCs/>
                      <w:color w:val="auto"/>
                      <w:sz w:val="21"/>
                      <w:szCs w:val="21"/>
                      <w:highlight w:val="none"/>
                      <w:lang w:val="en-US" w:eastAsia="zh-CN"/>
                    </w:rPr>
                    <w:t>51.945</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）为坐标原点</w:t>
                  </w:r>
                  <w:r>
                    <w:rPr>
                      <w:rFonts w:hint="default" w:ascii="Times New Roman" w:hAnsi="Times New Roman" w:eastAsia="宋体" w:cs="Times New Roman"/>
                      <w:bCs/>
                      <w:color w:val="auto"/>
                      <w:sz w:val="21"/>
                      <w:szCs w:val="21"/>
                      <w:highlight w:val="none"/>
                    </w:rPr>
                    <w:t>，正东向为X轴正方向，正北向为Y轴正方向。</w:t>
                  </w:r>
                </w:p>
              </w:tc>
            </w:tr>
            <w:bookmarkEnd w:id="28"/>
          </w:tbl>
          <w:p w14:paraId="23684C6E">
            <w:pPr>
              <w:keepNext w:val="0"/>
              <w:keepLines w:val="0"/>
              <w:pageBreakBefore w:val="0"/>
              <w:widowControl w:val="0"/>
              <w:shd w:val="clear"/>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项目夜间不运营，由上</w:t>
            </w:r>
            <w:r>
              <w:rPr>
                <w:rFonts w:hint="default" w:ascii="Times New Roman" w:hAnsi="Times New Roman" w:eastAsia="宋体" w:cs="Times New Roman"/>
                <w:color w:val="auto"/>
                <w:sz w:val="24"/>
                <w:szCs w:val="24"/>
                <w:highlight w:val="none"/>
              </w:rPr>
              <w:t>表预测结果一览表可以得知</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项目</w:t>
            </w:r>
            <w:r>
              <w:rPr>
                <w:rFonts w:hint="eastAsia" w:cs="Times New Roman"/>
                <w:color w:val="auto"/>
                <w:sz w:val="24"/>
                <w:szCs w:val="24"/>
                <w:highlight w:val="none"/>
                <w:lang w:val="en-US" w:eastAsia="zh-CN"/>
              </w:rPr>
              <w:t>四周</w:t>
            </w:r>
            <w:r>
              <w:rPr>
                <w:rFonts w:hint="default" w:ascii="Times New Roman" w:hAnsi="Times New Roman" w:eastAsia="宋体" w:cs="Times New Roman"/>
                <w:color w:val="auto"/>
                <w:sz w:val="24"/>
                <w:szCs w:val="24"/>
                <w:highlight w:val="none"/>
                <w:lang w:val="en-US" w:eastAsia="zh-CN"/>
              </w:rPr>
              <w:t>厂界</w:t>
            </w:r>
            <w:r>
              <w:rPr>
                <w:rFonts w:hint="default" w:ascii="Times New Roman" w:hAnsi="Times New Roman" w:eastAsia="宋体" w:cs="Times New Roman"/>
                <w:color w:val="auto"/>
                <w:sz w:val="24"/>
                <w:szCs w:val="24"/>
                <w:highlight w:val="none"/>
              </w:rPr>
              <w:t>噪声</w:t>
            </w:r>
            <w:r>
              <w:rPr>
                <w:rFonts w:hint="default" w:ascii="Times New Roman" w:hAnsi="Times New Roman" w:eastAsia="宋体" w:cs="Times New Roman"/>
                <w:color w:val="auto"/>
                <w:sz w:val="24"/>
                <w:szCs w:val="24"/>
                <w:highlight w:val="none"/>
                <w:lang w:val="en-US" w:eastAsia="zh-CN"/>
              </w:rPr>
              <w:t>均可满足</w:t>
            </w:r>
            <w:r>
              <w:rPr>
                <w:rFonts w:hint="default" w:ascii="Times New Roman" w:hAnsi="Times New Roman" w:eastAsia="宋体" w:cs="Times New Roman"/>
                <w:color w:val="auto"/>
                <w:sz w:val="24"/>
                <w:szCs w:val="24"/>
                <w:highlight w:val="none"/>
              </w:rPr>
              <w:t>《工业企业厂界环境噪声排放标准》（GB12348-2008）</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类标准要求。</w:t>
            </w:r>
          </w:p>
          <w:p w14:paraId="0330E1CB">
            <w:pPr>
              <w:pStyle w:val="17"/>
              <w:shd w:val="clear"/>
              <w:adjustRightInd w:val="0"/>
              <w:snapToGrid w:val="0"/>
              <w:spacing w:line="360" w:lineRule="auto"/>
              <w:ind w:firstLine="482" w:firstLineChars="200"/>
              <w:rPr>
                <w:rFonts w:hint="default" w:ascii="Times New Roman" w:hAnsi="Times New Roman" w:eastAsia="宋体" w:cs="Times New Roman"/>
                <w:b/>
                <w:color w:val="auto"/>
                <w:sz w:val="24"/>
                <w:szCs w:val="28"/>
                <w:highlight w:val="none"/>
                <w:lang w:val="en-US"/>
              </w:rPr>
            </w:pPr>
            <w:r>
              <w:rPr>
                <w:rFonts w:hint="default" w:ascii="Times New Roman" w:hAnsi="Times New Roman" w:eastAsia="宋体" w:cs="Times New Roman"/>
                <w:b/>
                <w:bCs/>
                <w:color w:val="auto"/>
                <w:sz w:val="24"/>
                <w:szCs w:val="24"/>
                <w:highlight w:val="none"/>
                <w:lang w:val="en-US" w:eastAsia="zh-CN"/>
              </w:rPr>
              <w:t>3、控制措施</w:t>
            </w:r>
          </w:p>
          <w:p w14:paraId="2887D278">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sz w:val="24"/>
                <w:highlight w:val="none"/>
                <w:lang w:val="zh-CN"/>
              </w:rPr>
              <w:t>为减小运营期噪声对周边环境的影响，本环评提出如下措施：</w:t>
            </w:r>
          </w:p>
          <w:p w14:paraId="53D10022">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en-US" w:eastAsia="zh-CN"/>
              </w:rPr>
              <w:t>①选用低噪声生产设备；</w:t>
            </w:r>
          </w:p>
          <w:p w14:paraId="6B9487A6">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②运营过程中应加强主要产噪设备的保养、检修，保证设备处于良好的运转状态，减少机械振动和摩擦产生的噪声，防止共振。</w:t>
            </w:r>
          </w:p>
          <w:p w14:paraId="2CD0250F">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③高噪声设备安装减震垫进行基础减振，风管设软连接，对设备进行有效地减震、隔声处理。</w:t>
            </w:r>
          </w:p>
          <w:p w14:paraId="0CFB2CB9">
            <w:pPr>
              <w:shd w:val="clea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④对操作员工影响加强个人防护意识，工作人员应佩戴防噪用品，如防声耳塞或耳罩等。</w:t>
            </w:r>
          </w:p>
          <w:p w14:paraId="24D99C27">
            <w:pPr>
              <w:shd w:val="clear"/>
              <w:adjustRightInd w:val="0"/>
              <w:snapToGrid w:val="0"/>
              <w:spacing w:line="360" w:lineRule="auto"/>
              <w:ind w:firstLine="480" w:firstLineChars="200"/>
              <w:textAlignment w:val="baseline"/>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kern w:val="0"/>
                <w:sz w:val="24"/>
                <w:highlight w:val="none"/>
                <w:lang w:val="en-US" w:eastAsia="zh-CN"/>
              </w:rPr>
              <w:t>⑤加强管理培训，确保工人文明操作，装卸货物时轻拿轻放，避免因野蛮操作产生的突发性</w:t>
            </w:r>
            <w:r>
              <w:rPr>
                <w:rFonts w:hint="default" w:ascii="Times New Roman" w:hAnsi="Times New Roman" w:eastAsia="宋体" w:cs="Times New Roman"/>
                <w:color w:val="auto"/>
                <w:sz w:val="24"/>
                <w:highlight w:val="none"/>
              </w:rPr>
              <w:t>噪声；</w:t>
            </w:r>
            <w:r>
              <w:rPr>
                <w:rFonts w:hint="default" w:ascii="Times New Roman" w:hAnsi="Times New Roman" w:eastAsia="宋体" w:cs="Times New Roman"/>
                <w:color w:val="auto"/>
                <w:sz w:val="24"/>
                <w:highlight w:val="none"/>
                <w:lang w:val="zh-CN"/>
              </w:rPr>
              <w:t>以上处理措施在各行业噪声防治中广泛应用，处理效果好。</w:t>
            </w:r>
          </w:p>
          <w:p w14:paraId="5C88896E">
            <w:pPr>
              <w:pStyle w:val="49"/>
              <w:shd w:val="clear"/>
              <w:adjustRightInd w:val="0"/>
              <w:snapToGrid w:val="0"/>
              <w:spacing w:line="360" w:lineRule="auto"/>
              <w:ind w:firstLine="482" w:firstLineChars="200"/>
              <w:jc w:val="both"/>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4</w:t>
            </w:r>
            <w:r>
              <w:rPr>
                <w:rFonts w:hint="default" w:ascii="Times New Roman" w:hAnsi="Times New Roman" w:eastAsia="宋体" w:cs="Times New Roman"/>
                <w:b/>
                <w:bCs/>
                <w:color w:val="auto"/>
                <w:sz w:val="24"/>
                <w:highlight w:val="none"/>
              </w:rPr>
              <w:t>、监测要求</w:t>
            </w:r>
          </w:p>
          <w:p w14:paraId="06B06862">
            <w:pPr>
              <w:pStyle w:val="49"/>
              <w:shd w:val="clear"/>
              <w:adjustRightInd w:val="0"/>
              <w:snapToGrid w:val="0"/>
              <w:spacing w:line="360" w:lineRule="auto"/>
              <w:ind w:firstLine="480" w:firstLineChars="200"/>
              <w:jc w:val="both"/>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lang w:bidi="ar"/>
              </w:rPr>
              <w:t>《排污单位自行监测技术指南</w:t>
            </w:r>
            <w:r>
              <w:rPr>
                <w:rFonts w:hint="default" w:ascii="Times New Roman" w:hAnsi="Times New Roman" w:eastAsia="宋体" w:cs="Times New Roman"/>
                <w:color w:val="auto"/>
                <w:sz w:val="24"/>
                <w:szCs w:val="24"/>
                <w:highlight w:val="none"/>
                <w:lang w:val="en-US" w:eastAsia="zh-CN" w:bidi="ar"/>
              </w:rPr>
              <w:t xml:space="preserve"> 总则</w:t>
            </w:r>
            <w:r>
              <w:rPr>
                <w:rFonts w:hint="default" w:ascii="Times New Roman" w:hAnsi="Times New Roman" w:eastAsia="宋体" w:cs="Times New Roman"/>
                <w:color w:val="auto"/>
                <w:sz w:val="24"/>
                <w:szCs w:val="24"/>
                <w:highlight w:val="none"/>
                <w:lang w:bidi="ar"/>
              </w:rPr>
              <w:t>》（HJ</w:t>
            </w:r>
            <w:r>
              <w:rPr>
                <w:rFonts w:hint="default" w:ascii="Times New Roman" w:hAnsi="Times New Roman" w:eastAsia="宋体" w:cs="Times New Roman"/>
                <w:color w:val="auto"/>
                <w:sz w:val="24"/>
                <w:szCs w:val="24"/>
                <w:highlight w:val="none"/>
                <w:lang w:val="en-US" w:eastAsia="zh-CN" w:bidi="ar"/>
              </w:rPr>
              <w:t>819-2017</w:t>
            </w: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color w:val="auto"/>
                <w:sz w:val="24"/>
                <w:szCs w:val="24"/>
                <w:highlight w:val="none"/>
                <w:lang w:val="en-US" w:eastAsia="zh-CN" w:bidi="ar"/>
              </w:rPr>
              <w:t>及</w:t>
            </w:r>
            <w:r>
              <w:rPr>
                <w:rFonts w:hint="default" w:ascii="Times New Roman" w:hAnsi="Times New Roman" w:eastAsia="宋体" w:cs="Times New Roman"/>
                <w:color w:val="auto"/>
                <w:sz w:val="24"/>
                <w:szCs w:val="24"/>
                <w:highlight w:val="none"/>
                <w:lang w:bidi="ar"/>
              </w:rPr>
              <w:t>《排污单位自行监测技术指南</w:t>
            </w:r>
            <w:r>
              <w:rPr>
                <w:rFonts w:hint="default" w:ascii="Times New Roman" w:hAnsi="Times New Roman" w:eastAsia="宋体" w:cs="Times New Roman"/>
                <w:color w:val="auto"/>
                <w:sz w:val="24"/>
                <w:szCs w:val="24"/>
                <w:highlight w:val="none"/>
                <w:lang w:val="en-US" w:eastAsia="zh-CN" w:bidi="ar"/>
              </w:rPr>
              <w:t xml:space="preserve"> 橡胶和塑料制品</w:t>
            </w:r>
            <w:r>
              <w:rPr>
                <w:rFonts w:hint="default" w:ascii="Times New Roman" w:hAnsi="Times New Roman" w:eastAsia="宋体" w:cs="Times New Roman"/>
                <w:color w:val="auto"/>
                <w:sz w:val="24"/>
                <w:szCs w:val="24"/>
                <w:highlight w:val="none"/>
                <w:lang w:bidi="ar"/>
              </w:rPr>
              <w:t>》（HJ</w:t>
            </w:r>
            <w:r>
              <w:rPr>
                <w:rFonts w:hint="default" w:ascii="Times New Roman" w:hAnsi="Times New Roman" w:eastAsia="宋体" w:cs="Times New Roman"/>
                <w:color w:val="auto"/>
                <w:sz w:val="24"/>
                <w:szCs w:val="24"/>
                <w:highlight w:val="none"/>
                <w:lang w:val="en-US" w:eastAsia="zh-CN" w:bidi="ar"/>
              </w:rPr>
              <w:t>1207-2021</w:t>
            </w: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color w:val="auto"/>
                <w:sz w:val="24"/>
                <w:szCs w:val="24"/>
                <w:highlight w:val="none"/>
                <w:lang w:val="en-US" w:eastAsia="zh-CN"/>
              </w:rPr>
              <w:t>可知，本项目噪声</w:t>
            </w:r>
            <w:r>
              <w:rPr>
                <w:rFonts w:hint="default" w:ascii="Times New Roman" w:hAnsi="Times New Roman" w:eastAsia="宋体" w:cs="Times New Roman"/>
                <w:color w:val="auto"/>
                <w:sz w:val="24"/>
                <w:szCs w:val="24"/>
                <w:highlight w:val="none"/>
              </w:rPr>
              <w:t>监测要求详见下表</w:t>
            </w:r>
            <w:r>
              <w:rPr>
                <w:rFonts w:hint="default" w:ascii="Times New Roman" w:hAnsi="Times New Roman" w:eastAsia="宋体" w:cs="Times New Roman"/>
                <w:color w:val="auto"/>
                <w:sz w:val="24"/>
                <w:szCs w:val="24"/>
                <w:highlight w:val="none"/>
                <w:lang w:val="en-US" w:eastAsia="zh-CN"/>
              </w:rPr>
              <w:t>所示</w:t>
            </w:r>
            <w:r>
              <w:rPr>
                <w:rFonts w:hint="default" w:ascii="Times New Roman" w:hAnsi="Times New Roman" w:eastAsia="宋体" w:cs="Times New Roman"/>
                <w:color w:val="auto"/>
                <w:sz w:val="24"/>
                <w:highlight w:val="none"/>
              </w:rPr>
              <w:t>。</w:t>
            </w:r>
          </w:p>
          <w:p w14:paraId="201BB78D">
            <w:pPr>
              <w:pStyle w:val="49"/>
              <w:shd w:val="clea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Cs w:val="21"/>
                <w:highlight w:val="none"/>
              </w:rPr>
              <w:t>表4-</w:t>
            </w:r>
            <w:r>
              <w:rPr>
                <w:rFonts w:hint="default" w:ascii="Times New Roman" w:hAnsi="Times New Roman" w:eastAsia="宋体" w:cs="Times New Roman"/>
                <w:b/>
                <w:bCs/>
                <w:color w:val="auto"/>
                <w:szCs w:val="21"/>
                <w:highlight w:val="none"/>
                <w:lang w:val="en-US" w:eastAsia="zh-CN"/>
              </w:rPr>
              <w:t>2</w:t>
            </w:r>
            <w:r>
              <w:rPr>
                <w:rFonts w:hint="eastAsia" w:cs="Times New Roman"/>
                <w:b/>
                <w:bCs/>
                <w:color w:val="auto"/>
                <w:szCs w:val="21"/>
                <w:highlight w:val="none"/>
                <w:lang w:val="en-US" w:eastAsia="zh-CN"/>
              </w:rPr>
              <w:t>3</w:t>
            </w:r>
            <w:r>
              <w:rPr>
                <w:rFonts w:hint="default" w:ascii="Times New Roman" w:hAnsi="Times New Roman" w:eastAsia="宋体" w:cs="Times New Roman"/>
                <w:b/>
                <w:bCs/>
                <w:color w:val="auto"/>
                <w:szCs w:val="21"/>
                <w:highlight w:val="none"/>
              </w:rPr>
              <w:t xml:space="preserve">  噪声监测计划一览表</w:t>
            </w:r>
          </w:p>
          <w:tbl>
            <w:tblPr>
              <w:tblStyle w:val="27"/>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2798"/>
              <w:gridCol w:w="2799"/>
            </w:tblGrid>
            <w:tr w14:paraId="5F8C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Align w:val="center"/>
                </w:tcPr>
                <w:p w14:paraId="190E7B14">
                  <w:pPr>
                    <w:pStyle w:val="49"/>
                    <w:shd w:val="clear"/>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监测点位</w:t>
                  </w:r>
                </w:p>
              </w:tc>
              <w:tc>
                <w:tcPr>
                  <w:tcW w:w="2798" w:type="dxa"/>
                  <w:vAlign w:val="center"/>
                </w:tcPr>
                <w:p w14:paraId="78F72B7B">
                  <w:pPr>
                    <w:pStyle w:val="49"/>
                    <w:shd w:val="clear"/>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监测项目</w:t>
                  </w:r>
                </w:p>
              </w:tc>
              <w:tc>
                <w:tcPr>
                  <w:tcW w:w="2799" w:type="dxa"/>
                  <w:vAlign w:val="center"/>
                </w:tcPr>
                <w:p w14:paraId="54644C52">
                  <w:pPr>
                    <w:pStyle w:val="49"/>
                    <w:shd w:val="clear"/>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时间、频次</w:t>
                  </w:r>
                </w:p>
              </w:tc>
            </w:tr>
            <w:tr w14:paraId="0CC0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Align w:val="center"/>
                </w:tcPr>
                <w:p w14:paraId="5ED44363">
                  <w:pPr>
                    <w:shd w:val="clea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沿项目区厂界东、南、西、</w:t>
                  </w:r>
                </w:p>
                <w:p w14:paraId="63D92D4B">
                  <w:pPr>
                    <w:pStyle w:val="49"/>
                    <w:shd w:val="clear"/>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北界外1m 处布点监测</w:t>
                  </w:r>
                </w:p>
              </w:tc>
              <w:tc>
                <w:tcPr>
                  <w:tcW w:w="2798" w:type="dxa"/>
                  <w:vAlign w:val="center"/>
                </w:tcPr>
                <w:p w14:paraId="75E4B6A2">
                  <w:pPr>
                    <w:pStyle w:val="49"/>
                    <w:shd w:val="clear"/>
                    <w:adjustRightInd w:val="0"/>
                    <w:snapToGrid w:val="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等效声级Leq</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 xml:space="preserve">dB </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A</w:t>
                  </w:r>
                  <w:r>
                    <w:rPr>
                      <w:rFonts w:hint="default" w:ascii="Times New Roman" w:hAnsi="Times New Roman" w:eastAsia="宋体" w:cs="Times New Roman"/>
                      <w:color w:val="auto"/>
                      <w:szCs w:val="21"/>
                      <w:highlight w:val="none"/>
                      <w:lang w:eastAsia="zh-CN"/>
                    </w:rPr>
                    <w:t>））</w:t>
                  </w:r>
                </w:p>
              </w:tc>
              <w:tc>
                <w:tcPr>
                  <w:tcW w:w="2799" w:type="dxa"/>
                  <w:vAlign w:val="center"/>
                </w:tcPr>
                <w:p w14:paraId="2FF12B1A">
                  <w:pPr>
                    <w:pStyle w:val="49"/>
                    <w:shd w:val="clear"/>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1次/季度</w:t>
                  </w:r>
                </w:p>
              </w:tc>
            </w:tr>
          </w:tbl>
          <w:p w14:paraId="750F7453">
            <w:pPr>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eastAsia="zh-CN"/>
              </w:rPr>
              <w:t>四</w:t>
            </w:r>
            <w:r>
              <w:rPr>
                <w:rFonts w:hint="default" w:ascii="Times New Roman" w:hAnsi="Times New Roman" w:eastAsia="宋体" w:cs="Times New Roman"/>
                <w:b/>
                <w:color w:val="auto"/>
                <w:sz w:val="24"/>
                <w:szCs w:val="24"/>
                <w:highlight w:val="none"/>
              </w:rPr>
              <w:t>、固体废弃物</w:t>
            </w:r>
          </w:p>
          <w:p w14:paraId="09BCA4AD">
            <w:pPr>
              <w:pStyle w:val="17"/>
              <w:keepNext w:val="0"/>
              <w:keepLines w:val="0"/>
              <w:pageBreakBefore w:val="0"/>
              <w:widowControl w:val="0"/>
              <w:numPr>
                <w:ilvl w:val="0"/>
                <w:numId w:val="0"/>
              </w:numPr>
              <w:shd w:val="clear"/>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项目运营期产生的固体废物主要为一般工业固废、生活固废和</w:t>
            </w:r>
            <w:r>
              <w:rPr>
                <w:rFonts w:hint="default" w:ascii="Times New Roman" w:hAnsi="Times New Roman" w:eastAsia="宋体" w:cs="Times New Roman"/>
                <w:color w:val="auto"/>
                <w:sz w:val="24"/>
                <w:szCs w:val="24"/>
                <w:highlight w:val="none"/>
                <w:lang w:eastAsia="zh-CN"/>
              </w:rPr>
              <w:t>危险废物</w:t>
            </w:r>
            <w:r>
              <w:rPr>
                <w:rFonts w:hint="default" w:ascii="Times New Roman" w:hAnsi="Times New Roman" w:eastAsia="宋体" w:cs="Times New Roman"/>
                <w:color w:val="auto"/>
                <w:sz w:val="24"/>
                <w:szCs w:val="24"/>
                <w:highlight w:val="none"/>
              </w:rPr>
              <w:t>。</w:t>
            </w:r>
          </w:p>
          <w:p w14:paraId="51B487EF">
            <w:pPr>
              <w:keepNext w:val="0"/>
              <w:keepLines w:val="0"/>
              <w:pageBreakBefore w:val="0"/>
              <w:widowControl w:val="0"/>
              <w:shd w:val="clear"/>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1、一般工业固体废物</w:t>
            </w:r>
          </w:p>
          <w:p w14:paraId="7D76CD75">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边角料</w:t>
            </w:r>
          </w:p>
          <w:p w14:paraId="27515974">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项目生产切割过程中产生少量边角料，</w:t>
            </w:r>
            <w:r>
              <w:rPr>
                <w:rFonts w:hint="default" w:ascii="Times New Roman" w:hAnsi="Times New Roman" w:eastAsia="宋体" w:cs="Times New Roman"/>
                <w:color w:val="auto"/>
                <w:sz w:val="24"/>
                <w:szCs w:val="24"/>
              </w:rPr>
              <w:t>根据建设单位提供的资料，</w:t>
            </w:r>
            <w:r>
              <w:rPr>
                <w:rFonts w:hint="default" w:ascii="Times New Roman" w:hAnsi="Times New Roman" w:eastAsia="宋体" w:cs="Times New Roman"/>
                <w:b w:val="0"/>
                <w:bCs w:val="0"/>
                <w:color w:val="auto"/>
                <w:sz w:val="24"/>
                <w:szCs w:val="24"/>
                <w:highlight w:val="none"/>
                <w:lang w:val="en-US" w:eastAsia="zh-CN"/>
              </w:rPr>
              <w:t>边角料产生量约占</w:t>
            </w:r>
            <w:r>
              <w:rPr>
                <w:rFonts w:hint="eastAsia" w:cs="Times New Roman"/>
                <w:b w:val="0"/>
                <w:bCs w:val="0"/>
                <w:color w:val="auto"/>
                <w:sz w:val="24"/>
                <w:szCs w:val="24"/>
                <w:highlight w:val="none"/>
                <w:lang w:val="en-US" w:eastAsia="zh-CN"/>
              </w:rPr>
              <w:t>产品</w:t>
            </w:r>
            <w:r>
              <w:rPr>
                <w:rFonts w:hint="default" w:ascii="Times New Roman" w:hAnsi="Times New Roman" w:eastAsia="宋体" w:cs="Times New Roman"/>
                <w:b w:val="0"/>
                <w:bCs w:val="0"/>
                <w:color w:val="auto"/>
                <w:sz w:val="24"/>
                <w:szCs w:val="24"/>
                <w:highlight w:val="none"/>
                <w:lang w:val="en-US" w:eastAsia="zh-CN"/>
              </w:rPr>
              <w:t>量的0.</w:t>
            </w:r>
            <w:r>
              <w:rPr>
                <w:rFonts w:hint="eastAsia"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val="en-US" w:eastAsia="zh-CN"/>
              </w:rPr>
              <w:t>%，本项目</w:t>
            </w:r>
            <w:r>
              <w:rPr>
                <w:rFonts w:hint="eastAsia" w:cs="Times New Roman"/>
                <w:b w:val="0"/>
                <w:bCs w:val="0"/>
                <w:color w:val="auto"/>
                <w:sz w:val="24"/>
                <w:szCs w:val="24"/>
                <w:highlight w:val="none"/>
                <w:lang w:val="en-US" w:eastAsia="zh-CN"/>
              </w:rPr>
              <w:t>产品</w:t>
            </w:r>
            <w:r>
              <w:rPr>
                <w:rFonts w:hint="default" w:ascii="Times New Roman" w:hAnsi="Times New Roman" w:eastAsia="宋体" w:cs="Times New Roman"/>
                <w:b w:val="0"/>
                <w:bCs w:val="0"/>
                <w:color w:val="auto"/>
                <w:sz w:val="24"/>
                <w:szCs w:val="24"/>
                <w:highlight w:val="none"/>
                <w:lang w:val="en-US" w:eastAsia="zh-CN"/>
              </w:rPr>
              <w:t>量为</w:t>
            </w:r>
            <w:r>
              <w:rPr>
                <w:rFonts w:hint="eastAsia" w:cs="Times New Roman"/>
                <w:b w:val="0"/>
                <w:bCs w:val="0"/>
                <w:color w:val="auto"/>
                <w:sz w:val="24"/>
                <w:szCs w:val="24"/>
                <w:highlight w:val="none"/>
                <w:lang w:val="en-US" w:eastAsia="zh-CN"/>
              </w:rPr>
              <w:t>1350</w:t>
            </w:r>
            <w:r>
              <w:rPr>
                <w:rFonts w:hint="default" w:ascii="Times New Roman" w:hAnsi="Times New Roman" w:eastAsia="宋体" w:cs="Times New Roman"/>
                <w:b w:val="0"/>
                <w:bCs w:val="0"/>
                <w:color w:val="auto"/>
                <w:sz w:val="24"/>
                <w:szCs w:val="24"/>
                <w:highlight w:val="none"/>
                <w:lang w:val="en-US" w:eastAsia="zh-CN"/>
              </w:rPr>
              <w:t>t/a，因此</w:t>
            </w:r>
            <w:r>
              <w:rPr>
                <w:rFonts w:hint="eastAsia" w:cs="Times New Roman"/>
                <w:b w:val="0"/>
                <w:bCs w:val="0"/>
                <w:color w:val="auto"/>
                <w:sz w:val="24"/>
                <w:szCs w:val="24"/>
                <w:highlight w:val="none"/>
                <w:lang w:val="en-US" w:eastAsia="zh-CN"/>
              </w:rPr>
              <w:t>切割</w:t>
            </w:r>
            <w:r>
              <w:rPr>
                <w:rFonts w:hint="default" w:ascii="Times New Roman" w:hAnsi="Times New Roman" w:eastAsia="宋体" w:cs="Times New Roman"/>
                <w:b w:val="0"/>
                <w:bCs w:val="0"/>
                <w:color w:val="auto"/>
                <w:sz w:val="24"/>
                <w:szCs w:val="24"/>
                <w:highlight w:val="none"/>
                <w:lang w:val="en-US" w:eastAsia="zh-CN"/>
              </w:rPr>
              <w:t>过程边角料产生量为</w:t>
            </w:r>
            <w:r>
              <w:rPr>
                <w:rFonts w:hint="eastAsia" w:cs="Times New Roman"/>
                <w:b w:val="0"/>
                <w:bCs w:val="0"/>
                <w:color w:val="auto"/>
                <w:sz w:val="24"/>
                <w:szCs w:val="24"/>
                <w:highlight w:val="none"/>
                <w:lang w:val="en-US" w:eastAsia="zh-CN"/>
              </w:rPr>
              <w:t>1.35</w:t>
            </w:r>
            <w:r>
              <w:rPr>
                <w:rFonts w:hint="default" w:ascii="Times New Roman" w:hAnsi="Times New Roman" w:eastAsia="宋体" w:cs="Times New Roman"/>
                <w:b w:val="0"/>
                <w:bCs w:val="0"/>
                <w:color w:val="auto"/>
                <w:sz w:val="24"/>
                <w:szCs w:val="24"/>
                <w:highlight w:val="none"/>
                <w:lang w:val="en-US" w:eastAsia="zh-CN"/>
              </w:rPr>
              <w:t>t/a，</w:t>
            </w:r>
            <w:r>
              <w:rPr>
                <w:rFonts w:hint="default" w:ascii="Times New Roman" w:hAnsi="Times New Roman" w:eastAsia="宋体" w:cs="Times New Roman"/>
                <w:b w:val="0"/>
                <w:bCs w:val="0"/>
                <w:color w:val="auto"/>
                <w:kern w:val="2"/>
                <w:sz w:val="24"/>
                <w:szCs w:val="24"/>
                <w:highlight w:val="none"/>
                <w:lang w:val="en-US" w:eastAsia="zh-CN" w:bidi="ar"/>
              </w:rPr>
              <w:t>统一收集后暂存于一般固体废物暂存处，定期外</w:t>
            </w:r>
            <w:r>
              <w:rPr>
                <w:rFonts w:hint="default" w:ascii="Times New Roman" w:hAnsi="Times New Roman" w:eastAsia="宋体" w:cs="Times New Roman"/>
                <w:b w:val="0"/>
                <w:bCs w:val="0"/>
                <w:color w:val="auto"/>
                <w:sz w:val="24"/>
                <w:szCs w:val="24"/>
                <w:highlight w:val="none"/>
                <w:lang w:val="en-US" w:eastAsia="zh-CN"/>
              </w:rPr>
              <w:t>售给废品收购站。</w:t>
            </w:r>
          </w:p>
          <w:p w14:paraId="2B96816C">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w:t>
            </w:r>
            <w:r>
              <w:rPr>
                <w:rFonts w:hint="eastAsia" w:cs="Times New Roman"/>
                <w:b w:val="0"/>
                <w:bCs w:val="0"/>
                <w:color w:val="auto"/>
                <w:sz w:val="24"/>
                <w:szCs w:val="24"/>
                <w:highlight w:val="none"/>
                <w:lang w:val="en-US" w:eastAsia="zh-CN"/>
              </w:rPr>
              <w:t>不合格产品</w:t>
            </w:r>
          </w:p>
          <w:p w14:paraId="4DBB7BF9">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szCs w:val="24"/>
              </w:rPr>
              <w:t>根据建设单位提供的资料，</w:t>
            </w:r>
            <w:r>
              <w:rPr>
                <w:rFonts w:hint="eastAsia" w:ascii="Times New Roman" w:hAnsi="Times New Roman" w:eastAsia="宋体" w:cs="Times New Roman"/>
                <w:b w:val="0"/>
                <w:bCs w:val="0"/>
                <w:color w:val="auto"/>
                <w:sz w:val="24"/>
                <w:szCs w:val="24"/>
                <w:highlight w:val="none"/>
                <w:lang w:val="en-US" w:eastAsia="zh-CN"/>
              </w:rPr>
              <w:t>不合格产品</w:t>
            </w:r>
            <w:r>
              <w:rPr>
                <w:rFonts w:hint="default" w:ascii="Times New Roman" w:hAnsi="Times New Roman" w:eastAsia="宋体" w:cs="Times New Roman"/>
                <w:b w:val="0"/>
                <w:bCs w:val="0"/>
                <w:color w:val="auto"/>
                <w:sz w:val="24"/>
                <w:szCs w:val="24"/>
                <w:highlight w:val="none"/>
                <w:lang w:val="en-US" w:eastAsia="zh-CN"/>
              </w:rPr>
              <w:t>产生量约占</w:t>
            </w:r>
            <w:r>
              <w:rPr>
                <w:rFonts w:hint="eastAsia" w:cs="Times New Roman"/>
                <w:b w:val="0"/>
                <w:bCs w:val="0"/>
                <w:color w:val="auto"/>
                <w:sz w:val="24"/>
                <w:szCs w:val="24"/>
                <w:highlight w:val="none"/>
                <w:lang w:val="en-US" w:eastAsia="zh-CN"/>
              </w:rPr>
              <w:t>产品</w:t>
            </w:r>
            <w:r>
              <w:rPr>
                <w:rFonts w:hint="default" w:ascii="Times New Roman" w:hAnsi="Times New Roman" w:eastAsia="宋体" w:cs="Times New Roman"/>
                <w:b w:val="0"/>
                <w:bCs w:val="0"/>
                <w:color w:val="auto"/>
                <w:sz w:val="24"/>
                <w:szCs w:val="24"/>
                <w:highlight w:val="none"/>
                <w:lang w:val="en-US" w:eastAsia="zh-CN"/>
              </w:rPr>
              <w:t>量的0.</w:t>
            </w:r>
            <w:r>
              <w:rPr>
                <w:rFonts w:hint="eastAsia"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val="en-US" w:eastAsia="zh-CN"/>
              </w:rPr>
              <w:t>%，本项目</w:t>
            </w:r>
            <w:r>
              <w:rPr>
                <w:rFonts w:hint="eastAsia" w:cs="Times New Roman"/>
                <w:b w:val="0"/>
                <w:bCs w:val="0"/>
                <w:color w:val="auto"/>
                <w:sz w:val="24"/>
                <w:szCs w:val="24"/>
                <w:highlight w:val="none"/>
                <w:lang w:val="en-US" w:eastAsia="zh-CN"/>
              </w:rPr>
              <w:t>产品</w:t>
            </w:r>
            <w:r>
              <w:rPr>
                <w:rFonts w:hint="default" w:ascii="Times New Roman" w:hAnsi="Times New Roman" w:eastAsia="宋体" w:cs="Times New Roman"/>
                <w:b w:val="0"/>
                <w:bCs w:val="0"/>
                <w:color w:val="auto"/>
                <w:sz w:val="24"/>
                <w:szCs w:val="24"/>
                <w:highlight w:val="none"/>
                <w:lang w:val="en-US" w:eastAsia="zh-CN"/>
              </w:rPr>
              <w:t>量为</w:t>
            </w:r>
            <w:r>
              <w:rPr>
                <w:rFonts w:hint="eastAsia" w:cs="Times New Roman"/>
                <w:b w:val="0"/>
                <w:bCs w:val="0"/>
                <w:color w:val="auto"/>
                <w:sz w:val="24"/>
                <w:szCs w:val="24"/>
                <w:highlight w:val="none"/>
                <w:lang w:val="en-US" w:eastAsia="zh-CN"/>
              </w:rPr>
              <w:t>1350</w:t>
            </w:r>
            <w:r>
              <w:rPr>
                <w:rFonts w:hint="default" w:ascii="Times New Roman" w:hAnsi="Times New Roman" w:eastAsia="宋体" w:cs="Times New Roman"/>
                <w:b w:val="0"/>
                <w:bCs w:val="0"/>
                <w:color w:val="auto"/>
                <w:sz w:val="24"/>
                <w:szCs w:val="24"/>
                <w:highlight w:val="none"/>
                <w:lang w:val="en-US" w:eastAsia="zh-CN"/>
              </w:rPr>
              <w:t>t/a，因此</w:t>
            </w:r>
            <w:r>
              <w:rPr>
                <w:rFonts w:hint="eastAsia" w:cs="Times New Roman"/>
                <w:b w:val="0"/>
                <w:bCs w:val="0"/>
                <w:color w:val="auto"/>
                <w:sz w:val="24"/>
                <w:szCs w:val="24"/>
                <w:highlight w:val="none"/>
                <w:lang w:val="en-US" w:eastAsia="zh-CN"/>
              </w:rPr>
              <w:t>不合格产品</w:t>
            </w:r>
            <w:r>
              <w:rPr>
                <w:rFonts w:hint="default" w:ascii="Times New Roman" w:hAnsi="Times New Roman" w:eastAsia="宋体" w:cs="Times New Roman"/>
                <w:b w:val="0"/>
                <w:bCs w:val="0"/>
                <w:color w:val="auto"/>
                <w:sz w:val="24"/>
                <w:szCs w:val="24"/>
                <w:highlight w:val="none"/>
                <w:lang w:val="en-US" w:eastAsia="zh-CN"/>
              </w:rPr>
              <w:t>产生量为</w:t>
            </w:r>
            <w:r>
              <w:rPr>
                <w:rFonts w:hint="eastAsia" w:cs="Times New Roman"/>
                <w:b w:val="0"/>
                <w:bCs w:val="0"/>
                <w:color w:val="auto"/>
                <w:sz w:val="24"/>
                <w:szCs w:val="24"/>
                <w:highlight w:val="none"/>
                <w:lang w:val="en-US" w:eastAsia="zh-CN"/>
              </w:rPr>
              <w:t>1.35</w:t>
            </w:r>
            <w:r>
              <w:rPr>
                <w:rFonts w:hint="default" w:ascii="Times New Roman" w:hAnsi="Times New Roman" w:eastAsia="宋体" w:cs="Times New Roman"/>
                <w:b w:val="0"/>
                <w:bCs w:val="0"/>
                <w:color w:val="auto"/>
                <w:sz w:val="24"/>
                <w:szCs w:val="24"/>
                <w:highlight w:val="none"/>
                <w:lang w:val="en-US" w:eastAsia="zh-CN"/>
              </w:rPr>
              <w:t>t/a，</w:t>
            </w:r>
            <w:r>
              <w:rPr>
                <w:rFonts w:hint="default" w:ascii="Times New Roman" w:hAnsi="Times New Roman" w:eastAsia="宋体" w:cs="Times New Roman"/>
                <w:b w:val="0"/>
                <w:bCs w:val="0"/>
                <w:color w:val="auto"/>
                <w:kern w:val="2"/>
                <w:sz w:val="24"/>
                <w:szCs w:val="24"/>
                <w:highlight w:val="none"/>
                <w:lang w:val="en-US" w:eastAsia="zh-CN" w:bidi="ar"/>
              </w:rPr>
              <w:t>统一收集后暂存于一般固体废物暂存处，定期外</w:t>
            </w:r>
            <w:r>
              <w:rPr>
                <w:rFonts w:hint="default" w:ascii="Times New Roman" w:hAnsi="Times New Roman" w:eastAsia="宋体" w:cs="Times New Roman"/>
                <w:b w:val="0"/>
                <w:bCs w:val="0"/>
                <w:color w:val="auto"/>
                <w:sz w:val="24"/>
                <w:szCs w:val="24"/>
                <w:highlight w:val="none"/>
                <w:lang w:val="en-US" w:eastAsia="zh-CN"/>
              </w:rPr>
              <w:t>售给废品收购站</w:t>
            </w:r>
            <w:r>
              <w:rPr>
                <w:rFonts w:hint="eastAsia" w:ascii="Times New Roman" w:hAnsi="Times New Roman" w:eastAsia="宋体" w:cs="Times New Roman"/>
                <w:b w:val="0"/>
                <w:bCs w:val="0"/>
                <w:color w:val="auto"/>
                <w:sz w:val="24"/>
                <w:szCs w:val="24"/>
                <w:highlight w:val="none"/>
                <w:lang w:val="en-US" w:eastAsia="zh-CN"/>
              </w:rPr>
              <w:t>。</w:t>
            </w:r>
          </w:p>
          <w:p w14:paraId="356068F2">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废包装材料</w:t>
            </w:r>
          </w:p>
          <w:p w14:paraId="15F7E8E1">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szCs w:val="24"/>
              </w:rPr>
              <w:t>根据建设单位提供的资料，</w:t>
            </w:r>
            <w:r>
              <w:rPr>
                <w:rFonts w:hint="eastAsia" w:cs="Times New Roman"/>
                <w:color w:val="auto"/>
                <w:sz w:val="24"/>
                <w:szCs w:val="24"/>
                <w:lang w:val="en-US" w:eastAsia="zh-CN"/>
              </w:rPr>
              <w:t>原辅料拆包及产品包装过程中均会产生废包装材料，</w:t>
            </w:r>
            <w:r>
              <w:rPr>
                <w:rFonts w:hint="default" w:ascii="Times New Roman" w:hAnsi="Times New Roman" w:eastAsia="宋体" w:cs="Times New Roman"/>
                <w:b w:val="0"/>
                <w:bCs w:val="0"/>
                <w:color w:val="auto"/>
                <w:kern w:val="2"/>
                <w:sz w:val="24"/>
                <w:szCs w:val="24"/>
                <w:highlight w:val="none"/>
                <w:lang w:val="en-US" w:eastAsia="zh-CN" w:bidi="ar"/>
              </w:rPr>
              <w:t>废包装材料产生量为</w:t>
            </w:r>
            <w:r>
              <w:rPr>
                <w:rFonts w:hint="eastAsia" w:cs="Times New Roman"/>
                <w:b w:val="0"/>
                <w:bCs w:val="0"/>
                <w:color w:val="auto"/>
                <w:sz w:val="24"/>
                <w:szCs w:val="24"/>
                <w:highlight w:val="none"/>
                <w:lang w:val="en-US" w:eastAsia="zh-CN"/>
              </w:rPr>
              <w:t>2.0</w:t>
            </w:r>
            <w:r>
              <w:rPr>
                <w:rFonts w:hint="default" w:ascii="Times New Roman" w:hAnsi="Times New Roman" w:eastAsia="宋体" w:cs="Times New Roman"/>
                <w:b w:val="0"/>
                <w:bCs w:val="0"/>
                <w:color w:val="auto"/>
                <w:kern w:val="2"/>
                <w:sz w:val="24"/>
                <w:szCs w:val="24"/>
                <w:highlight w:val="none"/>
                <w:lang w:val="en-US" w:eastAsia="zh-CN" w:bidi="ar"/>
              </w:rPr>
              <w:t>t/a。统一收集后暂存于一般固体废物暂</w:t>
            </w:r>
            <w:r>
              <w:rPr>
                <w:rFonts w:hint="default" w:ascii="Times New Roman" w:hAnsi="Times New Roman" w:eastAsia="宋体" w:cs="Times New Roman"/>
                <w:b w:val="0"/>
                <w:bCs w:val="0"/>
                <w:color w:val="auto"/>
                <w:sz w:val="24"/>
                <w:szCs w:val="24"/>
                <w:highlight w:val="none"/>
                <w:lang w:val="en-US" w:eastAsia="zh-CN"/>
              </w:rPr>
              <w:t>存处，定期外售给废品收购站。</w:t>
            </w:r>
          </w:p>
          <w:p w14:paraId="112052DD">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r>
              <w:rPr>
                <w:rFonts w:hint="eastAsia" w:cs="Times New Roman"/>
                <w:b w:val="0"/>
                <w:bCs w:val="0"/>
                <w:color w:val="auto"/>
                <w:sz w:val="24"/>
                <w:szCs w:val="24"/>
                <w:highlight w:val="none"/>
                <w:lang w:val="en-US" w:eastAsia="zh-CN"/>
              </w:rPr>
              <w:t>除尘器收集的</w:t>
            </w:r>
            <w:r>
              <w:rPr>
                <w:rFonts w:hint="default" w:ascii="Times New Roman" w:hAnsi="Times New Roman" w:eastAsia="宋体" w:cs="Times New Roman"/>
                <w:b w:val="0"/>
                <w:bCs w:val="0"/>
                <w:color w:val="auto"/>
                <w:sz w:val="24"/>
                <w:szCs w:val="24"/>
                <w:highlight w:val="none"/>
                <w:lang w:val="en-US" w:eastAsia="zh-CN"/>
              </w:rPr>
              <w:t>粉尘</w:t>
            </w:r>
          </w:p>
          <w:p w14:paraId="1B2607E9">
            <w:pPr>
              <w:keepNext w:val="0"/>
              <w:keepLines w:val="0"/>
              <w:pageBreakBefore w:val="0"/>
              <w:widowControl w:val="0"/>
              <w:shd w:val="clear"/>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rPr>
              <w:t>根据</w:t>
            </w:r>
            <w:r>
              <w:rPr>
                <w:rFonts w:hint="default" w:ascii="Times New Roman" w:hAnsi="Times New Roman" w:eastAsia="宋体" w:cs="Times New Roman"/>
                <w:b w:val="0"/>
                <w:bCs w:val="0"/>
                <w:color w:val="auto"/>
                <w:sz w:val="24"/>
                <w:szCs w:val="24"/>
                <w:highlight w:val="none"/>
                <w:lang w:val="en-US" w:eastAsia="zh-CN"/>
              </w:rPr>
              <w:t>废气部分</w:t>
            </w:r>
            <w:r>
              <w:rPr>
                <w:rFonts w:hint="default" w:ascii="Times New Roman" w:hAnsi="Times New Roman" w:eastAsia="宋体" w:cs="Times New Roman"/>
                <w:b w:val="0"/>
                <w:bCs w:val="0"/>
                <w:color w:val="auto"/>
                <w:sz w:val="24"/>
                <w:szCs w:val="24"/>
                <w:highlight w:val="none"/>
              </w:rPr>
              <w:t>工程分析可知，</w:t>
            </w:r>
            <w:r>
              <w:rPr>
                <w:rFonts w:hint="eastAsia" w:cs="Times New Roman"/>
                <w:b w:val="0"/>
                <w:bCs w:val="0"/>
                <w:color w:val="auto"/>
                <w:sz w:val="24"/>
                <w:szCs w:val="24"/>
                <w:highlight w:val="none"/>
                <w:lang w:val="en-US" w:eastAsia="zh-CN"/>
              </w:rPr>
              <w:t>混料、破碎、磨粉</w:t>
            </w:r>
            <w:r>
              <w:rPr>
                <w:rFonts w:hint="default" w:ascii="Times New Roman" w:hAnsi="Times New Roman" w:eastAsia="宋体" w:cs="Times New Roman"/>
                <w:b w:val="0"/>
                <w:bCs w:val="0"/>
                <w:color w:val="auto"/>
                <w:sz w:val="24"/>
                <w:szCs w:val="24"/>
                <w:highlight w:val="none"/>
                <w:lang w:val="en-US" w:eastAsia="zh-CN"/>
              </w:rPr>
              <w:t>过程</w:t>
            </w:r>
            <w:r>
              <w:rPr>
                <w:rFonts w:hint="default" w:ascii="Times New Roman" w:hAnsi="Times New Roman" w:eastAsia="宋体" w:cs="Times New Roman"/>
                <w:b w:val="0"/>
                <w:bCs w:val="0"/>
                <w:color w:val="auto"/>
                <w:sz w:val="24"/>
                <w:szCs w:val="24"/>
                <w:highlight w:val="none"/>
              </w:rPr>
              <w:t>粉尘收集量约为</w:t>
            </w:r>
            <w:r>
              <w:rPr>
                <w:rFonts w:hint="eastAsia" w:cs="Times New Roman"/>
                <w:b w:val="0"/>
                <w:bCs w:val="0"/>
                <w:color w:val="auto"/>
                <w:sz w:val="24"/>
                <w:szCs w:val="24"/>
                <w:highlight w:val="none"/>
                <w:lang w:val="en-US" w:eastAsia="zh-CN"/>
              </w:rPr>
              <w:t>6.7360</w:t>
            </w:r>
            <w:r>
              <w:rPr>
                <w:rFonts w:hint="default" w:ascii="Times New Roman" w:hAnsi="Times New Roman" w:eastAsia="宋体" w:cs="Times New Roman"/>
                <w:b w:val="0"/>
                <w:bCs w:val="0"/>
                <w:color w:val="auto"/>
                <w:sz w:val="24"/>
                <w:szCs w:val="24"/>
                <w:highlight w:val="none"/>
                <w:lang w:val="zh-CN"/>
              </w:rPr>
              <w:t>t/a</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val="zh-CN"/>
              </w:rPr>
              <w:t>统一收集后返回生产线再利用。</w:t>
            </w:r>
          </w:p>
          <w:p w14:paraId="6ABCE3C8">
            <w:pPr>
              <w:keepNext w:val="0"/>
              <w:keepLines w:val="0"/>
              <w:pageBreakBefore w:val="0"/>
              <w:widowControl w:val="0"/>
              <w:shd w:val="clear"/>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2、生活固废</w:t>
            </w:r>
          </w:p>
          <w:p w14:paraId="74204C51">
            <w:pPr>
              <w:pStyle w:val="77"/>
              <w:keepNext w:val="0"/>
              <w:keepLines w:val="0"/>
              <w:pageBreakBefore w:val="0"/>
              <w:widowControl w:val="0"/>
              <w:numPr>
                <w:ilvl w:val="0"/>
                <w:numId w:val="0"/>
              </w:numPr>
              <w:shd w:val="clea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生活垃圾</w:t>
            </w:r>
          </w:p>
          <w:p w14:paraId="61A242FD">
            <w:pPr>
              <w:pStyle w:val="77"/>
              <w:keepNext w:val="0"/>
              <w:keepLines w:val="0"/>
              <w:pageBreakBefore w:val="0"/>
              <w:widowControl w:val="0"/>
              <w:shd w:val="clear"/>
              <w:kinsoku/>
              <w:wordWrap/>
              <w:overflowPunct/>
              <w:topLinePunct w:val="0"/>
              <w:autoSpaceDE w:val="0"/>
              <w:autoSpaceDN w:val="0"/>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本</w:t>
            </w:r>
            <w:r>
              <w:rPr>
                <w:rFonts w:hint="default" w:ascii="Times New Roman" w:hAnsi="Times New Roman" w:eastAsia="宋体" w:cs="Times New Roman"/>
                <w:b w:val="0"/>
                <w:bCs w:val="0"/>
                <w:color w:val="auto"/>
                <w:sz w:val="24"/>
                <w:szCs w:val="24"/>
                <w:highlight w:val="none"/>
              </w:rPr>
              <w:t>项目工作人员数量为</w:t>
            </w:r>
            <w:r>
              <w:rPr>
                <w:rFonts w:hint="default" w:ascii="Times New Roman" w:hAnsi="Times New Roman" w:eastAsia="宋体" w:cs="Times New Roman"/>
                <w:b w:val="0"/>
                <w:bCs w:val="0"/>
                <w:color w:val="auto"/>
                <w:sz w:val="24"/>
                <w:szCs w:val="24"/>
                <w:highlight w:val="none"/>
                <w:lang w:val="en-US" w:eastAsia="zh-CN"/>
              </w:rPr>
              <w:t>20人</w:t>
            </w:r>
            <w:r>
              <w:rPr>
                <w:rFonts w:hint="default" w:ascii="Times New Roman" w:hAnsi="Times New Roman" w:eastAsia="宋体" w:cs="Times New Roman"/>
                <w:b w:val="0"/>
                <w:bCs w:val="0"/>
                <w:color w:val="auto"/>
                <w:sz w:val="24"/>
                <w:szCs w:val="24"/>
                <w:highlight w:val="none"/>
              </w:rPr>
              <w:t>，根据城镇生活源产排污系数手册，</w:t>
            </w:r>
            <w:r>
              <w:rPr>
                <w:rFonts w:hint="default" w:ascii="Times New Roman" w:hAnsi="Times New Roman" w:eastAsia="宋体" w:cs="Times New Roman"/>
                <w:b w:val="0"/>
                <w:bCs w:val="0"/>
                <w:color w:val="auto"/>
                <w:sz w:val="24"/>
                <w:szCs w:val="24"/>
                <w:highlight w:val="none"/>
                <w:lang w:eastAsia="zh-CN"/>
              </w:rPr>
              <w:t>食宿</w:t>
            </w:r>
            <w:r>
              <w:rPr>
                <w:rFonts w:hint="default" w:ascii="Times New Roman" w:hAnsi="Times New Roman" w:eastAsia="宋体" w:cs="Times New Roman"/>
                <w:b w:val="0"/>
                <w:bCs w:val="0"/>
                <w:color w:val="auto"/>
                <w:sz w:val="24"/>
                <w:szCs w:val="24"/>
                <w:highlight w:val="none"/>
              </w:rPr>
              <w:t>工作人员生活垃圾产生量按1kg/d·人计算，则员工生活垃圾的产生量为</w:t>
            </w:r>
            <w:r>
              <w:rPr>
                <w:rFonts w:hint="default" w:ascii="Times New Roman" w:hAnsi="Times New Roman" w:eastAsia="宋体" w:cs="Times New Roman"/>
                <w:b w:val="0"/>
                <w:bCs w:val="0"/>
                <w:color w:val="auto"/>
                <w:sz w:val="24"/>
                <w:szCs w:val="24"/>
                <w:highlight w:val="none"/>
                <w:lang w:val="en-US" w:eastAsia="zh-CN"/>
              </w:rPr>
              <w:t>20</w:t>
            </w:r>
            <w:r>
              <w:rPr>
                <w:rFonts w:hint="default" w:ascii="Times New Roman" w:hAnsi="Times New Roman" w:eastAsia="宋体" w:cs="Times New Roman"/>
                <w:b w:val="0"/>
                <w:bCs w:val="0"/>
                <w:color w:val="auto"/>
                <w:sz w:val="24"/>
                <w:szCs w:val="24"/>
                <w:highlight w:val="none"/>
              </w:rPr>
              <w:t>kg/d，</w:t>
            </w:r>
            <w:r>
              <w:rPr>
                <w:rFonts w:hint="default" w:ascii="Times New Roman" w:hAnsi="Times New Roman" w:eastAsia="宋体" w:cs="Times New Roman"/>
                <w:b w:val="0"/>
                <w:bCs w:val="0"/>
                <w:color w:val="auto"/>
                <w:sz w:val="24"/>
                <w:szCs w:val="24"/>
                <w:highlight w:val="none"/>
                <w:lang w:val="en-US" w:eastAsia="zh-CN"/>
              </w:rPr>
              <w:t>6</w:t>
            </w:r>
            <w:r>
              <w:rPr>
                <w:rFonts w:hint="default" w:ascii="Times New Roman" w:hAnsi="Times New Roman" w:eastAsia="宋体" w:cs="Times New Roman"/>
                <w:b w:val="0"/>
                <w:bCs w:val="0"/>
                <w:color w:val="auto"/>
                <w:sz w:val="24"/>
                <w:szCs w:val="24"/>
                <w:highlight w:val="none"/>
              </w:rPr>
              <w:t>t/a。</w:t>
            </w:r>
            <w:r>
              <w:rPr>
                <w:rFonts w:hint="default" w:ascii="Times New Roman" w:hAnsi="Times New Roman" w:eastAsia="宋体" w:cs="Times New Roman"/>
                <w:b w:val="0"/>
                <w:bCs w:val="0"/>
                <w:color w:val="auto"/>
                <w:kern w:val="0"/>
                <w:sz w:val="24"/>
                <w:szCs w:val="24"/>
                <w:highlight w:val="none"/>
              </w:rPr>
              <w:t>生活垃圾</w:t>
            </w:r>
            <w:r>
              <w:rPr>
                <w:rFonts w:hint="default" w:ascii="Times New Roman" w:hAnsi="Times New Roman" w:eastAsia="宋体" w:cs="Times New Roman"/>
                <w:b w:val="0"/>
                <w:bCs w:val="0"/>
                <w:color w:val="auto"/>
                <w:kern w:val="0"/>
                <w:sz w:val="24"/>
                <w:szCs w:val="24"/>
                <w:highlight w:val="none"/>
                <w:lang w:eastAsia="zh-CN"/>
              </w:rPr>
              <w:t>由项目区工作人员</w:t>
            </w:r>
            <w:r>
              <w:rPr>
                <w:rFonts w:hint="default" w:ascii="Times New Roman" w:hAnsi="Times New Roman" w:eastAsia="宋体" w:cs="Times New Roman"/>
                <w:b w:val="0"/>
                <w:bCs w:val="0"/>
                <w:color w:val="auto"/>
                <w:sz w:val="24"/>
                <w:szCs w:val="24"/>
                <w:highlight w:val="none"/>
              </w:rPr>
              <w:t>使用</w:t>
            </w:r>
            <w:r>
              <w:rPr>
                <w:rFonts w:hint="default" w:ascii="Times New Roman" w:hAnsi="Times New Roman" w:eastAsia="宋体" w:cs="Times New Roman"/>
                <w:b w:val="0"/>
                <w:bCs w:val="0"/>
                <w:color w:val="auto"/>
                <w:sz w:val="24"/>
                <w:szCs w:val="24"/>
                <w:highlight w:val="none"/>
                <w:lang w:eastAsia="zh-CN"/>
              </w:rPr>
              <w:t>带盖</w:t>
            </w:r>
            <w:r>
              <w:rPr>
                <w:rFonts w:hint="default" w:ascii="Times New Roman" w:hAnsi="Times New Roman" w:eastAsia="宋体" w:cs="Times New Roman"/>
                <w:b w:val="0"/>
                <w:bCs w:val="0"/>
                <w:color w:val="auto"/>
                <w:sz w:val="24"/>
                <w:szCs w:val="24"/>
                <w:highlight w:val="none"/>
              </w:rPr>
              <w:t>式生活垃圾收</w:t>
            </w:r>
            <w:r>
              <w:rPr>
                <w:rFonts w:hint="default" w:ascii="Times New Roman" w:hAnsi="Times New Roman" w:eastAsia="宋体" w:cs="Times New Roman"/>
                <w:b w:val="0"/>
                <w:bCs w:val="0"/>
                <w:color w:val="auto"/>
                <w:kern w:val="2"/>
                <w:sz w:val="24"/>
                <w:szCs w:val="24"/>
                <w:highlight w:val="none"/>
              </w:rPr>
              <w:t>集桶</w:t>
            </w:r>
            <w:r>
              <w:rPr>
                <w:rFonts w:hint="default" w:ascii="Times New Roman" w:hAnsi="Times New Roman" w:eastAsia="宋体" w:cs="Times New Roman"/>
                <w:b w:val="0"/>
                <w:bCs w:val="0"/>
                <w:color w:val="auto"/>
                <w:kern w:val="0"/>
                <w:sz w:val="24"/>
                <w:szCs w:val="24"/>
                <w:highlight w:val="none"/>
                <w:lang w:eastAsia="zh-CN"/>
              </w:rPr>
              <w:t>统一</w:t>
            </w:r>
            <w:r>
              <w:rPr>
                <w:rFonts w:hint="default" w:ascii="Times New Roman" w:hAnsi="Times New Roman" w:eastAsia="宋体" w:cs="Times New Roman"/>
                <w:b w:val="0"/>
                <w:bCs w:val="0"/>
                <w:color w:val="auto"/>
                <w:kern w:val="0"/>
                <w:sz w:val="24"/>
                <w:szCs w:val="24"/>
                <w:highlight w:val="none"/>
              </w:rPr>
              <w:t>收集后</w:t>
            </w:r>
            <w:r>
              <w:rPr>
                <w:rFonts w:hint="default" w:ascii="Times New Roman" w:hAnsi="Times New Roman" w:eastAsia="宋体" w:cs="Times New Roman"/>
                <w:b w:val="0"/>
                <w:bCs w:val="0"/>
                <w:color w:val="auto"/>
                <w:kern w:val="0"/>
                <w:sz w:val="24"/>
                <w:szCs w:val="24"/>
                <w:highlight w:val="none"/>
                <w:lang w:eastAsia="zh-CN"/>
              </w:rPr>
              <w:t>由当地</w:t>
            </w:r>
            <w:r>
              <w:rPr>
                <w:rFonts w:hint="default" w:ascii="Times New Roman" w:hAnsi="Times New Roman" w:eastAsia="宋体" w:cs="Times New Roman"/>
                <w:b w:val="0"/>
                <w:bCs w:val="0"/>
                <w:color w:val="auto"/>
                <w:kern w:val="0"/>
                <w:sz w:val="24"/>
                <w:szCs w:val="24"/>
                <w:highlight w:val="none"/>
              </w:rPr>
              <w:t>环卫部门</w:t>
            </w:r>
            <w:r>
              <w:rPr>
                <w:rFonts w:hint="default" w:ascii="Times New Roman" w:hAnsi="Times New Roman" w:eastAsia="宋体" w:cs="Times New Roman"/>
                <w:b w:val="0"/>
                <w:bCs w:val="0"/>
                <w:color w:val="auto"/>
                <w:kern w:val="0"/>
                <w:sz w:val="24"/>
                <w:szCs w:val="24"/>
                <w:highlight w:val="none"/>
                <w:lang w:eastAsia="zh-CN"/>
              </w:rPr>
              <w:t>定期</w:t>
            </w:r>
            <w:r>
              <w:rPr>
                <w:rFonts w:hint="default" w:ascii="Times New Roman" w:hAnsi="Times New Roman" w:eastAsia="宋体" w:cs="Times New Roman"/>
                <w:b w:val="0"/>
                <w:bCs w:val="0"/>
                <w:color w:val="auto"/>
                <w:sz w:val="24"/>
                <w:szCs w:val="24"/>
                <w:highlight w:val="none"/>
              </w:rPr>
              <w:t>清运</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处置</w:t>
            </w:r>
            <w:r>
              <w:rPr>
                <w:rFonts w:hint="default" w:ascii="Times New Roman" w:hAnsi="Times New Roman" w:eastAsia="宋体" w:cs="Times New Roman"/>
                <w:b w:val="0"/>
                <w:bCs w:val="0"/>
                <w:color w:val="auto"/>
                <w:kern w:val="0"/>
                <w:sz w:val="24"/>
                <w:szCs w:val="24"/>
                <w:highlight w:val="none"/>
              </w:rPr>
              <w:t>。</w:t>
            </w:r>
          </w:p>
          <w:p w14:paraId="3C916939">
            <w:pPr>
              <w:pStyle w:val="77"/>
              <w:keepNext w:val="0"/>
              <w:keepLines w:val="0"/>
              <w:pageBreakBefore w:val="0"/>
              <w:numPr>
                <w:ilvl w:val="0"/>
                <w:numId w:val="0"/>
              </w:numPr>
              <w:shd w:val="clea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餐厨垃圾</w:t>
            </w:r>
          </w:p>
          <w:p w14:paraId="2070D3B9">
            <w:pPr>
              <w:pStyle w:val="56"/>
              <w:keepNext w:val="0"/>
              <w:keepLines w:val="0"/>
              <w:pageBreakBefore w:val="0"/>
              <w:shd w:val="clear"/>
              <w:kinsoku/>
              <w:wordWrap/>
              <w:overflowPunct/>
              <w:topLinePunct w:val="0"/>
              <w:autoSpaceDE/>
              <w:autoSpaceDN/>
              <w:bidi w:val="0"/>
              <w:snapToGrid w:val="0"/>
              <w:spacing w:line="360" w:lineRule="auto"/>
              <w:ind w:leftChars="0" w:firstLine="480" w:firstLineChars="200"/>
              <w:textAlignment w:val="auto"/>
              <w:outlineLvl w:val="9"/>
              <w:rPr>
                <w:rFonts w:hint="default" w:ascii="Times New Roman" w:hAnsi="Times New Roman" w:eastAsia="宋体" w:cs="Times New Roman"/>
                <w:b w:val="0"/>
                <w:bCs w:val="0"/>
                <w:color w:val="auto"/>
                <w:kern w:val="2"/>
                <w:sz w:val="24"/>
                <w:szCs w:val="24"/>
                <w:highlight w:val="none"/>
                <w:lang w:eastAsia="zh-CN"/>
              </w:rPr>
            </w:pPr>
            <w:r>
              <w:rPr>
                <w:rFonts w:hint="default" w:ascii="Times New Roman" w:hAnsi="Times New Roman" w:eastAsia="宋体" w:cs="Times New Roman"/>
                <w:b w:val="0"/>
                <w:bCs w:val="0"/>
                <w:color w:val="auto"/>
                <w:sz w:val="24"/>
                <w:szCs w:val="24"/>
                <w:highlight w:val="none"/>
              </w:rPr>
              <w:t>食堂餐厨垃圾主要为食品加工过程中产生的剩饭剩菜及</w:t>
            </w:r>
            <w:r>
              <w:rPr>
                <w:rFonts w:hint="default" w:ascii="Times New Roman" w:hAnsi="Times New Roman" w:eastAsia="宋体" w:cs="Times New Roman"/>
                <w:b w:val="0"/>
                <w:bCs w:val="0"/>
                <w:color w:val="auto"/>
                <w:sz w:val="24"/>
                <w:szCs w:val="24"/>
                <w:highlight w:val="none"/>
                <w:lang w:eastAsia="zh-CN"/>
              </w:rPr>
              <w:t>隔油池废油</w:t>
            </w:r>
            <w:r>
              <w:rPr>
                <w:rFonts w:hint="default" w:ascii="Times New Roman" w:hAnsi="Times New Roman" w:eastAsia="宋体" w:cs="Times New Roman"/>
                <w:b w:val="0"/>
                <w:bCs w:val="0"/>
                <w:color w:val="auto"/>
                <w:sz w:val="24"/>
                <w:szCs w:val="24"/>
                <w:highlight w:val="none"/>
              </w:rPr>
              <w:t>，根据相关经验数据，餐厨垃圾以平均0.3kg/人次•d计，食堂就餐人数</w:t>
            </w:r>
            <w:r>
              <w:rPr>
                <w:rFonts w:hint="default" w:ascii="Times New Roman" w:hAnsi="Times New Roman" w:eastAsia="宋体" w:cs="Times New Roman"/>
                <w:b w:val="0"/>
                <w:bCs w:val="0"/>
                <w:color w:val="auto"/>
                <w:sz w:val="24"/>
                <w:szCs w:val="24"/>
                <w:highlight w:val="none"/>
                <w:lang w:val="en-US" w:eastAsia="zh-CN"/>
              </w:rPr>
              <w:t>20</w:t>
            </w:r>
            <w:r>
              <w:rPr>
                <w:rFonts w:hint="default" w:ascii="Times New Roman" w:hAnsi="Times New Roman" w:eastAsia="宋体" w:cs="Times New Roman"/>
                <w:b w:val="0"/>
                <w:bCs w:val="0"/>
                <w:color w:val="auto"/>
                <w:sz w:val="24"/>
                <w:szCs w:val="24"/>
                <w:highlight w:val="none"/>
              </w:rPr>
              <w:t>人/d，则产生餐厨垃圾为</w:t>
            </w:r>
            <w:r>
              <w:rPr>
                <w:rFonts w:hint="default" w:ascii="Times New Roman" w:hAnsi="Times New Roman" w:eastAsia="宋体" w:cs="Times New Roman"/>
                <w:b w:val="0"/>
                <w:bCs w:val="0"/>
                <w:color w:val="auto"/>
                <w:sz w:val="24"/>
                <w:szCs w:val="24"/>
                <w:highlight w:val="none"/>
                <w:lang w:val="en-US" w:eastAsia="zh-CN"/>
              </w:rPr>
              <w:t>6</w:t>
            </w:r>
            <w:r>
              <w:rPr>
                <w:rFonts w:hint="default" w:ascii="Times New Roman" w:hAnsi="Times New Roman" w:eastAsia="宋体" w:cs="Times New Roman"/>
                <w:b w:val="0"/>
                <w:bCs w:val="0"/>
                <w:color w:val="auto"/>
                <w:sz w:val="24"/>
                <w:szCs w:val="24"/>
                <w:highlight w:val="none"/>
              </w:rPr>
              <w:t>kg/d，</w:t>
            </w:r>
            <w:r>
              <w:rPr>
                <w:rFonts w:hint="default" w:ascii="Times New Roman" w:hAnsi="Times New Roman" w:eastAsia="宋体" w:cs="Times New Roman"/>
                <w:b w:val="0"/>
                <w:bCs w:val="0"/>
                <w:color w:val="auto"/>
                <w:sz w:val="24"/>
                <w:szCs w:val="24"/>
                <w:highlight w:val="none"/>
                <w:lang w:val="en-US" w:eastAsia="zh-CN"/>
              </w:rPr>
              <w:t>1.8</w:t>
            </w:r>
            <w:r>
              <w:rPr>
                <w:rFonts w:hint="default" w:ascii="Times New Roman" w:hAnsi="Times New Roman" w:eastAsia="宋体" w:cs="Times New Roman"/>
                <w:b w:val="0"/>
                <w:bCs w:val="0"/>
                <w:color w:val="auto"/>
                <w:sz w:val="24"/>
                <w:szCs w:val="24"/>
                <w:highlight w:val="none"/>
              </w:rPr>
              <w:t>t/a。食堂餐厨垃圾通过加盖塑料桶收集后</w:t>
            </w:r>
            <w:r>
              <w:rPr>
                <w:rFonts w:hint="default" w:ascii="Times New Roman" w:hAnsi="Times New Roman" w:eastAsia="宋体" w:cs="Times New Roman"/>
                <w:b w:val="0"/>
                <w:bCs w:val="0"/>
                <w:color w:val="auto"/>
                <w:sz w:val="24"/>
                <w:szCs w:val="24"/>
                <w:highlight w:val="none"/>
                <w:lang w:eastAsia="zh-CN"/>
              </w:rPr>
              <w:t>由有资质的单位定期清运、处置</w:t>
            </w:r>
            <w:r>
              <w:rPr>
                <w:rFonts w:hint="default" w:ascii="Times New Roman" w:hAnsi="Times New Roman" w:eastAsia="宋体" w:cs="Times New Roman"/>
                <w:b w:val="0"/>
                <w:bCs w:val="0"/>
                <w:color w:val="auto"/>
                <w:sz w:val="24"/>
                <w:szCs w:val="24"/>
                <w:highlight w:val="none"/>
              </w:rPr>
              <w:t>。</w:t>
            </w:r>
          </w:p>
          <w:p w14:paraId="4C6B7638">
            <w:pPr>
              <w:pStyle w:val="77"/>
              <w:keepNext w:val="0"/>
              <w:keepLines w:val="0"/>
              <w:pageBreakBefore w:val="0"/>
              <w:shd w:val="clear"/>
              <w:kinsoku/>
              <w:wordWrap/>
              <w:overflowPunct/>
              <w:topLinePunct w:val="0"/>
              <w:autoSpaceDE w:val="0"/>
              <w:autoSpaceDN w:val="0"/>
              <w:bidi w:val="0"/>
              <w:adjustRightInd/>
              <w:spacing w:beforeLines="0" w:afterLines="0" w:line="360" w:lineRule="auto"/>
              <w:ind w:left="0" w:leftChars="0" w:right="0"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3、危险废物</w:t>
            </w:r>
          </w:p>
          <w:p w14:paraId="4D8FB5F8">
            <w:pPr>
              <w:pStyle w:val="77"/>
              <w:keepNext w:val="0"/>
              <w:keepLines w:val="0"/>
              <w:pageBreakBefore w:val="0"/>
              <w:widowControl w:val="0"/>
              <w:shd w:val="clear"/>
              <w:kinsoku/>
              <w:wordWrap/>
              <w:overflowPunct/>
              <w:topLinePunct w:val="0"/>
              <w:autoSpaceDE w:val="0"/>
              <w:autoSpaceDN w:val="0"/>
              <w:bidi w:val="0"/>
              <w:adjustRightInd/>
              <w:snapToGrid/>
              <w:spacing w:beforeLines="0" w:afterLines="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lang w:val="en-US" w:eastAsia="zh-CN"/>
              </w:rPr>
              <w:t>（1）废气处</w:t>
            </w:r>
            <w:r>
              <w:rPr>
                <w:rFonts w:hint="default" w:ascii="Times New Roman" w:hAnsi="Times New Roman" w:eastAsia="宋体" w:cs="Times New Roman"/>
                <w:color w:val="auto"/>
                <w:kern w:val="2"/>
                <w:sz w:val="24"/>
                <w:szCs w:val="24"/>
                <w:highlight w:val="none"/>
                <w:lang w:val="en-US" w:eastAsia="zh-CN" w:bidi="ar-SA"/>
              </w:rPr>
              <w:t>理过程产生的废活性炭</w:t>
            </w:r>
          </w:p>
          <w:p w14:paraId="12720E11">
            <w:pPr>
              <w:pStyle w:val="99"/>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yellow"/>
                <w:lang w:val="en-US" w:eastAsia="zh-CN"/>
              </w:rPr>
            </w:pPr>
            <w:r>
              <w:rPr>
                <w:rFonts w:hint="default" w:ascii="Times New Roman" w:hAnsi="Times New Roman" w:eastAsia="宋体" w:cs="Times New Roman"/>
                <w:color w:val="auto"/>
                <w:kern w:val="2"/>
                <w:sz w:val="24"/>
                <w:szCs w:val="24"/>
                <w:highlight w:val="none"/>
                <w:lang w:val="en-US" w:eastAsia="zh-CN" w:bidi="ar-SA"/>
              </w:rPr>
              <w:t>项目生产废气采用</w:t>
            </w:r>
            <w:r>
              <w:rPr>
                <w:rFonts w:hint="eastAsia" w:eastAsia="宋体" w:cs="Times New Roman"/>
                <w:color w:val="auto"/>
                <w:kern w:val="2"/>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级活性炭吸附装置”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运营</w:t>
            </w:r>
            <w:r>
              <w:rPr>
                <w:rFonts w:hint="default" w:ascii="Times New Roman" w:hAnsi="Times New Roman" w:eastAsia="宋体" w:cs="Times New Roman"/>
                <w:color w:val="auto"/>
                <w:sz w:val="24"/>
                <w:szCs w:val="24"/>
                <w:highlight w:val="none"/>
              </w:rPr>
              <w:t>过程中会产生</w:t>
            </w:r>
            <w:r>
              <w:rPr>
                <w:rFonts w:hint="default" w:ascii="Times New Roman" w:hAnsi="Times New Roman" w:eastAsia="宋体" w:cs="Times New Roman"/>
                <w:b w:val="0"/>
                <w:bCs w:val="0"/>
                <w:color w:val="auto"/>
                <w:sz w:val="24"/>
                <w:szCs w:val="24"/>
                <w:highlight w:val="none"/>
                <w:lang w:val="en-US" w:eastAsia="zh-CN"/>
              </w:rPr>
              <w:t>废活性炭。</w:t>
            </w:r>
            <w:r>
              <w:rPr>
                <w:rFonts w:hint="default" w:ascii="Times New Roman" w:hAnsi="Times New Roman" w:eastAsia="宋体" w:cs="Times New Roman"/>
                <w:color w:val="auto"/>
                <w:sz w:val="24"/>
                <w:szCs w:val="24"/>
                <w:highlight w:val="none"/>
                <w:lang w:bidi="en-US"/>
              </w:rPr>
              <w:t>本项目使用</w:t>
            </w:r>
            <w:r>
              <w:rPr>
                <w:rFonts w:hint="default" w:ascii="Times New Roman" w:hAnsi="Times New Roman" w:eastAsia="宋体" w:cs="Times New Roman"/>
                <w:color w:val="auto"/>
                <w:sz w:val="24"/>
                <w:szCs w:val="24"/>
                <w:highlight w:val="none"/>
              </w:rPr>
              <w:t>活性炭处理设施对</w:t>
            </w:r>
            <w:r>
              <w:rPr>
                <w:rFonts w:hint="default" w:ascii="Times New Roman" w:hAnsi="Times New Roman" w:eastAsia="宋体" w:cs="Times New Roman"/>
                <w:bCs/>
                <w:color w:val="auto"/>
                <w:sz w:val="24"/>
                <w:szCs w:val="24"/>
                <w:highlight w:val="none"/>
              </w:rPr>
              <w:t>有组织</w:t>
            </w:r>
            <w:r>
              <w:rPr>
                <w:rFonts w:hint="default" w:ascii="Times New Roman" w:hAnsi="Times New Roman" w:eastAsia="宋体" w:cs="Times New Roman"/>
                <w:bCs/>
                <w:color w:val="auto"/>
                <w:sz w:val="24"/>
                <w:szCs w:val="24"/>
                <w:highlight w:val="none"/>
                <w:lang w:val="en-US" w:eastAsia="zh-CN"/>
              </w:rPr>
              <w:t>废气</w:t>
            </w:r>
            <w:r>
              <w:rPr>
                <w:rFonts w:hint="default" w:ascii="Times New Roman" w:hAnsi="Times New Roman" w:eastAsia="宋体" w:cs="Times New Roman"/>
                <w:bCs/>
                <w:color w:val="auto"/>
                <w:sz w:val="24"/>
                <w:szCs w:val="24"/>
                <w:highlight w:val="none"/>
              </w:rPr>
              <w:t>进行吸附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rPr>
              <w:t>活性炭</w:t>
            </w:r>
            <w:r>
              <w:rPr>
                <w:rFonts w:hint="default" w:ascii="Times New Roman" w:hAnsi="Times New Roman" w:eastAsia="宋体" w:cs="Times New Roman"/>
                <w:color w:val="auto"/>
                <w:kern w:val="0"/>
                <w:sz w:val="24"/>
                <w:szCs w:val="24"/>
                <w:highlight w:val="none"/>
                <w:lang w:val="en-US" w:eastAsia="zh-CN"/>
              </w:rPr>
              <w:t>重复</w:t>
            </w:r>
            <w:r>
              <w:rPr>
                <w:rFonts w:hint="default" w:ascii="Times New Roman" w:hAnsi="Times New Roman" w:eastAsia="宋体" w:cs="Times New Roman"/>
                <w:color w:val="auto"/>
                <w:kern w:val="0"/>
                <w:sz w:val="24"/>
                <w:szCs w:val="24"/>
                <w:highlight w:val="none"/>
              </w:rPr>
              <w:t>使用一段时间后会失效，</w:t>
            </w:r>
            <w:r>
              <w:rPr>
                <w:rFonts w:hint="default" w:ascii="Times New Roman" w:hAnsi="Times New Roman" w:eastAsia="宋体" w:cs="Times New Roman"/>
                <w:color w:val="auto"/>
                <w:sz w:val="24"/>
                <w:szCs w:val="24"/>
                <w:highlight w:val="none"/>
              </w:rPr>
              <w:t>参考陆良杰、王京刚在《化工环保》2007年05期发表的《挥发性有机物的物化性质与活性炭饱和吸附量的相关性研究》，活性炭对</w:t>
            </w:r>
            <w:r>
              <w:rPr>
                <w:rFonts w:hint="default" w:ascii="Times New Roman" w:hAnsi="Times New Roman" w:eastAsia="宋体" w:cs="Times New Roman"/>
                <w:color w:val="auto"/>
                <w:sz w:val="24"/>
                <w:szCs w:val="24"/>
                <w:highlight w:val="none"/>
                <w:lang w:eastAsia="zh-CN"/>
              </w:rPr>
              <w:t>挥发性有机废气</w:t>
            </w:r>
            <w:r>
              <w:rPr>
                <w:rFonts w:hint="default" w:ascii="Times New Roman" w:hAnsi="Times New Roman" w:eastAsia="宋体" w:cs="Times New Roman"/>
                <w:color w:val="auto"/>
                <w:sz w:val="24"/>
                <w:szCs w:val="24"/>
                <w:highlight w:val="none"/>
              </w:rPr>
              <w:t>的饱和吸附量为280mg/g，项目吸附</w:t>
            </w:r>
            <w:r>
              <w:rPr>
                <w:rFonts w:hint="default" w:ascii="Times New Roman" w:hAnsi="Times New Roman" w:eastAsia="宋体" w:cs="Times New Roman"/>
                <w:color w:val="auto"/>
                <w:sz w:val="24"/>
                <w:szCs w:val="24"/>
                <w:highlight w:val="none"/>
                <w:lang w:eastAsia="zh-CN"/>
              </w:rPr>
              <w:t>挥发性有机废气</w:t>
            </w:r>
            <w:r>
              <w:rPr>
                <w:rFonts w:hint="default" w:ascii="Times New Roman" w:hAnsi="Times New Roman" w:eastAsia="宋体" w:cs="Times New Roman"/>
                <w:color w:val="auto"/>
                <w:sz w:val="24"/>
                <w:szCs w:val="24"/>
                <w:highlight w:val="none"/>
              </w:rPr>
              <w:t>量为</w:t>
            </w:r>
            <w:r>
              <w:rPr>
                <w:rFonts w:hint="eastAsia" w:eastAsia="宋体" w:cs="Times New Roman"/>
                <w:color w:val="auto"/>
                <w:sz w:val="24"/>
                <w:szCs w:val="24"/>
                <w:highlight w:val="none"/>
                <w:lang w:val="en-US" w:eastAsia="zh-CN"/>
              </w:rPr>
              <w:t>1.7748</w:t>
            </w:r>
            <w:r>
              <w:rPr>
                <w:rFonts w:hint="default" w:ascii="Times New Roman" w:hAnsi="Times New Roman" w:eastAsia="宋体" w:cs="Times New Roman"/>
                <w:color w:val="auto"/>
                <w:sz w:val="24"/>
                <w:szCs w:val="24"/>
                <w:highlight w:val="none"/>
              </w:rPr>
              <w:t>t</w:t>
            </w:r>
            <w:r>
              <w:rPr>
                <w:rFonts w:hint="eastAsia"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rPr>
              <w:t>，则活性炭用量为</w:t>
            </w:r>
            <w:r>
              <w:rPr>
                <w:rFonts w:hint="eastAsia" w:eastAsia="宋体" w:cs="Times New Roman"/>
                <w:color w:val="auto"/>
                <w:sz w:val="24"/>
                <w:szCs w:val="24"/>
                <w:highlight w:val="none"/>
                <w:lang w:val="en-US" w:eastAsia="zh-CN"/>
              </w:rPr>
              <w:t>6.3386</w:t>
            </w:r>
            <w:r>
              <w:rPr>
                <w:rFonts w:hint="default" w:ascii="Times New Roman" w:hAnsi="Times New Roman" w:eastAsia="宋体" w:cs="Times New Roman"/>
                <w:color w:val="auto"/>
                <w:sz w:val="24"/>
                <w:szCs w:val="24"/>
                <w:highlight w:val="none"/>
              </w:rPr>
              <w:t>t/a，废活性炭产生量为</w:t>
            </w:r>
            <w:r>
              <w:rPr>
                <w:rFonts w:hint="eastAsia" w:eastAsia="宋体" w:cs="Times New Roman"/>
                <w:color w:val="auto"/>
                <w:sz w:val="24"/>
                <w:szCs w:val="24"/>
                <w:highlight w:val="none"/>
                <w:lang w:val="en-US" w:eastAsia="zh-CN"/>
              </w:rPr>
              <w:t>8.1134</w:t>
            </w:r>
            <w:r>
              <w:rPr>
                <w:rFonts w:hint="default" w:ascii="Times New Roman" w:hAnsi="Times New Roman" w:eastAsia="宋体" w:cs="Times New Roman"/>
                <w:color w:val="auto"/>
                <w:sz w:val="24"/>
                <w:szCs w:val="24"/>
                <w:highlight w:val="none"/>
              </w:rPr>
              <w:t>t/a</w:t>
            </w:r>
            <w:r>
              <w:rPr>
                <w:rFonts w:hint="default" w:ascii="Times New Roman" w:hAnsi="Times New Roman" w:eastAsia="宋体" w:cs="Times New Roman"/>
                <w:color w:val="auto"/>
                <w:sz w:val="24"/>
                <w:szCs w:val="24"/>
                <w:highlight w:val="none"/>
                <w:lang w:val="en-US" w:eastAsia="zh-CN"/>
              </w:rPr>
              <w:t>。</w:t>
            </w:r>
          </w:p>
          <w:p w14:paraId="71297A81">
            <w:pPr>
              <w:pStyle w:val="99"/>
              <w:keepNext w:val="0"/>
              <w:keepLines w:val="0"/>
              <w:pageBreakBefore w:val="0"/>
              <w:shd w:val="clear" w:color="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0"/>
                <w:sz w:val="24"/>
                <w:szCs w:val="24"/>
                <w:highlight w:val="none"/>
              </w:rPr>
            </w:pPr>
            <w:r>
              <w:rPr>
                <w:rFonts w:hint="default" w:ascii="Times New Roman" w:hAnsi="Times New Roman" w:eastAsia="宋体" w:cs="Times New Roman"/>
                <w:color w:val="auto"/>
                <w:sz w:val="24"/>
                <w:szCs w:val="24"/>
                <w:highlight w:val="none"/>
                <w:lang w:bidi="ar"/>
              </w:rPr>
              <w:t>根据《国家危险废物名录》</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2021年版</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，废活性炭属于</w:t>
            </w:r>
            <w:r>
              <w:rPr>
                <w:rFonts w:hint="default" w:ascii="Times New Roman" w:hAnsi="Times New Roman" w:eastAsia="宋体" w:cs="Times New Roman"/>
                <w:color w:val="auto"/>
                <w:sz w:val="24"/>
                <w:szCs w:val="24"/>
                <w:highlight w:val="none"/>
                <w:lang w:eastAsia="zh-CN"/>
              </w:rPr>
              <w:t>HW49其他废物</w:t>
            </w:r>
            <w:r>
              <w:rPr>
                <w:rFonts w:hint="default" w:ascii="Times New Roman" w:hAnsi="Times New Roman" w:eastAsia="宋体" w:cs="Times New Roman"/>
                <w:color w:val="auto"/>
                <w:sz w:val="24"/>
                <w:szCs w:val="24"/>
                <w:highlight w:val="none"/>
                <w:lang w:val="en-US" w:eastAsia="zh-CN"/>
              </w:rPr>
              <w:t>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900-0</w:t>
            </w:r>
            <w:r>
              <w:rPr>
                <w:rFonts w:hint="default" w:ascii="Times New Roman" w:hAnsi="Times New Roman" w:eastAsia="宋体" w:cs="Times New Roman"/>
                <w:bCs/>
                <w:color w:val="auto"/>
                <w:kern w:val="0"/>
                <w:sz w:val="24"/>
                <w:szCs w:val="24"/>
                <w:highlight w:val="none"/>
                <w:lang w:val="en-US" w:eastAsia="zh-CN"/>
              </w:rPr>
              <w:t>39</w:t>
            </w:r>
            <w:r>
              <w:rPr>
                <w:rFonts w:hint="default" w:ascii="Times New Roman" w:hAnsi="Times New Roman" w:eastAsia="宋体" w:cs="Times New Roman"/>
                <w:bCs/>
                <w:color w:val="auto"/>
                <w:kern w:val="0"/>
                <w:sz w:val="24"/>
                <w:szCs w:val="24"/>
                <w:highlight w:val="none"/>
              </w:rPr>
              <w:t>-</w:t>
            </w:r>
            <w:r>
              <w:rPr>
                <w:rFonts w:hint="default" w:ascii="Times New Roman" w:hAnsi="Times New Roman" w:eastAsia="宋体" w:cs="Times New Roman"/>
                <w:bCs/>
                <w:color w:val="auto"/>
                <w:kern w:val="0"/>
                <w:sz w:val="24"/>
                <w:szCs w:val="24"/>
                <w:highlight w:val="none"/>
                <w:lang w:val="en-US" w:eastAsia="zh-CN"/>
              </w:rPr>
              <w:t>4</w:t>
            </w:r>
            <w:r>
              <w:rPr>
                <w:rFonts w:hint="default" w:ascii="Times New Roman" w:hAnsi="Times New Roman" w:eastAsia="宋体" w:cs="Times New Roman"/>
                <w:bCs/>
                <w:color w:val="auto"/>
                <w:kern w:val="0"/>
                <w:sz w:val="24"/>
                <w:szCs w:val="24"/>
                <w:highlight w:val="none"/>
              </w:rPr>
              <w:t>9</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废活性炭收集暂存于危废暂存间后，委托资质单位</w:t>
            </w:r>
            <w:r>
              <w:rPr>
                <w:rFonts w:hint="default" w:ascii="Times New Roman" w:hAnsi="Times New Roman" w:eastAsia="宋体" w:cs="Times New Roman"/>
                <w:color w:val="auto"/>
                <w:sz w:val="24"/>
                <w:szCs w:val="24"/>
                <w:highlight w:val="none"/>
                <w:lang w:eastAsia="zh-CN"/>
              </w:rPr>
              <w:t>清运处置</w:t>
            </w:r>
            <w:r>
              <w:rPr>
                <w:rFonts w:hint="default" w:ascii="Times New Roman" w:hAnsi="Times New Roman" w:eastAsia="宋体" w:cs="Times New Roman"/>
                <w:color w:val="auto"/>
                <w:sz w:val="24"/>
                <w:szCs w:val="24"/>
                <w:highlight w:val="none"/>
              </w:rPr>
              <w:t>。</w:t>
            </w:r>
          </w:p>
          <w:p w14:paraId="3ACE8209">
            <w:pPr>
              <w:keepNext w:val="0"/>
              <w:keepLines w:val="0"/>
              <w:pageBreakBefore w:val="0"/>
              <w:shd w:val="clear"/>
              <w:kinsoku/>
              <w:wordWrap/>
              <w:overflowPunct/>
              <w:topLinePunct w:val="0"/>
              <w:autoSpaceDE/>
              <w:autoSpaceDN/>
              <w:bidi w:val="0"/>
              <w:adjustRightIn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机修废物</w:t>
            </w:r>
          </w:p>
          <w:p w14:paraId="48867348">
            <w:pPr>
              <w:keepNext w:val="0"/>
              <w:keepLines w:val="0"/>
              <w:pageBreakBefore w:val="0"/>
              <w:shd w:val="clear"/>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bCs/>
                <w:color w:val="auto"/>
                <w:sz w:val="24"/>
                <w:szCs w:val="24"/>
                <w:highlight w:val="none"/>
              </w:rPr>
              <w:t>建设单位提供资料，项目区内的机械设备需定期进行维修保养，该过程会产生废机油及</w:t>
            </w:r>
            <w:r>
              <w:rPr>
                <w:rFonts w:hint="default" w:ascii="Times New Roman" w:hAnsi="Times New Roman" w:eastAsia="宋体" w:cs="Times New Roman"/>
                <w:color w:val="auto"/>
                <w:sz w:val="24"/>
                <w:szCs w:val="24"/>
                <w:highlight w:val="none"/>
              </w:rPr>
              <w:t>工作人员工作使用的废弃手套、毛巾等，</w:t>
            </w:r>
            <w:r>
              <w:rPr>
                <w:rFonts w:hint="default" w:ascii="Times New Roman" w:hAnsi="Times New Roman" w:eastAsia="宋体" w:cs="Times New Roman"/>
                <w:bCs/>
                <w:color w:val="auto"/>
                <w:sz w:val="24"/>
                <w:szCs w:val="24"/>
                <w:highlight w:val="none"/>
              </w:rPr>
              <w:t>废机油产生</w:t>
            </w:r>
            <w:r>
              <w:rPr>
                <w:rFonts w:hint="default" w:ascii="Times New Roman" w:hAnsi="Times New Roman" w:eastAsia="宋体" w:cs="Times New Roman"/>
                <w:bCs/>
                <w:color w:val="auto"/>
                <w:sz w:val="24"/>
                <w:szCs w:val="24"/>
                <w:highlight w:val="none"/>
                <w:lang w:eastAsia="zh-CN"/>
              </w:rPr>
              <w:t>量</w:t>
            </w:r>
            <w:r>
              <w:rPr>
                <w:rFonts w:hint="default" w:ascii="Times New Roman" w:hAnsi="Times New Roman" w:eastAsia="宋体" w:cs="Times New Roman"/>
                <w:color w:val="auto"/>
                <w:sz w:val="24"/>
                <w:szCs w:val="24"/>
                <w:highlight w:val="none"/>
              </w:rPr>
              <w:t>约为0.</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t/a，废弃的含油抹布、劳保用品等</w:t>
            </w:r>
            <w:r>
              <w:rPr>
                <w:rFonts w:hint="default" w:ascii="Times New Roman" w:hAnsi="Times New Roman" w:eastAsia="宋体" w:cs="Times New Roman"/>
                <w:bCs/>
                <w:color w:val="auto"/>
                <w:sz w:val="24"/>
                <w:szCs w:val="24"/>
                <w:highlight w:val="none"/>
              </w:rPr>
              <w:t>产生</w:t>
            </w:r>
            <w:r>
              <w:rPr>
                <w:rFonts w:hint="default" w:ascii="Times New Roman" w:hAnsi="Times New Roman" w:eastAsia="宋体" w:cs="Times New Roman"/>
                <w:color w:val="auto"/>
                <w:sz w:val="24"/>
                <w:szCs w:val="24"/>
                <w:highlight w:val="none"/>
              </w:rPr>
              <w:t>约为0.</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t/a。</w:t>
            </w:r>
            <w:r>
              <w:rPr>
                <w:rStyle w:val="92"/>
                <w:rFonts w:hint="default" w:ascii="Times New Roman" w:hAnsi="Times New Roman" w:eastAsia="宋体" w:cs="Times New Roman"/>
                <w:color w:val="auto"/>
                <w:spacing w:val="0"/>
                <w:sz w:val="24"/>
                <w:szCs w:val="24"/>
                <w:highlight w:val="none"/>
              </w:rPr>
              <w:t>根据</w:t>
            </w:r>
            <w:r>
              <w:rPr>
                <w:rFonts w:hint="default" w:ascii="Times New Roman" w:hAnsi="Times New Roman" w:eastAsia="宋体" w:cs="Times New Roman"/>
                <w:color w:val="auto"/>
                <w:sz w:val="24"/>
                <w:szCs w:val="24"/>
                <w:highlight w:val="none"/>
              </w:rPr>
              <w:t>《国家危险废物名录》（</w:t>
            </w:r>
            <w:r>
              <w:rPr>
                <w:rFonts w:hint="default" w:ascii="Times New Roman" w:hAnsi="Times New Roman" w:eastAsia="宋体" w:cs="Times New Roman"/>
                <w:color w:val="auto"/>
                <w:sz w:val="24"/>
                <w:szCs w:val="24"/>
                <w:highlight w:val="none"/>
                <w:lang w:val="en-US" w:eastAsia="zh-CN"/>
              </w:rPr>
              <w:t>2021</w:t>
            </w:r>
            <w:r>
              <w:rPr>
                <w:rFonts w:hint="default" w:ascii="Times New Roman" w:hAnsi="Times New Roman" w:eastAsia="宋体" w:cs="Times New Roman"/>
                <w:color w:val="auto"/>
                <w:sz w:val="24"/>
                <w:szCs w:val="24"/>
                <w:highlight w:val="none"/>
              </w:rPr>
              <w:t>版）</w:t>
            </w:r>
            <w:r>
              <w:rPr>
                <w:rFonts w:hint="default"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lang w:bidi="ar"/>
              </w:rPr>
              <w:t>属于</w:t>
            </w:r>
            <w:r>
              <w:rPr>
                <w:rFonts w:hint="default" w:ascii="Times New Roman" w:hAnsi="Times New Roman" w:eastAsia="宋体" w:cs="Times New Roman"/>
                <w:color w:val="auto"/>
                <w:sz w:val="24"/>
                <w:szCs w:val="24"/>
                <w:highlight w:val="none"/>
                <w:lang w:eastAsia="zh-CN"/>
              </w:rPr>
              <w:t>HW</w:t>
            </w:r>
            <w:r>
              <w:rPr>
                <w:rFonts w:hint="default" w:ascii="Times New Roman" w:hAnsi="Times New Roman" w:eastAsia="宋体" w:cs="Times New Roman"/>
                <w:color w:val="auto"/>
                <w:sz w:val="24"/>
                <w:szCs w:val="24"/>
                <w:highlight w:val="none"/>
                <w:lang w:val="en-US" w:eastAsia="zh-CN"/>
              </w:rPr>
              <w:t>08废矿物油与含矿物油废物类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w:t>
            </w:r>
            <w:r>
              <w:rPr>
                <w:rFonts w:hint="default" w:ascii="Times New Roman" w:hAnsi="Times New Roman" w:eastAsia="宋体" w:cs="Times New Roman"/>
                <w:bCs/>
                <w:color w:val="auto"/>
                <w:kern w:val="0"/>
                <w:sz w:val="24"/>
                <w:szCs w:val="24"/>
                <w:highlight w:val="none"/>
                <w:lang w:val="en-US" w:eastAsia="zh-CN"/>
              </w:rPr>
              <w:t>214</w:t>
            </w:r>
            <w:r>
              <w:rPr>
                <w:rFonts w:hint="default" w:ascii="Times New Roman" w:hAnsi="Times New Roman" w:eastAsia="宋体" w:cs="Times New Roman"/>
                <w:bCs/>
                <w:color w:val="auto"/>
                <w:kern w:val="0"/>
                <w:sz w:val="24"/>
                <w:szCs w:val="24"/>
                <w:highlight w:val="none"/>
              </w:rPr>
              <w:t>-</w:t>
            </w:r>
            <w:r>
              <w:rPr>
                <w:rFonts w:hint="default" w:ascii="Times New Roman" w:hAnsi="Times New Roman" w:eastAsia="宋体" w:cs="Times New Roman"/>
                <w:bCs/>
                <w:color w:val="auto"/>
                <w:kern w:val="0"/>
                <w:sz w:val="24"/>
                <w:szCs w:val="24"/>
                <w:highlight w:val="none"/>
                <w:lang w:val="en-US" w:eastAsia="zh-CN"/>
              </w:rPr>
              <w:t>08；</w:t>
            </w:r>
            <w:r>
              <w:rPr>
                <w:rFonts w:hint="default" w:ascii="Times New Roman" w:hAnsi="Times New Roman" w:eastAsia="宋体" w:cs="Times New Roman"/>
                <w:color w:val="auto"/>
                <w:sz w:val="24"/>
                <w:szCs w:val="24"/>
                <w:highlight w:val="none"/>
              </w:rPr>
              <w:t>废弃的含油抹布、劳保用品</w:t>
            </w:r>
            <w:r>
              <w:rPr>
                <w:rFonts w:hint="default" w:ascii="Times New Roman" w:hAnsi="Times New Roman" w:eastAsia="宋体" w:cs="Times New Roman"/>
                <w:color w:val="auto"/>
                <w:sz w:val="24"/>
                <w:szCs w:val="24"/>
                <w:highlight w:val="none"/>
                <w:lang w:eastAsia="zh-CN"/>
              </w:rPr>
              <w:t>属于</w:t>
            </w:r>
            <w:r>
              <w:rPr>
                <w:rFonts w:hint="default" w:ascii="Times New Roman" w:hAnsi="Times New Roman" w:eastAsia="宋体" w:cs="Times New Roman"/>
                <w:color w:val="auto"/>
                <w:sz w:val="24"/>
                <w:szCs w:val="24"/>
                <w:highlight w:val="none"/>
              </w:rPr>
              <w:t>HW49其他废物</w:t>
            </w:r>
            <w:r>
              <w:rPr>
                <w:rFonts w:hint="default" w:ascii="Times New Roman" w:hAnsi="Times New Roman" w:eastAsia="宋体" w:cs="Times New Roman"/>
                <w:color w:val="auto"/>
                <w:sz w:val="24"/>
                <w:szCs w:val="24"/>
                <w:highlight w:val="none"/>
                <w:lang w:val="en-US" w:eastAsia="zh-CN"/>
              </w:rPr>
              <w:t>类</w:t>
            </w:r>
            <w:r>
              <w:rPr>
                <w:rFonts w:hint="default" w:ascii="Times New Roman" w:hAnsi="Times New Roman" w:eastAsia="宋体" w:cs="Times New Roman"/>
                <w:color w:val="auto"/>
                <w:sz w:val="24"/>
                <w:szCs w:val="24"/>
                <w:highlight w:val="none"/>
              </w:rPr>
              <w:t>危险废物，危废代码为900-041-49</w:t>
            </w:r>
            <w:r>
              <w:rPr>
                <w:rStyle w:val="92"/>
                <w:rFonts w:hint="default" w:ascii="Times New Roman" w:hAnsi="Times New Roman" w:eastAsia="宋体" w:cs="Times New Roman"/>
                <w:color w:val="auto"/>
                <w:spacing w:val="0"/>
                <w:sz w:val="24"/>
                <w:szCs w:val="24"/>
                <w:highlight w:val="none"/>
              </w:rPr>
              <w:t>。</w:t>
            </w:r>
          </w:p>
          <w:p w14:paraId="6E46BEB7">
            <w:pPr>
              <w:pStyle w:val="56"/>
              <w:keepNext w:val="0"/>
              <w:keepLines w:val="0"/>
              <w:pageBreakBefore w:val="0"/>
              <w:shd w:val="clear"/>
              <w:kinsoku/>
              <w:wordWrap/>
              <w:overflowPunct/>
              <w:topLinePunct w:val="0"/>
              <w:autoSpaceDE/>
              <w:autoSpaceDN/>
              <w:bidi w:val="0"/>
              <w:adjustRightInd/>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本次环评提出在</w:t>
            </w:r>
            <w:r>
              <w:rPr>
                <w:rFonts w:hint="default" w:ascii="Times New Roman" w:hAnsi="Times New Roman" w:eastAsia="宋体" w:cs="Times New Roman"/>
                <w:color w:val="auto"/>
                <w:sz w:val="24"/>
                <w:szCs w:val="24"/>
                <w:highlight w:val="none"/>
              </w:rPr>
              <w:t>项目区内设置</w:t>
            </w:r>
            <w:r>
              <w:rPr>
                <w:rFonts w:hint="default" w:ascii="Times New Roman" w:hAnsi="Times New Roman" w:eastAsia="宋体" w:cs="Times New Roman"/>
                <w:color w:val="auto"/>
                <w:sz w:val="24"/>
                <w:szCs w:val="24"/>
                <w:highlight w:val="none"/>
                <w:lang w:val="en-US" w:eastAsia="zh-CN"/>
              </w:rPr>
              <w:t>1间面积约为5m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rPr>
              <w:t>危废暂存间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危险废物暂存间地面</w:t>
            </w:r>
            <w:r>
              <w:rPr>
                <w:rFonts w:hint="default" w:ascii="Times New Roman" w:hAnsi="Times New Roman" w:eastAsia="宋体" w:cs="Times New Roman"/>
                <w:color w:val="auto"/>
                <w:sz w:val="24"/>
                <w:szCs w:val="24"/>
                <w:highlight w:val="none"/>
                <w:lang w:val="en-US" w:eastAsia="zh-CN"/>
              </w:rPr>
              <w:t>和四周墙裙脚</w:t>
            </w:r>
            <w:r>
              <w:rPr>
                <w:rFonts w:hint="default" w:ascii="Times New Roman" w:hAnsi="Times New Roman" w:eastAsia="宋体" w:cs="Times New Roman"/>
                <w:color w:val="auto"/>
                <w:sz w:val="24"/>
                <w:szCs w:val="24"/>
                <w:highlight w:val="none"/>
                <w:lang w:val="zh-CN"/>
              </w:rPr>
              <w:t>采用</w:t>
            </w:r>
            <w:r>
              <w:rPr>
                <w:rFonts w:hint="default" w:ascii="Times New Roman" w:hAnsi="Times New Roman" w:eastAsia="宋体" w:cs="Times New Roman"/>
                <w:color w:val="auto"/>
                <w:kern w:val="2"/>
                <w:sz w:val="24"/>
                <w:szCs w:val="24"/>
                <w:highlight w:val="none"/>
              </w:rPr>
              <w:t>“抗渗混凝土+2mm厚HDPE+环氧树脂涂料”</w:t>
            </w:r>
            <w:r>
              <w:rPr>
                <w:rFonts w:hint="default" w:ascii="Times New Roman" w:hAnsi="Times New Roman" w:eastAsia="宋体" w:cs="Times New Roman"/>
                <w:color w:val="auto"/>
                <w:sz w:val="24"/>
                <w:szCs w:val="24"/>
                <w:highlight w:val="none"/>
                <w:lang w:val="en-US" w:eastAsia="zh-CN"/>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并按照要求设置规范的标识标牌，同时内设</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个专用危废收集容器，</w:t>
            </w:r>
            <w:r>
              <w:rPr>
                <w:rFonts w:hint="default" w:ascii="Times New Roman" w:hAnsi="Times New Roman" w:eastAsia="宋体" w:cs="Times New Roman"/>
                <w:color w:val="auto"/>
                <w:sz w:val="24"/>
                <w:szCs w:val="24"/>
                <w:highlight w:val="none"/>
                <w:lang w:val="en-US" w:eastAsia="zh-CN"/>
              </w:rPr>
              <w:t>将项目区内所有危险废物收集后分区暂存于</w:t>
            </w:r>
            <w:r>
              <w:rPr>
                <w:rFonts w:hint="default" w:ascii="Times New Roman" w:hAnsi="Times New Roman" w:eastAsia="宋体" w:cs="Times New Roman"/>
                <w:color w:val="auto"/>
                <w:sz w:val="24"/>
                <w:szCs w:val="24"/>
                <w:highlight w:val="none"/>
              </w:rPr>
              <w:t>危废暂存间内，最终委托有资质的单位定期清运、处置。</w:t>
            </w:r>
          </w:p>
          <w:p w14:paraId="41B80A45">
            <w:pPr>
              <w:pStyle w:val="5"/>
              <w:keepNext w:val="0"/>
              <w:keepLines w:val="0"/>
              <w:pageBreakBefore w:val="0"/>
              <w:widowControl w:val="0"/>
              <w:shd w:val="clear"/>
              <w:kinsoku/>
              <w:wordWrap/>
              <w:overflowPunct/>
              <w:topLinePunct w:val="0"/>
              <w:autoSpaceDE/>
              <w:autoSpaceDN/>
              <w:bidi w:val="0"/>
              <w:snapToGrid w:val="0"/>
              <w:spacing w:after="0" w:line="356" w:lineRule="auto"/>
              <w:ind w:left="0" w:leftChars="0" w:right="0" w:rightChars="0" w:firstLine="480" w:firstLineChars="200"/>
              <w:jc w:val="both"/>
              <w:textAlignment w:val="auto"/>
              <w:rPr>
                <w:rFonts w:hint="default" w:ascii="Times New Roman" w:hAnsi="Times New Roman" w:eastAsia="宋体" w:cs="Times New Roman"/>
                <w:b w:val="0"/>
                <w:bCs/>
                <w:color w:val="auto"/>
                <w:kern w:val="0"/>
                <w:sz w:val="24"/>
                <w:szCs w:val="24"/>
                <w:highlight w:val="none"/>
              </w:rPr>
            </w:pPr>
            <w:r>
              <w:rPr>
                <w:rFonts w:hint="default" w:ascii="Times New Roman" w:hAnsi="Times New Roman" w:eastAsia="宋体" w:cs="Times New Roman"/>
                <w:b w:val="0"/>
                <w:bCs/>
                <w:color w:val="auto"/>
                <w:kern w:val="0"/>
                <w:sz w:val="24"/>
                <w:szCs w:val="24"/>
                <w:highlight w:val="none"/>
              </w:rPr>
              <w:t>企业严格按照</w:t>
            </w:r>
            <w:r>
              <w:rPr>
                <w:rFonts w:hint="default" w:ascii="Times New Roman" w:hAnsi="Times New Roman" w:eastAsia="宋体" w:cs="Times New Roman"/>
                <w:color w:val="auto"/>
                <w:sz w:val="24"/>
                <w:szCs w:val="24"/>
                <w:highlight w:val="none"/>
              </w:rPr>
              <w:t>《危险废物贮存污染控制标准》（GB 18597-20</w:t>
            </w:r>
            <w:r>
              <w:rPr>
                <w:rFonts w:hint="default" w:ascii="Times New Roman" w:hAnsi="Times New Roman" w:eastAsia="宋体" w:cs="Times New Roman"/>
                <w:color w:val="auto"/>
                <w:sz w:val="24"/>
                <w:szCs w:val="24"/>
                <w:highlight w:val="none"/>
                <w:lang w:val="en-US" w:eastAsia="zh-CN"/>
              </w:rPr>
              <w:t>23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 w:val="0"/>
                <w:bCs/>
                <w:color w:val="auto"/>
                <w:kern w:val="0"/>
                <w:sz w:val="24"/>
                <w:szCs w:val="24"/>
                <w:highlight w:val="none"/>
              </w:rPr>
              <w:t>建设危险废物暂存间，将危险废物分类转入容器内，并粘贴危险废物标签，做好</w:t>
            </w:r>
            <w:r>
              <w:rPr>
                <w:rFonts w:hint="eastAsia" w:cs="Times New Roman"/>
                <w:b w:val="0"/>
                <w:bCs/>
                <w:color w:val="auto"/>
                <w:kern w:val="0"/>
                <w:sz w:val="24"/>
                <w:szCs w:val="24"/>
                <w:highlight w:val="none"/>
                <w:lang w:eastAsia="zh-CN"/>
              </w:rPr>
              <w:t>相应的记录</w:t>
            </w:r>
            <w:r>
              <w:rPr>
                <w:rFonts w:hint="default" w:ascii="Times New Roman" w:hAnsi="Times New Roman" w:eastAsia="宋体" w:cs="Times New Roman"/>
                <w:b w:val="0"/>
                <w:bCs/>
                <w:color w:val="auto"/>
                <w:kern w:val="0"/>
                <w:sz w:val="24"/>
                <w:szCs w:val="24"/>
                <w:highlight w:val="none"/>
              </w:rPr>
              <w:t>。对相应的暂存场建设基础防渗设施、防风、防雨、防晒并配备照明设施等，并与厂区内其它生产单元、办公生活区严格区分、单独隔离。对危险废物的转移处理须严格按照</w:t>
            </w:r>
            <w:r>
              <w:rPr>
                <w:rFonts w:hint="default" w:ascii="Times New Roman" w:hAnsi="Times New Roman" w:eastAsia="宋体" w:cs="Times New Roman"/>
                <w:b w:val="0"/>
                <w:bCs/>
                <w:color w:val="auto"/>
                <w:kern w:val="0"/>
                <w:sz w:val="24"/>
                <w:szCs w:val="24"/>
                <w:highlight w:val="none"/>
                <w:lang w:val="en-US" w:eastAsia="zh-CN"/>
              </w:rPr>
              <w:t>生态环境部</w:t>
            </w:r>
            <w:r>
              <w:rPr>
                <w:rFonts w:hint="default" w:ascii="Times New Roman" w:hAnsi="Times New Roman" w:eastAsia="宋体" w:cs="Times New Roman"/>
                <w:b w:val="0"/>
                <w:bCs/>
                <w:color w:val="auto"/>
                <w:kern w:val="0"/>
                <w:sz w:val="24"/>
                <w:szCs w:val="24"/>
                <w:highlight w:val="none"/>
              </w:rPr>
              <w:t>《危险废物转移管理办法》</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lang w:val="en-US" w:eastAsia="zh-CN"/>
              </w:rPr>
              <w:t>部令第23号</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rPr>
              <w:t>执行。</w:t>
            </w:r>
          </w:p>
          <w:p w14:paraId="2BA5FDFF">
            <w:pPr>
              <w:pStyle w:val="5"/>
              <w:keepNext w:val="0"/>
              <w:keepLines w:val="0"/>
              <w:pageBreakBefore w:val="0"/>
              <w:widowControl w:val="0"/>
              <w:shd w:val="clear"/>
              <w:kinsoku/>
              <w:wordWrap/>
              <w:overflowPunct/>
              <w:topLinePunct w:val="0"/>
              <w:autoSpaceDE/>
              <w:autoSpaceDN/>
              <w:bidi w:val="0"/>
              <w:snapToGrid w:val="0"/>
              <w:spacing w:after="0" w:line="356" w:lineRule="auto"/>
              <w:ind w:left="0" w:leftChars="0" w:right="0" w:rightChars="0" w:firstLine="480" w:firstLineChars="200"/>
              <w:jc w:val="both"/>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 w:val="0"/>
                <w:bCs/>
                <w:color w:val="auto"/>
                <w:kern w:val="0"/>
                <w:sz w:val="24"/>
                <w:szCs w:val="24"/>
                <w:highlight w:val="none"/>
                <w:lang w:val="zh-CN"/>
              </w:rPr>
              <w:t>项目所涉及的危险废物的危</w:t>
            </w:r>
            <w:r>
              <w:rPr>
                <w:rFonts w:hint="default" w:ascii="Times New Roman" w:hAnsi="Times New Roman" w:eastAsia="宋体" w:cs="Times New Roman"/>
                <w:color w:val="auto"/>
                <w:sz w:val="24"/>
                <w:highlight w:val="none"/>
                <w:lang w:val="zh-CN"/>
              </w:rPr>
              <w:t>险特性见表</w:t>
            </w:r>
            <w:r>
              <w:rPr>
                <w:rFonts w:hint="default"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24</w:t>
            </w:r>
            <w:r>
              <w:rPr>
                <w:rFonts w:hint="default" w:ascii="Times New Roman" w:hAnsi="Times New Roman" w:eastAsia="宋体" w:cs="Times New Roman"/>
                <w:color w:val="auto"/>
                <w:sz w:val="24"/>
                <w:highlight w:val="none"/>
              </w:rPr>
              <w:t>。</w:t>
            </w:r>
          </w:p>
          <w:p w14:paraId="63E296C6">
            <w:pPr>
              <w:pStyle w:val="9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rPr>
            </w:pPr>
          </w:p>
          <w:p w14:paraId="2877F8D5">
            <w:pPr>
              <w:pStyle w:val="9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rPr>
            </w:pPr>
          </w:p>
          <w:p w14:paraId="16374241">
            <w:pPr>
              <w:pStyle w:val="9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rPr>
            </w:pPr>
          </w:p>
          <w:p w14:paraId="2EBEE07B">
            <w:pPr>
              <w:pStyle w:val="9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rPr>
            </w:pPr>
          </w:p>
          <w:p w14:paraId="1F35459C">
            <w:pPr>
              <w:pStyle w:val="94"/>
              <w:keepNext w:val="0"/>
              <w:keepLines w:val="0"/>
              <w:pageBreakBefore w:val="0"/>
              <w:widowControl w:val="0"/>
              <w:shd w:val="clear"/>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w:t>
            </w:r>
            <w:r>
              <w:rPr>
                <w:rFonts w:hint="default" w:ascii="Times New Roman" w:hAnsi="Times New Roman" w:eastAsia="宋体" w:cs="Times New Roman"/>
                <w:color w:val="auto"/>
                <w:sz w:val="21"/>
                <w:szCs w:val="21"/>
                <w:highlight w:val="none"/>
                <w:lang w:val="en-US" w:eastAsia="zh-CN"/>
              </w:rPr>
              <w:t>4-</w:t>
            </w:r>
            <w:r>
              <w:rPr>
                <w:rFonts w:hint="eastAsia"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rPr>
              <w:t xml:space="preserve">  国家危险废物名录（</w:t>
            </w:r>
            <w:r>
              <w:rPr>
                <w:rFonts w:hint="default" w:ascii="Times New Roman" w:hAnsi="Times New Roman" w:eastAsia="宋体" w:cs="Times New Roman"/>
                <w:color w:val="auto"/>
                <w:sz w:val="21"/>
                <w:szCs w:val="21"/>
                <w:highlight w:val="none"/>
                <w:lang w:val="en-US" w:eastAsia="zh-CN"/>
              </w:rPr>
              <w:t>2021</w:t>
            </w:r>
            <w:r>
              <w:rPr>
                <w:rFonts w:hint="default" w:ascii="Times New Roman" w:hAnsi="Times New Roman" w:eastAsia="宋体" w:cs="Times New Roman"/>
                <w:color w:val="auto"/>
                <w:sz w:val="21"/>
                <w:szCs w:val="21"/>
                <w:highlight w:val="none"/>
              </w:rPr>
              <w:t>年）（摘抄）</w:t>
            </w:r>
          </w:p>
          <w:tbl>
            <w:tblPr>
              <w:tblStyle w:val="26"/>
              <w:tblW w:w="85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82"/>
              <w:gridCol w:w="1241"/>
              <w:gridCol w:w="900"/>
              <w:gridCol w:w="900"/>
              <w:gridCol w:w="3546"/>
              <w:gridCol w:w="748"/>
            </w:tblGrid>
            <w:tr w14:paraId="6101A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182" w:type="dxa"/>
                  <w:tcBorders>
                    <w:tl2br w:val="nil"/>
                    <w:tr2bl w:val="nil"/>
                  </w:tcBorders>
                  <w:noWrap w:val="0"/>
                  <w:vAlign w:val="center"/>
                </w:tcPr>
                <w:p w14:paraId="76A83FEA">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1241" w:type="dxa"/>
                  <w:tcBorders>
                    <w:tl2br w:val="nil"/>
                    <w:tr2bl w:val="nil"/>
                  </w:tcBorders>
                  <w:noWrap w:val="0"/>
                  <w:vAlign w:val="center"/>
                </w:tcPr>
                <w:p w14:paraId="457456C6">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废物类别</w:t>
                  </w:r>
                </w:p>
              </w:tc>
              <w:tc>
                <w:tcPr>
                  <w:tcW w:w="900" w:type="dxa"/>
                  <w:tcBorders>
                    <w:tl2br w:val="nil"/>
                    <w:tr2bl w:val="nil"/>
                  </w:tcBorders>
                  <w:noWrap w:val="0"/>
                  <w:vAlign w:val="center"/>
                </w:tcPr>
                <w:p w14:paraId="1646021B">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行业来源</w:t>
                  </w:r>
                </w:p>
              </w:tc>
              <w:tc>
                <w:tcPr>
                  <w:tcW w:w="900" w:type="dxa"/>
                  <w:tcBorders>
                    <w:tl2br w:val="nil"/>
                    <w:tr2bl w:val="nil"/>
                  </w:tcBorders>
                  <w:noWrap w:val="0"/>
                  <w:vAlign w:val="center"/>
                </w:tcPr>
                <w:p w14:paraId="722EB5B2">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废物代码</w:t>
                  </w:r>
                </w:p>
              </w:tc>
              <w:tc>
                <w:tcPr>
                  <w:tcW w:w="3546" w:type="dxa"/>
                  <w:tcBorders>
                    <w:tl2br w:val="nil"/>
                    <w:tr2bl w:val="nil"/>
                  </w:tcBorders>
                  <w:noWrap w:val="0"/>
                  <w:vAlign w:val="center"/>
                </w:tcPr>
                <w:p w14:paraId="3140ED08">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危险废物</w:t>
                  </w:r>
                </w:p>
              </w:tc>
              <w:tc>
                <w:tcPr>
                  <w:tcW w:w="748" w:type="dxa"/>
                  <w:tcBorders>
                    <w:tl2br w:val="nil"/>
                    <w:tr2bl w:val="nil"/>
                  </w:tcBorders>
                  <w:noWrap w:val="0"/>
                  <w:vAlign w:val="center"/>
                </w:tcPr>
                <w:p w14:paraId="4C701A49">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危险特性</w:t>
                  </w:r>
                </w:p>
              </w:tc>
            </w:tr>
            <w:tr w14:paraId="6DD28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7" w:hRule="atLeast"/>
                <w:jc w:val="center"/>
              </w:trPr>
              <w:tc>
                <w:tcPr>
                  <w:tcW w:w="1182" w:type="dxa"/>
                  <w:tcBorders>
                    <w:tl2br w:val="nil"/>
                    <w:tr2bl w:val="nil"/>
                  </w:tcBorders>
                  <w:noWrap w:val="0"/>
                  <w:vAlign w:val="center"/>
                </w:tcPr>
                <w:p w14:paraId="013ACF41">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废活性炭</w:t>
                  </w:r>
                </w:p>
              </w:tc>
              <w:tc>
                <w:tcPr>
                  <w:tcW w:w="1241" w:type="dxa"/>
                  <w:tcBorders>
                    <w:tl2br w:val="nil"/>
                    <w:tr2bl w:val="nil"/>
                  </w:tcBorders>
                  <w:noWrap w:val="0"/>
                  <w:vAlign w:val="center"/>
                </w:tcPr>
                <w:p w14:paraId="113CEC1D">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HW49其他废物</w:t>
                  </w:r>
                </w:p>
              </w:tc>
              <w:tc>
                <w:tcPr>
                  <w:tcW w:w="900" w:type="dxa"/>
                  <w:tcBorders>
                    <w:tl2br w:val="nil"/>
                    <w:tr2bl w:val="nil"/>
                  </w:tcBorders>
                  <w:noWrap w:val="0"/>
                  <w:vAlign w:val="center"/>
                </w:tcPr>
                <w:p w14:paraId="53B2A763">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14:paraId="19D00FBE">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rPr>
                    <w:t>900-0</w:t>
                  </w:r>
                  <w:r>
                    <w:rPr>
                      <w:rFonts w:hint="default" w:ascii="Times New Roman" w:hAnsi="Times New Roman" w:eastAsia="宋体" w:cs="Times New Roman"/>
                      <w:bCs/>
                      <w:color w:val="auto"/>
                      <w:kern w:val="0"/>
                      <w:sz w:val="21"/>
                      <w:szCs w:val="21"/>
                      <w:highlight w:val="none"/>
                      <w:lang w:val="en-US" w:eastAsia="zh-CN"/>
                    </w:rPr>
                    <w:t>39</w:t>
                  </w:r>
                  <w:r>
                    <w:rPr>
                      <w:rFonts w:hint="default" w:ascii="Times New Roman" w:hAnsi="Times New Roman" w:eastAsia="宋体" w:cs="Times New Roman"/>
                      <w:bCs/>
                      <w:color w:val="auto"/>
                      <w:kern w:val="0"/>
                      <w:sz w:val="21"/>
                      <w:szCs w:val="21"/>
                      <w:highlight w:val="none"/>
                    </w:rPr>
                    <w:t>-</w:t>
                  </w:r>
                  <w:r>
                    <w:rPr>
                      <w:rFonts w:hint="default" w:ascii="Times New Roman" w:hAnsi="Times New Roman" w:eastAsia="宋体" w:cs="Times New Roman"/>
                      <w:bCs/>
                      <w:color w:val="auto"/>
                      <w:kern w:val="0"/>
                      <w:sz w:val="21"/>
                      <w:szCs w:val="21"/>
                      <w:highlight w:val="none"/>
                      <w:lang w:val="en-US" w:eastAsia="zh-CN"/>
                    </w:rPr>
                    <w:t>4</w:t>
                  </w:r>
                  <w:r>
                    <w:rPr>
                      <w:rFonts w:hint="default" w:ascii="Times New Roman" w:hAnsi="Times New Roman" w:eastAsia="宋体" w:cs="Times New Roman"/>
                      <w:bCs/>
                      <w:color w:val="auto"/>
                      <w:kern w:val="0"/>
                      <w:sz w:val="21"/>
                      <w:szCs w:val="21"/>
                      <w:highlight w:val="none"/>
                    </w:rPr>
                    <w:t>9</w:t>
                  </w:r>
                </w:p>
              </w:tc>
              <w:tc>
                <w:tcPr>
                  <w:tcW w:w="3546" w:type="dxa"/>
                  <w:tcBorders>
                    <w:tl2br w:val="nil"/>
                    <w:tr2bl w:val="nil"/>
                  </w:tcBorders>
                  <w:noWrap w:val="0"/>
                  <w:vAlign w:val="center"/>
                </w:tcPr>
                <w:p w14:paraId="57769946">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烟气、VOCs治理过程（不包括餐饮行业油烟治理过程）产生的废活性炭</w:t>
                  </w:r>
                </w:p>
              </w:tc>
              <w:tc>
                <w:tcPr>
                  <w:tcW w:w="748" w:type="dxa"/>
                  <w:tcBorders>
                    <w:tl2br w:val="nil"/>
                    <w:tr2bl w:val="nil"/>
                  </w:tcBorders>
                  <w:noWrap w:val="0"/>
                  <w:vAlign w:val="center"/>
                </w:tcPr>
                <w:p w14:paraId="6537A638">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T</w:t>
                  </w:r>
                </w:p>
              </w:tc>
            </w:tr>
            <w:tr w14:paraId="06926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182" w:type="dxa"/>
                  <w:tcBorders>
                    <w:tl2br w:val="nil"/>
                    <w:tr2bl w:val="nil"/>
                  </w:tcBorders>
                  <w:noWrap w:val="0"/>
                  <w:vAlign w:val="center"/>
                </w:tcPr>
                <w:p w14:paraId="6BBCCE81">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c>
                <w:tcPr>
                  <w:tcW w:w="1241" w:type="dxa"/>
                  <w:tcBorders>
                    <w:tl2br w:val="nil"/>
                    <w:tr2bl w:val="nil"/>
                  </w:tcBorders>
                  <w:noWrap w:val="0"/>
                  <w:vAlign w:val="center"/>
                </w:tcPr>
                <w:p w14:paraId="604AA6F1">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HW08废矿物油</w:t>
                  </w:r>
                </w:p>
              </w:tc>
              <w:tc>
                <w:tcPr>
                  <w:tcW w:w="900" w:type="dxa"/>
                  <w:tcBorders>
                    <w:tl2br w:val="nil"/>
                    <w:tr2bl w:val="nil"/>
                  </w:tcBorders>
                  <w:noWrap w:val="0"/>
                  <w:vAlign w:val="center"/>
                </w:tcPr>
                <w:p w14:paraId="59EAEC26">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14:paraId="14016F66">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900-2</w:t>
                  </w:r>
                  <w:r>
                    <w:rPr>
                      <w:rFonts w:hint="default"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lang w:eastAsia="zh-CN"/>
                    </w:rPr>
                    <w:t>-08</w:t>
                  </w:r>
                </w:p>
              </w:tc>
              <w:tc>
                <w:tcPr>
                  <w:tcW w:w="3546" w:type="dxa"/>
                  <w:tcBorders>
                    <w:tl2br w:val="nil"/>
                    <w:tr2bl w:val="nil"/>
                  </w:tcBorders>
                  <w:noWrap w:val="0"/>
                  <w:vAlign w:val="center"/>
                </w:tcPr>
                <w:p w14:paraId="31FBDBAE">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zh-CN" w:eastAsia="zh-CN"/>
                    </w:rPr>
                    <w:t>车辆、轮船及其它机械维修过程中产生的废发动机油、制动器油、自动变速器油、齿轮油等废润滑油</w:t>
                  </w:r>
                </w:p>
              </w:tc>
              <w:tc>
                <w:tcPr>
                  <w:tcW w:w="748" w:type="dxa"/>
                  <w:tcBorders>
                    <w:tl2br w:val="nil"/>
                    <w:tr2bl w:val="nil"/>
                  </w:tcBorders>
                  <w:noWrap w:val="0"/>
                  <w:vAlign w:val="center"/>
                </w:tcPr>
                <w:p w14:paraId="18BE39A5">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I</w:t>
                  </w:r>
                </w:p>
              </w:tc>
            </w:tr>
            <w:tr w14:paraId="1C16B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182" w:type="dxa"/>
                  <w:tcBorders>
                    <w:tl2br w:val="nil"/>
                    <w:tr2bl w:val="nil"/>
                  </w:tcBorders>
                  <w:noWrap w:val="0"/>
                  <w:vAlign w:val="center"/>
                </w:tcPr>
                <w:p w14:paraId="55561E10">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废弃的含油抹布、劳保用品</w:t>
                  </w:r>
                </w:p>
              </w:tc>
              <w:tc>
                <w:tcPr>
                  <w:tcW w:w="1241" w:type="dxa"/>
                  <w:tcBorders>
                    <w:tl2br w:val="nil"/>
                    <w:tr2bl w:val="nil"/>
                  </w:tcBorders>
                  <w:noWrap w:val="0"/>
                  <w:vAlign w:val="center"/>
                </w:tcPr>
                <w:p w14:paraId="71EC47CA">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HW49其他废物</w:t>
                  </w:r>
                </w:p>
              </w:tc>
              <w:tc>
                <w:tcPr>
                  <w:tcW w:w="900" w:type="dxa"/>
                  <w:tcBorders>
                    <w:tl2br w:val="nil"/>
                    <w:tr2bl w:val="nil"/>
                  </w:tcBorders>
                  <w:noWrap w:val="0"/>
                  <w:vAlign w:val="center"/>
                </w:tcPr>
                <w:p w14:paraId="2A7ED9D3">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14:paraId="6F5E58E8">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900-041-49</w:t>
                  </w:r>
                </w:p>
              </w:tc>
              <w:tc>
                <w:tcPr>
                  <w:tcW w:w="3546" w:type="dxa"/>
                  <w:tcBorders>
                    <w:tl2br w:val="nil"/>
                    <w:tr2bl w:val="nil"/>
                  </w:tcBorders>
                  <w:noWrap w:val="0"/>
                  <w:vAlign w:val="center"/>
                </w:tcPr>
                <w:p w14:paraId="2F6E3DD1">
                  <w:pPr>
                    <w:shd w:val="clear"/>
                    <w:spacing w:beforeLines="0" w:afterLines="0"/>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含有或沾染毒性、感染性危险废物的废弃包装物、容器、过滤吸附介质</w:t>
                  </w:r>
                </w:p>
              </w:tc>
              <w:tc>
                <w:tcPr>
                  <w:tcW w:w="748" w:type="dxa"/>
                  <w:tcBorders>
                    <w:tl2br w:val="nil"/>
                    <w:tr2bl w:val="nil"/>
                  </w:tcBorders>
                  <w:noWrap w:val="0"/>
                  <w:vAlign w:val="center"/>
                </w:tcPr>
                <w:p w14:paraId="3AF73416">
                  <w:pPr>
                    <w:pStyle w:val="95"/>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T/In</w:t>
                  </w:r>
                </w:p>
              </w:tc>
            </w:tr>
          </w:tbl>
          <w:p w14:paraId="24B4681A">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综上分析，项目在严格落实环评提出的各项固体废弃物收集、储存设施确实实施的情况下，一般固体废弃物的储存处置能够达到《一般工业固体废物贮存</w:t>
            </w:r>
            <w:r>
              <w:rPr>
                <w:rFonts w:hint="default" w:ascii="Times New Roman" w:hAnsi="Times New Roman" w:eastAsia="宋体" w:cs="Times New Roman"/>
                <w:color w:val="auto"/>
                <w:sz w:val="24"/>
                <w:szCs w:val="24"/>
                <w:highlight w:val="none"/>
                <w:lang w:val="en-US" w:eastAsia="zh-CN"/>
              </w:rPr>
              <w:t>和填埋</w:t>
            </w:r>
            <w:r>
              <w:rPr>
                <w:rFonts w:hint="default" w:ascii="Times New Roman" w:hAnsi="Times New Roman" w:eastAsia="宋体" w:cs="Times New Roman"/>
                <w:color w:val="auto"/>
                <w:sz w:val="24"/>
                <w:szCs w:val="24"/>
                <w:highlight w:val="none"/>
              </w:rPr>
              <w:t>污染控制标准》（GB18599-20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lang w:eastAsia="zh-CN"/>
              </w:rPr>
              <w:t>中有关规定</w:t>
            </w:r>
            <w:r>
              <w:rPr>
                <w:rFonts w:hint="default" w:ascii="Times New Roman" w:hAnsi="Times New Roman" w:eastAsia="宋体" w:cs="Times New Roman"/>
                <w:color w:val="auto"/>
                <w:sz w:val="24"/>
                <w:szCs w:val="24"/>
                <w:highlight w:val="none"/>
              </w:rPr>
              <w:t>，项目所产生的危险废物能够满足</w:t>
            </w:r>
            <w:r>
              <w:rPr>
                <w:rStyle w:val="70"/>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kern w:val="0"/>
                <w:sz w:val="24"/>
                <w:szCs w:val="24"/>
                <w:highlight w:val="none"/>
                <w:lang w:eastAsia="zh-CN"/>
              </w:rPr>
              <w:t>中有关规定</w:t>
            </w:r>
            <w:r>
              <w:rPr>
                <w:rFonts w:hint="default" w:ascii="Times New Roman" w:hAnsi="Times New Roman" w:eastAsia="宋体" w:cs="Times New Roman"/>
                <w:color w:val="auto"/>
                <w:sz w:val="24"/>
                <w:szCs w:val="24"/>
                <w:highlight w:val="none"/>
              </w:rPr>
              <w:t>，项目所产生的固体废弃物能够得到合理、有效的处置，各固体废弃物去向明确，处置率达到100%，对环境的影响较小。</w:t>
            </w:r>
          </w:p>
          <w:p w14:paraId="4562C054">
            <w:pPr>
              <w:pStyle w:val="49"/>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Style w:val="46"/>
                <w:rFonts w:hint="default" w:ascii="Times New Roman" w:hAnsi="Times New Roman" w:eastAsia="宋体" w:cs="Times New Roman"/>
                <w:b/>
                <w:bCs w:val="0"/>
                <w:color w:val="auto"/>
                <w:sz w:val="21"/>
                <w:szCs w:val="21"/>
                <w:highlight w:val="none"/>
                <w:lang w:val="en-US" w:eastAsia="zh-CN"/>
              </w:rPr>
            </w:pPr>
            <w:r>
              <w:rPr>
                <w:rStyle w:val="46"/>
                <w:rFonts w:hint="default" w:ascii="Times New Roman" w:hAnsi="Times New Roman" w:eastAsia="宋体" w:cs="Times New Roman"/>
                <w:b/>
                <w:bCs w:val="0"/>
                <w:color w:val="auto"/>
                <w:sz w:val="21"/>
                <w:szCs w:val="21"/>
                <w:highlight w:val="none"/>
                <w:lang w:val="en-US" w:eastAsia="zh-CN"/>
              </w:rPr>
              <w:t>表4-</w:t>
            </w:r>
            <w:r>
              <w:rPr>
                <w:rStyle w:val="46"/>
                <w:rFonts w:hint="eastAsia" w:cs="Times New Roman"/>
                <w:b/>
                <w:bCs w:val="0"/>
                <w:color w:val="auto"/>
                <w:sz w:val="21"/>
                <w:szCs w:val="21"/>
                <w:highlight w:val="none"/>
                <w:lang w:val="en-US" w:eastAsia="zh-CN"/>
              </w:rPr>
              <w:t>25</w:t>
            </w:r>
            <w:r>
              <w:rPr>
                <w:rStyle w:val="46"/>
                <w:rFonts w:hint="default" w:ascii="Times New Roman" w:hAnsi="Times New Roman" w:eastAsia="宋体" w:cs="Times New Roman"/>
                <w:b/>
                <w:bCs w:val="0"/>
                <w:color w:val="auto"/>
                <w:sz w:val="21"/>
                <w:szCs w:val="21"/>
                <w:highlight w:val="none"/>
                <w:lang w:val="en-US" w:eastAsia="zh-CN"/>
              </w:rPr>
              <w:t xml:space="preserve">  本项目固体废弃物处置情况</w:t>
            </w:r>
          </w:p>
          <w:tbl>
            <w:tblPr>
              <w:tblStyle w:val="27"/>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972"/>
              <w:gridCol w:w="674"/>
              <w:gridCol w:w="596"/>
              <w:gridCol w:w="925"/>
              <w:gridCol w:w="713"/>
              <w:gridCol w:w="639"/>
              <w:gridCol w:w="645"/>
              <w:gridCol w:w="828"/>
              <w:gridCol w:w="828"/>
              <w:gridCol w:w="888"/>
            </w:tblGrid>
            <w:tr w14:paraId="0ECB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68" w:type="dxa"/>
                  <w:gridSpan w:val="2"/>
                  <w:noWrap w:val="0"/>
                  <w:vAlign w:val="center"/>
                </w:tcPr>
                <w:p w14:paraId="79EA6E0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产污环节</w:t>
                  </w:r>
                </w:p>
              </w:tc>
              <w:tc>
                <w:tcPr>
                  <w:tcW w:w="674" w:type="dxa"/>
                  <w:noWrap w:val="0"/>
                  <w:vAlign w:val="center"/>
                </w:tcPr>
                <w:p w14:paraId="54AB086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切割</w:t>
                  </w:r>
                </w:p>
              </w:tc>
              <w:tc>
                <w:tcPr>
                  <w:tcW w:w="596" w:type="dxa"/>
                  <w:noWrap w:val="0"/>
                  <w:vAlign w:val="center"/>
                </w:tcPr>
                <w:p w14:paraId="07C6A0C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检验</w:t>
                  </w:r>
                </w:p>
              </w:tc>
              <w:tc>
                <w:tcPr>
                  <w:tcW w:w="925" w:type="dxa"/>
                  <w:noWrap w:val="0"/>
                  <w:vAlign w:val="center"/>
                </w:tcPr>
                <w:p w14:paraId="23DFDE1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原辅料拆包</w:t>
                  </w:r>
                  <w:r>
                    <w:rPr>
                      <w:rFonts w:hint="eastAsia" w:cs="Times New Roman"/>
                      <w:color w:val="auto"/>
                      <w:sz w:val="21"/>
                      <w:szCs w:val="21"/>
                      <w:highlight w:val="none"/>
                      <w:lang w:val="en-US" w:eastAsia="zh-CN"/>
                    </w:rPr>
                    <w:t>、产品包装</w:t>
                  </w:r>
                </w:p>
              </w:tc>
              <w:tc>
                <w:tcPr>
                  <w:tcW w:w="713" w:type="dxa"/>
                  <w:noWrap w:val="0"/>
                  <w:vAlign w:val="center"/>
                </w:tcPr>
                <w:p w14:paraId="6A1BBA7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废气处理</w:t>
                  </w:r>
                </w:p>
              </w:tc>
              <w:tc>
                <w:tcPr>
                  <w:tcW w:w="639" w:type="dxa"/>
                  <w:noWrap w:val="0"/>
                  <w:vAlign w:val="center"/>
                </w:tcPr>
                <w:p w14:paraId="2E2EBF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日常生活</w:t>
                  </w:r>
                </w:p>
              </w:tc>
              <w:tc>
                <w:tcPr>
                  <w:tcW w:w="645" w:type="dxa"/>
                  <w:noWrap w:val="0"/>
                  <w:vAlign w:val="center"/>
                </w:tcPr>
                <w:p w14:paraId="25FEEE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w:t>
                  </w:r>
                </w:p>
              </w:tc>
              <w:tc>
                <w:tcPr>
                  <w:tcW w:w="828" w:type="dxa"/>
                  <w:noWrap w:val="0"/>
                  <w:vAlign w:val="center"/>
                </w:tcPr>
                <w:p w14:paraId="62B6D4E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废气处理</w:t>
                  </w:r>
                </w:p>
              </w:tc>
              <w:tc>
                <w:tcPr>
                  <w:tcW w:w="1716" w:type="dxa"/>
                  <w:gridSpan w:val="2"/>
                  <w:noWrap w:val="0"/>
                  <w:vAlign w:val="center"/>
                </w:tcPr>
                <w:p w14:paraId="001FEB1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机修</w:t>
                  </w:r>
                </w:p>
              </w:tc>
            </w:tr>
            <w:tr w14:paraId="5C0A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68" w:type="dxa"/>
                  <w:gridSpan w:val="2"/>
                  <w:noWrap w:val="0"/>
                  <w:vAlign w:val="center"/>
                </w:tcPr>
                <w:p w14:paraId="095DA7A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名称</w:t>
                  </w:r>
                </w:p>
              </w:tc>
              <w:tc>
                <w:tcPr>
                  <w:tcW w:w="674" w:type="dxa"/>
                  <w:noWrap w:val="0"/>
                  <w:vAlign w:val="center"/>
                </w:tcPr>
                <w:p w14:paraId="6492637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边角料</w:t>
                  </w:r>
                </w:p>
              </w:tc>
              <w:tc>
                <w:tcPr>
                  <w:tcW w:w="596" w:type="dxa"/>
                  <w:noWrap w:val="0"/>
                  <w:vAlign w:val="center"/>
                </w:tcPr>
                <w:p w14:paraId="56D5BFF6">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不合格产品</w:t>
                  </w:r>
                </w:p>
              </w:tc>
              <w:tc>
                <w:tcPr>
                  <w:tcW w:w="925" w:type="dxa"/>
                  <w:noWrap w:val="0"/>
                  <w:vAlign w:val="center"/>
                </w:tcPr>
                <w:p w14:paraId="3DCE29FF">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废包装袋</w:t>
                  </w:r>
                </w:p>
              </w:tc>
              <w:tc>
                <w:tcPr>
                  <w:tcW w:w="713" w:type="dxa"/>
                  <w:noWrap w:val="0"/>
                  <w:vAlign w:val="center"/>
                </w:tcPr>
                <w:p w14:paraId="1AA897D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除尘器收集的</w:t>
                  </w:r>
                  <w:r>
                    <w:rPr>
                      <w:rFonts w:hint="default" w:ascii="Times New Roman" w:hAnsi="Times New Roman" w:eastAsia="宋体" w:cs="Times New Roman"/>
                      <w:color w:val="auto"/>
                      <w:sz w:val="21"/>
                      <w:szCs w:val="21"/>
                      <w:highlight w:val="none"/>
                      <w:lang w:val="en-US" w:eastAsia="zh-CN"/>
                    </w:rPr>
                    <w:t>粉尘</w:t>
                  </w:r>
                </w:p>
              </w:tc>
              <w:tc>
                <w:tcPr>
                  <w:tcW w:w="639" w:type="dxa"/>
                  <w:noWrap w:val="0"/>
                  <w:vAlign w:val="center"/>
                </w:tcPr>
                <w:p w14:paraId="732BAF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tc>
              <w:tc>
                <w:tcPr>
                  <w:tcW w:w="645" w:type="dxa"/>
                  <w:noWrap w:val="0"/>
                  <w:vAlign w:val="center"/>
                </w:tcPr>
                <w:p w14:paraId="40A16E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餐厨垃圾</w:t>
                  </w:r>
                </w:p>
              </w:tc>
              <w:tc>
                <w:tcPr>
                  <w:tcW w:w="828" w:type="dxa"/>
                  <w:noWrap w:val="0"/>
                  <w:vAlign w:val="center"/>
                </w:tcPr>
                <w:p w14:paraId="703C4841">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废活性炭</w:t>
                  </w:r>
                </w:p>
              </w:tc>
              <w:tc>
                <w:tcPr>
                  <w:tcW w:w="828" w:type="dxa"/>
                  <w:noWrap w:val="0"/>
                  <w:vAlign w:val="center"/>
                </w:tcPr>
                <w:p w14:paraId="34D327A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c>
                <w:tcPr>
                  <w:tcW w:w="888" w:type="dxa"/>
                  <w:noWrap w:val="0"/>
                  <w:vAlign w:val="center"/>
                </w:tcPr>
                <w:p w14:paraId="14804CC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含油废劳保用品</w:t>
                  </w:r>
                </w:p>
              </w:tc>
            </w:tr>
            <w:tr w14:paraId="5662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6" w:type="dxa"/>
                  <w:vMerge w:val="restart"/>
                  <w:noWrap w:val="0"/>
                  <w:vAlign w:val="center"/>
                </w:tcPr>
                <w:p w14:paraId="65E5B15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属性</w:t>
                  </w:r>
                </w:p>
              </w:tc>
              <w:tc>
                <w:tcPr>
                  <w:tcW w:w="972" w:type="dxa"/>
                  <w:noWrap w:val="0"/>
                  <w:vAlign w:val="center"/>
                </w:tcPr>
                <w:p w14:paraId="1DCB03F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属性</w:t>
                  </w:r>
                </w:p>
              </w:tc>
              <w:tc>
                <w:tcPr>
                  <w:tcW w:w="2908" w:type="dxa"/>
                  <w:gridSpan w:val="4"/>
                  <w:noWrap w:val="0"/>
                  <w:vAlign w:val="center"/>
                </w:tcPr>
                <w:p w14:paraId="058B926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一般工业固废</w:t>
                  </w:r>
                </w:p>
              </w:tc>
              <w:tc>
                <w:tcPr>
                  <w:tcW w:w="639" w:type="dxa"/>
                  <w:noWrap w:val="0"/>
                  <w:vAlign w:val="center"/>
                </w:tcPr>
                <w:p w14:paraId="5A08D6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w:t>
                  </w:r>
                </w:p>
              </w:tc>
              <w:tc>
                <w:tcPr>
                  <w:tcW w:w="645" w:type="dxa"/>
                  <w:noWrap w:val="0"/>
                  <w:vAlign w:val="center"/>
                </w:tcPr>
                <w:p w14:paraId="1252F6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w:t>
                  </w:r>
                </w:p>
              </w:tc>
              <w:tc>
                <w:tcPr>
                  <w:tcW w:w="828" w:type="dxa"/>
                  <w:noWrap w:val="0"/>
                  <w:vAlign w:val="center"/>
                </w:tcPr>
                <w:p w14:paraId="7B7B5CFF">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828" w:type="dxa"/>
                  <w:noWrap w:val="0"/>
                  <w:vAlign w:val="center"/>
                </w:tcPr>
                <w:p w14:paraId="3EA6BA6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888" w:type="dxa"/>
                  <w:noWrap w:val="0"/>
                  <w:vAlign w:val="center"/>
                </w:tcPr>
                <w:p w14:paraId="480C9790">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r>
            <w:tr w14:paraId="659D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6" w:type="dxa"/>
                  <w:vMerge w:val="continue"/>
                  <w:noWrap w:val="0"/>
                  <w:vAlign w:val="center"/>
                </w:tcPr>
                <w:p w14:paraId="0E85C82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p>
              </w:tc>
              <w:tc>
                <w:tcPr>
                  <w:tcW w:w="972" w:type="dxa"/>
                  <w:noWrap w:val="0"/>
                  <w:vAlign w:val="center"/>
                </w:tcPr>
                <w:p w14:paraId="4B60BE6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危险废物代码</w:t>
                  </w:r>
                </w:p>
              </w:tc>
              <w:tc>
                <w:tcPr>
                  <w:tcW w:w="674" w:type="dxa"/>
                  <w:noWrap w:val="0"/>
                  <w:vAlign w:val="center"/>
                </w:tcPr>
                <w:p w14:paraId="229FFBF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96" w:type="dxa"/>
                  <w:noWrap w:val="0"/>
                  <w:vAlign w:val="center"/>
                </w:tcPr>
                <w:p w14:paraId="59769446">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925" w:type="dxa"/>
                  <w:noWrap w:val="0"/>
                  <w:vAlign w:val="center"/>
                </w:tcPr>
                <w:p w14:paraId="1158AF4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713" w:type="dxa"/>
                  <w:noWrap w:val="0"/>
                  <w:vAlign w:val="center"/>
                </w:tcPr>
                <w:p w14:paraId="2E631E8F">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39" w:type="dxa"/>
                  <w:noWrap w:val="0"/>
                  <w:vAlign w:val="center"/>
                </w:tcPr>
                <w:p w14:paraId="4729F77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645" w:type="dxa"/>
                  <w:noWrap w:val="0"/>
                  <w:vAlign w:val="center"/>
                </w:tcPr>
                <w:p w14:paraId="0D6FA95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828" w:type="dxa"/>
                  <w:noWrap w:val="0"/>
                  <w:vAlign w:val="center"/>
                </w:tcPr>
                <w:p w14:paraId="4E62F93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HW49，</w:t>
                  </w:r>
                  <w:r>
                    <w:rPr>
                      <w:rFonts w:hint="default" w:ascii="Times New Roman" w:hAnsi="Times New Roman" w:eastAsia="宋体" w:cs="Times New Roman"/>
                      <w:bCs/>
                      <w:color w:val="auto"/>
                      <w:kern w:val="0"/>
                      <w:sz w:val="21"/>
                      <w:szCs w:val="21"/>
                      <w:highlight w:val="none"/>
                    </w:rPr>
                    <w:t>900-0</w:t>
                  </w:r>
                  <w:r>
                    <w:rPr>
                      <w:rFonts w:hint="default" w:ascii="Times New Roman" w:hAnsi="Times New Roman" w:eastAsia="宋体" w:cs="Times New Roman"/>
                      <w:bCs/>
                      <w:color w:val="auto"/>
                      <w:kern w:val="0"/>
                      <w:sz w:val="21"/>
                      <w:szCs w:val="21"/>
                      <w:highlight w:val="none"/>
                      <w:lang w:val="en-US" w:eastAsia="zh-CN"/>
                    </w:rPr>
                    <w:t>39</w:t>
                  </w:r>
                  <w:r>
                    <w:rPr>
                      <w:rFonts w:hint="default" w:ascii="Times New Roman" w:hAnsi="Times New Roman" w:eastAsia="宋体" w:cs="Times New Roman"/>
                      <w:bCs/>
                      <w:color w:val="auto"/>
                      <w:kern w:val="0"/>
                      <w:sz w:val="21"/>
                      <w:szCs w:val="21"/>
                      <w:highlight w:val="none"/>
                    </w:rPr>
                    <w:t>-</w:t>
                  </w:r>
                  <w:r>
                    <w:rPr>
                      <w:rFonts w:hint="default" w:ascii="Times New Roman" w:hAnsi="Times New Roman" w:eastAsia="宋体" w:cs="Times New Roman"/>
                      <w:bCs/>
                      <w:color w:val="auto"/>
                      <w:kern w:val="0"/>
                      <w:sz w:val="21"/>
                      <w:szCs w:val="21"/>
                      <w:highlight w:val="none"/>
                      <w:lang w:val="en-US" w:eastAsia="zh-CN"/>
                    </w:rPr>
                    <w:t>4</w:t>
                  </w:r>
                  <w:r>
                    <w:rPr>
                      <w:rFonts w:hint="default" w:ascii="Times New Roman" w:hAnsi="Times New Roman" w:eastAsia="宋体" w:cs="Times New Roman"/>
                      <w:bCs/>
                      <w:color w:val="auto"/>
                      <w:kern w:val="0"/>
                      <w:sz w:val="21"/>
                      <w:szCs w:val="21"/>
                      <w:highlight w:val="none"/>
                    </w:rPr>
                    <w:t>9</w:t>
                  </w:r>
                </w:p>
              </w:tc>
              <w:tc>
                <w:tcPr>
                  <w:tcW w:w="828" w:type="dxa"/>
                  <w:noWrap w:val="0"/>
                  <w:vAlign w:val="center"/>
                </w:tcPr>
                <w:p w14:paraId="281D642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HW08</w:t>
                  </w:r>
                  <w:r>
                    <w:rPr>
                      <w:rFonts w:hint="default" w:ascii="Times New Roman" w:hAnsi="Times New Roman" w:eastAsia="宋体" w:cs="Times New Roman"/>
                      <w:color w:val="auto"/>
                      <w:sz w:val="21"/>
                      <w:szCs w:val="21"/>
                      <w:highlight w:val="none"/>
                      <w:lang w:eastAsia="zh-CN"/>
                    </w:rPr>
                    <w:t>，900-2</w:t>
                  </w:r>
                  <w:r>
                    <w:rPr>
                      <w:rFonts w:hint="default"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lang w:eastAsia="zh-CN"/>
                    </w:rPr>
                    <w:t>-08</w:t>
                  </w:r>
                </w:p>
              </w:tc>
              <w:tc>
                <w:tcPr>
                  <w:tcW w:w="888" w:type="dxa"/>
                  <w:noWrap w:val="0"/>
                  <w:vAlign w:val="center"/>
                </w:tcPr>
                <w:p w14:paraId="218C524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HW49</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900-041-49</w:t>
                  </w:r>
                </w:p>
              </w:tc>
            </w:tr>
            <w:tr w14:paraId="3A7E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68" w:type="dxa"/>
                  <w:gridSpan w:val="2"/>
                  <w:noWrap w:val="0"/>
                  <w:vAlign w:val="center"/>
                </w:tcPr>
                <w:p w14:paraId="3C5EBF36">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主要有毒有害物质名称</w:t>
                  </w:r>
                </w:p>
              </w:tc>
              <w:tc>
                <w:tcPr>
                  <w:tcW w:w="674" w:type="dxa"/>
                  <w:noWrap w:val="0"/>
                  <w:vAlign w:val="center"/>
                </w:tcPr>
                <w:p w14:paraId="032203C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96" w:type="dxa"/>
                  <w:noWrap w:val="0"/>
                  <w:vAlign w:val="center"/>
                </w:tcPr>
                <w:p w14:paraId="6959E35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925" w:type="dxa"/>
                  <w:noWrap w:val="0"/>
                  <w:vAlign w:val="center"/>
                </w:tcPr>
                <w:p w14:paraId="46BCD5F0">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713" w:type="dxa"/>
                  <w:noWrap w:val="0"/>
                  <w:vAlign w:val="center"/>
                </w:tcPr>
                <w:p w14:paraId="69D5E03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39" w:type="dxa"/>
                  <w:noWrap w:val="0"/>
                  <w:vAlign w:val="center"/>
                </w:tcPr>
                <w:p w14:paraId="6434608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645" w:type="dxa"/>
                  <w:noWrap w:val="0"/>
                  <w:vAlign w:val="center"/>
                </w:tcPr>
                <w:p w14:paraId="7C078BF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828" w:type="dxa"/>
                  <w:noWrap w:val="0"/>
                  <w:vAlign w:val="center"/>
                </w:tcPr>
                <w:p w14:paraId="3C7F55E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有机废气</w:t>
                  </w:r>
                </w:p>
              </w:tc>
              <w:tc>
                <w:tcPr>
                  <w:tcW w:w="828" w:type="dxa"/>
                  <w:noWrap w:val="0"/>
                  <w:vAlign w:val="center"/>
                </w:tcPr>
                <w:p w14:paraId="14918F1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废矿物油</w:t>
                  </w:r>
                </w:p>
              </w:tc>
              <w:tc>
                <w:tcPr>
                  <w:tcW w:w="888" w:type="dxa"/>
                  <w:noWrap w:val="0"/>
                  <w:vAlign w:val="center"/>
                </w:tcPr>
                <w:p w14:paraId="670CFB6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r>
            <w:tr w14:paraId="4C08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68" w:type="dxa"/>
                  <w:gridSpan w:val="2"/>
                  <w:noWrap w:val="0"/>
                  <w:vAlign w:val="center"/>
                </w:tcPr>
                <w:p w14:paraId="7E525259">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物理性状</w:t>
                  </w:r>
                </w:p>
              </w:tc>
              <w:tc>
                <w:tcPr>
                  <w:tcW w:w="674" w:type="dxa"/>
                  <w:noWrap w:val="0"/>
                  <w:vAlign w:val="center"/>
                </w:tcPr>
                <w:p w14:paraId="378FF92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596" w:type="dxa"/>
                  <w:noWrap w:val="0"/>
                  <w:vAlign w:val="center"/>
                </w:tcPr>
                <w:p w14:paraId="66211DDB">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925" w:type="dxa"/>
                  <w:noWrap w:val="0"/>
                  <w:vAlign w:val="center"/>
                </w:tcPr>
                <w:p w14:paraId="0501C57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713" w:type="dxa"/>
                  <w:noWrap w:val="0"/>
                  <w:vAlign w:val="center"/>
                </w:tcPr>
                <w:p w14:paraId="45ED00A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639" w:type="dxa"/>
                  <w:noWrap w:val="0"/>
                  <w:vAlign w:val="center"/>
                </w:tcPr>
                <w:p w14:paraId="2C4D61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645" w:type="dxa"/>
                  <w:noWrap w:val="0"/>
                  <w:vAlign w:val="center"/>
                </w:tcPr>
                <w:p w14:paraId="336116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固体、油状</w:t>
                  </w:r>
                </w:p>
              </w:tc>
              <w:tc>
                <w:tcPr>
                  <w:tcW w:w="828" w:type="dxa"/>
                  <w:noWrap w:val="0"/>
                  <w:vAlign w:val="center"/>
                </w:tcPr>
                <w:p w14:paraId="21B2A736">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828" w:type="dxa"/>
                  <w:noWrap w:val="0"/>
                  <w:vAlign w:val="center"/>
                </w:tcPr>
                <w:p w14:paraId="6993348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888" w:type="dxa"/>
                  <w:noWrap w:val="0"/>
                  <w:vAlign w:val="center"/>
                </w:tcPr>
                <w:p w14:paraId="73E5211A">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油状</w:t>
                  </w:r>
                </w:p>
              </w:tc>
            </w:tr>
            <w:tr w14:paraId="0D51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68" w:type="dxa"/>
                  <w:gridSpan w:val="2"/>
                  <w:noWrap w:val="0"/>
                  <w:vAlign w:val="center"/>
                </w:tcPr>
                <w:p w14:paraId="3B6A830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环境危险特性</w:t>
                  </w:r>
                </w:p>
              </w:tc>
              <w:tc>
                <w:tcPr>
                  <w:tcW w:w="674" w:type="dxa"/>
                  <w:noWrap w:val="0"/>
                  <w:vAlign w:val="center"/>
                </w:tcPr>
                <w:p w14:paraId="794535AE">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596" w:type="dxa"/>
                  <w:noWrap w:val="0"/>
                  <w:vAlign w:val="center"/>
                </w:tcPr>
                <w:p w14:paraId="0285D8E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925" w:type="dxa"/>
                  <w:noWrap w:val="0"/>
                  <w:vAlign w:val="center"/>
                </w:tcPr>
                <w:p w14:paraId="17F78B9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713" w:type="dxa"/>
                  <w:noWrap w:val="0"/>
                  <w:vAlign w:val="center"/>
                </w:tcPr>
                <w:p w14:paraId="6BCE1F9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39" w:type="dxa"/>
                  <w:noWrap w:val="0"/>
                  <w:vAlign w:val="center"/>
                </w:tcPr>
                <w:p w14:paraId="50A49D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45" w:type="dxa"/>
                  <w:noWrap w:val="0"/>
                  <w:vAlign w:val="center"/>
                </w:tcPr>
                <w:p w14:paraId="046D81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828" w:type="dxa"/>
                  <w:noWrap w:val="0"/>
                  <w:vAlign w:val="center"/>
                </w:tcPr>
                <w:p w14:paraId="2867BA1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T</w:t>
                  </w:r>
                </w:p>
              </w:tc>
              <w:tc>
                <w:tcPr>
                  <w:tcW w:w="828" w:type="dxa"/>
                  <w:noWrap w:val="0"/>
                  <w:vAlign w:val="center"/>
                </w:tcPr>
                <w:p w14:paraId="2C81B59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I</w:t>
                  </w:r>
                </w:p>
              </w:tc>
              <w:tc>
                <w:tcPr>
                  <w:tcW w:w="888" w:type="dxa"/>
                  <w:noWrap w:val="0"/>
                  <w:vAlign w:val="center"/>
                </w:tcPr>
                <w:p w14:paraId="0BD5EB3F">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T/In</w:t>
                  </w:r>
                </w:p>
              </w:tc>
            </w:tr>
            <w:tr w14:paraId="412B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68" w:type="dxa"/>
                  <w:gridSpan w:val="2"/>
                  <w:noWrap w:val="0"/>
                  <w:vAlign w:val="center"/>
                </w:tcPr>
                <w:p w14:paraId="0D67D4F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年度产生量（t/a）</w:t>
                  </w:r>
                </w:p>
              </w:tc>
              <w:tc>
                <w:tcPr>
                  <w:tcW w:w="674" w:type="dxa"/>
                  <w:noWrap w:val="0"/>
                  <w:vAlign w:val="center"/>
                </w:tcPr>
                <w:p w14:paraId="447DC44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1.35</w:t>
                  </w:r>
                </w:p>
              </w:tc>
              <w:tc>
                <w:tcPr>
                  <w:tcW w:w="596" w:type="dxa"/>
                  <w:noWrap w:val="0"/>
                  <w:vAlign w:val="center"/>
                </w:tcPr>
                <w:p w14:paraId="01190D6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1.35</w:t>
                  </w:r>
                </w:p>
              </w:tc>
              <w:tc>
                <w:tcPr>
                  <w:tcW w:w="925" w:type="dxa"/>
                  <w:noWrap w:val="0"/>
                  <w:vAlign w:val="center"/>
                </w:tcPr>
                <w:p w14:paraId="1BF36388">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713" w:type="dxa"/>
                  <w:noWrap w:val="0"/>
                  <w:vAlign w:val="center"/>
                </w:tcPr>
                <w:p w14:paraId="180DB04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6.360</w:t>
                  </w:r>
                  <w:r>
                    <w:rPr>
                      <w:rFonts w:hint="default" w:ascii="Times New Roman" w:hAnsi="Times New Roman" w:eastAsia="宋体" w:cs="Times New Roman"/>
                      <w:color w:val="auto"/>
                      <w:sz w:val="21"/>
                      <w:szCs w:val="21"/>
                      <w:highlight w:val="none"/>
                      <w:lang w:val="en-US" w:eastAsia="zh-CN"/>
                    </w:rPr>
                    <w:t>6</w:t>
                  </w:r>
                </w:p>
              </w:tc>
              <w:tc>
                <w:tcPr>
                  <w:tcW w:w="639" w:type="dxa"/>
                  <w:noWrap w:val="0"/>
                  <w:vAlign w:val="center"/>
                </w:tcPr>
                <w:p w14:paraId="656C73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6.0</w:t>
                  </w:r>
                </w:p>
              </w:tc>
              <w:tc>
                <w:tcPr>
                  <w:tcW w:w="645" w:type="dxa"/>
                  <w:noWrap w:val="0"/>
                  <w:vAlign w:val="center"/>
                </w:tcPr>
                <w:p w14:paraId="5215A4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1.8</w:t>
                  </w:r>
                </w:p>
              </w:tc>
              <w:tc>
                <w:tcPr>
                  <w:tcW w:w="828" w:type="dxa"/>
                  <w:noWrap w:val="0"/>
                  <w:vAlign w:val="center"/>
                </w:tcPr>
                <w:p w14:paraId="65EC525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8.1134</w:t>
                  </w:r>
                </w:p>
              </w:tc>
              <w:tc>
                <w:tcPr>
                  <w:tcW w:w="828" w:type="dxa"/>
                  <w:noWrap w:val="0"/>
                  <w:vAlign w:val="center"/>
                </w:tcPr>
                <w:p w14:paraId="2429DB3F">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c>
                <w:tcPr>
                  <w:tcW w:w="888" w:type="dxa"/>
                  <w:noWrap w:val="0"/>
                  <w:vAlign w:val="center"/>
                </w:tcPr>
                <w:p w14:paraId="12CBFD4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1</w:t>
                  </w:r>
                </w:p>
              </w:tc>
            </w:tr>
            <w:tr w14:paraId="5361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68" w:type="dxa"/>
                  <w:gridSpan w:val="2"/>
                  <w:noWrap w:val="0"/>
                  <w:vAlign w:val="center"/>
                </w:tcPr>
                <w:p w14:paraId="7590EAB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贮存方式</w:t>
                  </w:r>
                </w:p>
              </w:tc>
              <w:tc>
                <w:tcPr>
                  <w:tcW w:w="2195" w:type="dxa"/>
                  <w:gridSpan w:val="3"/>
                  <w:noWrap w:val="0"/>
                  <w:vAlign w:val="center"/>
                </w:tcPr>
                <w:p w14:paraId="34DE99C0">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一般固废暂存区</w:t>
                  </w:r>
                </w:p>
              </w:tc>
              <w:tc>
                <w:tcPr>
                  <w:tcW w:w="713" w:type="dxa"/>
                  <w:noWrap w:val="0"/>
                  <w:vAlign w:val="center"/>
                </w:tcPr>
                <w:p w14:paraId="667A6CFF">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原辅料暂存区</w:t>
                  </w:r>
                </w:p>
              </w:tc>
              <w:tc>
                <w:tcPr>
                  <w:tcW w:w="639" w:type="dxa"/>
                  <w:noWrap w:val="0"/>
                  <w:vAlign w:val="center"/>
                </w:tcPr>
                <w:p w14:paraId="36D8F2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生活垃圾桶</w:t>
                  </w:r>
                </w:p>
              </w:tc>
              <w:tc>
                <w:tcPr>
                  <w:tcW w:w="645" w:type="dxa"/>
                  <w:noWrap w:val="0"/>
                  <w:vAlign w:val="center"/>
                </w:tcPr>
                <w:p w14:paraId="02CB6F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泔水桶、废油桶</w:t>
                  </w:r>
                </w:p>
              </w:tc>
              <w:tc>
                <w:tcPr>
                  <w:tcW w:w="2544" w:type="dxa"/>
                  <w:gridSpan w:val="3"/>
                  <w:noWrap w:val="0"/>
                  <w:vAlign w:val="center"/>
                </w:tcPr>
                <w:p w14:paraId="3C696DF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危废暂存间</w:t>
                  </w:r>
                </w:p>
              </w:tc>
            </w:tr>
            <w:tr w14:paraId="1484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68" w:type="dxa"/>
                  <w:gridSpan w:val="2"/>
                  <w:noWrap w:val="0"/>
                  <w:vAlign w:val="center"/>
                </w:tcPr>
                <w:p w14:paraId="5170B72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利用处置方式和去向</w:t>
                  </w:r>
                </w:p>
              </w:tc>
              <w:tc>
                <w:tcPr>
                  <w:tcW w:w="2195" w:type="dxa"/>
                  <w:gridSpan w:val="3"/>
                  <w:noWrap w:val="0"/>
                  <w:vAlign w:val="center"/>
                </w:tcPr>
                <w:p w14:paraId="15741C0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kern w:val="2"/>
                      <w:sz w:val="21"/>
                      <w:szCs w:val="21"/>
                      <w:highlight w:val="none"/>
                      <w:lang w:val="en-US" w:eastAsia="zh-CN" w:bidi="ar"/>
                    </w:rPr>
                    <w:t>统一收集后暂存于一般固体废物暂</w:t>
                  </w:r>
                  <w:r>
                    <w:rPr>
                      <w:rFonts w:hint="default" w:ascii="Times New Roman" w:hAnsi="Times New Roman" w:eastAsia="宋体" w:cs="Times New Roman"/>
                      <w:b w:val="0"/>
                      <w:bCs w:val="0"/>
                      <w:color w:val="auto"/>
                      <w:sz w:val="21"/>
                      <w:szCs w:val="21"/>
                      <w:highlight w:val="none"/>
                      <w:lang w:val="en-US" w:eastAsia="zh-CN"/>
                    </w:rPr>
                    <w:t>存处，定期外售给废品收购站。</w:t>
                  </w:r>
                </w:p>
              </w:tc>
              <w:tc>
                <w:tcPr>
                  <w:tcW w:w="713" w:type="dxa"/>
                  <w:noWrap w:val="0"/>
                  <w:vAlign w:val="center"/>
                </w:tcPr>
                <w:p w14:paraId="0B0BE40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val="zh-CN"/>
                    </w:rPr>
                    <w:t>统一收集后返回生产线再利用。</w:t>
                  </w:r>
                </w:p>
              </w:tc>
              <w:tc>
                <w:tcPr>
                  <w:tcW w:w="639" w:type="dxa"/>
                  <w:noWrap w:val="0"/>
                  <w:vAlign w:val="center"/>
                </w:tcPr>
                <w:p w14:paraId="46F951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zh-CN"/>
                    </w:rPr>
                  </w:pPr>
                  <w:r>
                    <w:rPr>
                      <w:rFonts w:hint="default" w:ascii="Times New Roman" w:hAnsi="Times New Roman" w:eastAsia="宋体" w:cs="Times New Roman"/>
                      <w:color w:val="auto"/>
                      <w:sz w:val="21"/>
                      <w:szCs w:val="21"/>
                      <w:highlight w:val="none"/>
                      <w:lang w:val="zh-CN" w:eastAsia="zh-CN"/>
                    </w:rPr>
                    <w:t>委托环卫部门清运处置。</w:t>
                  </w:r>
                </w:p>
              </w:tc>
              <w:tc>
                <w:tcPr>
                  <w:tcW w:w="645" w:type="dxa"/>
                  <w:noWrap w:val="0"/>
                  <w:vAlign w:val="center"/>
                </w:tcPr>
                <w:p w14:paraId="559E8A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lang w:val="zh-CN"/>
                    </w:rPr>
                  </w:pPr>
                  <w:r>
                    <w:rPr>
                      <w:rFonts w:hint="default" w:ascii="Times New Roman" w:hAnsi="Times New Roman" w:eastAsia="宋体" w:cs="Times New Roman"/>
                      <w:color w:val="auto"/>
                      <w:sz w:val="21"/>
                      <w:szCs w:val="21"/>
                      <w:highlight w:val="none"/>
                      <w:lang w:val="zh-CN" w:eastAsia="zh-CN"/>
                    </w:rPr>
                    <w:t>委托有资质</w:t>
                  </w:r>
                  <w:r>
                    <w:rPr>
                      <w:rFonts w:hint="default" w:ascii="Times New Roman" w:hAnsi="Times New Roman"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lang w:val="zh-CN" w:eastAsia="zh-CN"/>
                    </w:rPr>
                    <w:t>单位进行处置。</w:t>
                  </w:r>
                </w:p>
              </w:tc>
              <w:tc>
                <w:tcPr>
                  <w:tcW w:w="2544" w:type="dxa"/>
                  <w:gridSpan w:val="3"/>
                  <w:noWrap w:val="0"/>
                  <w:vAlign w:val="center"/>
                </w:tcPr>
                <w:p w14:paraId="3DA35AC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zh-CN" w:eastAsia="zh-CN"/>
                    </w:rPr>
                    <w:t>委托资质单位进行处置。</w:t>
                  </w:r>
                </w:p>
              </w:tc>
            </w:tr>
            <w:tr w14:paraId="0A92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68" w:type="dxa"/>
                  <w:gridSpan w:val="2"/>
                  <w:noWrap w:val="0"/>
                  <w:vAlign w:val="center"/>
                </w:tcPr>
                <w:p w14:paraId="1367C70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利用或处置量（t/a）</w:t>
                  </w:r>
                </w:p>
              </w:tc>
              <w:tc>
                <w:tcPr>
                  <w:tcW w:w="674" w:type="dxa"/>
                  <w:noWrap w:val="0"/>
                  <w:vAlign w:val="center"/>
                </w:tcPr>
                <w:p w14:paraId="4215294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1.35</w:t>
                  </w:r>
                </w:p>
              </w:tc>
              <w:tc>
                <w:tcPr>
                  <w:tcW w:w="596" w:type="dxa"/>
                  <w:noWrap w:val="0"/>
                  <w:vAlign w:val="center"/>
                </w:tcPr>
                <w:p w14:paraId="5680DEF6">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1.35</w:t>
                  </w:r>
                </w:p>
              </w:tc>
              <w:tc>
                <w:tcPr>
                  <w:tcW w:w="925" w:type="dxa"/>
                  <w:noWrap w:val="0"/>
                  <w:vAlign w:val="center"/>
                </w:tcPr>
                <w:p w14:paraId="1C006E2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713" w:type="dxa"/>
                  <w:noWrap w:val="0"/>
                  <w:vAlign w:val="center"/>
                </w:tcPr>
                <w:p w14:paraId="33CDDF96">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6.360</w:t>
                  </w:r>
                  <w:r>
                    <w:rPr>
                      <w:rFonts w:hint="default" w:ascii="Times New Roman" w:hAnsi="Times New Roman" w:eastAsia="宋体" w:cs="Times New Roman"/>
                      <w:color w:val="auto"/>
                      <w:sz w:val="21"/>
                      <w:szCs w:val="21"/>
                      <w:highlight w:val="none"/>
                      <w:lang w:val="en-US" w:eastAsia="zh-CN"/>
                    </w:rPr>
                    <w:t>6</w:t>
                  </w:r>
                </w:p>
              </w:tc>
              <w:tc>
                <w:tcPr>
                  <w:tcW w:w="639" w:type="dxa"/>
                  <w:noWrap w:val="0"/>
                  <w:vAlign w:val="center"/>
                </w:tcPr>
                <w:p w14:paraId="4AE763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6.0</w:t>
                  </w:r>
                </w:p>
              </w:tc>
              <w:tc>
                <w:tcPr>
                  <w:tcW w:w="645" w:type="dxa"/>
                  <w:noWrap w:val="0"/>
                  <w:vAlign w:val="center"/>
                </w:tcPr>
                <w:p w14:paraId="1B629C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1.8</w:t>
                  </w:r>
                </w:p>
              </w:tc>
              <w:tc>
                <w:tcPr>
                  <w:tcW w:w="828" w:type="dxa"/>
                  <w:noWrap w:val="0"/>
                  <w:vAlign w:val="center"/>
                </w:tcPr>
                <w:p w14:paraId="11F1084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8.1134</w:t>
                  </w:r>
                </w:p>
              </w:tc>
              <w:tc>
                <w:tcPr>
                  <w:tcW w:w="828" w:type="dxa"/>
                  <w:noWrap w:val="0"/>
                  <w:vAlign w:val="center"/>
                </w:tcPr>
                <w:p w14:paraId="4A368921">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c>
                <w:tcPr>
                  <w:tcW w:w="888" w:type="dxa"/>
                  <w:noWrap w:val="0"/>
                  <w:vAlign w:val="center"/>
                </w:tcPr>
                <w:p w14:paraId="24ED93E2">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1</w:t>
                  </w:r>
                </w:p>
              </w:tc>
            </w:tr>
            <w:tr w14:paraId="3D4F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68" w:type="dxa"/>
                  <w:gridSpan w:val="2"/>
                  <w:noWrap w:val="0"/>
                  <w:vAlign w:val="center"/>
                </w:tcPr>
                <w:p w14:paraId="1E73C9C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环境管理要求</w:t>
                  </w:r>
                </w:p>
              </w:tc>
              <w:tc>
                <w:tcPr>
                  <w:tcW w:w="6736" w:type="dxa"/>
                  <w:gridSpan w:val="9"/>
                  <w:noWrap w:val="0"/>
                  <w:vAlign w:val="center"/>
                </w:tcPr>
                <w:p w14:paraId="3CD2BE30">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100%处置。</w:t>
                  </w:r>
                </w:p>
              </w:tc>
            </w:tr>
          </w:tbl>
          <w:p w14:paraId="2598F253">
            <w:pPr>
              <w:pStyle w:val="77"/>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right="0"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危废间建设：</w:t>
            </w:r>
          </w:p>
          <w:p w14:paraId="4742F0AD">
            <w:pPr>
              <w:pStyle w:val="77"/>
              <w:keepNext w:val="0"/>
              <w:keepLines w:val="0"/>
              <w:pageBreakBefore w:val="0"/>
              <w:widowControl w:val="0"/>
              <w:numPr>
                <w:ilvl w:val="0"/>
                <w:numId w:val="0"/>
              </w:numPr>
              <w:shd w:val="clear"/>
              <w:tabs>
                <w:tab w:val="left" w:pos="1189"/>
              </w:tabs>
              <w:kinsoku/>
              <w:wordWrap/>
              <w:overflowPunct/>
              <w:topLinePunct w:val="0"/>
              <w:autoSpaceDE/>
              <w:autoSpaceDN/>
              <w:bidi w:val="0"/>
              <w:adjustRightInd/>
              <w:snapToGrid/>
              <w:spacing w:beforeLines="0" w:afterLines="0" w:line="360" w:lineRule="auto"/>
              <w:ind w:leftChars="200" w:right="0" w:right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防渗标准</w:t>
            </w:r>
            <w:r>
              <w:rPr>
                <w:rFonts w:hint="default" w:ascii="Times New Roman" w:hAnsi="Times New Roman" w:eastAsia="宋体" w:cs="Times New Roman"/>
                <w:color w:val="auto"/>
                <w:sz w:val="24"/>
                <w:szCs w:val="24"/>
                <w:highlight w:val="none"/>
                <w:lang w:val="en-US" w:eastAsia="zh-CN"/>
              </w:rPr>
              <w:t>及措施</w:t>
            </w:r>
          </w:p>
          <w:p w14:paraId="1826C27B">
            <w:pPr>
              <w:pStyle w:val="77"/>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right="0" w:firstLine="448" w:firstLineChars="200"/>
              <w:jc w:val="both"/>
              <w:textAlignment w:val="auto"/>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color w:val="auto"/>
                <w:spacing w:val="-8"/>
                <w:sz w:val="24"/>
                <w:szCs w:val="24"/>
                <w:highlight w:val="none"/>
              </w:rPr>
              <w:t>根据</w:t>
            </w:r>
            <w:r>
              <w:rPr>
                <w:rStyle w:val="70"/>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spacing w:val="-3"/>
                <w:sz w:val="24"/>
                <w:szCs w:val="24"/>
                <w:highlight w:val="none"/>
                <w:lang w:eastAsia="zh-CN"/>
              </w:rPr>
              <w:t>，</w:t>
            </w:r>
            <w:r>
              <w:rPr>
                <w:rFonts w:hint="default" w:ascii="Times New Roman" w:hAnsi="Times New Roman" w:eastAsia="宋体" w:cs="Times New Roman"/>
                <w:color w:val="auto"/>
                <w:sz w:val="24"/>
                <w:szCs w:val="24"/>
                <w:highlight w:val="none"/>
              </w:rPr>
              <w:t>危险废物暂存间地面</w:t>
            </w:r>
            <w:r>
              <w:rPr>
                <w:rFonts w:hint="default" w:ascii="Times New Roman" w:hAnsi="Times New Roman" w:eastAsia="宋体" w:cs="Times New Roman"/>
                <w:color w:val="auto"/>
                <w:sz w:val="24"/>
                <w:szCs w:val="24"/>
                <w:highlight w:val="none"/>
                <w:lang w:val="en-US" w:eastAsia="zh-CN"/>
              </w:rPr>
              <w:t>和四周墙裙脚</w:t>
            </w:r>
            <w:r>
              <w:rPr>
                <w:rFonts w:hint="default" w:ascii="Times New Roman" w:hAnsi="Times New Roman" w:eastAsia="宋体" w:cs="Times New Roman"/>
                <w:color w:val="auto"/>
                <w:sz w:val="24"/>
                <w:szCs w:val="24"/>
                <w:highlight w:val="none"/>
                <w:lang w:val="zh-CN"/>
              </w:rPr>
              <w:t>采用</w:t>
            </w:r>
            <w:r>
              <w:rPr>
                <w:rFonts w:hint="default" w:ascii="Times New Roman" w:hAnsi="Times New Roman" w:eastAsia="宋体" w:cs="Times New Roman"/>
                <w:color w:val="auto"/>
                <w:kern w:val="2"/>
                <w:sz w:val="24"/>
                <w:szCs w:val="24"/>
                <w:highlight w:val="none"/>
              </w:rPr>
              <w:t>“抗渗混凝土+2mm厚HDPE+环氧树脂涂料”</w:t>
            </w:r>
            <w:r>
              <w:rPr>
                <w:rFonts w:hint="default" w:ascii="Times New Roman" w:hAnsi="Times New Roman" w:eastAsia="宋体" w:cs="Times New Roman"/>
                <w:color w:val="auto"/>
                <w:sz w:val="24"/>
                <w:szCs w:val="24"/>
                <w:highlight w:val="none"/>
                <w:lang w:val="en-US" w:eastAsia="zh-CN"/>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并按照要求设置规范的标识标牌</w:t>
            </w:r>
            <w:r>
              <w:rPr>
                <w:rFonts w:hint="default" w:ascii="Times New Roman" w:hAnsi="Times New Roman" w:eastAsia="宋体" w:cs="Times New Roman"/>
                <w:color w:val="auto"/>
                <w:sz w:val="24"/>
                <w:szCs w:val="24"/>
                <w:highlight w:val="none"/>
                <w:lang w:eastAsia="zh-CN"/>
              </w:rPr>
              <w:t>。</w:t>
            </w:r>
          </w:p>
          <w:p w14:paraId="02E11804">
            <w:pPr>
              <w:pStyle w:val="77"/>
              <w:keepNext w:val="0"/>
              <w:keepLines w:val="0"/>
              <w:pageBreakBefore w:val="0"/>
              <w:widowControl w:val="0"/>
              <w:numPr>
                <w:ilvl w:val="0"/>
                <w:numId w:val="0"/>
              </w:numPr>
              <w:shd w:val="clear"/>
              <w:tabs>
                <w:tab w:val="left" w:pos="118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暂存</w:t>
            </w:r>
          </w:p>
          <w:p w14:paraId="686C9BD3">
            <w:pPr>
              <w:pStyle w:val="77"/>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对于危险废物委托有资质</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rPr>
              <w:t>单位处置。应按</w:t>
            </w:r>
            <w:r>
              <w:rPr>
                <w:rFonts w:hint="default" w:ascii="Times New Roman" w:hAnsi="Times New Roman" w:eastAsia="宋体" w:cs="Times New Roman"/>
                <w:color w:val="auto"/>
                <w:spacing w:val="0"/>
                <w:sz w:val="24"/>
                <w:szCs w:val="24"/>
                <w:highlight w:val="none"/>
              </w:rPr>
              <w:t>《危险废物贮存污染控制标准》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0"/>
                <w:sz w:val="24"/>
                <w:szCs w:val="24"/>
                <w:highlight w:val="none"/>
              </w:rPr>
              <w:t>18597-20</w:t>
            </w:r>
            <w:r>
              <w:rPr>
                <w:rFonts w:hint="default" w:ascii="Times New Roman" w:hAnsi="Times New Roman" w:eastAsia="宋体" w:cs="Times New Roman"/>
                <w:color w:val="auto"/>
                <w:spacing w:val="0"/>
                <w:sz w:val="24"/>
                <w:szCs w:val="24"/>
                <w:highlight w:val="none"/>
                <w:lang w:val="en-US" w:eastAsia="zh-CN"/>
              </w:rPr>
              <w:t>23</w:t>
            </w:r>
            <w:r>
              <w:rPr>
                <w:rFonts w:hint="default" w:ascii="Times New Roman" w:hAnsi="Times New Roman" w:eastAsia="宋体" w:cs="Times New Roman"/>
                <w:color w:val="auto"/>
                <w:spacing w:val="0"/>
                <w:sz w:val="24"/>
                <w:szCs w:val="24"/>
                <w:highlight w:val="none"/>
              </w:rPr>
              <w:t>）</w:t>
            </w:r>
            <w:r>
              <w:rPr>
                <w:rFonts w:hint="default" w:ascii="Times New Roman" w:hAnsi="Times New Roman" w:eastAsia="宋体" w:cs="Times New Roman"/>
                <w:color w:val="auto"/>
                <w:sz w:val="24"/>
                <w:szCs w:val="24"/>
                <w:highlight w:val="none"/>
              </w:rPr>
              <w:t>要求设置暂存场地，并要求做到以下几点：</w:t>
            </w:r>
          </w:p>
          <w:p w14:paraId="085929F8">
            <w:pPr>
              <w:pStyle w:val="77"/>
              <w:shd w:val="clea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①贮存设施应根据危险废物的形态、物理化学性质、包装形式和污染物迁移途径，采取必要的防风、防晒、防雨、防漏、防渗、防腐以及其他环境污染防治措施，不应露天堆放危险废物。</w:t>
            </w:r>
          </w:p>
          <w:p w14:paraId="69EA59B1">
            <w:pPr>
              <w:pStyle w:val="77"/>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②贮存设施应根据危险废物的类别、数量、形态、物理化学性质和污染防治等要求设置必要的贮存分区，避免不相容的危险废物接触、混合。</w:t>
            </w:r>
          </w:p>
          <w:p w14:paraId="734AEEFB">
            <w:pPr>
              <w:pStyle w:val="77"/>
              <w:shd w:val="clea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③贮存设施或贮存分区内地面、墙面裙脚、堵截泄漏的围堰、接触危险废物的隔板和墙体等应采用坚固的材料建造，表面无裂缝。</w:t>
            </w:r>
          </w:p>
          <w:p w14:paraId="71455E1C">
            <w:pPr>
              <w:pStyle w:val="77"/>
              <w:keepNext w:val="0"/>
              <w:keepLines w:val="0"/>
              <w:pageBreakBefore w:val="0"/>
              <w:widowControl/>
              <w:shd w:val="clear"/>
              <w:kinsoku/>
              <w:wordWrap/>
              <w:overflowPunct/>
              <w:topLinePunct w:val="0"/>
              <w:autoSpaceDE/>
              <w:autoSpaceDN/>
              <w:bidi w:val="0"/>
              <w:adjustRightInd/>
              <w:snapToGrid/>
              <w:spacing w:beforeLines="-2147483648" w:afterLines="-2147483648"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 m 厚黏土层（渗透系数不大于10</w:t>
            </w:r>
            <w:r>
              <w:rPr>
                <w:rFonts w:hint="default" w:ascii="Times New Roman" w:hAnsi="Times New Roman" w:eastAsia="宋体" w:cs="Times New Roman"/>
                <w:color w:val="auto"/>
                <w:sz w:val="24"/>
                <w:szCs w:val="24"/>
                <w:highlight w:val="none"/>
                <w:vertAlign w:val="superscript"/>
              </w:rPr>
              <w:t>-7</w:t>
            </w:r>
            <w:r>
              <w:rPr>
                <w:rFonts w:hint="default" w:ascii="Times New Roman" w:hAnsi="Times New Roman" w:eastAsia="宋体" w:cs="Times New Roman"/>
                <w:color w:val="auto"/>
                <w:sz w:val="24"/>
                <w:szCs w:val="24"/>
                <w:highlight w:val="none"/>
              </w:rPr>
              <w:t>cm/s），或至少2 mm 厚高密度聚乙烯膜等人工防渗材料（渗透系数不大于10</w:t>
            </w:r>
            <w:r>
              <w:rPr>
                <w:rFonts w:hint="default" w:ascii="Times New Roman" w:hAnsi="Times New Roman" w:eastAsia="宋体" w:cs="Times New Roman"/>
                <w:color w:val="auto"/>
                <w:sz w:val="24"/>
                <w:szCs w:val="24"/>
                <w:highlight w:val="none"/>
                <w:vertAlign w:val="superscript"/>
              </w:rPr>
              <w:t>-10</w:t>
            </w:r>
            <w:r>
              <w:rPr>
                <w:rFonts w:hint="default" w:ascii="Times New Roman" w:hAnsi="Times New Roman" w:eastAsia="宋体" w:cs="Times New Roman"/>
                <w:color w:val="auto"/>
                <w:sz w:val="24"/>
                <w:szCs w:val="24"/>
                <w:highlight w:val="none"/>
              </w:rPr>
              <w:t>cm/s），或其他防渗性能等效的材料。</w:t>
            </w:r>
          </w:p>
          <w:p w14:paraId="5A5E4146">
            <w:pPr>
              <w:pStyle w:val="77"/>
              <w:keepNext w:val="0"/>
              <w:keepLines w:val="0"/>
              <w:pageBreakBefore w:val="0"/>
              <w:widowControl/>
              <w:shd w:val="clear"/>
              <w:kinsoku/>
              <w:wordWrap/>
              <w:overflowPunct/>
              <w:topLinePunct w:val="0"/>
              <w:autoSpaceDE/>
              <w:autoSpaceDN/>
              <w:bidi w:val="0"/>
              <w:adjustRightInd/>
              <w:snapToGrid/>
              <w:spacing w:beforeLines="-2147483648" w:afterLines="-2147483648"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⑤同一贮存设施宜采用相同的防渗、防腐工艺（包括防渗、防腐结构或材料），防渗、防腐材料应覆盖所有可能与废物及其渗滤液、渗漏液等接触的构筑物表面；采用不同防渗、防腐工艺应分别建设贮存分区。</w:t>
            </w:r>
          </w:p>
          <w:p w14:paraId="4EE500AC">
            <w:pPr>
              <w:pStyle w:val="77"/>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⑥</w:t>
            </w:r>
            <w:r>
              <w:rPr>
                <w:rFonts w:hint="default" w:ascii="Times New Roman" w:hAnsi="Times New Roman" w:eastAsia="宋体" w:cs="Times New Roman"/>
                <w:color w:val="auto"/>
                <w:sz w:val="24"/>
                <w:szCs w:val="24"/>
                <w:highlight w:val="none"/>
              </w:rPr>
              <w:t>贮存设施应采取技术和管理措施防止无关人员进入。</w:t>
            </w:r>
          </w:p>
          <w:p w14:paraId="67EB0EC5">
            <w:pPr>
              <w:pStyle w:val="77"/>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危废转移</w:t>
            </w:r>
          </w:p>
          <w:p w14:paraId="695A9864">
            <w:pPr>
              <w:pStyle w:val="77"/>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危废转移</w:t>
            </w:r>
            <w:r>
              <w:rPr>
                <w:rFonts w:hint="default" w:ascii="Times New Roman" w:hAnsi="Times New Roman" w:eastAsia="宋体" w:cs="Times New Roman"/>
                <w:color w:val="auto"/>
                <w:spacing w:val="-5"/>
                <w:sz w:val="24"/>
                <w:szCs w:val="24"/>
                <w:highlight w:val="none"/>
                <w:lang w:val="en-US" w:eastAsia="zh-CN"/>
              </w:rPr>
              <w:t>过程</w:t>
            </w:r>
            <w:r>
              <w:rPr>
                <w:rFonts w:hint="default" w:ascii="Times New Roman" w:hAnsi="Times New Roman" w:eastAsia="宋体" w:cs="Times New Roman"/>
                <w:color w:val="auto"/>
                <w:spacing w:val="-5"/>
                <w:sz w:val="24"/>
                <w:szCs w:val="24"/>
                <w:highlight w:val="none"/>
              </w:rPr>
              <w:t>应当严格遵守《危险废物转移管理办法》（部令 第23号）、《危险废</w:t>
            </w:r>
            <w:r>
              <w:rPr>
                <w:rFonts w:hint="default" w:ascii="Times New Roman" w:hAnsi="Times New Roman" w:eastAsia="宋体" w:cs="Times New Roman"/>
                <w:color w:val="auto"/>
                <w:sz w:val="24"/>
                <w:szCs w:val="24"/>
                <w:highlight w:val="none"/>
              </w:rPr>
              <w:t>物收集贮存运输技术规范</w:t>
            </w:r>
            <w:r>
              <w:rPr>
                <w:rFonts w:hint="default" w:ascii="Times New Roman" w:hAnsi="Times New Roman" w:eastAsia="宋体" w:cs="Times New Roman"/>
                <w:color w:val="auto"/>
                <w:spacing w:val="-5"/>
                <w:sz w:val="24"/>
                <w:szCs w:val="24"/>
                <w:highlight w:val="none"/>
              </w:rPr>
              <w:t>》</w:t>
            </w:r>
            <w:r>
              <w:rPr>
                <w:rFonts w:hint="default" w:ascii="Times New Roman" w:hAnsi="Times New Roman" w:eastAsia="宋体" w:cs="Times New Roman"/>
                <w:color w:val="auto"/>
                <w:sz w:val="24"/>
                <w:szCs w:val="24"/>
                <w:highlight w:val="none"/>
              </w:rPr>
              <w:t>（HJ 2025-2012）相关要求，确保危险废物得到安全处置：</w:t>
            </w:r>
          </w:p>
          <w:p w14:paraId="3B7FB824">
            <w:pPr>
              <w:pStyle w:val="77"/>
              <w:keepNext w:val="0"/>
              <w:keepLines w:val="0"/>
              <w:pageBreakBefore w:val="0"/>
              <w:widowControl w:val="0"/>
              <w:numPr>
                <w:ilvl w:val="0"/>
                <w:numId w:val="0"/>
              </w:numPr>
              <w:shd w:val="clear"/>
              <w:tabs>
                <w:tab w:val="left" w:pos="953"/>
              </w:tabs>
              <w:kinsoku/>
              <w:wordWrap/>
              <w:overflowPunct/>
              <w:topLinePunct w:val="0"/>
              <w:autoSpaceDE/>
              <w:autoSpaceDN/>
              <w:bidi w:val="0"/>
              <w:adjustRightInd/>
              <w:snapToGrid/>
              <w:spacing w:beforeLines="0" w:afterLines="0" w:line="360" w:lineRule="auto"/>
              <w:ind w:leftChars="0"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做好危险废物转移手续，按照《危险废物转移管理办法》（部令</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第23号）要求进行。建</w:t>
            </w:r>
            <w:r>
              <w:rPr>
                <w:rFonts w:hint="default" w:ascii="Times New Roman" w:hAnsi="Times New Roman" w:eastAsia="宋体" w:cs="Times New Roman"/>
                <w:color w:val="auto"/>
                <w:spacing w:val="-4"/>
                <w:sz w:val="24"/>
                <w:szCs w:val="24"/>
                <w:highlight w:val="none"/>
              </w:rPr>
              <w:t>设单位在转移危险废物前，须按照国家有关规定报批危险废物转移计划；经批准后，产生</w:t>
            </w:r>
            <w:r>
              <w:rPr>
                <w:rFonts w:hint="default" w:ascii="Times New Roman" w:hAnsi="Times New Roman" w:eastAsia="宋体" w:cs="Times New Roman"/>
                <w:color w:val="auto"/>
                <w:spacing w:val="-3"/>
                <w:sz w:val="24"/>
                <w:szCs w:val="24"/>
                <w:highlight w:val="none"/>
              </w:rPr>
              <w:t>单位应当向移出地环境保护行政主管部门申请领取联单。危险废物产生单位应当如实填写</w:t>
            </w:r>
            <w:r>
              <w:rPr>
                <w:rFonts w:hint="default" w:ascii="Times New Roman" w:hAnsi="Times New Roman" w:eastAsia="宋体" w:cs="Times New Roman"/>
                <w:color w:val="auto"/>
                <w:spacing w:val="-5"/>
                <w:sz w:val="24"/>
                <w:szCs w:val="24"/>
                <w:highlight w:val="none"/>
              </w:rPr>
              <w:t>联单中产生单位栏目，并加盖公章，经交付危险废物运输单位核实验收签字后，将联单第</w:t>
            </w:r>
            <w:r>
              <w:rPr>
                <w:rFonts w:hint="default" w:ascii="Times New Roman" w:hAnsi="Times New Roman" w:eastAsia="宋体" w:cs="Times New Roman"/>
                <w:color w:val="auto"/>
                <w:spacing w:val="-4"/>
                <w:sz w:val="24"/>
                <w:szCs w:val="24"/>
                <w:highlight w:val="none"/>
              </w:rPr>
              <w:t>一联副联自留存档，将联单第二联交移出地环境保护行政主管部门，联单第一联正联及其</w:t>
            </w:r>
            <w:r>
              <w:rPr>
                <w:rFonts w:hint="default" w:ascii="Times New Roman" w:hAnsi="Times New Roman" w:eastAsia="宋体" w:cs="Times New Roman"/>
                <w:color w:val="auto"/>
                <w:sz w:val="24"/>
                <w:szCs w:val="24"/>
                <w:highlight w:val="none"/>
              </w:rPr>
              <w:t>余各联交付运输单位随危险废物转移运行。</w:t>
            </w:r>
          </w:p>
          <w:p w14:paraId="32BF62FF">
            <w:pPr>
              <w:pStyle w:val="77"/>
              <w:keepNext w:val="0"/>
              <w:keepLines w:val="0"/>
              <w:pageBreakBefore w:val="0"/>
              <w:numPr>
                <w:ilvl w:val="0"/>
                <w:numId w:val="0"/>
              </w:numPr>
              <w:shd w:val="clea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危险废物运输由持有危险废物经营许可证的单位按照其许可证的经营范围组织实施，承担危险废物运输单位应获得交通运输部门颁发的危险货物运输资质；</w:t>
            </w:r>
          </w:p>
          <w:p w14:paraId="558A1B7C">
            <w:pPr>
              <w:pStyle w:val="77"/>
              <w:keepNext w:val="0"/>
              <w:keepLines w:val="0"/>
              <w:pageBreakBefore w:val="0"/>
              <w:numPr>
                <w:ilvl w:val="0"/>
                <w:numId w:val="0"/>
              </w:numPr>
              <w:shd w:val="clea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危险废物在运输途中若发生被盗、丢失、流散、</w:t>
            </w:r>
            <w:r>
              <w:rPr>
                <w:rFonts w:hint="default" w:ascii="Times New Roman" w:hAnsi="Times New Roman" w:eastAsia="宋体" w:cs="Times New Roman"/>
                <w:color w:val="auto"/>
                <w:sz w:val="24"/>
                <w:szCs w:val="24"/>
                <w:highlight w:val="none"/>
                <w:lang w:eastAsia="zh-CN"/>
              </w:rPr>
              <w:t>泄漏</w:t>
            </w:r>
            <w:r>
              <w:rPr>
                <w:rFonts w:hint="default" w:ascii="Times New Roman" w:hAnsi="Times New Roman" w:eastAsia="宋体" w:cs="Times New Roman"/>
                <w:color w:val="auto"/>
                <w:sz w:val="24"/>
                <w:szCs w:val="24"/>
                <w:highlight w:val="none"/>
              </w:rPr>
              <w:t>等情况时，公司及押运人员必须立即向当地环保部门、公安部门报告，并采取一切可能的警示措施。</w:t>
            </w:r>
          </w:p>
          <w:p w14:paraId="50BCC93B">
            <w:pPr>
              <w:pStyle w:val="77"/>
              <w:keepNext w:val="0"/>
              <w:keepLines w:val="0"/>
              <w:pageBreakBefore w:val="0"/>
              <w:numPr>
                <w:ilvl w:val="0"/>
                <w:numId w:val="0"/>
              </w:numPr>
              <w:shd w:val="clea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措施，并</w:t>
            </w:r>
            <w:r>
              <w:rPr>
                <w:rFonts w:hint="default" w:ascii="Times New Roman" w:hAnsi="Times New Roman" w:eastAsia="宋体" w:cs="Times New Roman"/>
                <w:color w:val="auto"/>
                <w:sz w:val="24"/>
                <w:szCs w:val="24"/>
                <w:highlight w:val="none"/>
                <w:lang w:val="en-US" w:eastAsia="zh-CN"/>
              </w:rPr>
              <w:t>对事故造成的危害进行监测、处置，符合国家环境保护标准。</w:t>
            </w:r>
          </w:p>
          <w:p w14:paraId="3BD733A5">
            <w:pPr>
              <w:pStyle w:val="77"/>
              <w:keepNext w:val="0"/>
              <w:keepLines w:val="0"/>
              <w:pageBreakBefore w:val="0"/>
              <w:numPr>
                <w:ilvl w:val="0"/>
                <w:numId w:val="0"/>
              </w:numPr>
              <w:shd w:val="clea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在采取上述措</w:t>
            </w:r>
            <w:r>
              <w:rPr>
                <w:rFonts w:hint="default" w:ascii="Times New Roman" w:hAnsi="Times New Roman" w:eastAsia="宋体" w:cs="Times New Roman"/>
                <w:color w:val="auto"/>
                <w:sz w:val="24"/>
                <w:szCs w:val="24"/>
                <w:highlight w:val="none"/>
              </w:rPr>
              <w:t>施的前提下，项目运营期固体废物均能得到及时、妥善的处理和处置，不会对周围环境造成大的影响。</w:t>
            </w:r>
          </w:p>
          <w:p w14:paraId="402E8AC6">
            <w:pPr>
              <w:pStyle w:val="77"/>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leftChars="0" w:right="0" w:rightChars="0" w:firstLine="482" w:firstLineChars="200"/>
              <w:jc w:val="left"/>
              <w:textAlignment w:val="auto"/>
              <w:rPr>
                <w:rFonts w:hint="default" w:ascii="Times New Roman" w:hAnsi="Times New Roman" w:eastAsia="宋体" w:cs="Times New Roman"/>
                <w:b/>
                <w:bCs/>
                <w:color w:val="auto"/>
                <w:sz w:val="24"/>
                <w:szCs w:val="24"/>
                <w:highlight w:val="none"/>
                <w:lang w:val="en-US"/>
              </w:rPr>
            </w:pPr>
            <w:r>
              <w:rPr>
                <w:rFonts w:hint="default" w:ascii="Times New Roman" w:hAnsi="Times New Roman" w:eastAsia="宋体" w:cs="Times New Roman"/>
                <w:b/>
                <w:bCs/>
                <w:color w:val="auto"/>
                <w:sz w:val="24"/>
                <w:szCs w:val="24"/>
                <w:highlight w:val="none"/>
                <w:lang w:val="en-US" w:eastAsia="zh-CN"/>
              </w:rPr>
              <w:t>五</w:t>
            </w:r>
            <w:r>
              <w:rPr>
                <w:rFonts w:hint="default" w:ascii="Times New Roman" w:hAnsi="Times New Roman" w:eastAsia="宋体" w:cs="Times New Roman"/>
                <w:b/>
                <w:bCs/>
                <w:color w:val="auto"/>
                <w:sz w:val="24"/>
                <w:szCs w:val="24"/>
                <w:highlight w:val="none"/>
              </w:rPr>
              <w:t>、土壤环境影响分析</w:t>
            </w:r>
          </w:p>
          <w:p w14:paraId="11A7520B">
            <w:pPr>
              <w:pStyle w:val="77"/>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bCs/>
                <w:color w:val="auto"/>
                <w:sz w:val="24"/>
                <w:szCs w:val="24"/>
                <w:highlight w:val="none"/>
                <w:lang w:val="zh-CN" w:eastAsia="zh-CN"/>
              </w:rPr>
            </w:pPr>
            <w:r>
              <w:rPr>
                <w:rFonts w:hint="default" w:ascii="Times New Roman" w:hAnsi="Times New Roman" w:eastAsia="宋体" w:cs="Times New Roman"/>
                <w:color w:val="auto"/>
                <w:sz w:val="24"/>
                <w:szCs w:val="24"/>
                <w:highlight w:val="none"/>
                <w:lang w:val="en-US" w:eastAsia="zh-CN"/>
              </w:rPr>
              <w:t>项目对土壤</w:t>
            </w:r>
            <w:r>
              <w:rPr>
                <w:rFonts w:hint="default" w:ascii="Times New Roman" w:hAnsi="Times New Roman" w:eastAsia="宋体" w:cs="Times New Roman"/>
                <w:bCs/>
                <w:color w:val="auto"/>
                <w:sz w:val="24"/>
                <w:szCs w:val="24"/>
                <w:highlight w:val="none"/>
                <w:lang w:val="en-US" w:eastAsia="zh-CN"/>
              </w:rPr>
              <w:t>可能产生</w:t>
            </w:r>
            <w:r>
              <w:rPr>
                <w:rFonts w:hint="default" w:ascii="Times New Roman" w:hAnsi="Times New Roman" w:eastAsia="宋体" w:cs="Times New Roman"/>
                <w:bCs/>
                <w:color w:val="auto"/>
                <w:sz w:val="24"/>
                <w:szCs w:val="24"/>
                <w:highlight w:val="none"/>
                <w:lang w:val="zh-CN" w:eastAsia="zh-CN"/>
              </w:rPr>
              <w:t>污染的因子</w:t>
            </w:r>
            <w:r>
              <w:rPr>
                <w:rFonts w:hint="default" w:ascii="Times New Roman" w:hAnsi="Times New Roman" w:eastAsia="宋体" w:cs="Times New Roman"/>
                <w:bCs/>
                <w:color w:val="auto"/>
                <w:sz w:val="24"/>
                <w:szCs w:val="24"/>
                <w:highlight w:val="none"/>
                <w:lang w:val="en-US" w:eastAsia="zh-CN"/>
              </w:rPr>
              <w:t>主要</w:t>
            </w:r>
            <w:r>
              <w:rPr>
                <w:rFonts w:hint="default" w:ascii="Times New Roman" w:hAnsi="Times New Roman" w:eastAsia="宋体" w:cs="Times New Roman"/>
                <w:bCs/>
                <w:color w:val="auto"/>
                <w:sz w:val="24"/>
                <w:szCs w:val="24"/>
                <w:highlight w:val="none"/>
                <w:lang w:val="zh-CN" w:eastAsia="zh-CN"/>
              </w:rPr>
              <w:t>为石油烃（来自废机油）</w:t>
            </w:r>
            <w:r>
              <w:rPr>
                <w:rFonts w:hint="default" w:ascii="Times New Roman" w:hAnsi="Times New Roman" w:eastAsia="宋体" w:cs="Times New Roman"/>
                <w:bCs/>
                <w:color w:val="auto"/>
                <w:sz w:val="24"/>
                <w:szCs w:val="24"/>
                <w:highlight w:val="none"/>
                <w:lang w:val="en-US" w:eastAsia="zh-CN"/>
              </w:rPr>
              <w:t>、非甲烷总烃</w:t>
            </w:r>
            <w:r>
              <w:rPr>
                <w:rFonts w:hint="default" w:ascii="Times New Roman" w:hAnsi="Times New Roman" w:eastAsia="宋体" w:cs="Times New Roman"/>
                <w:bCs/>
                <w:color w:val="auto"/>
                <w:sz w:val="24"/>
                <w:szCs w:val="24"/>
                <w:highlight w:val="none"/>
                <w:lang w:val="zh-CN" w:eastAsia="zh-CN"/>
              </w:rPr>
              <w:t>，可能产生的污染途径为大气沉降、地面漫流、垂直入渗。</w:t>
            </w:r>
          </w:p>
          <w:p w14:paraId="49343872">
            <w:pPr>
              <w:pStyle w:val="6"/>
              <w:keepNext w:val="0"/>
              <w:keepLines w:val="0"/>
              <w:pageBreakBefore w:val="0"/>
              <w:widowControl w:val="0"/>
              <w:kinsoku/>
              <w:wordWrap/>
              <w:overflowPunct/>
              <w:topLinePunct w:val="0"/>
              <w:autoSpaceDE/>
              <w:autoSpaceDN/>
              <w:bidi w:val="0"/>
              <w:adjustRightInd/>
              <w:spacing w:before="0" w:after="0" w:line="360" w:lineRule="auto"/>
              <w:ind w:left="0" w:leftChars="0" w:right="0" w:firstLine="480" w:firstLineChars="200"/>
              <w:jc w:val="both"/>
              <w:textAlignment w:val="auto"/>
              <w:rPr>
                <w:rFonts w:hint="default" w:ascii="Times New Roman" w:hAnsi="Times New Roman" w:eastAsia="宋体" w:cs="Times New Roman"/>
                <w:bCs/>
                <w:color w:val="auto"/>
                <w:sz w:val="24"/>
                <w:szCs w:val="24"/>
                <w:highlight w:val="none"/>
                <w:lang w:val="zh-CN" w:eastAsia="zh-CN"/>
              </w:rPr>
            </w:pPr>
            <w:r>
              <w:rPr>
                <w:rFonts w:hint="default" w:ascii="Times New Roman" w:hAnsi="Times New Roman" w:eastAsia="宋体" w:cs="Times New Roman"/>
                <w:bCs/>
                <w:color w:val="auto"/>
                <w:sz w:val="24"/>
                <w:szCs w:val="24"/>
                <w:highlight w:val="none"/>
                <w:lang w:val="zh-CN" w:eastAsia="zh-CN"/>
              </w:rPr>
              <w:t>（1）大气沉降：本项目</w:t>
            </w:r>
            <w:r>
              <w:rPr>
                <w:rFonts w:hint="default" w:ascii="Times New Roman" w:hAnsi="Times New Roman" w:eastAsia="宋体" w:cs="Times New Roman"/>
                <w:bCs/>
                <w:color w:val="auto"/>
                <w:sz w:val="24"/>
                <w:szCs w:val="24"/>
                <w:highlight w:val="none"/>
                <w:lang w:val="en-US" w:eastAsia="zh-CN"/>
              </w:rPr>
              <w:t>非甲烷总烃</w:t>
            </w:r>
            <w:r>
              <w:rPr>
                <w:rFonts w:hint="default" w:ascii="Times New Roman" w:hAnsi="Times New Roman" w:eastAsia="宋体" w:cs="Times New Roman"/>
                <w:bCs/>
                <w:color w:val="auto"/>
                <w:sz w:val="24"/>
                <w:szCs w:val="24"/>
                <w:highlight w:val="none"/>
                <w:lang w:val="zh-CN" w:eastAsia="zh-CN"/>
              </w:rPr>
              <w:t>经“</w:t>
            </w:r>
            <w:r>
              <w:rPr>
                <w:rFonts w:hint="default" w:ascii="Times New Roman" w:hAnsi="Times New Roman" w:eastAsia="宋体" w:cs="Times New Roman"/>
                <w:bCs/>
                <w:color w:val="auto"/>
                <w:sz w:val="24"/>
                <w:szCs w:val="24"/>
                <w:highlight w:val="none"/>
                <w:lang w:val="en-US" w:eastAsia="zh-CN"/>
              </w:rPr>
              <w:t>活性炭吸附</w:t>
            </w:r>
            <w:r>
              <w:rPr>
                <w:rFonts w:hint="default" w:ascii="Times New Roman" w:hAnsi="Times New Roman" w:eastAsia="宋体" w:cs="Times New Roman"/>
                <w:bCs/>
                <w:color w:val="auto"/>
                <w:sz w:val="24"/>
                <w:szCs w:val="24"/>
                <w:highlight w:val="none"/>
                <w:lang w:val="zh-CN" w:eastAsia="zh-CN"/>
              </w:rPr>
              <w:t>”处理后排放量较小，且</w:t>
            </w:r>
            <w:r>
              <w:rPr>
                <w:rFonts w:hint="default" w:ascii="Times New Roman" w:hAnsi="Times New Roman" w:eastAsia="宋体" w:cs="Times New Roman"/>
                <w:bCs/>
                <w:color w:val="auto"/>
                <w:sz w:val="24"/>
                <w:szCs w:val="24"/>
                <w:highlight w:val="none"/>
                <w:lang w:val="en-US" w:eastAsia="zh-CN"/>
              </w:rPr>
              <w:t>非甲烷总烃</w:t>
            </w:r>
            <w:r>
              <w:rPr>
                <w:rFonts w:hint="default" w:ascii="Times New Roman" w:hAnsi="Times New Roman" w:eastAsia="宋体" w:cs="Times New Roman"/>
                <w:bCs/>
                <w:color w:val="auto"/>
                <w:sz w:val="24"/>
                <w:szCs w:val="24"/>
                <w:highlight w:val="none"/>
                <w:lang w:val="zh-CN" w:eastAsia="zh-CN"/>
              </w:rPr>
              <w:t>不属于沉降型污染物，排放后沉降到土壤中富集造成土壤影响的可能性较小。</w:t>
            </w:r>
          </w:p>
          <w:p w14:paraId="029EDD17">
            <w:pPr>
              <w:pStyle w:val="6"/>
              <w:keepNext w:val="0"/>
              <w:keepLines w:val="0"/>
              <w:pageBreakBefore w:val="0"/>
              <w:widowControl w:val="0"/>
              <w:kinsoku/>
              <w:wordWrap/>
              <w:overflowPunct/>
              <w:topLinePunct w:val="0"/>
              <w:autoSpaceDE/>
              <w:autoSpaceDN/>
              <w:bidi w:val="0"/>
              <w:adjustRightInd/>
              <w:spacing w:before="0" w:after="0" w:line="360" w:lineRule="auto"/>
              <w:ind w:left="0" w:leftChars="0" w:right="0" w:firstLine="480" w:firstLineChars="200"/>
              <w:jc w:val="both"/>
              <w:textAlignment w:val="auto"/>
              <w:rPr>
                <w:rFonts w:hint="default" w:ascii="Times New Roman" w:hAnsi="Times New Roman" w:eastAsia="宋体" w:cs="Times New Roman"/>
                <w:bCs/>
                <w:color w:val="auto"/>
                <w:sz w:val="24"/>
                <w:szCs w:val="24"/>
                <w:highlight w:val="none"/>
                <w:lang w:val="zh-CN" w:eastAsia="zh-CN"/>
              </w:rPr>
            </w:pPr>
            <w:r>
              <w:rPr>
                <w:rFonts w:hint="default" w:ascii="Times New Roman" w:hAnsi="Times New Roman" w:eastAsia="宋体" w:cs="Times New Roman"/>
                <w:bCs/>
                <w:color w:val="auto"/>
                <w:sz w:val="24"/>
                <w:szCs w:val="24"/>
                <w:highlight w:val="none"/>
                <w:lang w:val="zh-CN" w:eastAsia="zh-CN"/>
              </w:rPr>
              <w:t>（2）地面漫流：若危废暂存容器出现破损，会发生地面漫流，对未防渗区域土壤造成影响。本项目在危废暂存间按照要求设置围堰，发生事故后经过围堰截流，并立即响应处理，发生地面漫流的可能很小。处理设施出现跑冒滴漏情况下，立即停止生产，开展检修，并及时采用密闭容器收集滴漏的油类，采用毡布处理地面油类物质，得到有效处理后发生地面漫流的可能性较小。</w:t>
            </w:r>
          </w:p>
          <w:p w14:paraId="01FF1189">
            <w:pPr>
              <w:pStyle w:val="6"/>
              <w:keepNext w:val="0"/>
              <w:keepLines w:val="0"/>
              <w:pageBreakBefore w:val="0"/>
              <w:widowControl w:val="0"/>
              <w:kinsoku/>
              <w:wordWrap/>
              <w:overflowPunct/>
              <w:topLinePunct w:val="0"/>
              <w:autoSpaceDE/>
              <w:autoSpaceDN/>
              <w:bidi w:val="0"/>
              <w:adjustRightInd/>
              <w:spacing w:before="0" w:after="0" w:line="408" w:lineRule="auto"/>
              <w:ind w:left="0" w:leftChars="0" w:right="0" w:firstLine="480" w:firstLineChars="200"/>
              <w:jc w:val="both"/>
              <w:textAlignment w:val="auto"/>
              <w:rPr>
                <w:rFonts w:hint="default" w:ascii="Times New Roman" w:hAnsi="Times New Roman" w:eastAsia="宋体" w:cs="Times New Roman"/>
                <w:bCs/>
                <w:color w:val="auto"/>
                <w:sz w:val="24"/>
                <w:szCs w:val="24"/>
                <w:highlight w:val="none"/>
                <w:lang w:val="zh-CN" w:eastAsia="zh-CN"/>
              </w:rPr>
            </w:pPr>
            <w:r>
              <w:rPr>
                <w:rFonts w:hint="default" w:ascii="Times New Roman" w:hAnsi="Times New Roman" w:eastAsia="宋体" w:cs="Times New Roman"/>
                <w:bCs/>
                <w:color w:val="auto"/>
                <w:sz w:val="24"/>
                <w:szCs w:val="24"/>
                <w:highlight w:val="none"/>
                <w:lang w:val="zh-CN" w:eastAsia="zh-CN"/>
              </w:rPr>
              <w:t>（3）垂直入渗：项目危废暂存间均按照重点防渗区进行防渗：</w:t>
            </w:r>
            <w:r>
              <w:rPr>
                <w:rFonts w:hint="default" w:ascii="Times New Roman" w:hAnsi="Times New Roman" w:eastAsia="宋体" w:cs="Times New Roman"/>
                <w:color w:val="auto"/>
                <w:kern w:val="2"/>
                <w:sz w:val="24"/>
                <w:szCs w:val="24"/>
                <w:highlight w:val="none"/>
              </w:rPr>
              <w:t>抗渗混凝土+2mm厚HDPE+环氧树脂涂料</w:t>
            </w:r>
            <w:r>
              <w:rPr>
                <w:rFonts w:hint="default" w:ascii="Times New Roman" w:hAnsi="Times New Roman" w:eastAsia="宋体" w:cs="Times New Roman"/>
                <w:bCs/>
                <w:color w:val="auto"/>
                <w:sz w:val="24"/>
                <w:szCs w:val="24"/>
                <w:highlight w:val="none"/>
                <w:lang w:val="zh-CN"/>
              </w:rPr>
              <w:t>，渗透系数≤10</w:t>
            </w:r>
            <w:r>
              <w:rPr>
                <w:rFonts w:hint="default" w:ascii="Times New Roman" w:hAnsi="Times New Roman" w:eastAsia="宋体" w:cs="Times New Roman"/>
                <w:bCs/>
                <w:color w:val="auto"/>
                <w:sz w:val="24"/>
                <w:szCs w:val="24"/>
                <w:highlight w:val="none"/>
                <w:vertAlign w:val="superscript"/>
                <w:lang w:val="zh-CN"/>
              </w:rPr>
              <w:t>-10</w:t>
            </w:r>
            <w:r>
              <w:rPr>
                <w:rFonts w:hint="default" w:ascii="Times New Roman" w:hAnsi="Times New Roman" w:eastAsia="宋体" w:cs="Times New Roman"/>
                <w:bCs/>
                <w:color w:val="auto"/>
                <w:sz w:val="24"/>
                <w:szCs w:val="24"/>
                <w:highlight w:val="none"/>
                <w:lang w:val="zh-CN"/>
              </w:rPr>
              <w:t>cm/s</w:t>
            </w:r>
            <w:r>
              <w:rPr>
                <w:rFonts w:hint="default" w:ascii="Times New Roman" w:hAnsi="Times New Roman" w:eastAsia="宋体" w:cs="Times New Roman"/>
                <w:bCs/>
                <w:color w:val="auto"/>
                <w:sz w:val="24"/>
                <w:szCs w:val="24"/>
                <w:highlight w:val="none"/>
                <w:lang w:val="zh-CN" w:eastAsia="zh-CN"/>
              </w:rPr>
              <w:t>。若发生容器泄漏后经过采取防渗措施，通过垂直入渗造成土壤污染的可能性较小；生产区采取水泥混</w:t>
            </w:r>
            <w:r>
              <w:rPr>
                <w:rFonts w:hint="eastAsia" w:cs="Times New Roman"/>
                <w:bCs/>
                <w:color w:val="auto"/>
                <w:sz w:val="24"/>
                <w:szCs w:val="24"/>
                <w:highlight w:val="none"/>
                <w:lang w:val="zh-CN" w:eastAsia="zh-CN"/>
              </w:rPr>
              <w:t>凝</w:t>
            </w:r>
            <w:r>
              <w:rPr>
                <w:rFonts w:hint="default" w:ascii="Times New Roman" w:hAnsi="Times New Roman" w:eastAsia="宋体" w:cs="Times New Roman"/>
                <w:bCs/>
                <w:color w:val="auto"/>
                <w:sz w:val="24"/>
                <w:szCs w:val="24"/>
                <w:highlight w:val="none"/>
                <w:lang w:val="zh-CN" w:eastAsia="zh-CN"/>
              </w:rPr>
              <w:t>土地面硬化，因此发生垂直入渗造成土壤污染的可能性较小。</w:t>
            </w:r>
          </w:p>
          <w:p w14:paraId="6704C5AF">
            <w:pPr>
              <w:pStyle w:val="6"/>
              <w:keepNext w:val="0"/>
              <w:keepLines w:val="0"/>
              <w:pageBreakBefore w:val="0"/>
              <w:widowControl w:val="0"/>
              <w:kinsoku/>
              <w:wordWrap/>
              <w:overflowPunct/>
              <w:topLinePunct w:val="0"/>
              <w:autoSpaceDE/>
              <w:autoSpaceDN/>
              <w:bidi w:val="0"/>
              <w:adjustRightInd/>
              <w:spacing w:before="0" w:after="0" w:line="408" w:lineRule="auto"/>
              <w:ind w:left="0" w:leftChars="0" w:right="0" w:firstLine="480" w:firstLineChars="200"/>
              <w:jc w:val="both"/>
              <w:textAlignment w:val="auto"/>
              <w:rPr>
                <w:rFonts w:hint="default" w:ascii="Times New Roman" w:hAnsi="Times New Roman" w:eastAsia="宋体" w:cs="Times New Roman"/>
                <w:bCs/>
                <w:color w:val="auto"/>
                <w:sz w:val="24"/>
                <w:szCs w:val="24"/>
                <w:highlight w:val="none"/>
                <w:lang w:val="zh-CN" w:eastAsia="zh-CN"/>
              </w:rPr>
            </w:pPr>
            <w:r>
              <w:rPr>
                <w:rFonts w:hint="default" w:ascii="Times New Roman" w:hAnsi="Times New Roman" w:eastAsia="宋体" w:cs="Times New Roman"/>
                <w:bCs/>
                <w:color w:val="auto"/>
                <w:sz w:val="24"/>
                <w:szCs w:val="24"/>
                <w:highlight w:val="none"/>
                <w:lang w:val="zh-CN" w:eastAsia="zh-CN"/>
              </w:rPr>
              <w:t>在采取</w:t>
            </w:r>
            <w:r>
              <w:rPr>
                <w:rFonts w:hint="default" w:ascii="Times New Roman" w:hAnsi="Times New Roman" w:eastAsia="宋体" w:cs="Times New Roman"/>
                <w:bCs/>
                <w:color w:val="auto"/>
                <w:sz w:val="24"/>
                <w:szCs w:val="24"/>
                <w:highlight w:val="none"/>
                <w:lang w:val="en-US" w:eastAsia="zh-CN"/>
              </w:rPr>
              <w:t>以上</w:t>
            </w:r>
            <w:r>
              <w:rPr>
                <w:rFonts w:hint="default" w:ascii="Times New Roman" w:hAnsi="Times New Roman" w:eastAsia="宋体" w:cs="Times New Roman"/>
                <w:bCs/>
                <w:color w:val="auto"/>
                <w:sz w:val="24"/>
                <w:szCs w:val="24"/>
                <w:highlight w:val="none"/>
                <w:lang w:val="zh-CN" w:eastAsia="zh-CN"/>
              </w:rPr>
              <w:t>措施后（土壤防治措施同地下水措施），对土壤环境影响较小。</w:t>
            </w:r>
          </w:p>
          <w:p w14:paraId="3874E41A">
            <w:pPr>
              <w:pStyle w:val="6"/>
              <w:keepNext w:val="0"/>
              <w:keepLines w:val="0"/>
              <w:pageBreakBefore w:val="0"/>
              <w:widowControl w:val="0"/>
              <w:kinsoku/>
              <w:wordWrap/>
              <w:overflowPunct/>
              <w:topLinePunct w:val="0"/>
              <w:autoSpaceDE/>
              <w:autoSpaceDN/>
              <w:bidi w:val="0"/>
              <w:adjustRightInd/>
              <w:spacing w:before="0" w:after="0" w:line="408" w:lineRule="auto"/>
              <w:ind w:left="0" w:leftChars="0" w:right="0" w:firstLine="482" w:firstLineChars="200"/>
              <w:jc w:val="both"/>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六</w:t>
            </w:r>
            <w:r>
              <w:rPr>
                <w:rFonts w:hint="default" w:ascii="Times New Roman" w:hAnsi="Times New Roman" w:eastAsia="宋体" w:cs="Times New Roman"/>
                <w:b/>
                <w:bCs w:val="0"/>
                <w:color w:val="auto"/>
                <w:sz w:val="24"/>
                <w:szCs w:val="24"/>
                <w:highlight w:val="none"/>
                <w:lang w:val="zh-CN" w:eastAsia="zh-CN"/>
              </w:rPr>
              <w:t>、</w:t>
            </w:r>
            <w:r>
              <w:rPr>
                <w:rFonts w:hint="default" w:ascii="Times New Roman" w:hAnsi="Times New Roman" w:eastAsia="宋体" w:cs="Times New Roman"/>
                <w:b/>
                <w:bCs w:val="0"/>
                <w:color w:val="auto"/>
                <w:sz w:val="24"/>
                <w:szCs w:val="24"/>
                <w:highlight w:val="none"/>
                <w:lang w:val="en-US" w:eastAsia="zh-CN"/>
              </w:rPr>
              <w:t>地下水</w:t>
            </w:r>
            <w:r>
              <w:rPr>
                <w:rFonts w:hint="default" w:ascii="Times New Roman" w:hAnsi="Times New Roman" w:eastAsia="宋体" w:cs="Times New Roman"/>
                <w:b/>
                <w:bCs w:val="0"/>
                <w:color w:val="auto"/>
                <w:sz w:val="24"/>
                <w:szCs w:val="24"/>
                <w:highlight w:val="none"/>
                <w:lang w:val="zh-CN" w:eastAsia="zh-CN"/>
              </w:rPr>
              <w:t>环境影响分析</w:t>
            </w:r>
          </w:p>
          <w:p w14:paraId="5D6E0C3C">
            <w:pPr>
              <w:pStyle w:val="6"/>
              <w:keepNext w:val="0"/>
              <w:keepLines w:val="0"/>
              <w:pageBreakBefore w:val="0"/>
              <w:widowControl w:val="0"/>
              <w:kinsoku/>
              <w:wordWrap/>
              <w:overflowPunct/>
              <w:topLinePunct w:val="0"/>
              <w:autoSpaceDE/>
              <w:autoSpaceDN/>
              <w:bidi w:val="0"/>
              <w:adjustRightInd/>
              <w:spacing w:before="0" w:after="0" w:line="408"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污染物对地下水的影响主要是</w:t>
            </w:r>
            <w:r>
              <w:rPr>
                <w:rFonts w:hint="default" w:ascii="Times New Roman" w:hAnsi="Times New Roman" w:eastAsia="宋体" w:cs="Times New Roman"/>
                <w:color w:val="auto"/>
                <w:sz w:val="24"/>
                <w:szCs w:val="24"/>
                <w:highlight w:val="none"/>
                <w:lang w:val="en-US" w:eastAsia="zh-CN"/>
              </w:rPr>
              <w:t>废机油</w:t>
            </w:r>
            <w:r>
              <w:rPr>
                <w:rFonts w:hint="default" w:ascii="Times New Roman" w:hAnsi="Times New Roman" w:eastAsia="宋体" w:cs="Times New Roman"/>
                <w:color w:val="auto"/>
                <w:sz w:val="24"/>
                <w:szCs w:val="24"/>
                <w:highlight w:val="none"/>
              </w:rPr>
              <w:t>通过垂直渗透进入包气带，进入包气带的污染物在物理、化学和生物的作用下经吸附、转化、迁移和分解后输入地下水。因此，包气带是</w:t>
            </w:r>
            <w:r>
              <w:rPr>
                <w:rFonts w:hint="eastAsia" w:cs="Times New Roman"/>
                <w:color w:val="auto"/>
                <w:sz w:val="24"/>
                <w:szCs w:val="24"/>
                <w:highlight w:val="none"/>
                <w:lang w:eastAsia="zh-CN"/>
              </w:rPr>
              <w:t>连接</w:t>
            </w:r>
            <w:r>
              <w:rPr>
                <w:rFonts w:hint="default" w:ascii="Times New Roman" w:hAnsi="Times New Roman" w:eastAsia="宋体" w:cs="Times New Roman"/>
                <w:color w:val="auto"/>
                <w:sz w:val="24"/>
                <w:szCs w:val="24"/>
                <w:highlight w:val="none"/>
              </w:rPr>
              <w:t>地面污染物与地下含水层的主要通道和过渡带，既是污染物媒介体，又是污染物的净化场所和地下水的防护层。地下水能否被污染取决于污染物的种类和性质，以及包气带的防污性能。一般来说，土壤粒细而紧密，渗透性差，则污染缓慢；反之，颗粒大而松散，渗透性能良好则污染快速；包气带厚度较小，地下水埋深浅，则污染物通过包气带进入含水层的可能性大，易造成地下水的污染。</w:t>
            </w:r>
          </w:p>
          <w:p w14:paraId="329C445C">
            <w:pPr>
              <w:pStyle w:val="6"/>
              <w:keepNext w:val="0"/>
              <w:keepLines w:val="0"/>
              <w:pageBreakBefore w:val="0"/>
              <w:widowControl w:val="0"/>
              <w:kinsoku/>
              <w:wordWrap/>
              <w:overflowPunct/>
              <w:topLinePunct w:val="0"/>
              <w:autoSpaceDE/>
              <w:autoSpaceDN/>
              <w:bidi w:val="0"/>
              <w:adjustRightInd/>
              <w:spacing w:before="0" w:after="0" w:line="408" w:lineRule="auto"/>
              <w:ind w:left="0" w:leftChars="0" w:right="0"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1、污染途径</w:t>
            </w:r>
          </w:p>
          <w:p w14:paraId="129E924D">
            <w:pPr>
              <w:pStyle w:val="6"/>
              <w:keepNext w:val="0"/>
              <w:keepLines w:val="0"/>
              <w:pageBreakBefore w:val="0"/>
              <w:widowControl w:val="0"/>
              <w:kinsoku/>
              <w:wordWrap/>
              <w:overflowPunct/>
              <w:topLinePunct w:val="0"/>
              <w:autoSpaceDE/>
              <w:autoSpaceDN/>
              <w:bidi w:val="0"/>
              <w:adjustRightInd/>
              <w:spacing w:before="0" w:after="0" w:line="408" w:lineRule="auto"/>
              <w:ind w:left="0" w:leftChars="0"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w:t>
            </w:r>
            <w:r>
              <w:rPr>
                <w:rFonts w:hint="default" w:ascii="Times New Roman" w:hAnsi="Times New Roman" w:eastAsia="宋体" w:cs="Times New Roman"/>
                <w:color w:val="auto"/>
                <w:sz w:val="24"/>
                <w:szCs w:val="24"/>
                <w:highlight w:val="none"/>
                <w:lang w:val="zh-CN" w:eastAsia="zh-CN"/>
              </w:rPr>
              <w:t>项目对地下水可能产生污染的物质为废机油</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可能对地下水造成污染的途径主要为</w:t>
            </w:r>
            <w:r>
              <w:rPr>
                <w:rFonts w:hint="default" w:ascii="Times New Roman" w:hAnsi="Times New Roman" w:eastAsia="宋体" w:cs="Times New Roman"/>
                <w:color w:val="auto"/>
                <w:sz w:val="24"/>
                <w:szCs w:val="24"/>
                <w:highlight w:val="none"/>
                <w:lang w:val="en-US" w:eastAsia="zh-CN"/>
              </w:rPr>
              <w:t>危废暂存间、</w:t>
            </w:r>
            <w:r>
              <w:rPr>
                <w:rFonts w:hint="eastAsia" w:cs="Times New Roman"/>
                <w:color w:val="auto"/>
                <w:sz w:val="24"/>
                <w:szCs w:val="24"/>
                <w:highlight w:val="none"/>
                <w:lang w:val="en-US" w:eastAsia="zh-CN"/>
              </w:rPr>
              <w:t>冷却循环池</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rPr>
              <w:t>隔油池</w:t>
            </w:r>
            <w:r>
              <w:rPr>
                <w:rFonts w:hint="default" w:ascii="Times New Roman" w:hAnsi="Times New Roman" w:eastAsia="宋体" w:cs="Times New Roman"/>
                <w:color w:val="auto"/>
                <w:sz w:val="24"/>
                <w:szCs w:val="24"/>
                <w:highlight w:val="none"/>
                <w:lang w:val="en-US" w:eastAsia="zh-CN"/>
              </w:rPr>
              <w:t>等</w:t>
            </w:r>
            <w:r>
              <w:rPr>
                <w:rFonts w:hint="default" w:ascii="Times New Roman" w:hAnsi="Times New Roman" w:eastAsia="宋体" w:cs="Times New Roman"/>
                <w:color w:val="auto"/>
                <w:sz w:val="24"/>
                <w:szCs w:val="24"/>
                <w:highlight w:val="none"/>
              </w:rPr>
              <w:t>，若其</w:t>
            </w:r>
            <w:r>
              <w:rPr>
                <w:rFonts w:hint="default" w:ascii="Times New Roman" w:hAnsi="Times New Roman" w:eastAsia="宋体" w:cs="Times New Roman"/>
                <w:color w:val="auto"/>
                <w:sz w:val="24"/>
                <w:szCs w:val="24"/>
                <w:highlight w:val="none"/>
                <w:lang w:val="en-US" w:eastAsia="zh-CN"/>
              </w:rPr>
              <w:t>物料</w:t>
            </w:r>
            <w:r>
              <w:rPr>
                <w:rFonts w:hint="default" w:ascii="Times New Roman" w:hAnsi="Times New Roman" w:eastAsia="宋体" w:cs="Times New Roman"/>
                <w:color w:val="auto"/>
                <w:sz w:val="24"/>
                <w:szCs w:val="24"/>
                <w:highlight w:val="none"/>
                <w:lang w:val="zh-CN" w:eastAsia="zh-CN"/>
              </w:rPr>
              <w:t>存储</w:t>
            </w:r>
            <w:r>
              <w:rPr>
                <w:rFonts w:hint="default" w:ascii="Times New Roman" w:hAnsi="Times New Roman" w:eastAsia="宋体" w:cs="Times New Roman"/>
                <w:color w:val="auto"/>
                <w:sz w:val="24"/>
                <w:szCs w:val="24"/>
                <w:highlight w:val="none"/>
                <w:lang w:val="en-US" w:eastAsia="zh-CN"/>
              </w:rPr>
              <w:t>容器</w:t>
            </w:r>
            <w:r>
              <w:rPr>
                <w:rFonts w:hint="default" w:ascii="Times New Roman" w:hAnsi="Times New Roman" w:eastAsia="宋体" w:cs="Times New Roman"/>
                <w:color w:val="auto"/>
                <w:sz w:val="24"/>
                <w:szCs w:val="24"/>
                <w:highlight w:val="none"/>
                <w:lang w:val="zh-CN" w:eastAsia="zh-CN"/>
              </w:rPr>
              <w:t>破损或管道出现跑冒滴漏，且防渗层</w:t>
            </w:r>
            <w:r>
              <w:rPr>
                <w:rFonts w:hint="default" w:ascii="Times New Roman" w:hAnsi="Times New Roman" w:eastAsia="宋体" w:cs="Times New Roman"/>
                <w:color w:val="auto"/>
                <w:sz w:val="24"/>
                <w:szCs w:val="24"/>
                <w:highlight w:val="none"/>
                <w:lang w:val="en-US" w:eastAsia="zh-CN"/>
              </w:rPr>
              <w:t>出现</w:t>
            </w:r>
            <w:r>
              <w:rPr>
                <w:rFonts w:hint="default" w:ascii="Times New Roman" w:hAnsi="Times New Roman" w:eastAsia="宋体" w:cs="Times New Roman"/>
                <w:color w:val="auto"/>
                <w:sz w:val="24"/>
                <w:szCs w:val="24"/>
                <w:highlight w:val="none"/>
                <w:lang w:val="zh-CN" w:eastAsia="zh-CN"/>
              </w:rPr>
              <w:t>破损后下渗进入包气带造成地下水污染。</w:t>
            </w:r>
          </w:p>
          <w:p w14:paraId="1A3776BD">
            <w:pPr>
              <w:pStyle w:val="6"/>
              <w:keepNext w:val="0"/>
              <w:keepLines w:val="0"/>
              <w:pageBreakBefore w:val="0"/>
              <w:widowControl w:val="0"/>
              <w:kinsoku/>
              <w:wordWrap/>
              <w:overflowPunct/>
              <w:topLinePunct w:val="0"/>
              <w:autoSpaceDE/>
              <w:autoSpaceDN/>
              <w:bidi w:val="0"/>
              <w:adjustRightInd/>
              <w:spacing w:before="0" w:after="0" w:line="408" w:lineRule="auto"/>
              <w:ind w:left="0" w:leftChars="0" w:right="0" w:firstLine="482" w:firstLineChars="200"/>
              <w:jc w:val="both"/>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2、地下水污</w:t>
            </w:r>
            <w:r>
              <w:rPr>
                <w:rFonts w:hint="default" w:ascii="Times New Roman" w:hAnsi="Times New Roman" w:eastAsia="宋体" w:cs="Times New Roman"/>
                <w:b/>
                <w:bCs/>
                <w:color w:val="auto"/>
                <w:sz w:val="24"/>
                <w:highlight w:val="none"/>
                <w:lang w:val="en-US" w:eastAsia="zh-CN"/>
              </w:rPr>
              <w:t>染防治措施</w:t>
            </w:r>
          </w:p>
          <w:p w14:paraId="4CC94D4C">
            <w:pPr>
              <w:keepNext w:val="0"/>
              <w:keepLines w:val="0"/>
              <w:pageBreakBefore w:val="0"/>
              <w:widowControl w:val="0"/>
              <w:kinsoku/>
              <w:wordWrap/>
              <w:overflowPunct/>
              <w:topLinePunct w:val="0"/>
              <w:autoSpaceDE/>
              <w:autoSpaceDN/>
              <w:bidi w:val="0"/>
              <w:adjustRightInd w:val="0"/>
              <w:snapToGrid w:val="0"/>
              <w:spacing w:line="408"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Cs/>
                <w:color w:val="auto"/>
                <w:sz w:val="24"/>
                <w:highlight w:val="none"/>
                <w:lang w:val="zh-CN" w:eastAsia="zh-CN"/>
              </w:rPr>
              <w:t>本项目废机油采用专用密闭容器盛装后暂存在危废暂存间，</w:t>
            </w:r>
            <w:r>
              <w:rPr>
                <w:rFonts w:hint="default" w:ascii="Times New Roman" w:hAnsi="Times New Roman" w:eastAsia="宋体" w:cs="Times New Roman"/>
                <w:bCs/>
                <w:color w:val="auto"/>
                <w:sz w:val="24"/>
                <w:highlight w:val="none"/>
                <w:lang w:val="en-US" w:eastAsia="zh-CN"/>
              </w:rPr>
              <w:t>同时，为防止地下水污染，</w:t>
            </w:r>
            <w:r>
              <w:rPr>
                <w:rFonts w:hint="default" w:ascii="Times New Roman" w:hAnsi="Times New Roman" w:eastAsia="宋体" w:cs="Times New Roman"/>
                <w:color w:val="auto"/>
                <w:sz w:val="24"/>
                <w:highlight w:val="none"/>
                <w:lang w:val="zh-CN"/>
              </w:rPr>
              <w:t>厂内进行分区防渗措施，其中</w:t>
            </w:r>
            <w:r>
              <w:rPr>
                <w:rFonts w:hint="default" w:ascii="Times New Roman" w:hAnsi="Times New Roman" w:eastAsia="宋体" w:cs="Times New Roman"/>
                <w:color w:val="auto"/>
                <w:sz w:val="24"/>
                <w:highlight w:val="none"/>
              </w:rPr>
              <w:t>危险废物</w:t>
            </w:r>
            <w:r>
              <w:rPr>
                <w:rFonts w:hint="default" w:ascii="Times New Roman" w:hAnsi="Times New Roman" w:eastAsia="宋体" w:cs="Times New Roman"/>
                <w:color w:val="auto"/>
                <w:sz w:val="24"/>
                <w:highlight w:val="none"/>
                <w:lang w:val="zh-CN"/>
              </w:rPr>
              <w:t>暂存间为重点防渗区，采用“</w:t>
            </w:r>
            <w:r>
              <w:rPr>
                <w:rFonts w:hint="default" w:ascii="Times New Roman" w:hAnsi="Times New Roman" w:eastAsia="宋体" w:cs="Times New Roman"/>
                <w:color w:val="auto"/>
                <w:sz w:val="24"/>
                <w:highlight w:val="none"/>
                <w:lang w:val="en-US" w:eastAsia="zh-CN"/>
              </w:rPr>
              <w:t>抗渗</w:t>
            </w:r>
            <w:r>
              <w:rPr>
                <w:rFonts w:hint="default" w:ascii="Times New Roman" w:hAnsi="Times New Roman" w:eastAsia="宋体" w:cs="Times New Roman"/>
                <w:color w:val="auto"/>
                <w:sz w:val="24"/>
                <w:highlight w:val="none"/>
                <w:lang w:val="zh-CN"/>
              </w:rPr>
              <w:t>混</w:t>
            </w:r>
            <w:r>
              <w:rPr>
                <w:rFonts w:hint="default" w:ascii="Times New Roman" w:hAnsi="Times New Roman" w:eastAsia="宋体" w:cs="Times New Roman"/>
                <w:color w:val="auto"/>
                <w:sz w:val="24"/>
                <w:szCs w:val="24"/>
                <w:highlight w:val="none"/>
              </w:rPr>
              <w:t>凝土</w:t>
            </w:r>
            <w:r>
              <w:rPr>
                <w:rFonts w:hint="default" w:ascii="Times New Roman" w:hAnsi="Times New Roman" w:eastAsia="宋体" w:cs="Times New Roman"/>
                <w:color w:val="auto"/>
                <w:sz w:val="24"/>
                <w:highlight w:val="none"/>
                <w:lang w:val="zh-CN"/>
              </w:rPr>
              <w:t>+2mm厚HDPE+环氧树脂”</w:t>
            </w:r>
            <w:r>
              <w:rPr>
                <w:rFonts w:hint="default" w:ascii="Times New Roman" w:hAnsi="Times New Roman" w:eastAsia="宋体" w:cs="Times New Roman"/>
                <w:color w:val="auto"/>
                <w:sz w:val="24"/>
                <w:highlight w:val="none"/>
              </w:rPr>
              <w:t>进行重点防渗处理</w:t>
            </w:r>
            <w:r>
              <w:rPr>
                <w:rFonts w:hint="default" w:ascii="Times New Roman" w:hAnsi="Times New Roman" w:eastAsia="宋体" w:cs="Times New Roman"/>
                <w:color w:val="auto"/>
                <w:sz w:val="24"/>
                <w:highlight w:val="none"/>
                <w:lang w:val="zh-CN"/>
              </w:rPr>
              <w:t>，渗透系数≤10</w:t>
            </w:r>
            <w:r>
              <w:rPr>
                <w:rFonts w:hint="default" w:ascii="Times New Roman" w:hAnsi="Times New Roman" w:eastAsia="宋体" w:cs="Times New Roman"/>
                <w:color w:val="auto"/>
                <w:sz w:val="24"/>
                <w:highlight w:val="none"/>
                <w:vertAlign w:val="superscript"/>
                <w:lang w:val="zh-CN"/>
              </w:rPr>
              <w:t>-10</w:t>
            </w:r>
            <w:r>
              <w:rPr>
                <w:rFonts w:hint="default" w:ascii="Times New Roman" w:hAnsi="Times New Roman" w:eastAsia="宋体" w:cs="Times New Roman"/>
                <w:color w:val="auto"/>
                <w:sz w:val="24"/>
                <w:highlight w:val="none"/>
                <w:lang w:val="zh-CN"/>
              </w:rPr>
              <w:t>cm/s；</w:t>
            </w:r>
            <w:r>
              <w:rPr>
                <w:rFonts w:hint="default" w:ascii="Times New Roman" w:hAnsi="Times New Roman" w:eastAsia="宋体" w:cs="Times New Roman"/>
                <w:color w:val="auto"/>
                <w:sz w:val="24"/>
                <w:highlight w:val="none"/>
              </w:rPr>
              <w:t>危险废物</w:t>
            </w:r>
            <w:r>
              <w:rPr>
                <w:rFonts w:hint="default" w:ascii="Times New Roman" w:hAnsi="Times New Roman" w:eastAsia="宋体" w:cs="Times New Roman"/>
                <w:color w:val="auto"/>
                <w:sz w:val="24"/>
                <w:highlight w:val="none"/>
                <w:lang w:val="zh-CN"/>
              </w:rPr>
              <w:t>暂存间地面及</w:t>
            </w:r>
            <w:r>
              <w:rPr>
                <w:rFonts w:hint="default" w:ascii="Times New Roman" w:hAnsi="Times New Roman" w:eastAsia="宋体" w:cs="Times New Roman"/>
                <w:color w:val="auto"/>
                <w:sz w:val="24"/>
                <w:highlight w:val="none"/>
              </w:rPr>
              <w:t>四周墙裙脚应</w:t>
            </w:r>
            <w:r>
              <w:rPr>
                <w:rFonts w:hint="default" w:ascii="Times New Roman" w:hAnsi="Times New Roman" w:eastAsia="宋体" w:cs="Times New Roman"/>
                <w:color w:val="auto"/>
                <w:sz w:val="24"/>
                <w:highlight w:val="none"/>
                <w:lang w:val="zh-CN"/>
              </w:rPr>
              <w:t>按照</w:t>
            </w:r>
            <w:r>
              <w:rPr>
                <w:rStyle w:val="70"/>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sz w:val="24"/>
                <w:highlight w:val="none"/>
                <w:lang w:val="zh-CN"/>
              </w:rPr>
              <w:t>中要求</w:t>
            </w:r>
            <w:r>
              <w:rPr>
                <w:rFonts w:hint="default" w:ascii="Times New Roman" w:hAnsi="Times New Roman" w:eastAsia="宋体" w:cs="Times New Roman"/>
                <w:color w:val="auto"/>
                <w:sz w:val="24"/>
                <w:highlight w:val="none"/>
              </w:rPr>
              <w:t>进行重点防渗</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并设危险废物备用储存容器，避免废矿物油泄漏污染土壤、地下水</w:t>
            </w:r>
            <w:r>
              <w:rPr>
                <w:rFonts w:hint="eastAsia" w:cs="Times New Roman"/>
                <w:color w:val="auto"/>
                <w:sz w:val="24"/>
                <w:highlight w:val="none"/>
                <w:lang w:eastAsia="zh-CN"/>
              </w:rPr>
              <w:t>；</w:t>
            </w:r>
            <w:r>
              <w:rPr>
                <w:rFonts w:hint="default" w:ascii="Times New Roman" w:hAnsi="Times New Roman" w:eastAsia="宋体" w:cs="Times New Roman"/>
                <w:color w:val="auto"/>
                <w:sz w:val="24"/>
                <w:szCs w:val="24"/>
                <w:highlight w:val="none"/>
                <w:vertAlign w:val="baseline"/>
                <w:lang w:val="en-US" w:eastAsia="zh-CN"/>
              </w:rPr>
              <w:t>隔油池、</w:t>
            </w:r>
            <w:r>
              <w:rPr>
                <w:rFonts w:hint="eastAsia" w:ascii="Times New Roman" w:hAnsi="Times New Roman" w:eastAsia="宋体" w:cs="Times New Roman"/>
                <w:color w:val="auto"/>
                <w:sz w:val="24"/>
                <w:szCs w:val="24"/>
                <w:highlight w:val="none"/>
                <w:vertAlign w:val="baseline"/>
                <w:lang w:val="en-US" w:eastAsia="zh-CN"/>
              </w:rPr>
              <w:t>冷却循环水池</w:t>
            </w:r>
            <w:r>
              <w:rPr>
                <w:rFonts w:hint="default" w:ascii="Times New Roman" w:hAnsi="Times New Roman" w:eastAsia="宋体" w:cs="Times New Roman"/>
                <w:color w:val="auto"/>
                <w:sz w:val="24"/>
                <w:szCs w:val="24"/>
                <w:highlight w:val="none"/>
                <w:vertAlign w:val="baseline"/>
                <w:lang w:val="en-US" w:eastAsia="zh-CN"/>
              </w:rPr>
              <w:t>、一般固体废物暂存区进行一般防渗，</w:t>
            </w:r>
            <w:r>
              <w:rPr>
                <w:rFonts w:hint="default" w:ascii="Times New Roman" w:hAnsi="Times New Roman" w:eastAsia="宋体" w:cs="Times New Roman"/>
                <w:b w:val="0"/>
                <w:bCs w:val="0"/>
                <w:color w:val="auto"/>
                <w:sz w:val="24"/>
                <w:szCs w:val="24"/>
                <w:highlight w:val="none"/>
                <w:lang w:val="zh-CN"/>
              </w:rPr>
              <w:t>防渗技术要求达到等效黏土防渗层Mb≥1.5m，渗透系数≤10</w:t>
            </w:r>
            <w:r>
              <w:rPr>
                <w:rFonts w:hint="default" w:ascii="Times New Roman" w:hAnsi="Times New Roman" w:eastAsia="宋体" w:cs="Times New Roman"/>
                <w:b w:val="0"/>
                <w:bCs w:val="0"/>
                <w:color w:val="auto"/>
                <w:sz w:val="24"/>
                <w:szCs w:val="24"/>
                <w:highlight w:val="none"/>
                <w:vertAlign w:val="superscript"/>
                <w:lang w:val="zh-CN"/>
              </w:rPr>
              <w:t>-</w:t>
            </w:r>
            <w:r>
              <w:rPr>
                <w:rFonts w:hint="default" w:ascii="Times New Roman" w:hAnsi="Times New Roman" w:eastAsia="宋体" w:cs="Times New Roman"/>
                <w:b w:val="0"/>
                <w:bCs w:val="0"/>
                <w:color w:val="auto"/>
                <w:sz w:val="24"/>
                <w:szCs w:val="24"/>
                <w:highlight w:val="none"/>
                <w:vertAlign w:val="superscript"/>
                <w:lang w:val="en-US" w:eastAsia="zh-CN"/>
              </w:rPr>
              <w:t>7</w:t>
            </w:r>
            <w:r>
              <w:rPr>
                <w:rFonts w:hint="default" w:ascii="Times New Roman" w:hAnsi="Times New Roman" w:eastAsia="宋体" w:cs="Times New Roman"/>
                <w:b w:val="0"/>
                <w:bCs w:val="0"/>
                <w:color w:val="auto"/>
                <w:sz w:val="24"/>
                <w:szCs w:val="24"/>
                <w:highlight w:val="none"/>
                <w:lang w:val="zh-CN"/>
              </w:rPr>
              <w:t>cm/s。</w:t>
            </w:r>
            <w:r>
              <w:rPr>
                <w:rFonts w:hint="default" w:ascii="Times New Roman" w:hAnsi="Times New Roman" w:eastAsia="宋体" w:cs="Times New Roman"/>
                <w:color w:val="auto"/>
                <w:sz w:val="24"/>
                <w:szCs w:val="24"/>
                <w:highlight w:val="none"/>
                <w:lang w:val="zh-CN"/>
              </w:rPr>
              <w:t>其余生产区、</w:t>
            </w:r>
            <w:r>
              <w:rPr>
                <w:rFonts w:hint="default" w:ascii="Times New Roman" w:hAnsi="Times New Roman" w:eastAsia="宋体" w:cs="Times New Roman"/>
                <w:color w:val="auto"/>
                <w:sz w:val="24"/>
                <w:szCs w:val="24"/>
                <w:highlight w:val="none"/>
              </w:rPr>
              <w:t>道路及</w:t>
            </w:r>
            <w:r>
              <w:rPr>
                <w:rFonts w:hint="default" w:ascii="Times New Roman" w:hAnsi="Times New Roman" w:eastAsia="宋体" w:cs="Times New Roman"/>
                <w:color w:val="auto"/>
                <w:sz w:val="24"/>
                <w:szCs w:val="24"/>
                <w:highlight w:val="none"/>
                <w:lang w:val="en-US" w:eastAsia="zh-CN"/>
              </w:rPr>
              <w:t>办公</w:t>
            </w:r>
            <w:r>
              <w:rPr>
                <w:rFonts w:hint="default" w:ascii="Times New Roman" w:hAnsi="Times New Roman" w:eastAsia="宋体" w:cs="Times New Roman"/>
                <w:color w:val="auto"/>
                <w:sz w:val="24"/>
                <w:szCs w:val="24"/>
                <w:highlight w:val="none"/>
              </w:rPr>
              <w:t>区域</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除绿化外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zh-CN"/>
              </w:rPr>
              <w:t>进行一般</w:t>
            </w:r>
            <w:r>
              <w:rPr>
                <w:rFonts w:hint="default" w:ascii="Times New Roman" w:hAnsi="Times New Roman" w:eastAsia="宋体" w:cs="Times New Roman"/>
                <w:b w:val="0"/>
                <w:bCs w:val="0"/>
                <w:color w:val="auto"/>
                <w:sz w:val="24"/>
                <w:szCs w:val="24"/>
                <w:highlight w:val="none"/>
                <w:lang w:val="en-US" w:eastAsia="zh-CN"/>
              </w:rPr>
              <w:t>硬化处理，为简单</w:t>
            </w:r>
            <w:r>
              <w:rPr>
                <w:rFonts w:hint="default" w:ascii="Times New Roman" w:hAnsi="Times New Roman" w:eastAsia="宋体" w:cs="Times New Roman"/>
                <w:color w:val="auto"/>
                <w:sz w:val="24"/>
                <w:highlight w:val="none"/>
                <w:lang w:val="en-US" w:eastAsia="zh-CN"/>
              </w:rPr>
              <w:t>防渗区。</w:t>
            </w:r>
          </w:p>
          <w:p w14:paraId="71F28B50">
            <w:pPr>
              <w:shd w:val="clear"/>
              <w:adjustRightInd w:val="0"/>
              <w:snapToGrid w:val="0"/>
              <w:spacing w:line="360" w:lineRule="auto"/>
              <w:ind w:firstLine="480"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val="0"/>
                <w:bCs/>
                <w:color w:val="auto"/>
                <w:sz w:val="24"/>
                <w:highlight w:val="none"/>
                <w:lang w:val="zh-CN" w:eastAsia="zh-CN"/>
              </w:rPr>
              <w:t>综上，</w:t>
            </w:r>
            <w:r>
              <w:rPr>
                <w:rFonts w:hint="default" w:ascii="Times New Roman" w:hAnsi="Times New Roman" w:eastAsia="宋体" w:cs="Times New Roman"/>
                <w:b w:val="0"/>
                <w:bCs/>
                <w:color w:val="auto"/>
                <w:spacing w:val="-7"/>
                <w:sz w:val="24"/>
                <w:szCs w:val="24"/>
                <w:highlight w:val="none"/>
                <w:lang w:val="zh-CN" w:eastAsia="zh-CN"/>
              </w:rPr>
              <w:t>落实好预防管理的各项措施后，项目对地下水的影响较小。</w:t>
            </w:r>
          </w:p>
          <w:p w14:paraId="5A1E95B0">
            <w:pPr>
              <w:shd w:val="clear"/>
              <w:spacing w:line="360" w:lineRule="auto"/>
              <w:ind w:firstLine="482"/>
              <w:rPr>
                <w:rFonts w:hint="default" w:ascii="Times New Roman" w:hAnsi="Times New Roman" w:eastAsia="宋体" w:cs="Times New Roman"/>
                <w:b/>
                <w:bCs/>
                <w:color w:val="auto"/>
                <w:sz w:val="24"/>
                <w:szCs w:val="22"/>
                <w:highlight w:val="none"/>
                <w:lang w:val="en-US" w:eastAsia="zh-CN"/>
              </w:rPr>
            </w:pPr>
            <w:r>
              <w:rPr>
                <w:rFonts w:hint="default" w:ascii="Times New Roman" w:hAnsi="Times New Roman" w:eastAsia="宋体" w:cs="Times New Roman"/>
                <w:b/>
                <w:bCs/>
                <w:color w:val="auto"/>
                <w:sz w:val="24"/>
                <w:szCs w:val="22"/>
                <w:highlight w:val="none"/>
                <w:lang w:val="en-US" w:eastAsia="zh-CN"/>
              </w:rPr>
              <w:t>七、生态环境</w:t>
            </w:r>
          </w:p>
          <w:p w14:paraId="7C149CB4">
            <w:pPr>
              <w:shd w:val="clear"/>
              <w:spacing w:line="360" w:lineRule="auto"/>
              <w:ind w:firstLine="482"/>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b w:val="0"/>
                <w:bCs w:val="0"/>
                <w:color w:val="auto"/>
                <w:sz w:val="24"/>
                <w:szCs w:val="22"/>
                <w:highlight w:val="none"/>
                <w:lang w:val="en-US" w:eastAsia="zh-CN"/>
              </w:rPr>
              <w:t>本</w:t>
            </w:r>
            <w:r>
              <w:rPr>
                <w:rFonts w:hint="default" w:ascii="Times New Roman" w:hAnsi="Times New Roman" w:eastAsia="宋体" w:cs="Times New Roman"/>
                <w:b w:val="0"/>
                <w:bCs w:val="0"/>
                <w:color w:val="auto"/>
                <w:sz w:val="24"/>
                <w:highlight w:val="none"/>
                <w:lang w:val="en-US" w:eastAsia="zh-CN"/>
              </w:rPr>
              <w:t>项目位</w:t>
            </w:r>
            <w:r>
              <w:rPr>
                <w:rFonts w:hint="default" w:ascii="Times New Roman" w:hAnsi="Times New Roman" w:eastAsia="宋体" w:cs="Times New Roman"/>
                <w:color w:val="auto"/>
                <w:sz w:val="24"/>
                <w:highlight w:val="none"/>
                <w:lang w:val="en-US" w:eastAsia="zh-CN"/>
              </w:rPr>
              <w:t>于工业园区内，</w:t>
            </w:r>
            <w:r>
              <w:rPr>
                <w:rFonts w:hint="default" w:ascii="Times New Roman" w:hAnsi="Times New Roman" w:eastAsia="宋体" w:cs="Times New Roman"/>
                <w:color w:val="auto"/>
                <w:kern w:val="2"/>
                <w:sz w:val="24"/>
                <w:szCs w:val="24"/>
                <w:highlight w:val="none"/>
                <w:lang w:val="en-US" w:eastAsia="zh-CN" w:bidi="ar-SA"/>
              </w:rPr>
              <w:t>在已建成厂房内建设</w:t>
            </w:r>
            <w:r>
              <w:rPr>
                <w:rFonts w:hint="default" w:ascii="Times New Roman" w:hAnsi="Times New Roman" w:eastAsia="宋体" w:cs="Times New Roman"/>
                <w:color w:val="auto"/>
                <w:sz w:val="24"/>
                <w:highlight w:val="none"/>
                <w:lang w:val="en-US" w:eastAsia="zh-CN"/>
              </w:rPr>
              <w:t>，场地均已硬化，无原生植被附着，项目建设期和运营期均不会对区域生态环境造成影响。</w:t>
            </w:r>
          </w:p>
          <w:p w14:paraId="6203F283">
            <w:pPr>
              <w:shd w:val="clear"/>
              <w:spacing w:line="360" w:lineRule="auto"/>
              <w:ind w:firstLine="482"/>
              <w:rPr>
                <w:rFonts w:hint="default" w:ascii="Times New Roman" w:hAnsi="Times New Roman" w:eastAsia="宋体" w:cs="Times New Roman"/>
                <w:b/>
                <w:bCs/>
                <w:color w:val="auto"/>
                <w:sz w:val="24"/>
                <w:szCs w:val="22"/>
                <w:highlight w:val="none"/>
                <w:lang w:val="en-US" w:eastAsia="zh-CN"/>
              </w:rPr>
            </w:pPr>
            <w:r>
              <w:rPr>
                <w:rFonts w:hint="default" w:ascii="Times New Roman" w:hAnsi="Times New Roman" w:eastAsia="宋体" w:cs="Times New Roman"/>
                <w:b/>
                <w:bCs/>
                <w:color w:val="auto"/>
                <w:sz w:val="24"/>
                <w:szCs w:val="22"/>
                <w:highlight w:val="none"/>
                <w:lang w:val="en-US" w:eastAsia="zh-CN"/>
              </w:rPr>
              <w:t>八、风险分析措施</w:t>
            </w:r>
          </w:p>
          <w:p w14:paraId="7127B9E6">
            <w:pPr>
              <w:keepNext w:val="0"/>
              <w:keepLines w:val="0"/>
              <w:pageBreakBefore w:val="0"/>
              <w:widowControl/>
              <w:shd w:val="clear"/>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环境风险分析的目的</w:t>
            </w:r>
          </w:p>
          <w:p w14:paraId="5444840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环境风险分析的目的是分析和预测建设项目存在的潜在危险、有害因素，建设项目建设和运行期间可能发生的突发性事件或事故</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一般不包括人为破坏及自然灾害</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，引起有毒有害和易燃易爆等物质泄漏，所造成的人身安全与环境影响和损害程度，提出合理可行的防范、应急与减缓措施，以使建设项目事故率、损失和环境影响达到可接受水平。</w:t>
            </w:r>
          </w:p>
          <w:p w14:paraId="364D2387">
            <w:pPr>
              <w:keepNext w:val="0"/>
              <w:keepLines w:val="0"/>
              <w:pageBreakBefore w:val="0"/>
              <w:widowControl w:val="0"/>
              <w:shd w:val="clear"/>
              <w:kinsoku/>
              <w:wordWrap/>
              <w:overflowPunct/>
              <w:topLinePunct w:val="0"/>
              <w:autoSpaceDE/>
              <w:autoSpaceDN/>
              <w:bidi w:val="0"/>
              <w:adjustRightInd w:val="0"/>
              <w:snapToGrid w:val="0"/>
              <w:spacing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、风险</w:t>
            </w:r>
            <w:r>
              <w:rPr>
                <w:rFonts w:hint="default" w:ascii="Times New Roman" w:hAnsi="Times New Roman" w:eastAsia="宋体" w:cs="Times New Roman"/>
                <w:b/>
                <w:bCs/>
                <w:color w:val="auto"/>
                <w:sz w:val="24"/>
                <w:szCs w:val="24"/>
                <w:highlight w:val="none"/>
                <w:lang w:val="en-US" w:eastAsia="zh-CN"/>
              </w:rPr>
              <w:t>识别</w:t>
            </w:r>
          </w:p>
          <w:p w14:paraId="169513D2">
            <w:pPr>
              <w:pStyle w:val="77"/>
              <w:keepNext w:val="0"/>
              <w:keepLines w:val="0"/>
              <w:pageBreakBefore w:val="0"/>
              <w:widowControl w:val="0"/>
              <w:shd w:val="clear"/>
              <w:kinsoku/>
              <w:wordWrap/>
              <w:overflowPunct/>
              <w:topLinePunct w:val="0"/>
              <w:autoSpaceDE/>
              <w:autoSpaceDN/>
              <w:bidi w:val="0"/>
              <w:spacing w:beforeLines="0" w:afterLines="0" w:line="360" w:lineRule="auto"/>
              <w:ind w:left="0" w:right="0" w:firstLine="440" w:firstLineChars="200"/>
              <w:textAlignment w:val="auto"/>
              <w:rPr>
                <w:rFonts w:hint="default" w:ascii="Times New Roman" w:hAnsi="Times New Roman" w:eastAsia="宋体" w:cs="Times New Roman"/>
                <w:color w:val="auto"/>
                <w:spacing w:val="-10"/>
                <w:sz w:val="24"/>
                <w:highlight w:val="none"/>
                <w:lang w:eastAsia="zh-CN"/>
              </w:rPr>
            </w:pPr>
            <w:r>
              <w:rPr>
                <w:rFonts w:hint="default" w:ascii="Times New Roman" w:hAnsi="Times New Roman" w:eastAsia="宋体" w:cs="Times New Roman"/>
                <w:color w:val="auto"/>
                <w:spacing w:val="-10"/>
                <w:sz w:val="24"/>
                <w:highlight w:val="none"/>
                <w:lang w:eastAsia="zh-CN"/>
              </w:rPr>
              <w:t>（</w:t>
            </w:r>
            <w:r>
              <w:rPr>
                <w:rFonts w:hint="default" w:ascii="Times New Roman" w:hAnsi="Times New Roman" w:eastAsia="宋体" w:cs="Times New Roman"/>
                <w:color w:val="auto"/>
                <w:spacing w:val="-10"/>
                <w:sz w:val="24"/>
                <w:highlight w:val="none"/>
                <w:lang w:val="en-US" w:eastAsia="zh-CN"/>
              </w:rPr>
              <w:t>1</w:t>
            </w:r>
            <w:r>
              <w:rPr>
                <w:rFonts w:hint="default" w:ascii="Times New Roman" w:hAnsi="Times New Roman" w:eastAsia="宋体" w:cs="Times New Roman"/>
                <w:color w:val="auto"/>
                <w:spacing w:val="-10"/>
                <w:sz w:val="24"/>
                <w:highlight w:val="none"/>
                <w:lang w:eastAsia="zh-CN"/>
              </w:rPr>
              <w:t>）</w:t>
            </w:r>
            <w:r>
              <w:rPr>
                <w:rFonts w:hint="default" w:ascii="Times New Roman" w:hAnsi="Times New Roman" w:eastAsia="宋体" w:cs="Times New Roman"/>
                <w:color w:val="auto"/>
                <w:sz w:val="24"/>
                <w:highlight w:val="none"/>
              </w:rPr>
              <w:t>建设项目风险源调查</w:t>
            </w:r>
          </w:p>
          <w:p w14:paraId="6F3C3C98">
            <w:pPr>
              <w:pStyle w:val="77"/>
              <w:keepNext w:val="0"/>
              <w:keepLines w:val="0"/>
              <w:pageBreakBefore w:val="0"/>
              <w:widowControl w:val="0"/>
              <w:shd w:val="clear"/>
              <w:kinsoku/>
              <w:wordWrap/>
              <w:overflowPunct/>
              <w:topLinePunct w:val="0"/>
              <w:autoSpaceDE/>
              <w:autoSpaceDN/>
              <w:bidi w:val="0"/>
              <w:spacing w:beforeLines="0" w:afterLines="0" w:line="360" w:lineRule="auto"/>
              <w:ind w:left="0" w:right="0" w:firstLine="440" w:firstLineChars="200"/>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pacing w:val="-10"/>
                <w:sz w:val="24"/>
                <w:highlight w:val="none"/>
              </w:rPr>
              <w:t>根据《建设项目环境风险评价技术导则》</w:t>
            </w:r>
            <w:r>
              <w:rPr>
                <w:rFonts w:hint="default" w:ascii="Times New Roman" w:hAnsi="Times New Roman" w:eastAsia="宋体" w:cs="Times New Roman"/>
                <w:color w:val="auto"/>
                <w:spacing w:val="-4"/>
                <w:sz w:val="24"/>
                <w:highlight w:val="none"/>
              </w:rPr>
              <w:t>（HJ169-2018）</w:t>
            </w:r>
            <w:r>
              <w:rPr>
                <w:rFonts w:hint="default" w:ascii="Times New Roman" w:hAnsi="Times New Roman" w:eastAsia="宋体" w:cs="Times New Roman"/>
                <w:color w:val="auto"/>
                <w:spacing w:val="-19"/>
                <w:sz w:val="24"/>
                <w:highlight w:val="none"/>
              </w:rPr>
              <w:t xml:space="preserve">附录 </w:t>
            </w:r>
            <w:r>
              <w:rPr>
                <w:rFonts w:hint="default" w:ascii="Times New Roman" w:hAnsi="Times New Roman" w:eastAsia="宋体" w:cs="Times New Roman"/>
                <w:color w:val="auto"/>
                <w:sz w:val="24"/>
                <w:highlight w:val="none"/>
              </w:rPr>
              <w:t>B</w:t>
            </w:r>
            <w:r>
              <w:rPr>
                <w:rFonts w:hint="default" w:ascii="Times New Roman" w:hAnsi="Times New Roman" w:eastAsia="宋体" w:cs="Times New Roman"/>
                <w:color w:val="auto"/>
                <w:spacing w:val="4"/>
                <w:sz w:val="24"/>
                <w:highlight w:val="none"/>
              </w:rPr>
              <w:t xml:space="preserve"> </w:t>
            </w:r>
            <w:r>
              <w:rPr>
                <w:rFonts w:hint="default" w:ascii="Times New Roman" w:hAnsi="Times New Roman" w:eastAsia="宋体" w:cs="Times New Roman"/>
                <w:color w:val="auto"/>
                <w:spacing w:val="-7"/>
                <w:sz w:val="24"/>
                <w:highlight w:val="none"/>
              </w:rPr>
              <w:t>和《重大危险源辨识》</w:t>
            </w:r>
            <w:r>
              <w:rPr>
                <w:rFonts w:hint="default" w:ascii="Times New Roman" w:hAnsi="Times New Roman" w:eastAsia="宋体" w:cs="Times New Roman"/>
                <w:color w:val="auto"/>
                <w:sz w:val="24"/>
                <w:highlight w:val="none"/>
              </w:rPr>
              <w:t>（GB18218-2018），本项目风险物质为</w:t>
            </w:r>
            <w:r>
              <w:rPr>
                <w:rFonts w:hint="default" w:ascii="Times New Roman" w:hAnsi="Times New Roman" w:eastAsia="宋体" w:cs="Times New Roman"/>
                <w:color w:val="auto"/>
                <w:sz w:val="24"/>
                <w:highlight w:val="none"/>
                <w:lang w:val="en-US" w:eastAsia="zh-CN"/>
              </w:rPr>
              <w:t>废矿物油</w:t>
            </w:r>
            <w:r>
              <w:rPr>
                <w:rFonts w:hint="default" w:ascii="Times New Roman" w:hAnsi="Times New Roman" w:eastAsia="宋体" w:cs="Times New Roman"/>
                <w:color w:val="auto"/>
                <w:sz w:val="24"/>
                <w:highlight w:val="none"/>
              </w:rPr>
              <w:t>。其理化性质详见表</w:t>
            </w:r>
            <w:r>
              <w:rPr>
                <w:rFonts w:hint="default"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26</w:t>
            </w:r>
            <w:r>
              <w:rPr>
                <w:rFonts w:hint="default" w:ascii="Times New Roman" w:hAnsi="Times New Roman" w:eastAsia="宋体" w:cs="Times New Roman"/>
                <w:color w:val="auto"/>
                <w:sz w:val="24"/>
                <w:highlight w:val="none"/>
              </w:rPr>
              <w:t>。</w:t>
            </w:r>
          </w:p>
          <w:p w14:paraId="3C190AF4">
            <w:pPr>
              <w:keepNext w:val="0"/>
              <w:keepLines w:val="0"/>
              <w:pageBreakBefore w:val="0"/>
              <w:shd w:val="clear"/>
              <w:kinsoku/>
              <w:wordWrap/>
              <w:overflowPunct/>
              <w:topLinePunct w:val="0"/>
              <w:bidi w:val="0"/>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4-</w:t>
            </w:r>
            <w:r>
              <w:rPr>
                <w:rFonts w:hint="eastAsia" w:cs="Times New Roman"/>
                <w:b/>
                <w:color w:val="auto"/>
                <w:szCs w:val="21"/>
                <w:highlight w:val="none"/>
                <w:lang w:val="en-US" w:eastAsia="zh-CN"/>
              </w:rPr>
              <w:t>26</w:t>
            </w:r>
            <w:r>
              <w:rPr>
                <w:rFonts w:hint="default" w:ascii="Times New Roman" w:hAnsi="Times New Roman" w:eastAsia="宋体" w:cs="Times New Roman"/>
                <w:b/>
                <w:color w:val="auto"/>
                <w:szCs w:val="21"/>
                <w:highlight w:val="none"/>
              </w:rPr>
              <w:t xml:space="preserve">  矿物油理化性质及危险特性表</w:t>
            </w:r>
          </w:p>
          <w:tbl>
            <w:tblPr>
              <w:tblStyle w:val="26"/>
              <w:tblW w:w="829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0"/>
              <w:gridCol w:w="789"/>
              <w:gridCol w:w="2455"/>
              <w:gridCol w:w="4337"/>
            </w:tblGrid>
            <w:tr w14:paraId="21405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14:paraId="4DC0D5FC">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标识</w:t>
                  </w:r>
                </w:p>
              </w:tc>
              <w:tc>
                <w:tcPr>
                  <w:tcW w:w="7581" w:type="dxa"/>
                  <w:gridSpan w:val="3"/>
                  <w:noWrap w:val="0"/>
                  <w:vAlign w:val="center"/>
                </w:tcPr>
                <w:p w14:paraId="50E9F1F2">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中文名：</w:t>
                  </w:r>
                  <w:r>
                    <w:rPr>
                      <w:rFonts w:hint="default" w:ascii="Times New Roman" w:hAnsi="Times New Roman" w:eastAsia="宋体" w:cs="Times New Roman"/>
                      <w:color w:val="auto"/>
                      <w:szCs w:val="21"/>
                      <w:highlight w:val="none"/>
                      <w:lang w:val="en-US" w:eastAsia="zh-CN"/>
                    </w:rPr>
                    <w:t>矿物</w:t>
                  </w:r>
                  <w:r>
                    <w:rPr>
                      <w:rFonts w:hint="default" w:ascii="Times New Roman" w:hAnsi="Times New Roman" w:eastAsia="宋体" w:cs="Times New Roman"/>
                      <w:color w:val="auto"/>
                      <w:szCs w:val="21"/>
                      <w:highlight w:val="none"/>
                    </w:rPr>
                    <w:t>油</w:t>
                  </w:r>
                </w:p>
              </w:tc>
            </w:tr>
            <w:tr w14:paraId="42EE8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jc w:val="center"/>
              </w:trPr>
              <w:tc>
                <w:tcPr>
                  <w:tcW w:w="710" w:type="dxa"/>
                  <w:vMerge w:val="continue"/>
                  <w:noWrap w:val="0"/>
                  <w:vAlign w:val="center"/>
                </w:tcPr>
                <w:p w14:paraId="663FA382">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581" w:type="dxa"/>
                  <w:gridSpan w:val="3"/>
                  <w:noWrap w:val="0"/>
                  <w:vAlign w:val="center"/>
                </w:tcPr>
                <w:p w14:paraId="2CFFFB4E">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英文名：</w:t>
                  </w:r>
                  <w:r>
                    <w:rPr>
                      <w:rFonts w:hint="default" w:ascii="Times New Roman" w:hAnsi="Times New Roman" w:eastAsia="宋体" w:cs="Times New Roman"/>
                      <w:color w:val="auto"/>
                      <w:szCs w:val="21"/>
                      <w:highlight w:val="none"/>
                    </w:rPr>
                    <w:fldChar w:fldCharType="begin"/>
                  </w:r>
                  <w:r>
                    <w:rPr>
                      <w:rFonts w:hint="default" w:ascii="Times New Roman" w:hAnsi="Times New Roman" w:eastAsia="宋体" w:cs="Times New Roman"/>
                      <w:color w:val="auto"/>
                      <w:szCs w:val="21"/>
                      <w:highlight w:val="none"/>
                    </w:rPr>
                    <w:instrText xml:space="preserve"> HYPERLINK "https://www.chemsrc.com/en/cas/8020-83-5_1198972.html" \t "https://www.chemsrc.com/cas/_blank" </w:instrText>
                  </w:r>
                  <w:r>
                    <w:rPr>
                      <w:rFonts w:hint="default" w:ascii="Times New Roman" w:hAnsi="Times New Roman" w:eastAsia="宋体" w:cs="Times New Roman"/>
                      <w:color w:val="auto"/>
                      <w:szCs w:val="21"/>
                      <w:highlight w:val="none"/>
                    </w:rPr>
                    <w:fldChar w:fldCharType="separate"/>
                  </w:r>
                  <w:r>
                    <w:rPr>
                      <w:rStyle w:val="32"/>
                      <w:rFonts w:hint="default" w:ascii="Times New Roman" w:hAnsi="Times New Roman" w:eastAsia="宋体" w:cs="Times New Roman"/>
                      <w:color w:val="auto"/>
                      <w:szCs w:val="21"/>
                      <w:highlight w:val="none"/>
                    </w:rPr>
                    <w:t>paraffin</w:t>
                  </w:r>
                  <w:r>
                    <w:rPr>
                      <w:rFonts w:hint="default" w:ascii="Times New Roman" w:hAnsi="Times New Roman" w:eastAsia="宋体" w:cs="Times New Roman"/>
                      <w:color w:val="auto"/>
                      <w:szCs w:val="21"/>
                      <w:highlight w:val="none"/>
                    </w:rPr>
                    <w:fldChar w:fldCharType="end"/>
                  </w:r>
                </w:p>
              </w:tc>
            </w:tr>
            <w:tr w14:paraId="568B4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51612F3E">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581" w:type="dxa"/>
                  <w:gridSpan w:val="3"/>
                  <w:noWrap w:val="0"/>
                  <w:vAlign w:val="center"/>
                </w:tcPr>
                <w:p w14:paraId="12652A78">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危险性类别：可燃液体</w:t>
                  </w:r>
                </w:p>
              </w:tc>
            </w:tr>
            <w:tr w14:paraId="55811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14:paraId="0BB08977">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理化</w:t>
                  </w:r>
                </w:p>
                <w:p w14:paraId="09FB780F">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性质</w:t>
                  </w:r>
                </w:p>
              </w:tc>
              <w:tc>
                <w:tcPr>
                  <w:tcW w:w="7581" w:type="dxa"/>
                  <w:gridSpan w:val="3"/>
                  <w:noWrap w:val="0"/>
                  <w:vAlign w:val="center"/>
                </w:tcPr>
                <w:p w14:paraId="2A3929DB">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外观与性状：</w:t>
                  </w:r>
                  <w:r>
                    <w:rPr>
                      <w:rFonts w:hint="default" w:ascii="Times New Roman" w:hAnsi="Times New Roman" w:eastAsia="宋体" w:cs="Times New Roman"/>
                      <w:color w:val="auto"/>
                      <w:szCs w:val="21"/>
                      <w:highlight w:val="none"/>
                      <w:shd w:val="clear" w:color="auto" w:fill="FFFFFF"/>
                    </w:rPr>
                    <w:t>无色透明油状黏性液体，室温下无嗅无味或略带异味，对酸、热、光都很稳定</w:t>
                  </w:r>
                  <w:r>
                    <w:rPr>
                      <w:rFonts w:hint="default" w:ascii="Times New Roman" w:hAnsi="Times New Roman" w:eastAsia="宋体" w:cs="Times New Roman"/>
                      <w:color w:val="auto"/>
                      <w:szCs w:val="21"/>
                      <w:highlight w:val="none"/>
                    </w:rPr>
                    <w:t>。</w:t>
                  </w:r>
                </w:p>
              </w:tc>
            </w:tr>
            <w:tr w14:paraId="03079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2BA3FC31">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14:paraId="1D0DC79C">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熔点（℃）：-</w:t>
                  </w:r>
                </w:p>
              </w:tc>
              <w:tc>
                <w:tcPr>
                  <w:tcW w:w="4337" w:type="dxa"/>
                  <w:noWrap w:val="0"/>
                  <w:vAlign w:val="center"/>
                </w:tcPr>
                <w:p w14:paraId="3F67015C">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沸点（℃）：-</w:t>
                  </w:r>
                </w:p>
              </w:tc>
            </w:tr>
            <w:tr w14:paraId="3190B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453AA261">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14:paraId="4FF87DA2">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临界温度（℃）：-</w:t>
                  </w:r>
                </w:p>
              </w:tc>
              <w:tc>
                <w:tcPr>
                  <w:tcW w:w="4337" w:type="dxa"/>
                  <w:noWrap w:val="0"/>
                  <w:vAlign w:val="center"/>
                </w:tcPr>
                <w:p w14:paraId="39616618">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临界压力（MPa）：-</w:t>
                  </w:r>
                </w:p>
              </w:tc>
            </w:tr>
            <w:tr w14:paraId="50FBB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3E8D4C07">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14:paraId="3FE26BA0">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饱和蒸汽</w:t>
                  </w:r>
                  <w:r>
                    <w:rPr>
                      <w:rFonts w:hint="default" w:ascii="Times New Roman" w:hAnsi="Times New Roman" w:eastAsia="宋体" w:cs="Times New Roman"/>
                      <w:color w:val="auto"/>
                      <w:szCs w:val="21"/>
                      <w:highlight w:val="none"/>
                    </w:rPr>
                    <w:t>压（KPa）：-</w:t>
                  </w:r>
                </w:p>
              </w:tc>
              <w:tc>
                <w:tcPr>
                  <w:tcW w:w="4337" w:type="dxa"/>
                  <w:noWrap w:val="0"/>
                  <w:vAlign w:val="center"/>
                </w:tcPr>
                <w:p w14:paraId="73E5BFAC">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燃烧热 （KJ／mol）：-</w:t>
                  </w:r>
                </w:p>
              </w:tc>
            </w:tr>
            <w:tr w14:paraId="03FC7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647EDADF">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581" w:type="dxa"/>
                  <w:gridSpan w:val="3"/>
                  <w:noWrap w:val="0"/>
                  <w:vAlign w:val="center"/>
                </w:tcPr>
                <w:p w14:paraId="6AD788D3">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密度：0.85g/mLat 20°C</w:t>
                  </w:r>
                </w:p>
              </w:tc>
            </w:tr>
            <w:tr w14:paraId="40458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09A82C14">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581" w:type="dxa"/>
                  <w:gridSpan w:val="3"/>
                  <w:noWrap w:val="0"/>
                  <w:vAlign w:val="center"/>
                </w:tcPr>
                <w:p w14:paraId="3C841498">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溶解性：</w:t>
                  </w:r>
                  <w:r>
                    <w:rPr>
                      <w:rFonts w:hint="default" w:ascii="Times New Roman" w:hAnsi="Times New Roman" w:eastAsia="宋体" w:cs="Times New Roman"/>
                      <w:color w:val="auto"/>
                      <w:szCs w:val="21"/>
                      <w:highlight w:val="none"/>
                      <w:shd w:val="clear" w:color="auto" w:fill="FFFFFF"/>
                    </w:rPr>
                    <w:t>不溶于水、甘油、冷乙醇。溶于热乙醇、二硫化碳、乙醚、酯、氯仿、苯、石油醚。除蓖麻油外,与许多油脂和蜡都能混合</w:t>
                  </w:r>
                </w:p>
              </w:tc>
            </w:tr>
            <w:tr w14:paraId="1E77D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14:paraId="0F76775E">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燃烧爆炸危险性</w:t>
                  </w:r>
                </w:p>
              </w:tc>
              <w:tc>
                <w:tcPr>
                  <w:tcW w:w="7581" w:type="dxa"/>
                  <w:gridSpan w:val="3"/>
                  <w:noWrap w:val="0"/>
                  <w:vAlign w:val="center"/>
                </w:tcPr>
                <w:p w14:paraId="59B69930">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燃烧性：本品可燃，具窒息性。</w:t>
                  </w:r>
                </w:p>
              </w:tc>
            </w:tr>
            <w:tr w14:paraId="162AA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749D1E05">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14:paraId="71649CFA">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引燃温度（℃）：300</w:t>
                  </w:r>
                </w:p>
              </w:tc>
              <w:tc>
                <w:tcPr>
                  <w:tcW w:w="4337" w:type="dxa"/>
                  <w:noWrap w:val="0"/>
                  <w:vAlign w:val="center"/>
                </w:tcPr>
                <w:p w14:paraId="0586BCD0">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闪点（℃）：220</w:t>
                  </w:r>
                </w:p>
              </w:tc>
            </w:tr>
            <w:tr w14:paraId="22959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111243E7">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14:paraId="5AFE6E35">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爆炸下限（%）：-</w:t>
                  </w:r>
                </w:p>
              </w:tc>
              <w:tc>
                <w:tcPr>
                  <w:tcW w:w="4337" w:type="dxa"/>
                  <w:noWrap w:val="0"/>
                  <w:vAlign w:val="center"/>
                </w:tcPr>
                <w:p w14:paraId="20A83186">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爆炸上限（%）：-</w:t>
                  </w:r>
                </w:p>
              </w:tc>
            </w:tr>
            <w:tr w14:paraId="17250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5B1E692D">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14:paraId="5562F38F">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最小点火能（mj）：-</w:t>
                  </w:r>
                </w:p>
              </w:tc>
              <w:tc>
                <w:tcPr>
                  <w:tcW w:w="4337" w:type="dxa"/>
                  <w:noWrap w:val="0"/>
                  <w:vAlign w:val="center"/>
                </w:tcPr>
                <w:p w14:paraId="66B8544A">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最大爆炸压力</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MPa</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w:t>
                  </w:r>
                </w:p>
              </w:tc>
            </w:tr>
            <w:tr w14:paraId="1FD89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4638DFB9">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14:paraId="5FEE362E">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危险</w:t>
                  </w:r>
                </w:p>
                <w:p w14:paraId="38F2E5A0">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特性</w:t>
                  </w:r>
                </w:p>
              </w:tc>
              <w:tc>
                <w:tcPr>
                  <w:tcW w:w="6792" w:type="dxa"/>
                  <w:gridSpan w:val="2"/>
                  <w:noWrap w:val="0"/>
                  <w:vAlign w:val="center"/>
                </w:tcPr>
                <w:p w14:paraId="50A05749">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遇明火、高热可燃</w:t>
                  </w:r>
                </w:p>
              </w:tc>
            </w:tr>
            <w:tr w14:paraId="3BCB7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14A86BC1">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14:paraId="7E7C3C15">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禁配物</w:t>
                  </w:r>
                </w:p>
              </w:tc>
              <w:tc>
                <w:tcPr>
                  <w:tcW w:w="6792" w:type="dxa"/>
                  <w:gridSpan w:val="2"/>
                  <w:noWrap w:val="0"/>
                  <w:vAlign w:val="center"/>
                </w:tcPr>
                <w:p w14:paraId="4754F539">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14:paraId="25525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0D48CCB7">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14:paraId="75E31049">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消防</w:t>
                  </w:r>
                </w:p>
                <w:p w14:paraId="77917582">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措施</w:t>
                  </w:r>
                </w:p>
              </w:tc>
              <w:tc>
                <w:tcPr>
                  <w:tcW w:w="6792" w:type="dxa"/>
                  <w:gridSpan w:val="2"/>
                  <w:noWrap w:val="0"/>
                  <w:vAlign w:val="center"/>
                </w:tcPr>
                <w:p w14:paraId="5649A3F6">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消防人员须佩戴防毒面具、身穿全身消防服，在上风险灭活。尽可能将容器从火场移至空旷处。喷水保持火场容器冷却，直至灭活结束。处在火场中的容器若已变色或从安全泄压装置中产生声音，必须马上撤离。</w:t>
                  </w:r>
                </w:p>
                <w:p w14:paraId="1E222DDA">
                  <w:pPr>
                    <w:pStyle w:val="17"/>
                    <w:keepNext w:val="0"/>
                    <w:keepLines w:val="0"/>
                    <w:pageBreakBefore w:val="0"/>
                    <w:shd w:val="clear"/>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灭火剂：雾状水、泡沫、干粉、二氧化碳、砂土。</w:t>
                  </w:r>
                </w:p>
              </w:tc>
            </w:tr>
            <w:tr w14:paraId="43A81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14:paraId="6FDC9762">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毒性</w:t>
                  </w:r>
                </w:p>
              </w:tc>
              <w:tc>
                <w:tcPr>
                  <w:tcW w:w="789" w:type="dxa"/>
                  <w:noWrap w:val="0"/>
                  <w:vAlign w:val="center"/>
                </w:tcPr>
                <w:p w14:paraId="4E8BC55C">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急性</w:t>
                  </w:r>
                </w:p>
                <w:p w14:paraId="7C2CB40F">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毒性</w:t>
                  </w:r>
                </w:p>
              </w:tc>
              <w:tc>
                <w:tcPr>
                  <w:tcW w:w="6792" w:type="dxa"/>
                  <w:gridSpan w:val="2"/>
                  <w:noWrap w:val="0"/>
                  <w:vAlign w:val="center"/>
                </w:tcPr>
                <w:p w14:paraId="153DD7E1">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LD50 ：无资料。</w:t>
                  </w:r>
                </w:p>
                <w:p w14:paraId="1A94141C">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LC50 ：无资料</w:t>
                  </w:r>
                </w:p>
              </w:tc>
            </w:tr>
            <w:tr w14:paraId="44F34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67947615">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14:paraId="3C5897A0">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毒性</w:t>
                  </w:r>
                </w:p>
              </w:tc>
              <w:tc>
                <w:tcPr>
                  <w:tcW w:w="6792" w:type="dxa"/>
                  <w:gridSpan w:val="2"/>
                  <w:noWrap w:val="0"/>
                  <w:vAlign w:val="center"/>
                </w:tcPr>
                <w:p w14:paraId="6379B0E2">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无资料</w:t>
                  </w:r>
                </w:p>
              </w:tc>
            </w:tr>
            <w:tr w14:paraId="1F15D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1F87309E">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14:paraId="2302279E">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健康</w:t>
                  </w:r>
                </w:p>
                <w:p w14:paraId="2457CEEA">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危害</w:t>
                  </w:r>
                </w:p>
              </w:tc>
              <w:tc>
                <w:tcPr>
                  <w:tcW w:w="6792" w:type="dxa"/>
                  <w:gridSpan w:val="2"/>
                  <w:noWrap w:val="0"/>
                  <w:vAlign w:val="center"/>
                </w:tcPr>
                <w:p w14:paraId="4009CACB">
                  <w:pPr>
                    <w:keepNext w:val="0"/>
                    <w:keepLines w:val="0"/>
                    <w:pageBreakBefore w:val="0"/>
                    <w:shd w:val="clear"/>
                    <w:kinsoku/>
                    <w:wordWrap/>
                    <w:overflowPunct/>
                    <w:topLinePunct w:val="0"/>
                    <w:bidi w:val="0"/>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侵入途径：吸入、食入；</w:t>
                  </w:r>
                </w:p>
                <w:p w14:paraId="18C8860B">
                  <w:pPr>
                    <w:pStyle w:val="17"/>
                    <w:keepNext w:val="0"/>
                    <w:keepLines w:val="0"/>
                    <w:pageBreakBefore w:val="0"/>
                    <w:shd w:val="clear"/>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急性吸入，可出现乏力、头晕、头痛、恶心，严重者可引起油脂性肺炎。慢接触者，暴露部位可发生油性痤疮和接触性皮炎。可引起神经衰弱综合症，呼吸道和眼刺激症状及慢性油脂性肺炎。有资料报告，接触石油润滑油类的工人，有致癌的病例报告。</w:t>
                  </w:r>
                </w:p>
              </w:tc>
            </w:tr>
            <w:tr w14:paraId="59B84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4A1CD054">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14:paraId="6BEF20A6">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防护</w:t>
                  </w:r>
                </w:p>
              </w:tc>
              <w:tc>
                <w:tcPr>
                  <w:tcW w:w="6792" w:type="dxa"/>
                  <w:gridSpan w:val="2"/>
                  <w:noWrap w:val="0"/>
                  <w:vAlign w:val="center"/>
                </w:tcPr>
                <w:p w14:paraId="78BDF036">
                  <w:pPr>
                    <w:pStyle w:val="17"/>
                    <w:keepNext w:val="0"/>
                    <w:keepLines w:val="0"/>
                    <w:pageBreakBefore w:val="0"/>
                    <w:shd w:val="clear"/>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工程控制：密闭操作，注意通风；</w:t>
                  </w:r>
                </w:p>
                <w:p w14:paraId="55863843">
                  <w:pPr>
                    <w:pStyle w:val="17"/>
                    <w:keepNext w:val="0"/>
                    <w:keepLines w:val="0"/>
                    <w:pageBreakBefore w:val="0"/>
                    <w:shd w:val="clear"/>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呼吸系统防护：空气中浓度超标时，建议佩戴自吸过滤式防毒面具（半面罩）。紧急事态抢救或撤离时，应该佩戴空气呼吸器。</w:t>
                  </w:r>
                </w:p>
                <w:p w14:paraId="331A8C0D">
                  <w:pPr>
                    <w:pStyle w:val="17"/>
                    <w:keepNext w:val="0"/>
                    <w:keepLines w:val="0"/>
                    <w:pageBreakBefore w:val="0"/>
                    <w:shd w:val="clear"/>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眼睛防护：戴化学安全防护眼镜。</w:t>
                  </w:r>
                </w:p>
                <w:p w14:paraId="413BD1BC">
                  <w:pPr>
                    <w:pStyle w:val="17"/>
                    <w:keepNext w:val="0"/>
                    <w:keepLines w:val="0"/>
                    <w:pageBreakBefore w:val="0"/>
                    <w:shd w:val="clear"/>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身体防护：穿防毒物渗透工作服；</w:t>
                  </w:r>
                </w:p>
                <w:p w14:paraId="6CE5DD3B">
                  <w:pPr>
                    <w:pStyle w:val="17"/>
                    <w:keepNext w:val="0"/>
                    <w:keepLines w:val="0"/>
                    <w:pageBreakBefore w:val="0"/>
                    <w:shd w:val="clear"/>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手防护：戴橡胶耐油手套；</w:t>
                  </w:r>
                </w:p>
                <w:p w14:paraId="62EE030A">
                  <w:pPr>
                    <w:pStyle w:val="17"/>
                    <w:keepNext w:val="0"/>
                    <w:keepLines w:val="0"/>
                    <w:pageBreakBefore w:val="0"/>
                    <w:shd w:val="clear"/>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其他：工作现场禁止吸烟。避免长期反复接触。</w:t>
                  </w:r>
                </w:p>
              </w:tc>
            </w:tr>
            <w:tr w14:paraId="2E494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14:paraId="096EDF7A">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14:paraId="74FBDA2D">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急救</w:t>
                  </w:r>
                </w:p>
                <w:p w14:paraId="0DDF73FB">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措施</w:t>
                  </w:r>
                </w:p>
              </w:tc>
              <w:tc>
                <w:tcPr>
                  <w:tcW w:w="6792" w:type="dxa"/>
                  <w:gridSpan w:val="2"/>
                  <w:noWrap w:val="0"/>
                  <w:vAlign w:val="center"/>
                </w:tcPr>
                <w:p w14:paraId="4A3B2456">
                  <w:pPr>
                    <w:keepNext w:val="0"/>
                    <w:keepLines w:val="0"/>
                    <w:pageBreakBefore w:val="0"/>
                    <w:shd w:val="clear"/>
                    <w:kinsoku/>
                    <w:wordWrap/>
                    <w:overflowPunct/>
                    <w:topLinePunct w:val="0"/>
                    <w:bidi w:val="0"/>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皮肤接触：立即脱去被污染的衣着，用大量清水冲洗；</w:t>
                  </w:r>
                </w:p>
                <w:p w14:paraId="2245A0D1">
                  <w:pPr>
                    <w:pStyle w:val="17"/>
                    <w:keepNext w:val="0"/>
                    <w:keepLines w:val="0"/>
                    <w:pageBreakBefore w:val="0"/>
                    <w:shd w:val="clear"/>
                    <w:kinsoku/>
                    <w:wordWrap/>
                    <w:overflowPunct/>
                    <w:topLinePunct w:val="0"/>
                    <w:bidi w:val="0"/>
                    <w:snapToGrid w:val="0"/>
                    <w:rPr>
                      <w:rFonts w:hint="default"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eastAsia="zh-CN"/>
                    </w:rPr>
                    <w:t>眼睛</w:t>
                  </w:r>
                  <w:r>
                    <w:rPr>
                      <w:rFonts w:hint="default" w:ascii="Times New Roman" w:hAnsi="Times New Roman" w:eastAsia="宋体" w:cs="Times New Roman"/>
                      <w:color w:val="auto"/>
                      <w:szCs w:val="21"/>
                      <w:highlight w:val="none"/>
                    </w:rPr>
                    <w:t>接触：立即提起眼睑，用大量流动清水或生理盐水冲洗，就医；</w:t>
                  </w:r>
                </w:p>
                <w:p w14:paraId="22925F92">
                  <w:pPr>
                    <w:pStyle w:val="17"/>
                    <w:keepNext w:val="0"/>
                    <w:keepLines w:val="0"/>
                    <w:pageBreakBefore w:val="0"/>
                    <w:shd w:val="clear"/>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吸入：迅速脱离现场至空气新鲜处，保持呼吸道通畅，如呼吸困难，给输氧；如呼吸停止，立即进行人工呼吸，就医；</w:t>
                  </w:r>
                </w:p>
                <w:p w14:paraId="55BEAF40">
                  <w:pPr>
                    <w:pStyle w:val="17"/>
                    <w:keepNext w:val="0"/>
                    <w:keepLines w:val="0"/>
                    <w:pageBreakBefore w:val="0"/>
                    <w:shd w:val="clear"/>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食入：饮足量温水，催吐，就医。</w:t>
                  </w:r>
                </w:p>
              </w:tc>
            </w:tr>
            <w:tr w14:paraId="3B0AF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noWrap w:val="0"/>
                  <w:vAlign w:val="center"/>
                </w:tcPr>
                <w:p w14:paraId="1A5446D0">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贮运条件</w:t>
                  </w:r>
                </w:p>
              </w:tc>
              <w:tc>
                <w:tcPr>
                  <w:tcW w:w="7581" w:type="dxa"/>
                  <w:gridSpan w:val="3"/>
                  <w:noWrap w:val="0"/>
                  <w:vAlign w:val="center"/>
                </w:tcPr>
                <w:p w14:paraId="57081877">
                  <w:pPr>
                    <w:keepNext w:val="0"/>
                    <w:keepLines w:val="0"/>
                    <w:pageBreakBefore w:val="0"/>
                    <w:shd w:val="clear"/>
                    <w:kinsoku/>
                    <w:wordWrap/>
                    <w:overflowPunct/>
                    <w:topLinePunct w:val="0"/>
                    <w:bidi w:val="0"/>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储存于阴凉、通风的库房。远离火种、热源。应与氧化剂分开存放，</w:t>
                  </w:r>
                  <w:r>
                    <w:rPr>
                      <w:rFonts w:hint="eastAsia" w:cs="Times New Roman"/>
                      <w:color w:val="auto"/>
                      <w:highlight w:val="none"/>
                      <w:lang w:eastAsia="zh-CN"/>
                    </w:rPr>
                    <w:t>切忌</w:t>
                  </w:r>
                  <w:r>
                    <w:rPr>
                      <w:rFonts w:hint="default" w:ascii="Times New Roman" w:hAnsi="Times New Roman" w:eastAsia="宋体" w:cs="Times New Roman"/>
                      <w:color w:val="auto"/>
                      <w:highlight w:val="none"/>
                    </w:rPr>
                    <w:t>混储。配备相应品种和数量的消防器材。出去应备有泄漏应急处理设备和合适的收容材料。</w:t>
                  </w:r>
                </w:p>
                <w:p w14:paraId="490DD215">
                  <w:pPr>
                    <w:pStyle w:val="17"/>
                    <w:keepNext w:val="0"/>
                    <w:keepLines w:val="0"/>
                    <w:pageBreakBefore w:val="0"/>
                    <w:shd w:val="clear"/>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运输前应先检查包装容器是否完整、密封，运输过程中要确保容器不</w:t>
                  </w:r>
                  <w:r>
                    <w:rPr>
                      <w:rFonts w:hint="default" w:ascii="Times New Roman" w:hAnsi="Times New Roman" w:eastAsia="宋体" w:cs="Times New Roman"/>
                      <w:color w:val="auto"/>
                      <w:szCs w:val="21"/>
                      <w:highlight w:val="none"/>
                      <w:lang w:eastAsia="zh-CN"/>
                    </w:rPr>
                    <w:t>泄漏</w:t>
                  </w:r>
                  <w:r>
                    <w:rPr>
                      <w:rFonts w:hint="default" w:ascii="Times New Roman" w:hAnsi="Times New Roman" w:eastAsia="宋体" w:cs="Times New Roman"/>
                      <w:color w:val="auto"/>
                      <w:szCs w:val="21"/>
                      <w:highlight w:val="none"/>
                    </w:rPr>
                    <w:t>、不倒塌、不坠落、不损坏。严禁与氧化剂、食用化学品等混装混运。运输车船必须彻底清洗、消毒，否则不得装运其他物品。船运时，配装位置应远离卧室、厨房，并与电源、火源等部位隔离。公路运输时要按规定路线行驶</w:t>
                  </w:r>
                </w:p>
              </w:tc>
            </w:tr>
            <w:tr w14:paraId="55315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noWrap w:val="0"/>
                  <w:vAlign w:val="center"/>
                </w:tcPr>
                <w:p w14:paraId="75BAFB8A">
                  <w:pPr>
                    <w:keepNext w:val="0"/>
                    <w:keepLines w:val="0"/>
                    <w:pageBreakBefore w:val="0"/>
                    <w:shd w:val="clear"/>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泄漏应急处理</w:t>
                  </w:r>
                </w:p>
              </w:tc>
              <w:tc>
                <w:tcPr>
                  <w:tcW w:w="7581" w:type="dxa"/>
                  <w:gridSpan w:val="3"/>
                  <w:noWrap w:val="0"/>
                  <w:vAlign w:val="center"/>
                </w:tcPr>
                <w:p w14:paraId="720AEDAB">
                  <w:pPr>
                    <w:keepNext w:val="0"/>
                    <w:keepLines w:val="0"/>
                    <w:pageBreakBefore w:val="0"/>
                    <w:shd w:val="clear"/>
                    <w:kinsoku/>
                    <w:wordWrap/>
                    <w:overflowPunct/>
                    <w:topLinePunct w:val="0"/>
                    <w:bidi w:val="0"/>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迅速撤离泄漏污染区人员至安全区，并进行隔离，严格限制出入。切断火源。建议应急处理人员戴自给正压式呼吸器，穿防毒服。尽可能切断泄漏源。防治流入下水道、排洪沟等限制性空间。</w:t>
                  </w:r>
                </w:p>
                <w:p w14:paraId="0936C29F">
                  <w:pPr>
                    <w:pStyle w:val="17"/>
                    <w:keepNext w:val="0"/>
                    <w:keepLines w:val="0"/>
                    <w:pageBreakBefore w:val="0"/>
                    <w:shd w:val="clear"/>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小量泄漏：用砂土或其他不燃材料吸附或吸收。</w:t>
                  </w:r>
                </w:p>
                <w:p w14:paraId="20E6975C">
                  <w:pPr>
                    <w:pStyle w:val="17"/>
                    <w:keepNext w:val="0"/>
                    <w:keepLines w:val="0"/>
                    <w:pageBreakBefore w:val="0"/>
                    <w:shd w:val="clear"/>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大量泄漏：构筑位堤或挖坑收容。用泵转移至槽车或专用收集器内，回收或运至废物处理场所处置</w:t>
                  </w:r>
                </w:p>
              </w:tc>
            </w:tr>
          </w:tbl>
          <w:p w14:paraId="4930B282">
            <w:pPr>
              <w:keepNext w:val="0"/>
              <w:keepLines w:val="0"/>
              <w:pageBreakBefore w:val="0"/>
              <w:shd w:val="clear"/>
              <w:kinsoku/>
              <w:wordWrap/>
              <w:overflowPunct/>
              <w:topLinePunct w:val="0"/>
              <w:autoSpaceDE w:val="0"/>
              <w:autoSpaceDN w:val="0"/>
              <w:bidi w:val="0"/>
              <w:adjustRightInd w:val="0"/>
              <w:snapToGrid w:val="0"/>
              <w:spacing w:line="360" w:lineRule="auto"/>
              <w:ind w:left="0" w:right="0" w:firstLine="482" w:firstLineChars="200"/>
              <w:jc w:val="left"/>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rPr>
              <w:t>环境风险识别</w:t>
            </w:r>
          </w:p>
          <w:p w14:paraId="6C08B21F">
            <w:pPr>
              <w:pStyle w:val="6"/>
              <w:keepNext w:val="0"/>
              <w:keepLines w:val="0"/>
              <w:pageBreakBefore w:val="0"/>
              <w:shd w:val="clear"/>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项目环境风险识别包括物质危险性识别，生产系统危险性识别，危险物质向环境转移的途径识别。</w:t>
            </w:r>
          </w:p>
          <w:p w14:paraId="2458DB5E">
            <w:pPr>
              <w:pStyle w:val="6"/>
              <w:keepNext w:val="0"/>
              <w:keepLines w:val="0"/>
              <w:pageBreakBefore w:val="0"/>
              <w:shd w:val="clear"/>
              <w:kinsoku/>
              <w:wordWrap/>
              <w:overflowPunct/>
              <w:topLinePunct w:val="0"/>
              <w:bidi w:val="0"/>
              <w:snapToGrid w:val="0"/>
              <w:spacing w:before="0" w:after="0" w:line="360" w:lineRule="auto"/>
              <w:ind w:left="0" w:right="0" w:firstLine="476"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物质危险识别包括：主要原辅材料、燃料、中间产品、副产品、最终产品、污染物、</w:t>
            </w:r>
            <w:r>
              <w:rPr>
                <w:rFonts w:hint="default" w:ascii="Times New Roman" w:hAnsi="Times New Roman" w:eastAsia="宋体" w:cs="Times New Roman"/>
                <w:color w:val="auto"/>
                <w:sz w:val="24"/>
                <w:szCs w:val="24"/>
                <w:highlight w:val="none"/>
              </w:rPr>
              <w:t>火灾和爆炸伴生/</w:t>
            </w:r>
            <w:r>
              <w:rPr>
                <w:rFonts w:hint="default" w:ascii="Times New Roman" w:hAnsi="Times New Roman" w:eastAsia="宋体" w:cs="Times New Roman"/>
                <w:color w:val="auto"/>
                <w:spacing w:val="-8"/>
                <w:sz w:val="24"/>
                <w:szCs w:val="24"/>
                <w:highlight w:val="none"/>
              </w:rPr>
              <w:t>次生物等。根据《建设项目环境风险评价技术导则》</w:t>
            </w:r>
            <w:r>
              <w:rPr>
                <w:rFonts w:hint="default" w:ascii="Times New Roman" w:hAnsi="Times New Roman" w:eastAsia="宋体" w:cs="Times New Roman"/>
                <w:color w:val="auto"/>
                <w:sz w:val="24"/>
                <w:szCs w:val="24"/>
                <w:highlight w:val="none"/>
              </w:rPr>
              <w:t>（HJ169-2018）附录B，对其按有毒有害、易燃易爆物质逐个分类识别判定。本项目建成后</w:t>
            </w:r>
            <w:r>
              <w:rPr>
                <w:rFonts w:hint="default" w:ascii="Times New Roman" w:hAnsi="Times New Roman" w:eastAsia="宋体" w:cs="Times New Roman"/>
                <w:color w:val="auto"/>
                <w:sz w:val="24"/>
                <w:szCs w:val="24"/>
                <w:highlight w:val="none"/>
                <w:lang w:val="en-US" w:eastAsia="zh-CN"/>
              </w:rPr>
              <w:t>风险</w:t>
            </w:r>
            <w:r>
              <w:rPr>
                <w:rFonts w:hint="default" w:ascii="Times New Roman" w:hAnsi="Times New Roman" w:eastAsia="宋体" w:cs="Times New Roman"/>
                <w:color w:val="auto"/>
                <w:sz w:val="24"/>
                <w:szCs w:val="24"/>
                <w:highlight w:val="none"/>
              </w:rPr>
              <w:t>物质主要为</w:t>
            </w:r>
            <w:r>
              <w:rPr>
                <w:rFonts w:hint="default" w:ascii="Times New Roman" w:hAnsi="Times New Roman" w:eastAsia="宋体" w:cs="Times New Roman"/>
                <w:color w:val="auto"/>
                <w:sz w:val="24"/>
                <w:highlight w:val="none"/>
                <w:lang w:val="en-US" w:eastAsia="zh-CN"/>
              </w:rPr>
              <w:t>废矿物油（废机油）</w:t>
            </w:r>
            <w:r>
              <w:rPr>
                <w:rFonts w:hint="default" w:ascii="Times New Roman" w:hAnsi="Times New Roman" w:eastAsia="宋体" w:cs="Times New Roman"/>
                <w:color w:val="auto"/>
                <w:sz w:val="24"/>
                <w:szCs w:val="24"/>
                <w:highlight w:val="none"/>
              </w:rPr>
              <w:t>。</w:t>
            </w:r>
          </w:p>
          <w:p w14:paraId="637EE51E">
            <w:pPr>
              <w:pStyle w:val="6"/>
              <w:keepNext w:val="0"/>
              <w:keepLines w:val="0"/>
              <w:pageBreakBefore w:val="0"/>
              <w:shd w:val="clear"/>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皮肤接触</w:t>
            </w:r>
            <w:r>
              <w:rPr>
                <w:rFonts w:hint="default" w:ascii="Times New Roman" w:hAnsi="Times New Roman" w:eastAsia="宋体" w:cs="Times New Roman"/>
                <w:color w:val="auto"/>
                <w:sz w:val="24"/>
                <w:szCs w:val="24"/>
                <w:highlight w:val="none"/>
                <w:lang w:val="en-US" w:eastAsia="zh-CN"/>
              </w:rPr>
              <w:t>油类物质</w:t>
            </w:r>
            <w:r>
              <w:rPr>
                <w:rFonts w:hint="default" w:ascii="Times New Roman" w:hAnsi="Times New Roman" w:eastAsia="宋体" w:cs="Times New Roman"/>
                <w:color w:val="auto"/>
                <w:sz w:val="24"/>
                <w:szCs w:val="24"/>
                <w:highlight w:val="none"/>
              </w:rPr>
              <w:t>可引起接触性皮炎、油性痤疮，吸入可引起吸入性肺炎，能经胎盘进入胎儿血中。</w:t>
            </w:r>
            <w:r>
              <w:rPr>
                <w:rFonts w:hint="default" w:ascii="Times New Roman" w:hAnsi="Times New Roman" w:eastAsia="宋体" w:cs="Times New Roman"/>
                <w:color w:val="auto"/>
                <w:sz w:val="24"/>
                <w:szCs w:val="24"/>
                <w:highlight w:val="none"/>
                <w:lang w:val="en-US" w:eastAsia="zh-CN"/>
              </w:rPr>
              <w:t>废矿物油</w:t>
            </w:r>
            <w:r>
              <w:rPr>
                <w:rFonts w:hint="default" w:ascii="Times New Roman" w:hAnsi="Times New Roman" w:eastAsia="宋体" w:cs="Times New Roman"/>
                <w:color w:val="auto"/>
                <w:sz w:val="24"/>
                <w:szCs w:val="24"/>
                <w:highlight w:val="none"/>
              </w:rPr>
              <w:t>废气可引起眼、鼻刺激症状，头晕及头痛。</w:t>
            </w:r>
          </w:p>
          <w:p w14:paraId="36568026">
            <w:pPr>
              <w:pStyle w:val="6"/>
              <w:keepNext w:val="0"/>
              <w:keepLines w:val="0"/>
              <w:pageBreakBefore w:val="0"/>
              <w:shd w:val="clear"/>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本项目生产系统风险源主要为</w:t>
            </w:r>
            <w:r>
              <w:rPr>
                <w:rFonts w:hint="default" w:ascii="Times New Roman" w:hAnsi="Times New Roman" w:eastAsia="宋体" w:cs="Times New Roman"/>
                <w:color w:val="auto"/>
                <w:sz w:val="24"/>
                <w:szCs w:val="24"/>
                <w:highlight w:val="none"/>
                <w:lang w:val="en-US" w:eastAsia="zh-CN"/>
              </w:rPr>
              <w:t>废矿物油</w:t>
            </w:r>
            <w:r>
              <w:rPr>
                <w:rFonts w:hint="default" w:ascii="Times New Roman" w:hAnsi="Times New Roman" w:eastAsia="宋体" w:cs="Times New Roman"/>
                <w:color w:val="auto"/>
                <w:sz w:val="24"/>
                <w:szCs w:val="24"/>
                <w:highlight w:val="none"/>
              </w:rPr>
              <w:t>发生火灾、爆炸事故；</w:t>
            </w:r>
            <w:r>
              <w:rPr>
                <w:rFonts w:hint="default" w:ascii="Times New Roman" w:hAnsi="Times New Roman" w:eastAsia="宋体" w:cs="Times New Roman"/>
                <w:color w:val="auto"/>
                <w:sz w:val="24"/>
                <w:szCs w:val="24"/>
                <w:highlight w:val="none"/>
                <w:lang w:val="en-US" w:eastAsia="zh-CN"/>
              </w:rPr>
              <w:t>废矿物油均</w:t>
            </w:r>
            <w:r>
              <w:rPr>
                <w:rFonts w:hint="default" w:ascii="Times New Roman" w:hAnsi="Times New Roman" w:eastAsia="宋体" w:cs="Times New Roman"/>
                <w:color w:val="auto"/>
                <w:sz w:val="24"/>
                <w:szCs w:val="24"/>
                <w:highlight w:val="none"/>
              </w:rPr>
              <w:t>属易燃、易爆液体，如果在储存、输送过程发生跑、冒、滴、漏，油料蒸发出来的可燃气体在一定的浓度范围内，能够与空气形成爆炸性混合物，遇明火、静电及高温或与氧化剂接触等易引起燃烧或爆炸；同时其蒸汽比空气重，能在较低处扩散到相当远的地方，遇明火会引着回燃，也会造成火灾爆炸事故。</w:t>
            </w:r>
          </w:p>
          <w:p w14:paraId="619CAC2A">
            <w:pPr>
              <w:pStyle w:val="6"/>
              <w:keepNext w:val="0"/>
              <w:keepLines w:val="0"/>
              <w:pageBreakBefore w:val="0"/>
              <w:shd w:val="clear"/>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危险物质向环境转移的途径识别包括：物质泄漏，以及火灾、爆炸等引发的伴生次生污染物排放。本项目环境风险类型主要为</w:t>
            </w:r>
            <w:r>
              <w:rPr>
                <w:rFonts w:hint="default" w:ascii="Times New Roman" w:hAnsi="Times New Roman" w:eastAsia="宋体" w:cs="Times New Roman"/>
                <w:color w:val="auto"/>
                <w:sz w:val="24"/>
                <w:szCs w:val="24"/>
                <w:highlight w:val="none"/>
                <w:lang w:val="en-US" w:eastAsia="zh-CN"/>
              </w:rPr>
              <w:t>废矿物油</w:t>
            </w:r>
            <w:r>
              <w:rPr>
                <w:rFonts w:hint="default" w:ascii="Times New Roman" w:hAnsi="Times New Roman" w:eastAsia="宋体" w:cs="Times New Roman"/>
                <w:color w:val="auto"/>
                <w:sz w:val="24"/>
                <w:szCs w:val="24"/>
                <w:highlight w:val="none"/>
              </w:rPr>
              <w:t>发生泄漏、火灾、爆炸引发的伴生/次生污染物排放对大气、地表水、地下水的影响。</w:t>
            </w:r>
          </w:p>
          <w:p w14:paraId="115C300F">
            <w:pPr>
              <w:keepNext w:val="0"/>
              <w:keepLines w:val="0"/>
              <w:pageBreakBefore w:val="0"/>
              <w:widowControl w:val="0"/>
              <w:shd w:val="clear"/>
              <w:kinsoku/>
              <w:wordWrap/>
              <w:overflowPunct/>
              <w:topLinePunct w:val="0"/>
              <w:autoSpaceDE/>
              <w:autoSpaceDN/>
              <w:bidi w:val="0"/>
              <w:spacing w:line="360" w:lineRule="auto"/>
              <w:ind w:firstLine="482" w:firstLineChars="200"/>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风险潜势初判</w:t>
            </w:r>
          </w:p>
          <w:p w14:paraId="7EBCC0F4">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建设项目潜势划分为I、II、III、IV/IV+级。</w:t>
            </w:r>
          </w:p>
          <w:p w14:paraId="2F568142">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outlineLvl w:val="9"/>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 w:val="24"/>
                <w:szCs w:val="24"/>
                <w:highlight w:val="none"/>
                <w:lang w:eastAsia="zh-CN"/>
              </w:rPr>
              <w:t>根据建设项目涉及的物质和工艺系统的危险性及其所在地的环境敏感程度，结合事故情形下环境影响途径，对建设项目潜在环境危害程度进行概化分析，按照下表确定环境风险潜势。</w:t>
            </w:r>
          </w:p>
          <w:p w14:paraId="414823DA">
            <w:pPr>
              <w:shd w:val="clear"/>
              <w:adjustRightInd w:val="0"/>
              <w:snapToGrid w:val="0"/>
              <w:spacing w:line="240" w:lineRule="auto"/>
              <w:jc w:val="center"/>
              <w:rPr>
                <w:rFonts w:hint="default" w:ascii="Times New Roman" w:hAnsi="Times New Roman" w:eastAsia="宋体" w:cs="Times New Roman"/>
                <w:b/>
                <w:bCs w:val="0"/>
                <w:snapToGrid w:val="0"/>
                <w:color w:val="auto"/>
                <w:kern w:val="0"/>
                <w:sz w:val="21"/>
                <w:szCs w:val="21"/>
                <w:highlight w:val="none"/>
                <w:lang w:eastAsia="zh-CN"/>
              </w:rPr>
            </w:pPr>
            <w:r>
              <w:rPr>
                <w:rFonts w:hint="default" w:ascii="Times New Roman" w:hAnsi="Times New Roman" w:eastAsia="宋体" w:cs="Times New Roman"/>
                <w:b/>
                <w:bCs w:val="0"/>
                <w:snapToGrid w:val="0"/>
                <w:color w:val="auto"/>
                <w:kern w:val="0"/>
                <w:sz w:val="21"/>
                <w:szCs w:val="21"/>
                <w:highlight w:val="none"/>
              </w:rPr>
              <w:t>表</w:t>
            </w:r>
            <w:r>
              <w:rPr>
                <w:rFonts w:hint="default" w:ascii="Times New Roman" w:hAnsi="Times New Roman" w:eastAsia="宋体" w:cs="Times New Roman"/>
                <w:b/>
                <w:bCs w:val="0"/>
                <w:snapToGrid w:val="0"/>
                <w:color w:val="auto"/>
                <w:kern w:val="0"/>
                <w:sz w:val="21"/>
                <w:szCs w:val="21"/>
                <w:highlight w:val="none"/>
                <w:lang w:val="en-US" w:eastAsia="zh-CN"/>
              </w:rPr>
              <w:t>4-</w:t>
            </w:r>
            <w:r>
              <w:rPr>
                <w:rFonts w:hint="eastAsia" w:cs="Times New Roman"/>
                <w:b/>
                <w:bCs w:val="0"/>
                <w:snapToGrid w:val="0"/>
                <w:color w:val="auto"/>
                <w:kern w:val="0"/>
                <w:sz w:val="21"/>
                <w:szCs w:val="21"/>
                <w:highlight w:val="none"/>
                <w:lang w:val="en-US" w:eastAsia="zh-CN"/>
              </w:rPr>
              <w:t>27</w:t>
            </w:r>
            <w:r>
              <w:rPr>
                <w:rFonts w:hint="default" w:ascii="Times New Roman" w:hAnsi="Times New Roman" w:eastAsia="宋体" w:cs="Times New Roman"/>
                <w:b/>
                <w:bCs w:val="0"/>
                <w:snapToGrid w:val="0"/>
                <w:color w:val="auto"/>
                <w:kern w:val="0"/>
                <w:sz w:val="21"/>
                <w:szCs w:val="21"/>
                <w:highlight w:val="none"/>
                <w:lang w:val="en-US" w:eastAsia="zh-CN"/>
              </w:rPr>
              <w:t xml:space="preserve">  </w:t>
            </w:r>
            <w:r>
              <w:rPr>
                <w:rFonts w:hint="default" w:ascii="Times New Roman" w:hAnsi="Times New Roman" w:eastAsia="宋体" w:cs="Times New Roman"/>
                <w:b/>
                <w:bCs w:val="0"/>
                <w:snapToGrid w:val="0"/>
                <w:color w:val="auto"/>
                <w:kern w:val="0"/>
                <w:sz w:val="21"/>
                <w:szCs w:val="21"/>
                <w:highlight w:val="none"/>
                <w:lang w:eastAsia="zh-CN"/>
              </w:rPr>
              <w:t>建设项目环境风险潜势划分</w:t>
            </w:r>
          </w:p>
          <w:tbl>
            <w:tblPr>
              <w:tblStyle w:val="27"/>
              <w:tblW w:w="8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460"/>
              <w:gridCol w:w="1687"/>
              <w:gridCol w:w="1541"/>
              <w:gridCol w:w="1646"/>
            </w:tblGrid>
            <w:tr w14:paraId="66D8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vMerge w:val="restart"/>
                  <w:tcBorders>
                    <w:tl2br w:val="nil"/>
                    <w:tr2bl w:val="nil"/>
                  </w:tcBorders>
                  <w:noWrap w:val="0"/>
                  <w:vAlign w:val="center"/>
                </w:tcPr>
                <w:p w14:paraId="757B80AE">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环境敏感程度（</w:t>
                  </w:r>
                  <w:r>
                    <w:rPr>
                      <w:rFonts w:hint="default" w:ascii="Times New Roman" w:hAnsi="Times New Roman" w:eastAsia="宋体" w:cs="Times New Roman"/>
                      <w:b/>
                      <w:bCs/>
                      <w:snapToGrid w:val="0"/>
                      <w:color w:val="auto"/>
                      <w:kern w:val="0"/>
                      <w:sz w:val="21"/>
                      <w:szCs w:val="21"/>
                      <w:highlight w:val="none"/>
                      <w:vertAlign w:val="baseline"/>
                      <w:lang w:val="en-US" w:eastAsia="zh-CN"/>
                    </w:rPr>
                    <w:t>E</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6334" w:type="dxa"/>
                  <w:gridSpan w:val="4"/>
                  <w:tcBorders>
                    <w:tl2br w:val="nil"/>
                    <w:tr2bl w:val="nil"/>
                  </w:tcBorders>
                  <w:noWrap w:val="0"/>
                  <w:vAlign w:val="center"/>
                </w:tcPr>
                <w:p w14:paraId="4054110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val="zh-CN" w:eastAsia="zh-CN"/>
                    </w:rPr>
                    <w:t>危险物质及工艺系统危险性（</w:t>
                  </w:r>
                  <w:r>
                    <w:rPr>
                      <w:rFonts w:hint="default" w:ascii="Times New Roman" w:hAnsi="Times New Roman" w:eastAsia="宋体" w:cs="Times New Roman"/>
                      <w:b/>
                      <w:bCs/>
                      <w:snapToGrid w:val="0"/>
                      <w:color w:val="auto"/>
                      <w:kern w:val="0"/>
                      <w:sz w:val="21"/>
                      <w:szCs w:val="21"/>
                      <w:highlight w:val="none"/>
                      <w:vertAlign w:val="baseline"/>
                      <w:lang w:val="en-US" w:eastAsia="zh-CN"/>
                    </w:rPr>
                    <w:t>P</w:t>
                  </w:r>
                  <w:r>
                    <w:rPr>
                      <w:rFonts w:hint="default" w:ascii="Times New Roman" w:hAnsi="Times New Roman" w:eastAsia="宋体" w:cs="Times New Roman"/>
                      <w:b/>
                      <w:bCs/>
                      <w:snapToGrid w:val="0"/>
                      <w:color w:val="auto"/>
                      <w:kern w:val="0"/>
                      <w:sz w:val="21"/>
                      <w:szCs w:val="21"/>
                      <w:highlight w:val="none"/>
                      <w:vertAlign w:val="baseline"/>
                      <w:lang w:val="zh-CN" w:eastAsia="zh-CN"/>
                    </w:rPr>
                    <w:t>）</w:t>
                  </w:r>
                </w:p>
              </w:tc>
            </w:tr>
            <w:tr w14:paraId="569F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vMerge w:val="continue"/>
                  <w:tcBorders>
                    <w:tl2br w:val="nil"/>
                    <w:tr2bl w:val="nil"/>
                  </w:tcBorders>
                  <w:noWrap w:val="0"/>
                  <w:vAlign w:val="center"/>
                </w:tcPr>
                <w:p w14:paraId="38E6017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p>
              </w:tc>
              <w:tc>
                <w:tcPr>
                  <w:tcW w:w="1460" w:type="dxa"/>
                  <w:tcBorders>
                    <w:tl2br w:val="nil"/>
                    <w:tr2bl w:val="nil"/>
                  </w:tcBorders>
                  <w:noWrap w:val="0"/>
                  <w:vAlign w:val="center"/>
                </w:tcPr>
                <w:p w14:paraId="37AA692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极高危害（</w:t>
                  </w:r>
                  <w:r>
                    <w:rPr>
                      <w:rFonts w:hint="default" w:ascii="Times New Roman" w:hAnsi="Times New Roman" w:eastAsia="宋体" w:cs="Times New Roman"/>
                      <w:b/>
                      <w:bCs/>
                      <w:snapToGrid w:val="0"/>
                      <w:color w:val="auto"/>
                      <w:kern w:val="0"/>
                      <w:sz w:val="21"/>
                      <w:szCs w:val="21"/>
                      <w:highlight w:val="none"/>
                      <w:vertAlign w:val="baseline"/>
                      <w:lang w:val="en-US" w:eastAsia="zh-CN"/>
                    </w:rPr>
                    <w:t>P1</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687" w:type="dxa"/>
                  <w:tcBorders>
                    <w:tl2br w:val="nil"/>
                    <w:tr2bl w:val="nil"/>
                  </w:tcBorders>
                  <w:noWrap w:val="0"/>
                  <w:vAlign w:val="center"/>
                </w:tcPr>
                <w:p w14:paraId="5B05F60C">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高度危害（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P2</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541" w:type="dxa"/>
                  <w:tcBorders>
                    <w:tl2br w:val="nil"/>
                    <w:tr2bl w:val="nil"/>
                  </w:tcBorders>
                  <w:noWrap w:val="0"/>
                  <w:vAlign w:val="center"/>
                </w:tcPr>
                <w:p w14:paraId="7133D93D">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中度危害（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P3</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646" w:type="dxa"/>
                  <w:tcBorders>
                    <w:tl2br w:val="nil"/>
                    <w:tr2bl w:val="nil"/>
                  </w:tcBorders>
                  <w:noWrap w:val="0"/>
                  <w:vAlign w:val="center"/>
                </w:tcPr>
                <w:p w14:paraId="236BE2B5">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轻度危害（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P4</w:t>
                  </w:r>
                  <w:r>
                    <w:rPr>
                      <w:rFonts w:hint="default" w:ascii="Times New Roman" w:hAnsi="Times New Roman" w:eastAsia="宋体" w:cs="Times New Roman"/>
                      <w:b/>
                      <w:bCs/>
                      <w:snapToGrid w:val="0"/>
                      <w:color w:val="auto"/>
                      <w:kern w:val="0"/>
                      <w:sz w:val="21"/>
                      <w:szCs w:val="21"/>
                      <w:highlight w:val="none"/>
                      <w:vertAlign w:val="baseline"/>
                      <w:lang w:eastAsia="zh-CN"/>
                    </w:rPr>
                    <w:t>）</w:t>
                  </w:r>
                </w:p>
              </w:tc>
            </w:tr>
            <w:tr w14:paraId="6B5F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2" w:type="dxa"/>
                  <w:tcBorders>
                    <w:tl2br w:val="nil"/>
                    <w:tr2bl w:val="nil"/>
                  </w:tcBorders>
                  <w:noWrap w:val="0"/>
                  <w:vAlign w:val="center"/>
                </w:tcPr>
                <w:p w14:paraId="20573EBB">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环境高度敏感区（</w:t>
                  </w:r>
                  <w:r>
                    <w:rPr>
                      <w:rFonts w:hint="default" w:ascii="Times New Roman" w:hAnsi="Times New Roman" w:eastAsia="宋体" w:cs="Times New Roman"/>
                      <w:snapToGrid w:val="0"/>
                      <w:color w:val="auto"/>
                      <w:kern w:val="0"/>
                      <w:sz w:val="21"/>
                      <w:szCs w:val="21"/>
                      <w:highlight w:val="none"/>
                      <w:vertAlign w:val="baseline"/>
                      <w:lang w:val="en-US" w:eastAsia="zh-CN"/>
                    </w:rPr>
                    <w:t>E1</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14:paraId="4C7C275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r>
                    <w:rPr>
                      <w:rFonts w:hint="default" w:ascii="Times New Roman" w:hAnsi="Times New Roman" w:eastAsia="宋体" w:cs="Times New Roman"/>
                      <w:snapToGrid w:val="0"/>
                      <w:color w:val="auto"/>
                      <w:kern w:val="0"/>
                      <w:sz w:val="21"/>
                      <w:szCs w:val="21"/>
                      <w:highlight w:val="none"/>
                      <w:vertAlign w:val="baseline"/>
                      <w:lang w:val="en-US" w:eastAsia="zh-CN"/>
                    </w:rPr>
                    <w:t>+</w:t>
                  </w:r>
                </w:p>
              </w:tc>
              <w:tc>
                <w:tcPr>
                  <w:tcW w:w="1687" w:type="dxa"/>
                  <w:tcBorders>
                    <w:tl2br w:val="nil"/>
                    <w:tr2bl w:val="nil"/>
                  </w:tcBorders>
                  <w:noWrap w:val="0"/>
                  <w:vAlign w:val="center"/>
                </w:tcPr>
                <w:p w14:paraId="4410EA92">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p>
              </w:tc>
              <w:tc>
                <w:tcPr>
                  <w:tcW w:w="1541" w:type="dxa"/>
                  <w:tcBorders>
                    <w:tl2br w:val="nil"/>
                    <w:tr2bl w:val="nil"/>
                  </w:tcBorders>
                  <w:noWrap w:val="0"/>
                  <w:vAlign w:val="center"/>
                </w:tcPr>
                <w:p w14:paraId="305AD305">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46" w:type="dxa"/>
                  <w:tcBorders>
                    <w:tl2br w:val="nil"/>
                    <w:tr2bl w:val="nil"/>
                  </w:tcBorders>
                  <w:noWrap w:val="0"/>
                  <w:vAlign w:val="center"/>
                </w:tcPr>
                <w:p w14:paraId="5EDAB7E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r>
            <w:tr w14:paraId="77C2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2" w:type="dxa"/>
                  <w:tcBorders>
                    <w:tl2br w:val="nil"/>
                    <w:tr2bl w:val="nil"/>
                  </w:tcBorders>
                  <w:noWrap w:val="0"/>
                  <w:vAlign w:val="center"/>
                </w:tcPr>
                <w:p w14:paraId="7EB9303E">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环境中度敏感区（</w:t>
                  </w:r>
                  <w:r>
                    <w:rPr>
                      <w:rFonts w:hint="default" w:ascii="Times New Roman" w:hAnsi="Times New Roman" w:eastAsia="宋体" w:cs="Times New Roman"/>
                      <w:snapToGrid w:val="0"/>
                      <w:color w:val="auto"/>
                      <w:kern w:val="0"/>
                      <w:sz w:val="21"/>
                      <w:szCs w:val="21"/>
                      <w:highlight w:val="none"/>
                      <w:vertAlign w:val="baseline"/>
                      <w:lang w:val="en-US" w:eastAsia="zh-CN"/>
                    </w:rPr>
                    <w:t>E2</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14:paraId="613F200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p>
              </w:tc>
              <w:tc>
                <w:tcPr>
                  <w:tcW w:w="1687" w:type="dxa"/>
                  <w:tcBorders>
                    <w:tl2br w:val="nil"/>
                    <w:tr2bl w:val="nil"/>
                  </w:tcBorders>
                  <w:noWrap w:val="0"/>
                  <w:vAlign w:val="center"/>
                </w:tcPr>
                <w:p w14:paraId="40C33E47">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541" w:type="dxa"/>
                  <w:tcBorders>
                    <w:tl2br w:val="nil"/>
                    <w:tr2bl w:val="nil"/>
                  </w:tcBorders>
                  <w:noWrap w:val="0"/>
                  <w:vAlign w:val="center"/>
                </w:tcPr>
                <w:p w14:paraId="737C6C87">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46" w:type="dxa"/>
                  <w:tcBorders>
                    <w:tl2br w:val="nil"/>
                    <w:tr2bl w:val="nil"/>
                  </w:tcBorders>
                  <w:noWrap w:val="0"/>
                  <w:vAlign w:val="center"/>
                </w:tcPr>
                <w:p w14:paraId="0AC20D60">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Ⅱ</w:t>
                  </w:r>
                </w:p>
              </w:tc>
            </w:tr>
            <w:tr w14:paraId="05F9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2" w:type="dxa"/>
                  <w:tcBorders>
                    <w:tl2br w:val="nil"/>
                    <w:tr2bl w:val="nil"/>
                  </w:tcBorders>
                  <w:noWrap w:val="0"/>
                  <w:vAlign w:val="center"/>
                </w:tcPr>
                <w:p w14:paraId="49902497">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环境低度敏感区（</w:t>
                  </w:r>
                  <w:r>
                    <w:rPr>
                      <w:rFonts w:hint="default" w:ascii="Times New Roman" w:hAnsi="Times New Roman" w:eastAsia="宋体" w:cs="Times New Roman"/>
                      <w:snapToGrid w:val="0"/>
                      <w:color w:val="auto"/>
                      <w:kern w:val="0"/>
                      <w:sz w:val="21"/>
                      <w:szCs w:val="21"/>
                      <w:highlight w:val="none"/>
                      <w:vertAlign w:val="baseline"/>
                      <w:lang w:val="en-US" w:eastAsia="zh-CN"/>
                    </w:rPr>
                    <w:t>E3</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14:paraId="6E3C1DF3">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87" w:type="dxa"/>
                  <w:tcBorders>
                    <w:tl2br w:val="nil"/>
                    <w:tr2bl w:val="nil"/>
                  </w:tcBorders>
                  <w:noWrap w:val="0"/>
                  <w:vAlign w:val="center"/>
                </w:tcPr>
                <w:p w14:paraId="2B6AC672">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541" w:type="dxa"/>
                  <w:tcBorders>
                    <w:tl2br w:val="nil"/>
                    <w:tr2bl w:val="nil"/>
                  </w:tcBorders>
                  <w:noWrap w:val="0"/>
                  <w:vAlign w:val="center"/>
                </w:tcPr>
                <w:p w14:paraId="25D1B35D">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Ⅱ</w:t>
                  </w:r>
                </w:p>
              </w:tc>
              <w:tc>
                <w:tcPr>
                  <w:tcW w:w="1646" w:type="dxa"/>
                  <w:tcBorders>
                    <w:tl2br w:val="nil"/>
                    <w:tr2bl w:val="nil"/>
                  </w:tcBorders>
                  <w:noWrap w:val="0"/>
                  <w:vAlign w:val="center"/>
                </w:tcPr>
                <w:p w14:paraId="2E8748CF">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Ⅰ</w:t>
                  </w:r>
                </w:p>
              </w:tc>
            </w:tr>
            <w:tr w14:paraId="70DA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86" w:type="dxa"/>
                  <w:gridSpan w:val="5"/>
                  <w:tcBorders>
                    <w:tl2br w:val="nil"/>
                    <w:tr2bl w:val="nil"/>
                  </w:tcBorders>
                  <w:noWrap w:val="0"/>
                  <w:vAlign w:val="center"/>
                </w:tcPr>
                <w:p w14:paraId="2C8F1519">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注：Ⅳ</w:t>
                  </w:r>
                  <w:r>
                    <w:rPr>
                      <w:rFonts w:hint="default" w:ascii="Times New Roman" w:hAnsi="Times New Roman" w:eastAsia="宋体" w:cs="Times New Roman"/>
                      <w:snapToGrid w:val="0"/>
                      <w:color w:val="auto"/>
                      <w:kern w:val="0"/>
                      <w:sz w:val="21"/>
                      <w:szCs w:val="21"/>
                      <w:highlight w:val="none"/>
                      <w:vertAlign w:val="baseline"/>
                      <w:lang w:val="en-US" w:eastAsia="zh-CN"/>
                    </w:rPr>
                    <w:t>+</w:t>
                  </w:r>
                  <w:r>
                    <w:rPr>
                      <w:rFonts w:hint="default" w:ascii="Times New Roman" w:hAnsi="Times New Roman" w:eastAsia="宋体" w:cs="Times New Roman"/>
                      <w:snapToGrid w:val="0"/>
                      <w:color w:val="auto"/>
                      <w:kern w:val="0"/>
                      <w:sz w:val="21"/>
                      <w:szCs w:val="21"/>
                      <w:highlight w:val="none"/>
                      <w:vertAlign w:val="baseline"/>
                      <w:lang w:eastAsia="zh-CN"/>
                    </w:rPr>
                    <w:t>为极高环境风险</w:t>
                  </w:r>
                </w:p>
              </w:tc>
            </w:tr>
          </w:tbl>
          <w:p w14:paraId="7986B0CE">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危险物质及工艺系统危险性（P）由危险物质数量与临界量的比值（Q）和所属行业及生产工艺特点（M）判定。</w:t>
            </w:r>
          </w:p>
          <w:p w14:paraId="17FF80EE">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首先</w:t>
            </w:r>
            <w:r>
              <w:rPr>
                <w:rFonts w:hint="default" w:ascii="Times New Roman" w:hAnsi="Times New Roman" w:eastAsia="宋体" w:cs="Times New Roman"/>
                <w:color w:val="auto"/>
                <w:sz w:val="24"/>
                <w:szCs w:val="24"/>
                <w:highlight w:val="none"/>
                <w:lang w:val="zh-CN"/>
              </w:rPr>
              <w:t>确定危险物质数量与临界量的比值（Q）</w:t>
            </w:r>
          </w:p>
          <w:p w14:paraId="3EB2E032">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根据该技术导则附录B中表B.1突发环境事件风险物质及临界点，附录C中C1.1危险物质数量与临界量比值（Q）的计算有两种情况：</w:t>
            </w:r>
          </w:p>
          <w:p w14:paraId="37734322">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a、当只涉及一种危险物质时，计算该物质的总量与其临界量比值，即为 Q；</w:t>
            </w:r>
          </w:p>
          <w:p w14:paraId="23F66EF6">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b、当存在多种危险物质时，则按下式计算物质总量与其临界量的比值（Q）：</w:t>
            </w:r>
          </w:p>
          <w:p w14:paraId="71743819">
            <w:pPr>
              <w:keepNext w:val="0"/>
              <w:keepLines w:val="0"/>
              <w:pageBreakBefore w:val="0"/>
              <w:widowControl w:val="0"/>
              <w:shd w:val="clear"/>
              <w:kinsoku/>
              <w:wordWrap/>
              <w:overflowPunct/>
              <w:topLinePunct w:val="0"/>
              <w:autoSpaceDE/>
              <w:autoSpaceDN/>
              <w:bidi w:val="0"/>
              <w:adjustRightInd w:val="0"/>
              <w:snapToGrid w:val="0"/>
              <w:spacing w:line="351"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position w:val="-28"/>
                <w:sz w:val="24"/>
                <w:szCs w:val="24"/>
                <w:highlight w:val="none"/>
                <w:vertAlign w:val="subscript"/>
                <w:lang w:val="en-US" w:eastAsia="zh-CN"/>
              </w:rPr>
              <w:object>
                <v:shape id="_x0000_i1029" o:spt="75" type="#_x0000_t75" style="height:33pt;width:106pt;" o:ole="t" filled="f" o:preferrelative="t" stroked="f" coordsize="21600,21600">
                  <v:path/>
                  <v:fill on="f" focussize="0,0"/>
                  <v:stroke on="f"/>
                  <v:imagedata r:id="rId21" o:title=""/>
                  <o:lock v:ext="edit" aspectratio="t"/>
                  <w10:wrap type="none"/>
                  <w10:anchorlock/>
                </v:shape>
                <o:OLEObject Type="Embed" ProgID="Equation.KSEE3" ShapeID="_x0000_i1029" DrawAspect="Content" ObjectID="_1468075730" r:id="rId20">
                  <o:LockedField>false</o:LockedField>
                </o:OLEObject>
              </w:object>
            </w:r>
          </w:p>
          <w:p w14:paraId="4DEEE487">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snapToGrid w:val="0"/>
                <w:color w:val="auto"/>
                <w:kern w:val="0"/>
                <w:sz w:val="24"/>
                <w:szCs w:val="24"/>
                <w:highlight w:val="none"/>
                <w:lang w:eastAsia="zh-CN"/>
              </w:rPr>
              <w:t>式中：</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en-US" w:eastAsia="zh-CN"/>
              </w:rPr>
              <w:t>1</w:t>
            </w:r>
            <w:r>
              <w:rPr>
                <w:rFonts w:hint="default" w:ascii="Times New Roman" w:hAnsi="Times New Roman" w:eastAsia="宋体" w:cs="Times New Roman"/>
                <w:color w:val="auto"/>
                <w:sz w:val="24"/>
                <w:szCs w:val="24"/>
                <w:highlight w:val="none"/>
                <w:lang w:val="zh-CN"/>
              </w:rPr>
              <w:t>，q</w:t>
            </w:r>
            <w:r>
              <w:rPr>
                <w:rFonts w:hint="default" w:ascii="Times New Roman" w:hAnsi="Times New Roman" w:eastAsia="宋体" w:cs="Times New Roman"/>
                <w:color w:val="auto"/>
                <w:sz w:val="24"/>
                <w:szCs w:val="24"/>
                <w:highlight w:val="none"/>
                <w:vertAlign w:val="subscript"/>
                <w:lang w:val="zh-CN"/>
              </w:rPr>
              <w:t>2</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zh-CN"/>
              </w:rPr>
              <w:t>n</w:t>
            </w:r>
            <w:r>
              <w:rPr>
                <w:rFonts w:hint="default" w:ascii="Times New Roman" w:hAnsi="Times New Roman" w:eastAsia="宋体" w:cs="Times New Roman"/>
                <w:color w:val="auto"/>
                <w:sz w:val="24"/>
                <w:szCs w:val="24"/>
                <w:highlight w:val="none"/>
                <w:lang w:val="zh-CN"/>
              </w:rPr>
              <w:t>——每种危险物质的最大存在总量，t；</w:t>
            </w:r>
          </w:p>
          <w:p w14:paraId="5F40950B">
            <w:pPr>
              <w:keepNext w:val="0"/>
              <w:keepLines w:val="0"/>
              <w:pageBreakBefore w:val="0"/>
              <w:widowControl w:val="0"/>
              <w:shd w:val="clear"/>
              <w:kinsoku/>
              <w:wordWrap/>
              <w:overflowPunct/>
              <w:topLinePunct w:val="0"/>
              <w:autoSpaceDE/>
              <w:autoSpaceDN/>
              <w:bidi w:val="0"/>
              <w:adjustRightInd w:val="0"/>
              <w:snapToGrid w:val="0"/>
              <w:spacing w:line="351" w:lineRule="auto"/>
              <w:ind w:firstLine="1200" w:firstLineChars="5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zh-CN"/>
              </w:rPr>
              <w:t>1</w:t>
            </w:r>
            <w:r>
              <w:rPr>
                <w:rFonts w:hint="default" w:ascii="Times New Roman" w:hAnsi="Times New Roman" w:eastAsia="宋体" w:cs="Times New Roman"/>
                <w:color w:val="auto"/>
                <w:sz w:val="24"/>
                <w:szCs w:val="24"/>
                <w:highlight w:val="none"/>
                <w:lang w:val="zh-CN"/>
              </w:rPr>
              <w:t>，Q</w:t>
            </w:r>
            <w:r>
              <w:rPr>
                <w:rFonts w:hint="default" w:ascii="Times New Roman" w:hAnsi="Times New Roman" w:eastAsia="宋体" w:cs="Times New Roman"/>
                <w:color w:val="auto"/>
                <w:sz w:val="24"/>
                <w:szCs w:val="24"/>
                <w:highlight w:val="none"/>
                <w:vertAlign w:val="subscript"/>
                <w:lang w:val="zh-CN"/>
              </w:rPr>
              <w:t>2</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en-US" w:eastAsia="zh-CN"/>
              </w:rPr>
              <w:t>n</w:t>
            </w:r>
            <w:r>
              <w:rPr>
                <w:rFonts w:hint="default" w:ascii="Times New Roman" w:hAnsi="Times New Roman" w:eastAsia="宋体" w:cs="Times New Roman"/>
                <w:color w:val="auto"/>
                <w:sz w:val="24"/>
                <w:szCs w:val="24"/>
                <w:highlight w:val="none"/>
                <w:lang w:val="zh-CN"/>
              </w:rPr>
              <w:t>——每种危险物质的临界量，t。</w:t>
            </w:r>
          </w:p>
          <w:p w14:paraId="75027ADD">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当Q&lt;1时，该项目环境风险潜势为I。</w:t>
            </w:r>
          </w:p>
          <w:p w14:paraId="595BEA03">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当Q≥1时，将Q值划分为：（1）1≤Q&lt;10；（2）10≤Q&lt;100；（3）Q≥100。再综合所属行业及生产工艺特点（M）另行判定。</w:t>
            </w:r>
          </w:p>
          <w:p w14:paraId="04E866BA">
            <w:pPr>
              <w:keepNext w:val="0"/>
              <w:keepLines w:val="0"/>
              <w:pageBreakBefore w:val="0"/>
              <w:widowControl w:val="0"/>
              <w:shd w:val="clear"/>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Cs/>
                <w:color w:val="auto"/>
                <w:kern w:val="0"/>
                <w:sz w:val="24"/>
                <w:highlight w:val="none"/>
              </w:rPr>
              <w:t>对照《建设项目环境风险评价技术导则》（HJ/T169-2018），本项目涉及的突发环境事件风险物质、临界量及Q值，见下表。</w:t>
            </w:r>
          </w:p>
          <w:p w14:paraId="4AB6A906">
            <w:pPr>
              <w:shd w:val="clear"/>
              <w:adjustRightInd w:val="0"/>
              <w:snapToGrid w:val="0"/>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表</w:t>
            </w:r>
            <w:r>
              <w:rPr>
                <w:rFonts w:hint="default" w:ascii="Times New Roman" w:hAnsi="Times New Roman" w:eastAsia="宋体" w:cs="Times New Roman"/>
                <w:b/>
                <w:bCs/>
                <w:color w:val="auto"/>
                <w:kern w:val="0"/>
                <w:highlight w:val="none"/>
                <w:lang w:val="en-US" w:eastAsia="zh-CN"/>
              </w:rPr>
              <w:t>4-</w:t>
            </w:r>
            <w:r>
              <w:rPr>
                <w:rFonts w:hint="eastAsia" w:cs="Times New Roman"/>
                <w:b/>
                <w:bCs/>
                <w:color w:val="auto"/>
                <w:kern w:val="0"/>
                <w:highlight w:val="none"/>
                <w:lang w:val="en-US" w:eastAsia="zh-CN"/>
              </w:rPr>
              <w:t>28</w:t>
            </w:r>
            <w:r>
              <w:rPr>
                <w:rFonts w:hint="default" w:ascii="Times New Roman" w:hAnsi="Times New Roman" w:eastAsia="宋体" w:cs="Times New Roman"/>
                <w:b/>
                <w:bCs/>
                <w:color w:val="auto"/>
                <w:kern w:val="0"/>
                <w:highlight w:val="none"/>
              </w:rPr>
              <w:t xml:space="preserve">  重大危险源识别一览表</w:t>
            </w:r>
          </w:p>
          <w:tbl>
            <w:tblPr>
              <w:tblStyle w:val="26"/>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93"/>
              <w:gridCol w:w="1500"/>
              <w:gridCol w:w="1086"/>
              <w:gridCol w:w="1546"/>
              <w:gridCol w:w="1997"/>
            </w:tblGrid>
            <w:tr w14:paraId="32AB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center"/>
                </w:tcPr>
                <w:p w14:paraId="53EE0CCC">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序号</w:t>
                  </w:r>
                </w:p>
              </w:tc>
              <w:tc>
                <w:tcPr>
                  <w:tcW w:w="1793" w:type="dxa"/>
                  <w:noWrap w:val="0"/>
                  <w:vAlign w:val="center"/>
                </w:tcPr>
                <w:p w14:paraId="0A6EF8ED">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名称</w:t>
                  </w:r>
                </w:p>
              </w:tc>
              <w:tc>
                <w:tcPr>
                  <w:tcW w:w="1500" w:type="dxa"/>
                  <w:noWrap w:val="0"/>
                  <w:vAlign w:val="center"/>
                </w:tcPr>
                <w:p w14:paraId="3A21DDFC">
                  <w:pPr>
                    <w:pStyle w:val="77"/>
                    <w:shd w:val="clear"/>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bCs/>
                      <w:color w:val="auto"/>
                      <w:sz w:val="21"/>
                      <w:highlight w:val="none"/>
                    </w:rPr>
                    <w:t>最大储存量/在线量/t</w:t>
                  </w:r>
                </w:p>
              </w:tc>
              <w:tc>
                <w:tcPr>
                  <w:tcW w:w="1086" w:type="dxa"/>
                  <w:noWrap w:val="0"/>
                  <w:vAlign w:val="center"/>
                </w:tcPr>
                <w:p w14:paraId="4C4F97E6">
                  <w:pPr>
                    <w:shd w:val="clear"/>
                    <w:adjustRightInd w:val="0"/>
                    <w:snapToGrid w:val="0"/>
                    <w:jc w:val="center"/>
                    <w:rPr>
                      <w:rFonts w:hint="default" w:ascii="Times New Roman" w:hAnsi="Times New Roman" w:eastAsia="宋体" w:cs="Times New Roman"/>
                      <w:b/>
                      <w:color w:val="auto"/>
                      <w:kern w:val="0"/>
                      <w:szCs w:val="21"/>
                      <w:highlight w:val="none"/>
                      <w:lang w:eastAsia="zh-CN"/>
                    </w:rPr>
                  </w:pPr>
                  <w:r>
                    <w:rPr>
                      <w:rFonts w:hint="default" w:ascii="Times New Roman" w:hAnsi="Times New Roman" w:eastAsia="宋体" w:cs="Times New Roman"/>
                      <w:b/>
                      <w:color w:val="auto"/>
                      <w:kern w:val="0"/>
                      <w:szCs w:val="21"/>
                      <w:highlight w:val="none"/>
                    </w:rPr>
                    <w:t>是否为</w:t>
                  </w:r>
                  <w:r>
                    <w:rPr>
                      <w:rFonts w:hint="default" w:ascii="Times New Roman" w:hAnsi="Times New Roman" w:eastAsia="宋体" w:cs="Times New Roman"/>
                      <w:b/>
                      <w:color w:val="auto"/>
                      <w:kern w:val="0"/>
                      <w:szCs w:val="21"/>
                      <w:highlight w:val="none"/>
                      <w:lang w:eastAsia="zh-CN"/>
                    </w:rPr>
                    <w:t>风险物质</w:t>
                  </w:r>
                </w:p>
              </w:tc>
              <w:tc>
                <w:tcPr>
                  <w:tcW w:w="1546" w:type="dxa"/>
                  <w:noWrap w:val="0"/>
                  <w:vAlign w:val="center"/>
                </w:tcPr>
                <w:p w14:paraId="638DDAED">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生产场所临界量（t）</w:t>
                  </w:r>
                </w:p>
              </w:tc>
              <w:tc>
                <w:tcPr>
                  <w:tcW w:w="1997" w:type="dxa"/>
                  <w:noWrap w:val="0"/>
                  <w:vAlign w:val="center"/>
                </w:tcPr>
                <w:p w14:paraId="17E0F969">
                  <w:pPr>
                    <w:shd w:val="clea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Q（危险物质数量与临界量比值）</w:t>
                  </w:r>
                </w:p>
              </w:tc>
            </w:tr>
            <w:tr w14:paraId="4C57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center"/>
                </w:tcPr>
                <w:p w14:paraId="1521419F">
                  <w:pPr>
                    <w:shd w:val="clea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1</w:t>
                  </w:r>
                </w:p>
              </w:tc>
              <w:tc>
                <w:tcPr>
                  <w:tcW w:w="1793" w:type="dxa"/>
                  <w:noWrap w:val="0"/>
                  <w:vAlign w:val="center"/>
                </w:tcPr>
                <w:p w14:paraId="3E6AEC30">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废机油</w:t>
                  </w:r>
                </w:p>
              </w:tc>
              <w:tc>
                <w:tcPr>
                  <w:tcW w:w="1500" w:type="dxa"/>
                  <w:noWrap w:val="0"/>
                  <w:vAlign w:val="center"/>
                </w:tcPr>
                <w:p w14:paraId="48242877">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0.2</w:t>
                  </w:r>
                </w:p>
              </w:tc>
              <w:tc>
                <w:tcPr>
                  <w:tcW w:w="1086" w:type="dxa"/>
                  <w:noWrap w:val="0"/>
                  <w:vAlign w:val="center"/>
                </w:tcPr>
                <w:p w14:paraId="5CABC67E">
                  <w:pPr>
                    <w:shd w:val="clea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是</w:t>
                  </w:r>
                </w:p>
              </w:tc>
              <w:tc>
                <w:tcPr>
                  <w:tcW w:w="1546" w:type="dxa"/>
                  <w:noWrap w:val="0"/>
                  <w:vAlign w:val="center"/>
                </w:tcPr>
                <w:p w14:paraId="1A966E1B">
                  <w:pPr>
                    <w:shd w:val="clea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2500t</w:t>
                  </w:r>
                </w:p>
              </w:tc>
              <w:tc>
                <w:tcPr>
                  <w:tcW w:w="1997" w:type="dxa"/>
                  <w:noWrap w:val="0"/>
                  <w:vAlign w:val="center"/>
                </w:tcPr>
                <w:p w14:paraId="118577C5">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0.00008</w:t>
                  </w:r>
                </w:p>
              </w:tc>
            </w:tr>
            <w:tr w14:paraId="0245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7" w:type="dxa"/>
                  <w:gridSpan w:val="5"/>
                  <w:noWrap w:val="0"/>
                  <w:vAlign w:val="center"/>
                </w:tcPr>
                <w:p w14:paraId="08B3A87C">
                  <w:pPr>
                    <w:shd w:val="clea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合计</w:t>
                  </w:r>
                </w:p>
              </w:tc>
              <w:tc>
                <w:tcPr>
                  <w:tcW w:w="1997" w:type="dxa"/>
                  <w:noWrap w:val="0"/>
                  <w:vAlign w:val="center"/>
                </w:tcPr>
                <w:p w14:paraId="59AA832E">
                  <w:pPr>
                    <w:shd w:val="clea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0.00008</w:t>
                  </w:r>
                </w:p>
              </w:tc>
            </w:tr>
          </w:tbl>
          <w:p w14:paraId="33CED815">
            <w:pPr>
              <w:keepNext w:val="0"/>
              <w:keepLines w:val="0"/>
              <w:pageBreakBefore w:val="0"/>
              <w:widowControl w:val="0"/>
              <w:shd w:val="clear"/>
              <w:kinsoku/>
              <w:wordWrap/>
              <w:overflowPunct/>
              <w:topLinePunct w:val="0"/>
              <w:bidi w:val="0"/>
              <w:adjustRightInd w:val="0"/>
              <w:snapToGrid w:val="0"/>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综上，本项目Q=0.00008</w:t>
            </w:r>
            <w:r>
              <w:rPr>
                <w:rFonts w:hint="default" w:ascii="Times New Roman" w:hAnsi="Times New Roman" w:eastAsia="宋体" w:cs="Times New Roman"/>
                <w:color w:val="auto"/>
                <w:kern w:val="1"/>
                <w:sz w:val="24"/>
                <w:highlight w:val="none"/>
              </w:rPr>
              <w:t>&lt;1</w:t>
            </w:r>
            <w:r>
              <w:rPr>
                <w:rFonts w:hint="default" w:ascii="Times New Roman" w:hAnsi="Times New Roman" w:eastAsia="宋体" w:cs="Times New Roman"/>
                <w:color w:val="auto"/>
                <w:kern w:val="1"/>
                <w:sz w:val="24"/>
                <w:highlight w:val="none"/>
                <w:lang w:eastAsia="zh-CN"/>
              </w:rPr>
              <w:t>，</w:t>
            </w:r>
            <w:r>
              <w:rPr>
                <w:rFonts w:hint="default" w:ascii="Times New Roman" w:hAnsi="Times New Roman" w:eastAsia="宋体" w:cs="Times New Roman"/>
                <w:color w:val="auto"/>
                <w:sz w:val="24"/>
                <w:highlight w:val="none"/>
                <w:lang w:eastAsia="zh-CN"/>
              </w:rPr>
              <w:t>项目环境风险潜势为I</w:t>
            </w:r>
            <w:r>
              <w:rPr>
                <w:rFonts w:hint="default" w:ascii="Times New Roman" w:hAnsi="Times New Roman" w:eastAsia="宋体" w:cs="Times New Roman"/>
                <w:color w:val="auto"/>
                <w:sz w:val="24"/>
                <w:highlight w:val="none"/>
                <w:lang w:val="en-US" w:eastAsia="zh-CN"/>
              </w:rPr>
              <w:t>，故不设专项评价。</w:t>
            </w:r>
          </w:p>
          <w:p w14:paraId="6051ABEC">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right="0" w:firstLine="482"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环境风险分析</w:t>
            </w:r>
          </w:p>
          <w:p w14:paraId="118B07C8">
            <w:pPr>
              <w:pStyle w:val="64"/>
              <w:keepNext w:val="0"/>
              <w:keepLines w:val="0"/>
              <w:pageBreakBefore w:val="0"/>
              <w:widowControl w:val="0"/>
              <w:numPr>
                <w:ilvl w:val="0"/>
                <w:numId w:val="3"/>
              </w:numPr>
              <w:shd w:val="clear"/>
              <w:tabs>
                <w:tab w:val="left" w:pos="1330"/>
              </w:tabs>
              <w:kinsoku/>
              <w:wordWrap/>
              <w:overflowPunct/>
              <w:topLinePunct w:val="0"/>
              <w:bidi w:val="0"/>
              <w:spacing w:line="360" w:lineRule="auto"/>
              <w:ind w:left="0" w:leftChars="0" w:right="0" w:firstLine="482" w:firstLineChars="200"/>
              <w:jc w:val="lef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事故源项分析</w:t>
            </w:r>
          </w:p>
          <w:p w14:paraId="27F2BBEE">
            <w:pPr>
              <w:pStyle w:val="6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rPr>
              <w:t>根据《建设项目环境风险评价技术导则》（HJ/T169-2018），</w:t>
            </w:r>
            <w:r>
              <w:rPr>
                <w:rFonts w:hint="default" w:ascii="Times New Roman" w:hAnsi="Times New Roman" w:eastAsia="宋体" w:cs="Times New Roman"/>
                <w:color w:val="auto"/>
                <w:spacing w:val="-2"/>
                <w:sz w:val="24"/>
                <w:szCs w:val="24"/>
                <w:highlight w:val="none"/>
              </w:rPr>
              <w:t>环境风险潜势为Ⅰ。本</w:t>
            </w:r>
            <w:r>
              <w:rPr>
                <w:rFonts w:hint="default" w:ascii="Times New Roman" w:hAnsi="Times New Roman" w:eastAsia="宋体" w:cs="Times New Roman"/>
                <w:color w:val="auto"/>
                <w:spacing w:val="-3"/>
                <w:sz w:val="24"/>
                <w:szCs w:val="24"/>
                <w:highlight w:val="none"/>
              </w:rPr>
              <w:t>评价主要对项目</w:t>
            </w:r>
            <w:r>
              <w:rPr>
                <w:rFonts w:hint="eastAsia" w:cs="Times New Roman"/>
                <w:color w:val="auto"/>
                <w:spacing w:val="-3"/>
                <w:sz w:val="24"/>
                <w:szCs w:val="24"/>
                <w:highlight w:val="none"/>
                <w:lang w:eastAsia="zh-CN"/>
              </w:rPr>
              <w:t>运营</w:t>
            </w:r>
            <w:r>
              <w:rPr>
                <w:rFonts w:hint="default" w:ascii="Times New Roman" w:hAnsi="Times New Roman" w:eastAsia="宋体" w:cs="Times New Roman"/>
                <w:color w:val="auto"/>
                <w:spacing w:val="-3"/>
                <w:sz w:val="24"/>
                <w:szCs w:val="24"/>
                <w:highlight w:val="none"/>
              </w:rPr>
              <w:t>期间可能存在的危险、有害因素进行分析，并对可能发生的突发性</w:t>
            </w:r>
            <w:r>
              <w:rPr>
                <w:rFonts w:hint="default" w:ascii="Times New Roman" w:hAnsi="Times New Roman" w:eastAsia="宋体" w:cs="Times New Roman"/>
                <w:color w:val="auto"/>
                <w:sz w:val="24"/>
                <w:szCs w:val="24"/>
                <w:highlight w:val="none"/>
                <w:vertAlign w:val="baseline"/>
              </w:rPr>
              <w:t>事件及事故所造成的人身安全与环境影响和损害程度，提出合理的可行的防范、应急与减缓措施。</w:t>
            </w:r>
          </w:p>
          <w:p w14:paraId="631D01BC">
            <w:pPr>
              <w:pStyle w:val="6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vertAlign w:val="baseline"/>
              </w:rPr>
              <w:t>本项目可能发生的事故主要有储油</w:t>
            </w:r>
            <w:r>
              <w:rPr>
                <w:rFonts w:hint="default" w:ascii="Times New Roman" w:hAnsi="Times New Roman" w:eastAsia="宋体" w:cs="Times New Roman"/>
                <w:color w:val="auto"/>
                <w:sz w:val="24"/>
                <w:szCs w:val="24"/>
                <w:highlight w:val="none"/>
                <w:vertAlign w:val="baseline"/>
                <w:lang w:val="en-US" w:eastAsia="zh-CN"/>
              </w:rPr>
              <w:t>桶</w:t>
            </w:r>
            <w:r>
              <w:rPr>
                <w:rFonts w:hint="default" w:ascii="Times New Roman" w:hAnsi="Times New Roman" w:eastAsia="宋体" w:cs="Times New Roman"/>
                <w:color w:val="auto"/>
                <w:sz w:val="24"/>
                <w:szCs w:val="24"/>
                <w:highlight w:val="none"/>
                <w:vertAlign w:val="baseline"/>
              </w:rPr>
              <w:t>破损</w:t>
            </w:r>
            <w:r>
              <w:rPr>
                <w:rFonts w:hint="default" w:ascii="Times New Roman" w:hAnsi="Times New Roman" w:eastAsia="宋体" w:cs="Times New Roman"/>
                <w:color w:val="auto"/>
                <w:sz w:val="24"/>
                <w:szCs w:val="24"/>
                <w:highlight w:val="none"/>
                <w:vertAlign w:val="baseline"/>
                <w:lang w:val="en-US" w:eastAsia="zh-CN"/>
              </w:rPr>
              <w:t>物料</w:t>
            </w:r>
            <w:r>
              <w:rPr>
                <w:rFonts w:hint="default" w:ascii="Times New Roman" w:hAnsi="Times New Roman" w:eastAsia="宋体" w:cs="Times New Roman"/>
                <w:color w:val="auto"/>
                <w:sz w:val="24"/>
                <w:szCs w:val="24"/>
                <w:highlight w:val="none"/>
                <w:vertAlign w:val="baseline"/>
              </w:rPr>
              <w:t>渗漏引起土壤及地下水的污染，根据风险识别，本项目主要存在的事故类型有：</w:t>
            </w:r>
          </w:p>
          <w:p w14:paraId="5BB99D3C">
            <w:pPr>
              <w:pStyle w:val="6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vertAlign w:val="baseline"/>
                <w:lang w:val="en-US" w:eastAsia="zh-CN"/>
              </w:rPr>
              <w:t>①</w:t>
            </w:r>
            <w:r>
              <w:rPr>
                <w:rFonts w:hint="default" w:ascii="Times New Roman" w:hAnsi="Times New Roman" w:eastAsia="宋体" w:cs="Times New Roman"/>
                <w:color w:val="auto"/>
                <w:sz w:val="24"/>
                <w:szCs w:val="24"/>
                <w:highlight w:val="none"/>
                <w:vertAlign w:val="baseline"/>
              </w:rPr>
              <w:t>储</w:t>
            </w:r>
            <w:r>
              <w:rPr>
                <w:rFonts w:hint="default" w:ascii="Times New Roman" w:hAnsi="Times New Roman" w:eastAsia="宋体" w:cs="Times New Roman"/>
                <w:color w:val="auto"/>
                <w:sz w:val="24"/>
                <w:szCs w:val="24"/>
                <w:highlight w:val="none"/>
                <w:vertAlign w:val="baseline"/>
                <w:lang w:val="en-US" w:eastAsia="zh-CN"/>
              </w:rPr>
              <w:t>油桶</w:t>
            </w:r>
            <w:r>
              <w:rPr>
                <w:rFonts w:hint="default" w:ascii="Times New Roman" w:hAnsi="Times New Roman" w:eastAsia="宋体" w:cs="Times New Roman"/>
                <w:color w:val="auto"/>
                <w:sz w:val="24"/>
                <w:szCs w:val="24"/>
                <w:highlight w:val="none"/>
                <w:vertAlign w:val="baseline"/>
              </w:rPr>
              <w:t>破损油品渗漏引起土壤</w:t>
            </w:r>
            <w:r>
              <w:rPr>
                <w:rFonts w:hint="default" w:ascii="Times New Roman" w:hAnsi="Times New Roman" w:eastAsia="宋体" w:cs="Times New Roman"/>
                <w:color w:val="auto"/>
                <w:sz w:val="24"/>
                <w:szCs w:val="24"/>
                <w:highlight w:val="none"/>
                <w:vertAlign w:val="baseline"/>
                <w:lang w:eastAsia="zh-CN"/>
              </w:rPr>
              <w:t>、</w:t>
            </w:r>
            <w:r>
              <w:rPr>
                <w:rFonts w:hint="default" w:ascii="Times New Roman" w:hAnsi="Times New Roman" w:eastAsia="宋体" w:cs="Times New Roman"/>
                <w:color w:val="auto"/>
                <w:sz w:val="24"/>
                <w:szCs w:val="24"/>
                <w:highlight w:val="none"/>
                <w:vertAlign w:val="baseline"/>
                <w:lang w:val="en-US" w:eastAsia="zh-CN"/>
              </w:rPr>
              <w:t>地表水</w:t>
            </w:r>
            <w:r>
              <w:rPr>
                <w:rFonts w:hint="default" w:ascii="Times New Roman" w:hAnsi="Times New Roman" w:eastAsia="宋体" w:cs="Times New Roman"/>
                <w:color w:val="auto"/>
                <w:sz w:val="24"/>
                <w:szCs w:val="24"/>
                <w:highlight w:val="none"/>
                <w:vertAlign w:val="baseline"/>
              </w:rPr>
              <w:t>及地下水的污染；</w:t>
            </w:r>
          </w:p>
          <w:p w14:paraId="0D132661">
            <w:pPr>
              <w:pStyle w:val="6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vertAlign w:val="baseline"/>
                <w:lang w:val="en-US" w:eastAsia="zh-CN"/>
              </w:rPr>
              <w:t>②</w:t>
            </w:r>
            <w:r>
              <w:rPr>
                <w:rFonts w:hint="default" w:ascii="Times New Roman" w:hAnsi="Times New Roman" w:eastAsia="宋体" w:cs="Times New Roman"/>
                <w:color w:val="auto"/>
                <w:sz w:val="24"/>
                <w:szCs w:val="24"/>
                <w:highlight w:val="none"/>
                <w:vertAlign w:val="baseline"/>
              </w:rPr>
              <w:t>油品溢出或</w:t>
            </w:r>
            <w:r>
              <w:rPr>
                <w:rFonts w:hint="default" w:ascii="Times New Roman" w:hAnsi="Times New Roman" w:eastAsia="宋体" w:cs="Times New Roman"/>
                <w:color w:val="auto"/>
                <w:spacing w:val="-1"/>
                <w:sz w:val="24"/>
                <w:szCs w:val="24"/>
                <w:highlight w:val="none"/>
              </w:rPr>
              <w:t>泄漏后遇明火发生火灾、爆炸事故；</w:t>
            </w:r>
          </w:p>
          <w:p w14:paraId="160D37A2">
            <w:pPr>
              <w:pStyle w:val="64"/>
              <w:keepNext w:val="0"/>
              <w:keepLines w:val="0"/>
              <w:pageBreakBefore w:val="0"/>
              <w:widowControl w:val="0"/>
              <w:numPr>
                <w:ilvl w:val="0"/>
                <w:numId w:val="3"/>
              </w:numPr>
              <w:shd w:val="clear"/>
              <w:tabs>
                <w:tab w:val="left" w:pos="1330"/>
              </w:tabs>
              <w:kinsoku/>
              <w:wordWrap/>
              <w:overflowPunct/>
              <w:topLinePunct w:val="0"/>
              <w:autoSpaceDE/>
              <w:autoSpaceDN/>
              <w:bidi w:val="0"/>
              <w:adjustRightInd/>
              <w:snapToGrid/>
              <w:spacing w:line="360" w:lineRule="auto"/>
              <w:ind w:left="0" w:leftChars="0" w:right="0" w:firstLine="482" w:firstLineChars="200"/>
              <w:jc w:val="lef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事故后果分析</w:t>
            </w:r>
          </w:p>
          <w:p w14:paraId="4494D30D">
            <w:pPr>
              <w:pStyle w:val="6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废机油</w:t>
            </w:r>
            <w:r>
              <w:rPr>
                <w:rFonts w:hint="default" w:ascii="Times New Roman" w:hAnsi="Times New Roman" w:eastAsia="宋体" w:cs="Times New Roman"/>
                <w:color w:val="auto"/>
                <w:sz w:val="24"/>
                <w:szCs w:val="24"/>
                <w:highlight w:val="none"/>
              </w:rPr>
              <w:t>发生火灾、爆炸事故引发的次生伴生影响主要体现在火灾或爆炸过程产生的燃烧产物和灭火过程产生的固废，燃烧产物为CO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、CO和 H</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O。</w:t>
            </w:r>
          </w:p>
          <w:p w14:paraId="4BC178B6">
            <w:pPr>
              <w:pStyle w:val="6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1）对地</w:t>
            </w:r>
            <w:r>
              <w:rPr>
                <w:rFonts w:hint="default" w:ascii="Times New Roman" w:hAnsi="Times New Roman" w:eastAsia="宋体" w:cs="Times New Roman"/>
                <w:color w:val="auto"/>
                <w:sz w:val="24"/>
                <w:szCs w:val="24"/>
                <w:highlight w:val="none"/>
                <w:vertAlign w:val="baseline"/>
              </w:rPr>
              <w:t>表水环境影响分析</w:t>
            </w:r>
          </w:p>
          <w:p w14:paraId="783D6F8F">
            <w:pPr>
              <w:pStyle w:val="6"/>
              <w:keepNext w:val="0"/>
              <w:keepLines w:val="0"/>
              <w:pageBreakBefore w:val="0"/>
              <w:widowControl w:val="0"/>
              <w:shd w:val="clear"/>
              <w:kinsoku/>
              <w:wordWrap/>
              <w:overflowPunct/>
              <w:topLinePunct w:val="0"/>
              <w:bidi w:val="0"/>
              <w:spacing w:after="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泄漏影响分析</w:t>
            </w:r>
          </w:p>
          <w:p w14:paraId="6C43A21E">
            <w:pPr>
              <w:pStyle w:val="6"/>
              <w:keepNext w:val="0"/>
              <w:keepLines w:val="0"/>
              <w:pageBreakBefore w:val="0"/>
              <w:widowControl w:val="0"/>
              <w:shd w:val="clear"/>
              <w:kinsoku/>
              <w:wordWrap/>
              <w:overflowPunct/>
              <w:topLinePunct w:val="0"/>
              <w:bidi w:val="0"/>
              <w:spacing w:after="0" w:line="360" w:lineRule="auto"/>
              <w:ind w:left="0" w:leftChars="0" w:right="0" w:firstLine="472" w:firstLineChars="200"/>
              <w:jc w:val="both"/>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2"/>
                <w:sz w:val="24"/>
                <w:szCs w:val="24"/>
                <w:highlight w:val="none"/>
              </w:rPr>
              <w:t>泄漏或渗漏的</w:t>
            </w:r>
            <w:r>
              <w:rPr>
                <w:rFonts w:hint="default" w:ascii="Times New Roman" w:hAnsi="Times New Roman" w:eastAsia="宋体" w:cs="Times New Roman"/>
                <w:color w:val="auto"/>
                <w:spacing w:val="-2"/>
                <w:sz w:val="24"/>
                <w:szCs w:val="24"/>
                <w:highlight w:val="none"/>
                <w:lang w:val="en-US" w:eastAsia="zh-CN"/>
              </w:rPr>
              <w:t>油类物质</w:t>
            </w:r>
            <w:r>
              <w:rPr>
                <w:rFonts w:hint="default" w:ascii="Times New Roman" w:hAnsi="Times New Roman" w:eastAsia="宋体" w:cs="Times New Roman"/>
                <w:color w:val="auto"/>
                <w:spacing w:val="-2"/>
                <w:sz w:val="24"/>
                <w:szCs w:val="24"/>
                <w:highlight w:val="none"/>
              </w:rPr>
              <w:t>一旦进入地表河流，将造成地表河流的污染</w:t>
            </w:r>
            <w:r>
              <w:rPr>
                <w:rFonts w:hint="default" w:ascii="Times New Roman" w:hAnsi="Times New Roman" w:eastAsia="宋体" w:cs="Times New Roman"/>
                <w:color w:val="auto"/>
                <w:spacing w:val="-3"/>
                <w:sz w:val="24"/>
                <w:szCs w:val="24"/>
                <w:highlight w:val="none"/>
              </w:rPr>
              <w:t>。污染首先将造成地表河流的景观破坏，产生严重的刺鼻性气味；其次，由于有机烃类物质难溶于水，大部分上浮在水层表面，形成一层油膜使空气隔离，造成水</w:t>
            </w:r>
            <w:r>
              <w:rPr>
                <w:rFonts w:hint="default" w:ascii="Times New Roman" w:hAnsi="Times New Roman" w:eastAsia="宋体" w:cs="Times New Roman"/>
                <w:color w:val="auto"/>
                <w:spacing w:val="-13"/>
                <w:sz w:val="24"/>
                <w:szCs w:val="24"/>
                <w:highlight w:val="none"/>
              </w:rPr>
              <w:t>中溶解氧浓度降低，逐渐形成死水，致使水中生物死亡；再次，成品油的主要成分是</w:t>
            </w:r>
            <w:r>
              <w:rPr>
                <w:rFonts w:hint="default" w:ascii="Times New Roman" w:hAnsi="Times New Roman" w:eastAsia="宋体" w:cs="Times New Roman"/>
                <w:color w:val="auto"/>
                <w:sz w:val="24"/>
                <w:szCs w:val="24"/>
                <w:highlight w:val="none"/>
              </w:rPr>
              <w:t>C4～C9的烃类、芳烃类、醇酮类以及卤代烃类有机物，一旦进入水体环境，由于可生化性较差，造成被污染水体长</w:t>
            </w:r>
            <w:r>
              <w:rPr>
                <w:rFonts w:hint="default" w:ascii="Times New Roman" w:hAnsi="Times New Roman" w:eastAsia="宋体" w:cs="Times New Roman"/>
                <w:color w:val="auto"/>
                <w:spacing w:val="-3"/>
                <w:sz w:val="24"/>
                <w:szCs w:val="24"/>
                <w:highlight w:val="none"/>
              </w:rPr>
              <w:t>时间得不到净化，完全恢复则需十几年、甚至几十年时间。</w:t>
            </w:r>
          </w:p>
          <w:p w14:paraId="392F6664">
            <w:pPr>
              <w:pStyle w:val="6"/>
              <w:keepNext w:val="0"/>
              <w:keepLines w:val="0"/>
              <w:pageBreakBefore w:val="0"/>
              <w:widowControl w:val="0"/>
              <w:shd w:val="clear"/>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lang w:val="en-US" w:eastAsia="zh-CN"/>
              </w:rPr>
              <w:t>②</w:t>
            </w:r>
            <w:r>
              <w:rPr>
                <w:rFonts w:hint="default" w:ascii="Times New Roman" w:hAnsi="Times New Roman" w:eastAsia="宋体" w:cs="Times New Roman"/>
                <w:color w:val="auto"/>
                <w:spacing w:val="-3"/>
                <w:sz w:val="24"/>
                <w:szCs w:val="24"/>
                <w:highlight w:val="none"/>
              </w:rPr>
              <w:t>火灾、爆炸影响分析</w:t>
            </w:r>
          </w:p>
          <w:p w14:paraId="18D8B711">
            <w:pPr>
              <w:pStyle w:val="6"/>
              <w:keepNext w:val="0"/>
              <w:keepLines w:val="0"/>
              <w:pageBreakBefore w:val="0"/>
              <w:widowControl w:val="0"/>
              <w:shd w:val="clear"/>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lang w:val="en-US" w:eastAsia="zh-CN"/>
              </w:rPr>
              <w:t>油类物质</w:t>
            </w:r>
            <w:r>
              <w:rPr>
                <w:rFonts w:hint="default" w:ascii="Times New Roman" w:hAnsi="Times New Roman" w:eastAsia="宋体" w:cs="Times New Roman"/>
                <w:color w:val="auto"/>
                <w:spacing w:val="-3"/>
                <w:sz w:val="24"/>
                <w:szCs w:val="24"/>
                <w:highlight w:val="none"/>
              </w:rPr>
              <w:t>燃烧、爆炸产生污染物主要为CO和CO</w:t>
            </w:r>
            <w:r>
              <w:rPr>
                <w:rFonts w:hint="default" w:ascii="Times New Roman" w:hAnsi="Times New Roman" w:eastAsia="宋体" w:cs="Times New Roman"/>
                <w:color w:val="auto"/>
                <w:spacing w:val="-3"/>
                <w:sz w:val="24"/>
                <w:szCs w:val="24"/>
                <w:highlight w:val="none"/>
                <w:vertAlign w:val="subscript"/>
              </w:rPr>
              <w:t>2</w:t>
            </w:r>
            <w:r>
              <w:rPr>
                <w:rFonts w:hint="default" w:ascii="Times New Roman" w:hAnsi="Times New Roman" w:eastAsia="宋体" w:cs="Times New Roman"/>
                <w:color w:val="auto"/>
                <w:spacing w:val="-3"/>
                <w:sz w:val="24"/>
                <w:szCs w:val="24"/>
                <w:highlight w:val="none"/>
              </w:rPr>
              <w:t>，两种物质均不溶于水。项目内布设灭火器为干粉灭火器、消防沙等，发生火灾及灭火过程中项目内不会产生废水。因此项目发生火灾、爆炸事故后对周围水环境影响不大。</w:t>
            </w:r>
          </w:p>
          <w:p w14:paraId="2A12685A">
            <w:pPr>
              <w:pStyle w:val="6"/>
              <w:keepNext w:val="0"/>
              <w:keepLines w:val="0"/>
              <w:pageBreakBefore w:val="0"/>
              <w:widowControl w:val="0"/>
              <w:shd w:val="clear"/>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lang w:val="en-US" w:eastAsia="zh-CN"/>
              </w:rPr>
              <w:t>2）</w:t>
            </w:r>
            <w:r>
              <w:rPr>
                <w:rFonts w:hint="default" w:ascii="Times New Roman" w:hAnsi="Times New Roman" w:eastAsia="宋体" w:cs="Times New Roman"/>
                <w:color w:val="auto"/>
                <w:spacing w:val="-3"/>
                <w:sz w:val="24"/>
                <w:szCs w:val="24"/>
                <w:highlight w:val="none"/>
              </w:rPr>
              <w:t>对地下水环境</w:t>
            </w:r>
            <w:r>
              <w:rPr>
                <w:rFonts w:hint="default" w:ascii="Times New Roman" w:hAnsi="Times New Roman" w:eastAsia="宋体" w:cs="Times New Roman"/>
                <w:color w:val="auto"/>
                <w:sz w:val="24"/>
                <w:szCs w:val="24"/>
                <w:highlight w:val="none"/>
              </w:rPr>
              <w:t>的影响分析</w:t>
            </w:r>
          </w:p>
          <w:p w14:paraId="30A420C7">
            <w:pPr>
              <w:pStyle w:val="6"/>
              <w:keepNext w:val="0"/>
              <w:keepLines w:val="0"/>
              <w:pageBreakBefore w:val="0"/>
              <w:widowControl w:val="0"/>
              <w:shd w:val="clear"/>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储油</w:t>
            </w:r>
            <w:r>
              <w:rPr>
                <w:rFonts w:hint="default" w:ascii="Times New Roman" w:hAnsi="Times New Roman" w:eastAsia="宋体" w:cs="Times New Roman"/>
                <w:color w:val="auto"/>
                <w:spacing w:val="-3"/>
                <w:sz w:val="24"/>
                <w:szCs w:val="24"/>
                <w:highlight w:val="none"/>
                <w:lang w:val="en-US" w:eastAsia="zh-CN"/>
              </w:rPr>
              <w:t>桶</w:t>
            </w:r>
            <w:r>
              <w:rPr>
                <w:rFonts w:hint="default" w:ascii="Times New Roman" w:hAnsi="Times New Roman" w:eastAsia="宋体" w:cs="Times New Roman"/>
                <w:color w:val="auto"/>
                <w:spacing w:val="-3"/>
                <w:sz w:val="24"/>
                <w:szCs w:val="24"/>
                <w:highlight w:val="none"/>
              </w:rPr>
              <w:t>的泄漏或渗漏对地下水的污染较为严重，地下水一旦遭到成品油的污染，将使</w:t>
            </w:r>
            <w:r>
              <w:rPr>
                <w:rFonts w:hint="default" w:ascii="Times New Roman" w:hAnsi="Times New Roman" w:eastAsia="宋体" w:cs="Times New Roman"/>
                <w:color w:val="auto"/>
                <w:spacing w:val="-5"/>
                <w:sz w:val="24"/>
                <w:szCs w:val="24"/>
                <w:highlight w:val="none"/>
              </w:rPr>
              <w:t>地下水产生严重异味，并具有较强的致畸致癌性，无法饮用，又由于这种渗漏必然穿过较</w:t>
            </w:r>
            <w:r>
              <w:rPr>
                <w:rFonts w:hint="default" w:ascii="Times New Roman" w:hAnsi="Times New Roman" w:eastAsia="宋体" w:cs="Times New Roman"/>
                <w:color w:val="auto"/>
                <w:spacing w:val="-6"/>
                <w:sz w:val="24"/>
                <w:szCs w:val="24"/>
                <w:highlight w:val="none"/>
              </w:rPr>
              <w:t>厚的土层，使土壤层中吸附有大量的</w:t>
            </w:r>
            <w:r>
              <w:rPr>
                <w:rFonts w:hint="eastAsia" w:cs="Times New Roman"/>
                <w:color w:val="auto"/>
                <w:spacing w:val="-6"/>
                <w:sz w:val="24"/>
                <w:szCs w:val="24"/>
                <w:highlight w:val="none"/>
                <w:lang w:eastAsia="zh-CN"/>
              </w:rPr>
              <w:t>燃</w:t>
            </w:r>
            <w:r>
              <w:rPr>
                <w:rFonts w:hint="default" w:ascii="Times New Roman" w:hAnsi="Times New Roman" w:eastAsia="宋体" w:cs="Times New Roman"/>
                <w:color w:val="auto"/>
                <w:spacing w:val="-6"/>
                <w:sz w:val="24"/>
                <w:szCs w:val="24"/>
                <w:highlight w:val="none"/>
              </w:rPr>
              <w:t>料，土壤层吸附的燃料油不仅会造成植物生物的死亡，而且土壤层吸附的燃料还会随着地表水的下渗对土壤层的冲刷补充到地下水，这样</w:t>
            </w:r>
            <w:r>
              <w:rPr>
                <w:rFonts w:hint="default" w:ascii="Times New Roman" w:hAnsi="Times New Roman" w:eastAsia="宋体" w:cs="Times New Roman"/>
                <w:color w:val="auto"/>
                <w:sz w:val="24"/>
                <w:szCs w:val="24"/>
                <w:highlight w:val="none"/>
              </w:rPr>
              <w:t>即便污染源得到及时控制，地下水要完全恢复也需几十年甚至上百年的时间。</w:t>
            </w:r>
          </w:p>
          <w:p w14:paraId="6B918CCA">
            <w:pPr>
              <w:pStyle w:val="6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72"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lang w:val="en-US" w:eastAsia="zh-CN"/>
              </w:rPr>
              <w:t>3）</w:t>
            </w:r>
            <w:r>
              <w:rPr>
                <w:rFonts w:hint="default" w:ascii="Times New Roman" w:hAnsi="Times New Roman" w:eastAsia="宋体" w:cs="Times New Roman"/>
                <w:color w:val="auto"/>
                <w:spacing w:val="-2"/>
                <w:sz w:val="24"/>
                <w:szCs w:val="24"/>
                <w:highlight w:val="none"/>
              </w:rPr>
              <w:t>对大气环境影响分析</w:t>
            </w:r>
          </w:p>
          <w:p w14:paraId="5595F8A8">
            <w:pPr>
              <w:pStyle w:val="6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56" w:firstLineChars="200"/>
              <w:jc w:val="left"/>
              <w:textAlignment w:val="auto"/>
              <w:rPr>
                <w:rFonts w:hint="default" w:ascii="Times New Roman" w:hAnsi="Times New Roman" w:eastAsia="宋体" w:cs="Times New Roman"/>
                <w:color w:val="auto"/>
                <w:spacing w:val="-6"/>
                <w:kern w:val="2"/>
                <w:sz w:val="24"/>
                <w:szCs w:val="24"/>
                <w:highlight w:val="none"/>
                <w:lang w:val="en-US" w:eastAsia="zh-CN" w:bidi="ar-SA"/>
              </w:rPr>
            </w:pPr>
            <w:r>
              <w:rPr>
                <w:rFonts w:hint="default" w:ascii="Times New Roman" w:hAnsi="Times New Roman" w:eastAsia="宋体" w:cs="Times New Roman"/>
                <w:color w:val="auto"/>
                <w:spacing w:val="-6"/>
                <w:kern w:val="2"/>
                <w:sz w:val="24"/>
                <w:szCs w:val="24"/>
                <w:highlight w:val="none"/>
                <w:lang w:val="en-US" w:eastAsia="zh-CN" w:bidi="ar-SA"/>
              </w:rPr>
              <w:t>①泄漏影响分析</w:t>
            </w:r>
          </w:p>
          <w:p w14:paraId="09005470">
            <w:pPr>
              <w:pStyle w:val="6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56"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kern w:val="2"/>
                <w:sz w:val="24"/>
                <w:szCs w:val="24"/>
                <w:highlight w:val="none"/>
                <w:lang w:val="en-US" w:eastAsia="zh-CN" w:bidi="ar-SA"/>
              </w:rPr>
              <w:t>根据国内外的研究，对于突发性的事故溢油，油品溢出后在地面呈不规则的面源分布，油品的挥发速度重要影响因素为油品蒸汽压、现场风速、油品溢出面积、油品蒸汽分子平均重度。本项目设</w:t>
            </w:r>
            <w:r>
              <w:rPr>
                <w:rFonts w:hint="default" w:ascii="Times New Roman" w:hAnsi="Times New Roman" w:eastAsia="宋体" w:cs="Times New Roman"/>
                <w:color w:val="auto"/>
                <w:spacing w:val="-7"/>
                <w:sz w:val="24"/>
                <w:szCs w:val="24"/>
                <w:highlight w:val="none"/>
              </w:rPr>
              <w:t>置</w:t>
            </w:r>
            <w:r>
              <w:rPr>
                <w:rFonts w:hint="default" w:ascii="Times New Roman" w:hAnsi="Times New Roman" w:eastAsia="宋体" w:cs="Times New Roman"/>
                <w:color w:val="auto"/>
                <w:spacing w:val="-7"/>
                <w:sz w:val="24"/>
                <w:szCs w:val="24"/>
                <w:highlight w:val="none"/>
                <w:lang w:val="en-US" w:eastAsia="zh-CN"/>
              </w:rPr>
              <w:t>废矿物油储存</w:t>
            </w:r>
            <w:r>
              <w:rPr>
                <w:rFonts w:hint="default" w:ascii="Times New Roman" w:hAnsi="Times New Roman" w:eastAsia="宋体" w:cs="Times New Roman"/>
                <w:color w:val="auto"/>
                <w:spacing w:val="-7"/>
                <w:sz w:val="24"/>
                <w:szCs w:val="24"/>
                <w:highlight w:val="none"/>
              </w:rPr>
              <w:t>，油品将主要通过储油区通气管非密封处挥发，不会造成大</w:t>
            </w:r>
            <w:r>
              <w:rPr>
                <w:rFonts w:hint="default" w:ascii="Times New Roman" w:hAnsi="Times New Roman" w:eastAsia="宋体" w:cs="Times New Roman"/>
                <w:color w:val="auto"/>
                <w:sz w:val="24"/>
                <w:szCs w:val="24"/>
                <w:highlight w:val="none"/>
              </w:rPr>
              <w:t>面积的扩散，对大气环境影响较小。</w:t>
            </w:r>
          </w:p>
          <w:p w14:paraId="5DCBBF50">
            <w:pPr>
              <w:pStyle w:val="6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火灾、爆炸产生的污染物对人和环境的影响分析</w:t>
            </w:r>
          </w:p>
          <w:p w14:paraId="6AA59EA6">
            <w:pPr>
              <w:pStyle w:val="64"/>
              <w:keepNext w:val="0"/>
              <w:keepLines w:val="0"/>
              <w:pageBreakBefore w:val="0"/>
              <w:widowControl w:val="0"/>
              <w:numPr>
                <w:ilvl w:val="0"/>
                <w:numId w:val="0"/>
              </w:numPr>
              <w:shd w:val="clea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矿物油</w:t>
            </w:r>
            <w:r>
              <w:rPr>
                <w:rFonts w:hint="default" w:ascii="Times New Roman" w:hAnsi="Times New Roman" w:eastAsia="宋体" w:cs="Times New Roman"/>
                <w:color w:val="auto"/>
                <w:sz w:val="24"/>
                <w:szCs w:val="24"/>
                <w:highlight w:val="none"/>
              </w:rPr>
              <w:t>为碳氢</w:t>
            </w:r>
            <w:r>
              <w:rPr>
                <w:rFonts w:hint="default" w:ascii="Times New Roman" w:hAnsi="Times New Roman" w:eastAsia="宋体" w:cs="Times New Roman"/>
                <w:color w:val="auto"/>
                <w:spacing w:val="-5"/>
                <w:sz w:val="24"/>
                <w:szCs w:val="24"/>
                <w:highlight w:val="none"/>
              </w:rPr>
              <w:t>化合物，分解产物为一氧化碳、二氧化碳及水，其中完全燃烧时产生二氧</w:t>
            </w:r>
            <w:r>
              <w:rPr>
                <w:rFonts w:hint="default" w:ascii="Times New Roman" w:hAnsi="Times New Roman" w:eastAsia="宋体" w:cs="Times New Roman"/>
                <w:color w:val="auto"/>
                <w:spacing w:val="-10"/>
                <w:sz w:val="24"/>
                <w:szCs w:val="24"/>
                <w:highlight w:val="none"/>
              </w:rPr>
              <w:t>化碳，不完全燃烧时产生</w:t>
            </w:r>
            <w:r>
              <w:rPr>
                <w:rFonts w:hint="default" w:ascii="Times New Roman" w:hAnsi="Times New Roman" w:eastAsia="宋体" w:cs="Times New Roman"/>
                <w:color w:val="auto"/>
                <w:sz w:val="24"/>
                <w:szCs w:val="24"/>
                <w:highlight w:val="none"/>
              </w:rPr>
              <w:t>CO</w:t>
            </w:r>
            <w:r>
              <w:rPr>
                <w:rFonts w:hint="default" w:ascii="Times New Roman" w:hAnsi="Times New Roman" w:eastAsia="宋体" w:cs="Times New Roman"/>
                <w:color w:val="auto"/>
                <w:spacing w:val="-27"/>
                <w:sz w:val="24"/>
                <w:szCs w:val="24"/>
                <w:highlight w:val="none"/>
              </w:rPr>
              <w:t>。</w:t>
            </w:r>
            <w:r>
              <w:rPr>
                <w:rFonts w:hint="default" w:ascii="Times New Roman" w:hAnsi="Times New Roman" w:eastAsia="宋体" w:cs="Times New Roman"/>
                <w:color w:val="auto"/>
                <w:sz w:val="24"/>
                <w:szCs w:val="24"/>
                <w:highlight w:val="none"/>
              </w:rPr>
              <w:t>CO</w:t>
            </w:r>
            <w:r>
              <w:rPr>
                <w:rFonts w:hint="default" w:ascii="Times New Roman" w:hAnsi="Times New Roman" w:eastAsia="宋体" w:cs="Times New Roman"/>
                <w:color w:val="auto"/>
                <w:spacing w:val="-6"/>
                <w:sz w:val="24"/>
                <w:szCs w:val="24"/>
                <w:highlight w:val="none"/>
              </w:rPr>
              <w:t>在大气中比较稳定，不易与其他物质产生化学反应，其</w:t>
            </w:r>
            <w:r>
              <w:rPr>
                <w:rFonts w:hint="default" w:ascii="Times New Roman" w:hAnsi="Times New Roman" w:eastAsia="宋体" w:cs="Times New Roman"/>
                <w:color w:val="auto"/>
                <w:spacing w:val="-5"/>
                <w:sz w:val="24"/>
                <w:szCs w:val="24"/>
                <w:highlight w:val="none"/>
              </w:rPr>
              <w:t>在进入大气后，由于大气的扩散稀释作用和氧化作用，一般不会造成危害，所以吸入时不为人们所察觉，是室内外空气中常见的污染物。当其浓度过高时，人在这种环境下待的时</w:t>
            </w:r>
            <w:r>
              <w:rPr>
                <w:rFonts w:hint="default" w:ascii="Times New Roman" w:hAnsi="Times New Roman" w:eastAsia="宋体" w:cs="Times New Roman"/>
                <w:color w:val="auto"/>
                <w:sz w:val="24"/>
                <w:szCs w:val="24"/>
                <w:highlight w:val="none"/>
              </w:rPr>
              <w:t>间较长，就会出现晕眩、头痛、怠倦的现象，CO对人的主要危害就是引起组织缺氧，导致急性或者慢性中毒甚至有死亡的威胁。此外，CO还可能造成听力与视力的损害，比如</w:t>
            </w:r>
            <w:r>
              <w:rPr>
                <w:rFonts w:hint="default" w:ascii="Times New Roman" w:hAnsi="Times New Roman" w:eastAsia="宋体" w:cs="Times New Roman"/>
                <w:color w:val="auto"/>
                <w:spacing w:val="-4"/>
                <w:sz w:val="24"/>
                <w:szCs w:val="24"/>
                <w:highlight w:val="none"/>
              </w:rPr>
              <w:t>视野的减小或者听力的丧失。二氧化碳对环境影响主要为温室效应。根据前面分析，项目</w:t>
            </w:r>
            <w:r>
              <w:rPr>
                <w:rFonts w:hint="default" w:ascii="Times New Roman" w:hAnsi="Times New Roman" w:eastAsia="宋体" w:cs="Times New Roman"/>
                <w:color w:val="auto"/>
                <w:spacing w:val="-6"/>
                <w:sz w:val="24"/>
                <w:szCs w:val="24"/>
                <w:highlight w:val="none"/>
              </w:rPr>
              <w:t>出现火灾、爆炸事故概率较小，排放的一氧化碳、二氧化碳经大气稀释、扩散后对周边大</w:t>
            </w:r>
            <w:r>
              <w:rPr>
                <w:rFonts w:hint="default" w:ascii="Times New Roman" w:hAnsi="Times New Roman" w:eastAsia="宋体" w:cs="Times New Roman"/>
                <w:color w:val="auto"/>
                <w:sz w:val="24"/>
                <w:szCs w:val="24"/>
                <w:highlight w:val="none"/>
              </w:rPr>
              <w:t>气环境影响较小。</w:t>
            </w:r>
          </w:p>
          <w:p w14:paraId="3C9D253E">
            <w:pPr>
              <w:keepNext w:val="0"/>
              <w:keepLines w:val="0"/>
              <w:pageBreakBefore w:val="0"/>
              <w:widowControl w:val="0"/>
              <w:shd w:val="clear"/>
              <w:kinsoku/>
              <w:wordWrap/>
              <w:overflowPunct/>
              <w:topLinePunct w:val="0"/>
              <w:autoSpaceDE w:val="0"/>
              <w:autoSpaceDN w:val="0"/>
              <w:bidi w:val="0"/>
              <w:adjustRightInd w:val="0"/>
              <w:snapToGrid w:val="0"/>
              <w:spacing w:line="360" w:lineRule="auto"/>
              <w:ind w:left="0" w:leftChars="0" w:right="0" w:firstLine="482"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5</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highlight w:val="none"/>
              </w:rPr>
              <w:t>环境风险防范措施及应急要求</w:t>
            </w:r>
          </w:p>
          <w:p w14:paraId="13DC56A0">
            <w:pPr>
              <w:pStyle w:val="77"/>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（1）风险防范措施</w:t>
            </w:r>
          </w:p>
          <w:p w14:paraId="1ACBFDC0">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1）火灾爆炸风险防范措施：</w:t>
            </w:r>
          </w:p>
          <w:p w14:paraId="32A67020">
            <w:pPr>
              <w:pStyle w:val="77"/>
              <w:keepNext w:val="0"/>
              <w:keepLines w:val="0"/>
              <w:pageBreakBefore w:val="0"/>
              <w:widowControl w:val="0"/>
              <w:numPr>
                <w:ilvl w:val="0"/>
                <w:numId w:val="0"/>
              </w:numPr>
              <w:shd w:val="clear"/>
              <w:tabs>
                <w:tab w:val="left" w:pos="94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①生产车间按规范配置灭火器材和消防装备；</w:t>
            </w:r>
          </w:p>
          <w:p w14:paraId="444DC4D5">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②在生产区域明显位置张贴禁用明火的告示，加强油类物质存放区域的巡查。</w:t>
            </w:r>
          </w:p>
          <w:p w14:paraId="506E3130">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③工作人员要熟练掌握操作技术和防火安全管理规定；</w:t>
            </w:r>
          </w:p>
          <w:p w14:paraId="7AE3D35F">
            <w:pPr>
              <w:pStyle w:val="77"/>
              <w:keepNext w:val="0"/>
              <w:keepLines w:val="0"/>
              <w:pageBreakBefore w:val="0"/>
              <w:widowControl w:val="0"/>
              <w:numPr>
                <w:ilvl w:val="0"/>
                <w:numId w:val="0"/>
              </w:numPr>
              <w:shd w:val="clear"/>
              <w:tabs>
                <w:tab w:val="left" w:pos="94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④定期检查材料存储的安全状态，以防止泄漏引发火灾、爆炸。</w:t>
            </w:r>
          </w:p>
          <w:p w14:paraId="1739BFAE">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2）危险物质泄漏防范措施</w:t>
            </w:r>
          </w:p>
          <w:p w14:paraId="5BC97AAC">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①仓库应做好防渗防腐处理，危废暂存间进行重点防渗；</w:t>
            </w:r>
          </w:p>
          <w:p w14:paraId="041E0655">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②生产车间应做好周边防护措施，如设置一定高度围堰，防范危险物质泄漏蔓延到周边区域；</w:t>
            </w:r>
          </w:p>
          <w:p w14:paraId="78AF99E2">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③定期检查危险物质存储的安全状态，检查其包装有无破损，以防止泄漏。</w:t>
            </w:r>
          </w:p>
          <w:p w14:paraId="2F143208">
            <w:pPr>
              <w:pStyle w:val="77"/>
              <w:keepNext w:val="0"/>
              <w:keepLines w:val="0"/>
              <w:pageBreakBefore w:val="0"/>
              <w:widowControl w:val="0"/>
              <w:shd w:val="clear"/>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sz w:val="24"/>
                <w:szCs w:val="24"/>
                <w:highlight w:val="none"/>
                <w:lang w:val="en-US" w:eastAsia="zh-CN"/>
              </w:rPr>
              <w:t>④</w:t>
            </w:r>
            <w:r>
              <w:rPr>
                <w:rFonts w:hint="default" w:ascii="Times New Roman" w:hAnsi="Times New Roman" w:eastAsia="宋体" w:cs="Times New Roman"/>
                <w:bCs/>
                <w:color w:val="auto"/>
                <w:sz w:val="24"/>
                <w:szCs w:val="24"/>
                <w:highlight w:val="none"/>
                <w:lang w:val="zh-CN"/>
              </w:rPr>
              <w:t>建立健全安全、环境管理体系及高效的安全生产</w:t>
            </w:r>
            <w:r>
              <w:rPr>
                <w:rFonts w:hint="eastAsia" w:cs="Times New Roman"/>
                <w:bCs/>
                <w:color w:val="auto"/>
                <w:sz w:val="24"/>
                <w:szCs w:val="24"/>
                <w:highlight w:val="none"/>
                <w:lang w:val="zh-CN"/>
              </w:rPr>
              <w:t>机制</w:t>
            </w:r>
            <w:r>
              <w:rPr>
                <w:rFonts w:hint="default" w:ascii="Times New Roman" w:hAnsi="Times New Roman" w:eastAsia="宋体" w:cs="Times New Roman"/>
                <w:bCs/>
                <w:color w:val="auto"/>
                <w:sz w:val="24"/>
                <w:szCs w:val="24"/>
                <w:highlight w:val="none"/>
                <w:lang w:val="zh-CN"/>
              </w:rPr>
              <w:t>，一旦发生事故，要做到快速、高效、安全处置。</w:t>
            </w:r>
          </w:p>
          <w:p w14:paraId="3A594B94">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zh-CN" w:eastAsia="zh-CN" w:bidi="ar-SA"/>
              </w:rPr>
            </w:pPr>
            <w:r>
              <w:rPr>
                <w:rFonts w:hint="eastAsia" w:ascii="Times New Roman" w:hAnsi="Times New Roman" w:eastAsia="宋体" w:cs="Times New Roman"/>
                <w:color w:val="auto"/>
                <w:kern w:val="2"/>
                <w:sz w:val="24"/>
                <w:szCs w:val="24"/>
                <w:highlight w:val="none"/>
                <w:lang w:val="en-US" w:eastAsia="zh-CN" w:bidi="ar-SA"/>
              </w:rPr>
              <w:t>3</w:t>
            </w:r>
            <w:r>
              <w:rPr>
                <w:rFonts w:hint="eastAsia" w:ascii="Times New Roman" w:hAnsi="Times New Roman" w:eastAsia="宋体" w:cs="Times New Roman"/>
                <w:color w:val="auto"/>
                <w:kern w:val="2"/>
                <w:sz w:val="24"/>
                <w:szCs w:val="24"/>
                <w:highlight w:val="none"/>
                <w:lang w:val="zh-CN" w:eastAsia="zh-CN" w:bidi="ar-SA"/>
              </w:rPr>
              <w:t>）</w:t>
            </w:r>
            <w:r>
              <w:rPr>
                <w:rFonts w:hint="default" w:ascii="Times New Roman" w:hAnsi="Times New Roman" w:eastAsia="宋体" w:cs="Times New Roman"/>
                <w:color w:val="auto"/>
                <w:kern w:val="2"/>
                <w:sz w:val="24"/>
                <w:szCs w:val="24"/>
                <w:highlight w:val="none"/>
                <w:lang w:val="zh-CN" w:eastAsia="zh-CN" w:bidi="ar-SA"/>
              </w:rPr>
              <w:t>地表水、地下水</w:t>
            </w:r>
            <w:r>
              <w:rPr>
                <w:rFonts w:hint="eastAsia" w:ascii="Times New Roman" w:hAnsi="Times New Roman" w:eastAsia="宋体" w:cs="Times New Roman"/>
                <w:color w:val="auto"/>
                <w:kern w:val="2"/>
                <w:sz w:val="24"/>
                <w:szCs w:val="24"/>
                <w:highlight w:val="none"/>
                <w:lang w:val="zh-CN" w:eastAsia="zh-CN" w:bidi="ar-SA"/>
              </w:rPr>
              <w:t>、土壤</w:t>
            </w:r>
            <w:r>
              <w:rPr>
                <w:rFonts w:hint="default" w:ascii="Times New Roman" w:hAnsi="Times New Roman" w:eastAsia="宋体" w:cs="Times New Roman"/>
                <w:color w:val="auto"/>
                <w:kern w:val="2"/>
                <w:sz w:val="24"/>
                <w:szCs w:val="24"/>
                <w:highlight w:val="none"/>
                <w:lang w:val="zh-CN" w:eastAsia="zh-CN" w:bidi="ar-SA"/>
              </w:rPr>
              <w:t>环境风险防范措施</w:t>
            </w:r>
          </w:p>
          <w:p w14:paraId="01EC2614">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color w:val="auto"/>
                <w:kern w:val="2"/>
                <w:sz w:val="24"/>
                <w:szCs w:val="24"/>
                <w:highlight w:val="none"/>
                <w:lang w:val="zh-CN" w:eastAsia="zh-CN" w:bidi="ar-SA"/>
              </w:rPr>
              <w:t>①危废暂存间设置应严格按照《危险废物贮存污染控制标准》（GB18597-2023）的相关要求，做好防雨、防渗，防止二次污染，各危险废物根据处理单位要求进行分类收集</w:t>
            </w:r>
            <w:r>
              <w:rPr>
                <w:rFonts w:hint="eastAsia" w:ascii="Times New Roman" w:hAnsi="Times New Roman" w:eastAsia="宋体" w:cs="Times New Roman"/>
                <w:color w:val="auto"/>
                <w:kern w:val="2"/>
                <w:sz w:val="24"/>
                <w:szCs w:val="24"/>
                <w:highlight w:val="none"/>
                <w:lang w:val="zh-CN" w:eastAsia="zh-CN" w:bidi="ar-SA"/>
              </w:rPr>
              <w:t>；</w:t>
            </w:r>
          </w:p>
          <w:p w14:paraId="6F89AC9D">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zh-CN" w:eastAsia="zh-CN" w:bidi="ar-SA"/>
              </w:rPr>
              <w:t>②安排专人定期对暂存容器等进行检查</w:t>
            </w:r>
            <w:r>
              <w:rPr>
                <w:rFonts w:hint="default" w:ascii="Times New Roman" w:hAnsi="Times New Roman" w:eastAsia="宋体" w:cs="Times New Roman"/>
                <w:color w:val="auto"/>
                <w:kern w:val="2"/>
                <w:sz w:val="24"/>
                <w:szCs w:val="24"/>
                <w:highlight w:val="none"/>
                <w:lang w:val="en-US" w:eastAsia="zh-CN" w:bidi="ar-SA"/>
              </w:rPr>
              <w:t>并做好巡检记录及时发现事故隐患并迅速</w:t>
            </w:r>
            <w:r>
              <w:rPr>
                <w:rFonts w:hint="eastAsia" w:cs="Times New Roman"/>
                <w:color w:val="auto"/>
                <w:kern w:val="2"/>
                <w:sz w:val="24"/>
                <w:szCs w:val="24"/>
                <w:highlight w:val="none"/>
                <w:lang w:val="en-US" w:eastAsia="zh-CN" w:bidi="ar-SA"/>
              </w:rPr>
              <w:t>予以</w:t>
            </w:r>
            <w:r>
              <w:rPr>
                <w:rFonts w:hint="default" w:ascii="Times New Roman" w:hAnsi="Times New Roman" w:eastAsia="宋体" w:cs="Times New Roman"/>
                <w:color w:val="auto"/>
                <w:kern w:val="2"/>
                <w:sz w:val="24"/>
                <w:szCs w:val="24"/>
                <w:highlight w:val="none"/>
                <w:lang w:val="en-US" w:eastAsia="zh-CN" w:bidi="ar-SA"/>
              </w:rPr>
              <w:t>消除</w:t>
            </w:r>
            <w:r>
              <w:rPr>
                <w:rFonts w:hint="eastAsia" w:ascii="Times New Roman" w:hAnsi="Times New Roman" w:eastAsia="宋体" w:cs="Times New Roman"/>
                <w:color w:val="auto"/>
                <w:kern w:val="2"/>
                <w:sz w:val="24"/>
                <w:szCs w:val="24"/>
                <w:highlight w:val="none"/>
                <w:lang w:val="en-US" w:eastAsia="zh-CN" w:bidi="ar-SA"/>
              </w:rPr>
              <w:t>；</w:t>
            </w:r>
          </w:p>
          <w:p w14:paraId="3C5D96DD">
            <w:pPr>
              <w:keepNext w:val="0"/>
              <w:keepLines w:val="0"/>
              <w:pageBreakBefore w:val="0"/>
              <w:widowControl w:val="0"/>
              <w:shd w:val="clear"/>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③加强对危废管理，定期检查收纳容器，与有资质单位签订协议，确保危废能得到妥善处置，建立台账制度。</w:t>
            </w:r>
          </w:p>
          <w:p w14:paraId="2C2F0A62">
            <w:pPr>
              <w:pStyle w:val="77"/>
              <w:keepNext w:val="0"/>
              <w:keepLines w:val="0"/>
              <w:pageBreakBefore w:val="0"/>
              <w:widowControl w:val="0"/>
              <w:shd w:val="clear"/>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（2）应急要求</w:t>
            </w:r>
          </w:p>
          <w:p w14:paraId="028A22F8">
            <w:pPr>
              <w:pStyle w:val="6"/>
              <w:keepNext w:val="0"/>
              <w:keepLines w:val="0"/>
              <w:pageBreakBefore w:val="0"/>
              <w:widowControl w:val="0"/>
              <w:shd w:val="clear"/>
              <w:kinsoku/>
              <w:wordWrap/>
              <w:overflowPunct/>
              <w:topLinePunct w:val="0"/>
              <w:autoSpaceDE/>
              <w:autoSpaceDN/>
              <w:bidi w:val="0"/>
              <w:adjustRightInd/>
              <w:spacing w:after="0" w:line="360" w:lineRule="auto"/>
              <w:ind w:left="0" w:leftChars="0" w:right="0" w:firstLine="468" w:firstLineChars="200"/>
              <w:textAlignment w:val="auto"/>
              <w:rPr>
                <w:rFonts w:hint="default" w:ascii="Times New Roman" w:hAnsi="Times New Roman" w:eastAsia="宋体" w:cs="Times New Roman"/>
                <w:color w:val="auto"/>
                <w:kern w:val="0"/>
                <w:sz w:val="24"/>
                <w:highlight w:val="none"/>
                <w:lang w:bidi="en-US"/>
              </w:rPr>
            </w:pPr>
            <w:r>
              <w:rPr>
                <w:rFonts w:hint="default" w:ascii="Times New Roman" w:hAnsi="Times New Roman" w:eastAsia="宋体" w:cs="Times New Roman"/>
                <w:color w:val="auto"/>
                <w:spacing w:val="-3"/>
                <w:sz w:val="24"/>
                <w:highlight w:val="none"/>
              </w:rPr>
              <w:t>企业应按国家有关规定要求，编制突发环境事故应急预案，并经当地生态环境行政主</w:t>
            </w:r>
            <w:r>
              <w:rPr>
                <w:rFonts w:hint="default" w:ascii="Times New Roman" w:hAnsi="Times New Roman" w:eastAsia="宋体" w:cs="Times New Roman"/>
                <w:color w:val="auto"/>
                <w:spacing w:val="-13"/>
                <w:sz w:val="24"/>
                <w:highlight w:val="none"/>
              </w:rPr>
              <w:t>管部门审查备案。当发生环境风险事故时，按应急预案要求，认真落实各项事故应急措施，</w:t>
            </w:r>
            <w:r>
              <w:rPr>
                <w:rFonts w:hint="default" w:ascii="Times New Roman" w:hAnsi="Times New Roman" w:eastAsia="宋体" w:cs="Times New Roman"/>
                <w:color w:val="auto"/>
                <w:sz w:val="24"/>
                <w:highlight w:val="none"/>
              </w:rPr>
              <w:t>做到责任到位、落实到人、常备不懈。</w:t>
            </w:r>
          </w:p>
          <w:p w14:paraId="1B1C0E74">
            <w:pPr>
              <w:keepNext w:val="0"/>
              <w:keepLines w:val="0"/>
              <w:pageBreakBefore w:val="0"/>
              <w:widowControl w:val="0"/>
              <w:shd w:val="clear"/>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eastAsia="zh-CN"/>
              </w:rPr>
              <w:t>结论</w:t>
            </w:r>
          </w:p>
          <w:p w14:paraId="084BF9B5">
            <w:pPr>
              <w:keepNext w:val="0"/>
              <w:keepLines w:val="0"/>
              <w:pageBreakBefore w:val="0"/>
              <w:widowControl w:val="0"/>
              <w:shd w:val="clear"/>
              <w:kinsoku/>
              <w:wordWrap/>
              <w:overflowPunct/>
              <w:topLinePunct w:val="0"/>
              <w:autoSpaceDE/>
              <w:autoSpaceDN/>
              <w:bidi w:val="0"/>
              <w:adjustRightInd w:val="0"/>
              <w:snapToGrid w:val="0"/>
              <w:spacing w:line="360" w:lineRule="auto"/>
              <w:ind w:leftChars="0" w:right="0" w:firstLine="480" w:firstLineChars="200"/>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综上分析，通过采用严格的防火设计标准、加强原辅料储存管理、严格按有关规章制度进行生产操作等措施后，火灾发生的可能性很小。制定风险应急预案，一旦发生事故将可迅速响应，采取措施将影响降到最小。项目环境风险在可接受范围内，且采取措施后风险可控。</w:t>
            </w:r>
          </w:p>
          <w:p w14:paraId="60DAA440">
            <w:pPr>
              <w:keepNext w:val="0"/>
              <w:keepLines w:val="0"/>
              <w:pageBreakBefore w:val="0"/>
              <w:widowControl w:val="0"/>
              <w:shd w:val="clear"/>
              <w:kinsoku/>
              <w:wordWrap/>
              <w:overflowPunct/>
              <w:topLinePunct w:val="0"/>
              <w:bidi w:val="0"/>
              <w:adjustRightInd w:val="0"/>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综上所述，本项目风险处于完全可接受的水平，其风险管理措施有效、可靠，从防范风险角度分析是可行的</w:t>
            </w:r>
            <w:r>
              <w:rPr>
                <w:rFonts w:hint="default" w:ascii="Times New Roman" w:hAnsi="Times New Roman" w:eastAsia="宋体" w:cs="Times New Roman"/>
                <w:color w:val="auto"/>
                <w:sz w:val="24"/>
                <w:szCs w:val="24"/>
                <w:highlight w:val="none"/>
              </w:rPr>
              <w:t>。</w:t>
            </w:r>
          </w:p>
          <w:p w14:paraId="064622F4">
            <w:pPr>
              <w:adjustRightInd w:val="0"/>
              <w:spacing w:line="360" w:lineRule="auto"/>
              <w:ind w:firstLine="480" w:firstLineChars="200"/>
              <w:rPr>
                <w:rFonts w:hint="eastAsia"/>
                <w:b/>
                <w:bCs/>
                <w:color w:val="auto"/>
                <w:szCs w:val="21"/>
              </w:rPr>
            </w:pPr>
            <w:r>
              <w:rPr>
                <w:color w:val="auto"/>
                <w:sz w:val="24"/>
                <w:szCs w:val="28"/>
              </w:rPr>
              <w:t>项目环境风险简单分析内容见表</w:t>
            </w:r>
            <w:r>
              <w:rPr>
                <w:rFonts w:hint="eastAsia"/>
                <w:color w:val="auto"/>
                <w:sz w:val="24"/>
                <w:szCs w:val="28"/>
              </w:rPr>
              <w:t>4</w:t>
            </w:r>
            <w:r>
              <w:rPr>
                <w:color w:val="auto"/>
                <w:sz w:val="24"/>
                <w:szCs w:val="28"/>
              </w:rPr>
              <w:t>-</w:t>
            </w:r>
            <w:r>
              <w:rPr>
                <w:rFonts w:hint="eastAsia"/>
                <w:color w:val="auto"/>
                <w:sz w:val="24"/>
                <w:szCs w:val="28"/>
                <w:lang w:val="en-US" w:eastAsia="zh-CN"/>
              </w:rPr>
              <w:t>29</w:t>
            </w:r>
            <w:r>
              <w:rPr>
                <w:color w:val="auto"/>
                <w:sz w:val="24"/>
                <w:szCs w:val="28"/>
              </w:rPr>
              <w:t>所示。</w:t>
            </w:r>
          </w:p>
          <w:p w14:paraId="16EA8DC5">
            <w:pPr>
              <w:adjustRightInd w:val="0"/>
              <w:snapToGrid w:val="0"/>
              <w:jc w:val="center"/>
              <w:rPr>
                <w:b/>
                <w:bCs/>
                <w:color w:val="auto"/>
                <w:szCs w:val="21"/>
              </w:rPr>
            </w:pPr>
            <w:r>
              <w:rPr>
                <w:rFonts w:hint="eastAsia"/>
                <w:b/>
                <w:bCs/>
                <w:color w:val="auto"/>
                <w:szCs w:val="21"/>
              </w:rPr>
              <w:t>表4-</w:t>
            </w:r>
            <w:r>
              <w:rPr>
                <w:rFonts w:hint="eastAsia"/>
                <w:b/>
                <w:bCs/>
                <w:color w:val="auto"/>
                <w:szCs w:val="21"/>
                <w:lang w:val="en-US" w:eastAsia="zh-CN"/>
              </w:rPr>
              <w:t xml:space="preserve">29 </w:t>
            </w:r>
            <w:r>
              <w:rPr>
                <w:rFonts w:hint="eastAsia"/>
                <w:b/>
                <w:bCs/>
                <w:color w:val="auto"/>
                <w:szCs w:val="21"/>
              </w:rPr>
              <w:t xml:space="preserve"> 建设项目环境风险简单分析内容表</w:t>
            </w:r>
          </w:p>
          <w:tbl>
            <w:tblPr>
              <w:tblStyle w:val="26"/>
              <w:tblW w:w="8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954"/>
              <w:gridCol w:w="1735"/>
              <w:gridCol w:w="1670"/>
              <w:gridCol w:w="2061"/>
            </w:tblGrid>
            <w:tr w14:paraId="7911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14:paraId="5B20930B">
                  <w:pPr>
                    <w:adjustRightInd w:val="0"/>
                    <w:snapToGrid w:val="0"/>
                    <w:jc w:val="center"/>
                    <w:rPr>
                      <w:color w:val="auto"/>
                    </w:rPr>
                  </w:pPr>
                  <w:r>
                    <w:rPr>
                      <w:color w:val="auto"/>
                    </w:rPr>
                    <w:t>建设项目名称</w:t>
                  </w:r>
                </w:p>
              </w:tc>
              <w:tc>
                <w:tcPr>
                  <w:tcW w:w="6420" w:type="dxa"/>
                  <w:gridSpan w:val="4"/>
                  <w:tcBorders>
                    <w:top w:val="single" w:color="auto" w:sz="4" w:space="0"/>
                    <w:left w:val="single" w:color="auto" w:sz="4" w:space="0"/>
                    <w:bottom w:val="single" w:color="auto" w:sz="4" w:space="0"/>
                    <w:right w:val="single" w:color="auto" w:sz="4" w:space="0"/>
                  </w:tcBorders>
                  <w:vAlign w:val="center"/>
                </w:tcPr>
                <w:p w14:paraId="0139F4F1">
                  <w:pPr>
                    <w:adjustRightInd w:val="0"/>
                    <w:snapToGrid w:val="0"/>
                    <w:jc w:val="center"/>
                    <w:rPr>
                      <w:rFonts w:ascii="Times New Roman" w:hAnsi="Times New Roman" w:eastAsia="宋体" w:cs="Times New Roman"/>
                      <w:color w:val="auto"/>
                    </w:rPr>
                  </w:pPr>
                  <w:r>
                    <w:rPr>
                      <w:rFonts w:hint="default" w:ascii="Times New Roman" w:hAnsi="Times New Roman" w:eastAsia="宋体" w:cs="Times New Roman"/>
                      <w:color w:val="auto"/>
                      <w:lang w:val="en-US" w:eastAsia="zh-CN"/>
                    </w:rPr>
                    <w:t>昆明滇皖建材有限公司新型墙体材料新建项目</w:t>
                  </w:r>
                </w:p>
              </w:tc>
            </w:tr>
            <w:tr w14:paraId="2B90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14:paraId="668DC6A8">
                  <w:pPr>
                    <w:adjustRightInd w:val="0"/>
                    <w:snapToGrid w:val="0"/>
                    <w:jc w:val="center"/>
                    <w:rPr>
                      <w:color w:val="auto"/>
                    </w:rPr>
                  </w:pPr>
                  <w:r>
                    <w:rPr>
                      <w:color w:val="auto"/>
                    </w:rPr>
                    <w:t>建设地点</w:t>
                  </w:r>
                </w:p>
              </w:tc>
              <w:tc>
                <w:tcPr>
                  <w:tcW w:w="6420" w:type="dxa"/>
                  <w:gridSpan w:val="4"/>
                  <w:tcBorders>
                    <w:top w:val="single" w:color="auto" w:sz="4" w:space="0"/>
                    <w:left w:val="single" w:color="auto" w:sz="4" w:space="0"/>
                    <w:bottom w:val="single" w:color="auto" w:sz="4" w:space="0"/>
                    <w:right w:val="single" w:color="auto" w:sz="4" w:space="0"/>
                  </w:tcBorders>
                  <w:vAlign w:val="center"/>
                </w:tcPr>
                <w:p w14:paraId="0454D775">
                  <w:pPr>
                    <w:adjustRightInd w:val="0"/>
                    <w:snapToGrid w:val="0"/>
                    <w:jc w:val="center"/>
                    <w:rPr>
                      <w:color w:val="auto"/>
                    </w:rPr>
                  </w:pPr>
                  <w:r>
                    <w:rPr>
                      <w:rFonts w:hint="default" w:ascii="Times New Roman" w:hAnsi="Times New Roman" w:eastAsia="宋体" w:cs="Times New Roman"/>
                      <w:color w:val="auto"/>
                      <w:lang w:val="en-US" w:eastAsia="zh-CN"/>
                    </w:rPr>
                    <w:t>云南寻甸产业园区金所片区金所组团</w:t>
                  </w:r>
                  <w:r>
                    <w:rPr>
                      <w:rFonts w:hint="eastAsia" w:ascii="Times New Roman" w:hAnsi="Times New Roman" w:eastAsia="宋体" w:cs="Times New Roman"/>
                      <w:color w:val="auto"/>
                      <w:lang w:val="en-US" w:eastAsia="zh-CN"/>
                    </w:rPr>
                    <w:t>绿色建材产业区</w:t>
                  </w:r>
                </w:p>
              </w:tc>
            </w:tr>
            <w:tr w14:paraId="1353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14:paraId="4F3FDFDB">
                  <w:pPr>
                    <w:adjustRightInd w:val="0"/>
                    <w:snapToGrid w:val="0"/>
                    <w:jc w:val="center"/>
                    <w:rPr>
                      <w:color w:val="auto"/>
                    </w:rPr>
                  </w:pPr>
                  <w:r>
                    <w:rPr>
                      <w:color w:val="auto"/>
                    </w:rPr>
                    <w:t>地理坐标</w:t>
                  </w:r>
                </w:p>
              </w:tc>
              <w:tc>
                <w:tcPr>
                  <w:tcW w:w="954" w:type="dxa"/>
                  <w:tcBorders>
                    <w:top w:val="single" w:color="auto" w:sz="4" w:space="0"/>
                    <w:left w:val="single" w:color="auto" w:sz="4" w:space="0"/>
                    <w:bottom w:val="single" w:color="auto" w:sz="4" w:space="0"/>
                    <w:right w:val="single" w:color="auto" w:sz="4" w:space="0"/>
                  </w:tcBorders>
                  <w:vAlign w:val="center"/>
                </w:tcPr>
                <w:p w14:paraId="04B360E4">
                  <w:pPr>
                    <w:adjustRightInd w:val="0"/>
                    <w:snapToGrid w:val="0"/>
                    <w:jc w:val="center"/>
                    <w:rPr>
                      <w:color w:val="auto"/>
                    </w:rPr>
                  </w:pPr>
                  <w:r>
                    <w:rPr>
                      <w:color w:val="auto"/>
                    </w:rPr>
                    <w:t>经度</w:t>
                  </w:r>
                </w:p>
              </w:tc>
              <w:tc>
                <w:tcPr>
                  <w:tcW w:w="1735" w:type="dxa"/>
                  <w:tcBorders>
                    <w:top w:val="single" w:color="auto" w:sz="4" w:space="0"/>
                    <w:left w:val="single" w:color="auto" w:sz="4" w:space="0"/>
                    <w:bottom w:val="single" w:color="auto" w:sz="4" w:space="0"/>
                    <w:right w:val="single" w:color="auto" w:sz="4" w:space="0"/>
                  </w:tcBorders>
                  <w:vAlign w:val="center"/>
                </w:tcPr>
                <w:p w14:paraId="06104BCC">
                  <w:pPr>
                    <w:adjustRightInd w:val="0"/>
                    <w:snapToGrid w:val="0"/>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103</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12</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45.745</w:t>
                  </w:r>
                  <w:r>
                    <w:rPr>
                      <w:rFonts w:hint="default" w:ascii="Times New Roman" w:hAnsi="Times New Roman" w:eastAsia="宋体" w:cs="Times New Roman"/>
                      <w:color w:val="auto"/>
                      <w:lang w:val="en-US" w:eastAsia="zh-CN"/>
                    </w:rPr>
                    <w:t>″</w:t>
                  </w:r>
                </w:p>
              </w:tc>
              <w:tc>
                <w:tcPr>
                  <w:tcW w:w="1670" w:type="dxa"/>
                  <w:tcBorders>
                    <w:top w:val="single" w:color="auto" w:sz="4" w:space="0"/>
                    <w:left w:val="single" w:color="auto" w:sz="4" w:space="0"/>
                    <w:bottom w:val="single" w:color="auto" w:sz="4" w:space="0"/>
                    <w:right w:val="single" w:color="auto" w:sz="4" w:space="0"/>
                  </w:tcBorders>
                  <w:vAlign w:val="center"/>
                </w:tcPr>
                <w:p w14:paraId="2BD1DC28">
                  <w:pPr>
                    <w:adjustRightInd w:val="0"/>
                    <w:snapToGrid w:val="0"/>
                    <w:jc w:val="center"/>
                    <w:rPr>
                      <w:rFonts w:ascii="Times New Roman" w:hAnsi="Times New Roman" w:eastAsia="宋体" w:cs="Times New Roman"/>
                      <w:color w:val="auto"/>
                    </w:rPr>
                  </w:pPr>
                  <w:r>
                    <w:rPr>
                      <w:rFonts w:ascii="Times New Roman" w:hAnsi="Times New Roman" w:eastAsia="宋体" w:cs="Times New Roman"/>
                      <w:color w:val="auto"/>
                    </w:rPr>
                    <w:t>纬度</w:t>
                  </w:r>
                </w:p>
              </w:tc>
              <w:tc>
                <w:tcPr>
                  <w:tcW w:w="2061" w:type="dxa"/>
                  <w:tcBorders>
                    <w:top w:val="single" w:color="auto" w:sz="4" w:space="0"/>
                    <w:left w:val="single" w:color="auto" w:sz="4" w:space="0"/>
                    <w:bottom w:val="single" w:color="auto" w:sz="4" w:space="0"/>
                    <w:right w:val="single" w:color="auto" w:sz="4" w:space="0"/>
                  </w:tcBorders>
                  <w:vAlign w:val="center"/>
                </w:tcPr>
                <w:p w14:paraId="7665FBB3">
                  <w:pPr>
                    <w:adjustRightInd w:val="0"/>
                    <w:snapToGrid w:val="0"/>
                    <w:jc w:val="center"/>
                    <w:rPr>
                      <w:rFonts w:ascii="Times New Roman" w:hAnsi="Times New Roman" w:eastAsia="宋体" w:cs="Times New Roman"/>
                      <w:color w:val="auto"/>
                    </w:rPr>
                  </w:pPr>
                  <w:r>
                    <w:rPr>
                      <w:rFonts w:hint="default" w:ascii="Times New Roman" w:hAnsi="Times New Roman" w:eastAsia="宋体" w:cs="Times New Roman"/>
                      <w:color w:val="auto"/>
                      <w:lang w:val="en-US" w:eastAsia="zh-CN"/>
                    </w:rPr>
                    <w:t>25°</w:t>
                  </w:r>
                  <w:r>
                    <w:rPr>
                      <w:rFonts w:hint="eastAsia" w:ascii="Times New Roman" w:hAnsi="Times New Roman" w:eastAsia="宋体" w:cs="Times New Roman"/>
                      <w:color w:val="auto"/>
                      <w:lang w:val="en-US" w:eastAsia="zh-CN"/>
                    </w:rPr>
                    <w:t>34</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51.945</w:t>
                  </w:r>
                  <w:r>
                    <w:rPr>
                      <w:rFonts w:hint="default" w:ascii="Times New Roman" w:hAnsi="Times New Roman" w:eastAsia="宋体" w:cs="Times New Roman"/>
                      <w:color w:val="auto"/>
                      <w:lang w:val="en-US" w:eastAsia="zh-CN"/>
                    </w:rPr>
                    <w:t>″</w:t>
                  </w:r>
                </w:p>
              </w:tc>
            </w:tr>
            <w:tr w14:paraId="35C3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14:paraId="47557B0E">
                  <w:pPr>
                    <w:adjustRightInd w:val="0"/>
                    <w:snapToGrid w:val="0"/>
                    <w:jc w:val="center"/>
                    <w:rPr>
                      <w:color w:val="auto"/>
                    </w:rPr>
                  </w:pPr>
                  <w:r>
                    <w:rPr>
                      <w:color w:val="auto"/>
                    </w:rPr>
                    <w:t>主要危险物质及分布</w:t>
                  </w:r>
                </w:p>
              </w:tc>
              <w:tc>
                <w:tcPr>
                  <w:tcW w:w="6420" w:type="dxa"/>
                  <w:gridSpan w:val="4"/>
                  <w:tcBorders>
                    <w:top w:val="single" w:color="auto" w:sz="4" w:space="0"/>
                    <w:left w:val="single" w:color="auto" w:sz="4" w:space="0"/>
                    <w:bottom w:val="single" w:color="auto" w:sz="4" w:space="0"/>
                    <w:right w:val="single" w:color="auto" w:sz="4" w:space="0"/>
                  </w:tcBorders>
                  <w:vAlign w:val="center"/>
                </w:tcPr>
                <w:p w14:paraId="143C384E">
                  <w:pPr>
                    <w:adjustRightInd w:val="0"/>
                    <w:snapToGrid w:val="0"/>
                    <w:jc w:val="left"/>
                    <w:rPr>
                      <w:color w:val="auto"/>
                    </w:rPr>
                  </w:pPr>
                  <w:r>
                    <w:rPr>
                      <w:color w:val="auto"/>
                    </w:rPr>
                    <w:t>废机油—危废暂存间；</w:t>
                  </w:r>
                </w:p>
              </w:tc>
            </w:tr>
            <w:tr w14:paraId="036C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14:paraId="188F39D1">
                  <w:pPr>
                    <w:adjustRightInd w:val="0"/>
                    <w:snapToGrid w:val="0"/>
                    <w:jc w:val="center"/>
                    <w:rPr>
                      <w:color w:val="auto"/>
                    </w:rPr>
                  </w:pPr>
                  <w:r>
                    <w:rPr>
                      <w:color w:val="auto"/>
                    </w:rPr>
                    <w:t>环境影响途径及危害后果（大气、地表水、地下水等）</w:t>
                  </w:r>
                </w:p>
              </w:tc>
              <w:tc>
                <w:tcPr>
                  <w:tcW w:w="6420" w:type="dxa"/>
                  <w:gridSpan w:val="4"/>
                  <w:tcBorders>
                    <w:top w:val="single" w:color="auto" w:sz="4" w:space="0"/>
                    <w:left w:val="single" w:color="auto" w:sz="4" w:space="0"/>
                    <w:bottom w:val="single" w:color="auto" w:sz="4" w:space="0"/>
                    <w:right w:val="single" w:color="auto" w:sz="4" w:space="0"/>
                  </w:tcBorders>
                  <w:vAlign w:val="center"/>
                </w:tcPr>
                <w:p w14:paraId="5DACAE5F">
                  <w:pPr>
                    <w:adjustRightInd w:val="0"/>
                    <w:spacing w:line="360" w:lineRule="auto"/>
                    <w:rPr>
                      <w:color w:val="auto"/>
                    </w:rPr>
                  </w:pPr>
                  <w:r>
                    <w:rPr>
                      <w:color w:val="auto"/>
                    </w:rPr>
                    <w:t>废机油</w:t>
                  </w:r>
                  <w:r>
                    <w:rPr>
                      <w:rFonts w:hint="eastAsia"/>
                      <w:color w:val="auto"/>
                      <w:lang w:eastAsia="zh-CN"/>
                    </w:rPr>
                    <w:t>泄漏</w:t>
                  </w:r>
                  <w:r>
                    <w:rPr>
                      <w:color w:val="auto"/>
                    </w:rPr>
                    <w:t>：地下水环境、地表水、土壤环境污染；</w:t>
                  </w:r>
                </w:p>
                <w:p w14:paraId="64EEFCFE">
                  <w:pPr>
                    <w:jc w:val="left"/>
                    <w:rPr>
                      <w:color w:val="auto"/>
                    </w:rPr>
                  </w:pPr>
                  <w:r>
                    <w:rPr>
                      <w:rFonts w:hint="eastAsia"/>
                      <w:color w:val="auto"/>
                    </w:rPr>
                    <w:t>火灾爆炸产生的次生污染物：大气环境污染；</w:t>
                  </w:r>
                </w:p>
              </w:tc>
            </w:tr>
            <w:tr w14:paraId="69DB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14:paraId="0BBAABCE">
                  <w:pPr>
                    <w:adjustRightInd w:val="0"/>
                    <w:snapToGrid w:val="0"/>
                    <w:jc w:val="center"/>
                    <w:rPr>
                      <w:color w:val="auto"/>
                    </w:rPr>
                  </w:pPr>
                  <w:r>
                    <w:rPr>
                      <w:color w:val="auto"/>
                    </w:rPr>
                    <w:t>风险防范措施要求</w:t>
                  </w:r>
                </w:p>
              </w:tc>
              <w:tc>
                <w:tcPr>
                  <w:tcW w:w="6420" w:type="dxa"/>
                  <w:gridSpan w:val="4"/>
                  <w:tcBorders>
                    <w:top w:val="single" w:color="auto" w:sz="4" w:space="0"/>
                    <w:left w:val="single" w:color="auto" w:sz="4" w:space="0"/>
                    <w:bottom w:val="single" w:color="auto" w:sz="4" w:space="0"/>
                    <w:right w:val="single" w:color="auto" w:sz="4" w:space="0"/>
                  </w:tcBorders>
                  <w:vAlign w:val="center"/>
                </w:tcPr>
                <w:p w14:paraId="361F9D7C">
                  <w:pPr>
                    <w:adjustRightInd w:val="0"/>
                    <w:spacing w:line="360" w:lineRule="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（1）风险防范措施</w:t>
                  </w:r>
                </w:p>
                <w:p w14:paraId="11C0D7B5">
                  <w:pPr>
                    <w:adjustRightInd w:val="0"/>
                    <w:spacing w:line="360" w:lineRule="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1）火灾爆炸风险防范措施：</w:t>
                  </w:r>
                </w:p>
                <w:p w14:paraId="5E8E0EF2">
                  <w:pPr>
                    <w:adjustRightInd w:val="0"/>
                    <w:spacing w:line="360" w:lineRule="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①生产车间按规范配置灭火器材和消防装备；</w:t>
                  </w:r>
                </w:p>
                <w:p w14:paraId="619A40CA">
                  <w:pPr>
                    <w:adjustRightInd w:val="0"/>
                    <w:spacing w:line="360" w:lineRule="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②在生产区域明显位置张贴禁用明火的告示，加强油类物质存放区域的巡查。</w:t>
                  </w:r>
                </w:p>
                <w:p w14:paraId="4BB1EDA3">
                  <w:pPr>
                    <w:adjustRightInd w:val="0"/>
                    <w:spacing w:line="360" w:lineRule="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③工作人员要熟练掌握操作技术和防火安全管理规定；</w:t>
                  </w:r>
                </w:p>
                <w:p w14:paraId="6C6C3F18">
                  <w:pPr>
                    <w:adjustRightInd w:val="0"/>
                    <w:spacing w:line="360" w:lineRule="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④定期检查材料存储的安全状态，以防止泄漏引发火灾、爆炸。</w:t>
                  </w:r>
                </w:p>
                <w:p w14:paraId="1EB73A90">
                  <w:pPr>
                    <w:adjustRightInd w:val="0"/>
                    <w:spacing w:line="360" w:lineRule="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2）危险物质泄漏防范措施</w:t>
                  </w:r>
                </w:p>
                <w:p w14:paraId="5441C858">
                  <w:pPr>
                    <w:adjustRightInd w:val="0"/>
                    <w:spacing w:line="360" w:lineRule="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①仓库应做好防渗防腐处理，危废暂存间进行重点防渗；</w:t>
                  </w:r>
                </w:p>
                <w:p w14:paraId="4F720D41">
                  <w:pPr>
                    <w:adjustRightInd w:val="0"/>
                    <w:spacing w:line="360" w:lineRule="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②危废暂存间设置一定高度围堰，防范危险物质泄漏蔓延到周边区域；</w:t>
                  </w:r>
                </w:p>
                <w:p w14:paraId="6CF14E4F">
                  <w:pPr>
                    <w:adjustRightInd w:val="0"/>
                    <w:spacing w:line="360" w:lineRule="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③定期检查危险物质存储的安全状态，检查其包装有无破损，以防止泄漏。</w:t>
                  </w:r>
                </w:p>
                <w:p w14:paraId="3AFBBE12">
                  <w:pPr>
                    <w:adjustRightInd w:val="0"/>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④</w:t>
                  </w:r>
                  <w:r>
                    <w:rPr>
                      <w:rFonts w:hint="default" w:ascii="Times New Roman" w:hAnsi="Times New Roman" w:eastAsia="宋体" w:cs="Times New Roman"/>
                      <w:color w:val="auto"/>
                      <w:lang w:val="zh-CN"/>
                    </w:rPr>
                    <w:t>建立健全安全、环境管理体系及高效的安全生产</w:t>
                  </w:r>
                  <w:r>
                    <w:rPr>
                      <w:rFonts w:hint="eastAsia" w:cs="Times New Roman"/>
                      <w:color w:val="auto"/>
                      <w:lang w:val="zh-CN"/>
                    </w:rPr>
                    <w:t>机制</w:t>
                  </w:r>
                  <w:r>
                    <w:rPr>
                      <w:rFonts w:hint="default" w:ascii="Times New Roman" w:hAnsi="Times New Roman" w:eastAsia="宋体" w:cs="Times New Roman"/>
                      <w:color w:val="auto"/>
                      <w:lang w:val="zh-CN"/>
                    </w:rPr>
                    <w:t>，一旦发生事故，要做到快速、高效、安全处置。</w:t>
                  </w:r>
                </w:p>
                <w:p w14:paraId="3CA97DF8">
                  <w:pPr>
                    <w:adjustRightInd w:val="0"/>
                    <w:spacing w:line="360" w:lineRule="auto"/>
                    <w:rPr>
                      <w:rFonts w:hint="default" w:ascii="Times New Roman" w:hAnsi="Times New Roman" w:eastAsia="宋体" w:cs="Times New Roman"/>
                      <w:color w:val="auto"/>
                      <w:lang w:val="zh-CN" w:eastAsia="zh-CN"/>
                    </w:rPr>
                  </w:pP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lang w:val="zh-CN" w:eastAsia="zh-CN"/>
                    </w:rPr>
                    <w:t>）</w:t>
                  </w:r>
                  <w:r>
                    <w:rPr>
                      <w:rFonts w:hint="default" w:ascii="Times New Roman" w:hAnsi="Times New Roman" w:eastAsia="宋体" w:cs="Times New Roman"/>
                      <w:color w:val="auto"/>
                      <w:lang w:val="zh-CN" w:eastAsia="zh-CN"/>
                    </w:rPr>
                    <w:t>地表水、地下水</w:t>
                  </w:r>
                  <w:r>
                    <w:rPr>
                      <w:rFonts w:hint="eastAsia" w:ascii="Times New Roman" w:hAnsi="Times New Roman" w:eastAsia="宋体" w:cs="Times New Roman"/>
                      <w:color w:val="auto"/>
                      <w:lang w:val="zh-CN" w:eastAsia="zh-CN"/>
                    </w:rPr>
                    <w:t>、土壤</w:t>
                  </w:r>
                  <w:r>
                    <w:rPr>
                      <w:rFonts w:hint="default" w:ascii="Times New Roman" w:hAnsi="Times New Roman" w:eastAsia="宋体" w:cs="Times New Roman"/>
                      <w:color w:val="auto"/>
                      <w:lang w:val="zh-CN" w:eastAsia="zh-CN"/>
                    </w:rPr>
                    <w:t>环境风险防范措施</w:t>
                  </w:r>
                </w:p>
                <w:p w14:paraId="1BA22975">
                  <w:pPr>
                    <w:adjustRightInd w:val="0"/>
                    <w:spacing w:line="360" w:lineRule="auto"/>
                    <w:rPr>
                      <w:rFonts w:hint="eastAsia" w:ascii="Times New Roman" w:hAnsi="Times New Roman" w:eastAsia="宋体" w:cs="Times New Roman"/>
                      <w:color w:val="auto"/>
                      <w:lang w:val="zh-CN" w:eastAsia="zh-CN"/>
                    </w:rPr>
                  </w:pPr>
                  <w:r>
                    <w:rPr>
                      <w:rFonts w:hint="default" w:ascii="Times New Roman" w:hAnsi="Times New Roman" w:eastAsia="宋体" w:cs="Times New Roman"/>
                      <w:color w:val="auto"/>
                      <w:lang w:val="zh-CN" w:eastAsia="zh-CN"/>
                    </w:rPr>
                    <w:t>①危废暂存间设置应严格按照《危险废物贮存污染控制标准》（GB18597-2023）的相关要求，做好防雨、防渗，防止二次污染，各危险废物根据处理单位要求进行分类收集</w:t>
                  </w:r>
                  <w:r>
                    <w:rPr>
                      <w:rFonts w:hint="eastAsia" w:ascii="Times New Roman" w:hAnsi="Times New Roman" w:eastAsia="宋体" w:cs="Times New Roman"/>
                      <w:color w:val="auto"/>
                      <w:lang w:val="zh-CN" w:eastAsia="zh-CN"/>
                    </w:rPr>
                    <w:t>；</w:t>
                  </w:r>
                </w:p>
                <w:p w14:paraId="7C6F58B1">
                  <w:pPr>
                    <w:adjustRightInd w:val="0"/>
                    <w:spacing w:line="360" w:lineRule="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zh-CN" w:eastAsia="zh-CN"/>
                    </w:rPr>
                    <w:t>②安排专人定期对暂存容器等进行检查</w:t>
                  </w:r>
                  <w:r>
                    <w:rPr>
                      <w:rFonts w:hint="default" w:ascii="Times New Roman" w:hAnsi="Times New Roman" w:eastAsia="宋体" w:cs="Times New Roman"/>
                      <w:color w:val="auto"/>
                      <w:lang w:val="en-US" w:eastAsia="zh-CN"/>
                    </w:rPr>
                    <w:t>并做好巡检记录及时发现事故隐患并迅速</w:t>
                  </w:r>
                  <w:r>
                    <w:rPr>
                      <w:rFonts w:hint="eastAsia" w:cs="Times New Roman"/>
                      <w:color w:val="auto"/>
                      <w:lang w:val="en-US" w:eastAsia="zh-CN"/>
                    </w:rPr>
                    <w:t>予以</w:t>
                  </w:r>
                  <w:r>
                    <w:rPr>
                      <w:rFonts w:hint="default" w:ascii="Times New Roman" w:hAnsi="Times New Roman" w:eastAsia="宋体" w:cs="Times New Roman"/>
                      <w:color w:val="auto"/>
                      <w:lang w:val="en-US" w:eastAsia="zh-CN"/>
                    </w:rPr>
                    <w:t>消除</w:t>
                  </w:r>
                  <w:r>
                    <w:rPr>
                      <w:rFonts w:hint="eastAsia" w:ascii="Times New Roman" w:hAnsi="Times New Roman" w:eastAsia="宋体" w:cs="Times New Roman"/>
                      <w:color w:val="auto"/>
                      <w:lang w:val="en-US" w:eastAsia="zh-CN"/>
                    </w:rPr>
                    <w:t>；</w:t>
                  </w:r>
                </w:p>
                <w:p w14:paraId="5E9EDC59">
                  <w:pPr>
                    <w:adjustRightInd w:val="0"/>
                    <w:spacing w:line="360" w:lineRule="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③加强对危废管理，定期检查收纳容器，与有资质单位签订协议，确保危废能得到妥善处置，建立台账制度。</w:t>
                  </w:r>
                </w:p>
                <w:p w14:paraId="2D75624F">
                  <w:pPr>
                    <w:adjustRightInd w:val="0"/>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（2）应急要求</w:t>
                  </w:r>
                </w:p>
                <w:p w14:paraId="18839450">
                  <w:pPr>
                    <w:adjustRightInd w:val="0"/>
                    <w:spacing w:line="360" w:lineRule="auto"/>
                    <w:rPr>
                      <w:color w:val="auto"/>
                    </w:rPr>
                  </w:pPr>
                  <w:r>
                    <w:rPr>
                      <w:rFonts w:hint="default" w:ascii="Times New Roman" w:hAnsi="Times New Roman" w:eastAsia="宋体" w:cs="Times New Roman"/>
                      <w:color w:val="auto"/>
                    </w:rPr>
                    <w:t>企业应按国家有关规定要求，编制突发环境事故应急预案，并经当地生态环境行政主管部门审查备案。当发生环境风险事故时，按应急预案要求，认真落实各项事故应急措施，做到责任到位、落实到人、常备不懈。</w:t>
                  </w:r>
                </w:p>
              </w:tc>
            </w:tr>
            <w:tr w14:paraId="7742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8487" w:type="dxa"/>
                  <w:gridSpan w:val="5"/>
                  <w:tcBorders>
                    <w:top w:val="single" w:color="auto" w:sz="4" w:space="0"/>
                    <w:left w:val="single" w:color="auto" w:sz="4" w:space="0"/>
                    <w:bottom w:val="single" w:color="auto" w:sz="4" w:space="0"/>
                    <w:right w:val="single" w:color="auto" w:sz="4" w:space="0"/>
                  </w:tcBorders>
                  <w:vAlign w:val="center"/>
                </w:tcPr>
                <w:p w14:paraId="53F5C7E1">
                  <w:pPr>
                    <w:adjustRightInd w:val="0"/>
                    <w:snapToGrid w:val="0"/>
                    <w:ind w:firstLine="420" w:firstLineChars="200"/>
                    <w:rPr>
                      <w:color w:val="auto"/>
                    </w:rPr>
                  </w:pPr>
                  <w:r>
                    <w:rPr>
                      <w:color w:val="auto"/>
                    </w:rPr>
                    <w:t>填表说明（列出项目相关信息及评价说明）：</w:t>
                  </w:r>
                </w:p>
                <w:p w14:paraId="23FB938C">
                  <w:pPr>
                    <w:adjustRightInd w:val="0"/>
                    <w:snapToGrid w:val="0"/>
                    <w:ind w:firstLine="420" w:firstLineChars="200"/>
                    <w:rPr>
                      <w:color w:val="auto"/>
                    </w:rPr>
                  </w:pPr>
                  <w:r>
                    <w:rPr>
                      <w:color w:val="auto"/>
                    </w:rPr>
                    <w:t>项目风险主要存在于设备运行及维修中产生的</w:t>
                  </w:r>
                  <w:r>
                    <w:rPr>
                      <w:color w:val="auto"/>
                      <w:sz w:val="21"/>
                      <w:szCs w:val="21"/>
                    </w:rPr>
                    <w:t>废机油</w:t>
                  </w:r>
                  <w:r>
                    <w:rPr>
                      <w:color w:val="auto"/>
                    </w:rPr>
                    <w:t>存放，引起</w:t>
                  </w:r>
                  <w:r>
                    <w:rPr>
                      <w:rFonts w:hint="eastAsia"/>
                      <w:color w:val="auto"/>
                      <w:lang w:eastAsia="zh-CN"/>
                    </w:rPr>
                    <w:t>泄漏事故；</w:t>
                  </w:r>
                  <w:r>
                    <w:rPr>
                      <w:color w:val="auto"/>
                      <w:sz w:val="21"/>
                      <w:szCs w:val="21"/>
                    </w:rPr>
                    <w:t>废机油</w:t>
                  </w:r>
                  <w:r>
                    <w:rPr>
                      <w:rFonts w:hint="eastAsia"/>
                      <w:color w:val="auto"/>
                      <w:sz w:val="21"/>
                      <w:szCs w:val="21"/>
                      <w:lang w:eastAsia="zh-CN"/>
                    </w:rPr>
                    <w:t>暂存过程中引起的火灾、爆炸事故</w:t>
                  </w:r>
                  <w:r>
                    <w:rPr>
                      <w:color w:val="auto"/>
                    </w:rPr>
                    <w:t>。</w:t>
                  </w:r>
                </w:p>
                <w:p w14:paraId="46EF229D">
                  <w:pPr>
                    <w:adjustRightInd w:val="0"/>
                    <w:snapToGrid w:val="0"/>
                    <w:ind w:firstLine="420" w:firstLineChars="200"/>
                    <w:rPr>
                      <w:color w:val="auto"/>
                    </w:rPr>
                  </w:pPr>
                  <w:r>
                    <w:rPr>
                      <w:color w:val="auto"/>
                    </w:rPr>
                    <w:t>根据《建设项目环境风险评价技术导则》（HJ 169-2018）附录C，项目环境综合风险潜势为</w:t>
                  </w:r>
                  <w:r>
                    <w:rPr>
                      <w:color w:val="auto"/>
                    </w:rPr>
                    <w:fldChar w:fldCharType="begin"/>
                  </w:r>
                  <w:r>
                    <w:rPr>
                      <w:color w:val="auto"/>
                    </w:rPr>
                    <w:instrText xml:space="preserve"> = 2 \* ROMAN \* MERGEFORMAT </w:instrText>
                  </w:r>
                  <w:r>
                    <w:rPr>
                      <w:color w:val="auto"/>
                    </w:rPr>
                    <w:fldChar w:fldCharType="separate"/>
                  </w:r>
                  <w:r>
                    <w:rPr>
                      <w:color w:val="auto"/>
                    </w:rPr>
                    <w:t>I</w:t>
                  </w:r>
                  <w:r>
                    <w:rPr>
                      <w:color w:val="auto"/>
                    </w:rPr>
                    <w:fldChar w:fldCharType="end"/>
                  </w:r>
                  <w:r>
                    <w:rPr>
                      <w:color w:val="auto"/>
                    </w:rPr>
                    <w:t>，风险评价等级为简单分析。因此不对环境风险进行进一步预测分析。</w:t>
                  </w:r>
                </w:p>
                <w:p w14:paraId="4EA5D211">
                  <w:pPr>
                    <w:adjustRightInd w:val="0"/>
                    <w:snapToGrid w:val="0"/>
                    <w:ind w:firstLine="420" w:firstLineChars="200"/>
                    <w:rPr>
                      <w:color w:val="auto"/>
                    </w:rPr>
                  </w:pPr>
                  <w:r>
                    <w:rPr>
                      <w:color w:val="auto"/>
                    </w:rPr>
                    <w:t>项目在做好应急防范措施的基础上，项目的环境风险是可控的，环境风险事故发生的概率可降低到最低。</w:t>
                  </w:r>
                </w:p>
              </w:tc>
            </w:tr>
          </w:tbl>
          <w:p w14:paraId="5CC50ABC">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06044AD4">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63FEC0DE">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20C0C96A">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5F82E853">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7D0B8C11">
            <w:pPr>
              <w:shd w:val="clear"/>
              <w:spacing w:line="400" w:lineRule="exact"/>
              <w:ind w:firstLine="480"/>
              <w:jc w:val="center"/>
              <w:rPr>
                <w:rFonts w:hint="default" w:ascii="Times New Roman" w:hAnsi="Times New Roman" w:eastAsia="宋体" w:cs="Times New Roman"/>
                <w:b/>
                <w:bCs/>
                <w:color w:val="auto"/>
                <w:szCs w:val="21"/>
                <w:highlight w:val="none"/>
                <w:lang w:val="zh-CN"/>
              </w:rPr>
            </w:pPr>
          </w:p>
          <w:p w14:paraId="09785A1A">
            <w:pPr>
              <w:shd w:val="clear"/>
              <w:spacing w:line="400" w:lineRule="exact"/>
              <w:jc w:val="both"/>
              <w:rPr>
                <w:rFonts w:hint="default" w:ascii="Times New Roman" w:hAnsi="Times New Roman" w:eastAsia="宋体" w:cs="Times New Roman"/>
                <w:b/>
                <w:bCs/>
                <w:color w:val="auto"/>
                <w:szCs w:val="21"/>
                <w:highlight w:val="none"/>
                <w:lang w:val="zh-CN"/>
              </w:rPr>
            </w:pPr>
          </w:p>
          <w:p w14:paraId="2202ACCC">
            <w:pPr>
              <w:shd w:val="clear"/>
              <w:adjustRightInd w:val="0"/>
              <w:snapToGrid w:val="0"/>
              <w:spacing w:line="360" w:lineRule="auto"/>
              <w:rPr>
                <w:rFonts w:hint="default" w:ascii="Times New Roman" w:hAnsi="Times New Roman" w:eastAsia="宋体" w:cs="Times New Roman"/>
                <w:bCs/>
                <w:color w:val="auto"/>
                <w:spacing w:val="-10"/>
                <w:sz w:val="24"/>
                <w:szCs w:val="24"/>
                <w:highlight w:val="none"/>
                <w:lang w:val="en-US" w:eastAsia="zh-CN"/>
              </w:rPr>
            </w:pPr>
          </w:p>
        </w:tc>
      </w:tr>
    </w:tbl>
    <w:p w14:paraId="56BFB41D">
      <w:pPr>
        <w:pStyle w:val="25"/>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29" w:name="_Toc6939"/>
      <w:r>
        <w:rPr>
          <w:rFonts w:hint="default" w:ascii="Times New Roman" w:hAnsi="Times New Roman" w:eastAsia="宋体" w:cs="Times New Roman"/>
          <w:b/>
          <w:bCs/>
          <w:snapToGrid w:val="0"/>
          <w:color w:val="auto"/>
          <w:sz w:val="30"/>
          <w:szCs w:val="30"/>
          <w:highlight w:val="none"/>
        </w:rPr>
        <w:t>五、</w:t>
      </w:r>
      <w:bookmarkStart w:id="30" w:name="_Hlk54167917"/>
      <w:r>
        <w:rPr>
          <w:rFonts w:hint="default" w:ascii="Times New Roman" w:hAnsi="Times New Roman" w:eastAsia="宋体" w:cs="Times New Roman"/>
          <w:b/>
          <w:bCs/>
          <w:snapToGrid w:val="0"/>
          <w:color w:val="auto"/>
          <w:sz w:val="30"/>
          <w:szCs w:val="30"/>
          <w:highlight w:val="none"/>
        </w:rPr>
        <w:t>环境保护措施监督检查清单</w:t>
      </w:r>
      <w:bookmarkEnd w:id="26"/>
      <w:bookmarkEnd w:id="29"/>
      <w:bookmarkEnd w:id="30"/>
    </w:p>
    <w:tbl>
      <w:tblPr>
        <w:tblStyle w:val="26"/>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759"/>
        <w:gridCol w:w="1384"/>
        <w:gridCol w:w="3039"/>
        <w:gridCol w:w="1934"/>
      </w:tblGrid>
      <w:tr w14:paraId="17041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tcBorders>
              <w:tl2br w:val="single" w:color="auto" w:sz="4" w:space="0"/>
            </w:tcBorders>
            <w:vAlign w:val="top"/>
          </w:tcPr>
          <w:p w14:paraId="4BC9D8E2">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w:t>
            </w:r>
          </w:p>
          <w:p w14:paraId="32CCBC91">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要素</w:t>
            </w:r>
          </w:p>
        </w:tc>
        <w:tc>
          <w:tcPr>
            <w:tcW w:w="1759" w:type="dxa"/>
            <w:vAlign w:val="center"/>
          </w:tcPr>
          <w:p w14:paraId="7A00F665">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排放口</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编号、名称</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/污染源</w:t>
            </w:r>
          </w:p>
        </w:tc>
        <w:tc>
          <w:tcPr>
            <w:tcW w:w="1384" w:type="dxa"/>
            <w:vAlign w:val="center"/>
          </w:tcPr>
          <w:p w14:paraId="7117F062">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污染物项目</w:t>
            </w:r>
          </w:p>
        </w:tc>
        <w:tc>
          <w:tcPr>
            <w:tcW w:w="3039" w:type="dxa"/>
            <w:vAlign w:val="center"/>
          </w:tcPr>
          <w:p w14:paraId="26FDC1D4">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环境保护措施</w:t>
            </w:r>
          </w:p>
        </w:tc>
        <w:tc>
          <w:tcPr>
            <w:tcW w:w="1934" w:type="dxa"/>
            <w:vAlign w:val="center"/>
          </w:tcPr>
          <w:p w14:paraId="275F3FEA">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执行标准</w:t>
            </w:r>
          </w:p>
        </w:tc>
      </w:tr>
      <w:tr w14:paraId="7C4CDF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Merge w:val="restart"/>
            <w:vAlign w:val="center"/>
          </w:tcPr>
          <w:p w14:paraId="1BFD218C">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大气环境</w:t>
            </w:r>
          </w:p>
        </w:tc>
        <w:tc>
          <w:tcPr>
            <w:tcW w:w="1759" w:type="dxa"/>
            <w:vAlign w:val="center"/>
          </w:tcPr>
          <w:p w14:paraId="49D933D4">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混料</w:t>
            </w:r>
            <w:r>
              <w:rPr>
                <w:rFonts w:hint="default" w:ascii="Times New Roman" w:hAnsi="Times New Roman" w:eastAsia="宋体" w:cs="Times New Roman"/>
                <w:color w:val="auto"/>
                <w:sz w:val="21"/>
                <w:szCs w:val="21"/>
                <w:highlight w:val="none"/>
                <w:lang w:val="en-US" w:eastAsia="zh-CN"/>
              </w:rPr>
              <w:t>粉尘</w:t>
            </w:r>
            <w:r>
              <w:rPr>
                <w:rFonts w:hint="eastAsia" w:ascii="Times New Roman" w:hAnsi="Times New Roman" w:eastAsia="宋体" w:cs="Times New Roman"/>
                <w:color w:val="auto"/>
                <w:sz w:val="21"/>
                <w:szCs w:val="21"/>
                <w:highlight w:val="none"/>
                <w:lang w:val="en-US" w:eastAsia="zh-CN"/>
              </w:rPr>
              <w:t>/DA001</w:t>
            </w:r>
          </w:p>
        </w:tc>
        <w:tc>
          <w:tcPr>
            <w:tcW w:w="1384" w:type="dxa"/>
            <w:vAlign w:val="center"/>
          </w:tcPr>
          <w:p w14:paraId="7A2509CC">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3039" w:type="dxa"/>
            <w:vMerge w:val="restart"/>
            <w:vAlign w:val="center"/>
          </w:tcPr>
          <w:p w14:paraId="1E1FE7D0">
            <w:pPr>
              <w:shd w:val="clea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本项目在</w:t>
            </w:r>
            <w:r>
              <w:rPr>
                <w:rFonts w:hint="eastAsia" w:ascii="Times New Roman" w:hAnsi="Times New Roman" w:eastAsia="宋体" w:cs="Times New Roman"/>
                <w:color w:val="auto"/>
                <w:sz w:val="21"/>
                <w:szCs w:val="21"/>
                <w:highlight w:val="none"/>
                <w:lang w:val="en-US" w:eastAsia="zh-CN"/>
              </w:rPr>
              <w:t>搅拌</w:t>
            </w:r>
            <w:r>
              <w:rPr>
                <w:rFonts w:hint="default" w:ascii="Times New Roman" w:hAnsi="Times New Roman" w:eastAsia="宋体" w:cs="Times New Roman"/>
                <w:color w:val="auto"/>
                <w:sz w:val="21"/>
                <w:szCs w:val="21"/>
                <w:highlight w:val="none"/>
                <w:lang w:val="en-US" w:eastAsia="zh-CN"/>
              </w:rPr>
              <w:t>机</w:t>
            </w:r>
            <w:r>
              <w:rPr>
                <w:rFonts w:hint="eastAsia" w:ascii="Times New Roman" w:hAnsi="Times New Roman" w:eastAsia="宋体" w:cs="Times New Roman"/>
                <w:color w:val="auto"/>
                <w:sz w:val="21"/>
                <w:szCs w:val="21"/>
                <w:highlight w:val="none"/>
                <w:lang w:val="en-US" w:eastAsia="zh-CN"/>
              </w:rPr>
              <w:t>、破碎机</w:t>
            </w:r>
            <w:r>
              <w:rPr>
                <w:rFonts w:hint="default" w:ascii="Times New Roman" w:hAnsi="Times New Roman" w:eastAsia="宋体" w:cs="Times New Roman"/>
                <w:color w:val="auto"/>
                <w:sz w:val="21"/>
                <w:szCs w:val="21"/>
                <w:highlight w:val="none"/>
                <w:lang w:val="en-US" w:eastAsia="zh-CN"/>
              </w:rPr>
              <w:t>及</w:t>
            </w:r>
            <w:r>
              <w:rPr>
                <w:rFonts w:hint="eastAsia" w:ascii="Times New Roman" w:hAnsi="Times New Roman" w:eastAsia="宋体" w:cs="Times New Roman"/>
                <w:color w:val="auto"/>
                <w:sz w:val="21"/>
                <w:szCs w:val="21"/>
                <w:highlight w:val="none"/>
                <w:lang w:val="en-US" w:eastAsia="zh-CN"/>
              </w:rPr>
              <w:t>磨粉</w:t>
            </w:r>
            <w:r>
              <w:rPr>
                <w:rFonts w:hint="default" w:ascii="Times New Roman" w:hAnsi="Times New Roman" w:eastAsia="宋体" w:cs="Times New Roman"/>
                <w:color w:val="auto"/>
                <w:sz w:val="21"/>
                <w:szCs w:val="21"/>
                <w:highlight w:val="none"/>
                <w:lang w:val="en-US" w:eastAsia="zh-CN"/>
              </w:rPr>
              <w:t>机上方分别设置集气罩，共设置</w:t>
            </w:r>
            <w:r>
              <w:rPr>
                <w:rFonts w:hint="eastAsia"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lang w:val="en-US" w:eastAsia="zh-CN"/>
              </w:rPr>
              <w:t>个集气罩将废气统一收集进入</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布袋除尘器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1根15m高排气筒（</w:t>
            </w:r>
            <w:r>
              <w:rPr>
                <w:rFonts w:hint="default" w:ascii="Times New Roman" w:hAnsi="Times New Roman" w:eastAsia="宋体" w:cs="Times New Roman"/>
                <w:color w:val="auto"/>
                <w:sz w:val="21"/>
                <w:szCs w:val="21"/>
                <w:highlight w:val="none"/>
                <w:lang w:val="en-US" w:eastAsia="zh-CN"/>
              </w:rPr>
              <w:t>DA00</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排放，配套</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ascii="Times New Roman" w:hAnsi="Times New Roman" w:cs="Times New Roman"/>
                <w:color w:val="auto"/>
                <w:sz w:val="21"/>
                <w:szCs w:val="21"/>
                <w:highlight w:val="none"/>
                <w:lang w:val="en-US" w:eastAsia="zh-CN"/>
              </w:rPr>
              <w:t>26875</w:t>
            </w:r>
            <w:r>
              <w:rPr>
                <w:rFonts w:hint="default" w:ascii="Times New Roman" w:hAnsi="Times New Roman" w:eastAsia="宋体" w:cs="Times New Roman"/>
                <w:i w:val="0"/>
                <w:iCs w:val="0"/>
                <w:color w:val="auto"/>
                <w:kern w:val="0"/>
                <w:sz w:val="21"/>
                <w:szCs w:val="21"/>
                <w:u w:val="none"/>
                <w:lang w:val="en-US" w:eastAsia="zh-CN" w:bidi="ar"/>
              </w:rPr>
              <w:t>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/h</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2"/>
                <w:sz w:val="21"/>
                <w:szCs w:val="21"/>
                <w:highlight w:val="none"/>
              </w:rPr>
              <w:t>废气收集效率为</w:t>
            </w:r>
            <w:r>
              <w:rPr>
                <w:rFonts w:hint="eastAsia" w:cs="Times New Roman"/>
                <w:color w:val="auto"/>
                <w:kern w:val="2"/>
                <w:sz w:val="21"/>
                <w:szCs w:val="21"/>
                <w:highlight w:val="none"/>
                <w:lang w:val="en-US" w:eastAsia="zh-CN"/>
              </w:rPr>
              <w:t>8</w:t>
            </w:r>
            <w:r>
              <w:rPr>
                <w:rFonts w:hint="default" w:ascii="Times New Roman" w:hAnsi="Times New Roman" w:eastAsia="宋体" w:cs="Times New Roman"/>
                <w:color w:val="auto"/>
                <w:kern w:val="2"/>
                <w:sz w:val="21"/>
                <w:szCs w:val="21"/>
                <w:highlight w:val="none"/>
                <w:lang w:val="en-US" w:eastAsia="zh-CN"/>
              </w:rPr>
              <w:t>0</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val="en-US" w:eastAsia="zh-CN"/>
              </w:rPr>
              <w:t>，</w:t>
            </w:r>
            <w:r>
              <w:rPr>
                <w:rFonts w:hint="eastAsia" w:ascii="Times New Roman" w:hAnsi="Times New Roman" w:eastAsia="宋体" w:cs="Times New Roman"/>
                <w:color w:val="auto"/>
                <w:kern w:val="2"/>
                <w:sz w:val="21"/>
                <w:szCs w:val="21"/>
                <w:highlight w:val="none"/>
                <w:lang w:val="en-US" w:eastAsia="zh-CN"/>
              </w:rPr>
              <w:t>布袋除尘</w:t>
            </w:r>
            <w:r>
              <w:rPr>
                <w:rFonts w:hint="default" w:ascii="Times New Roman" w:hAnsi="Times New Roman" w:eastAsia="宋体" w:cs="Times New Roman"/>
                <w:bCs/>
                <w:color w:val="auto"/>
                <w:sz w:val="21"/>
                <w:szCs w:val="21"/>
                <w:highlight w:val="none"/>
              </w:rPr>
              <w:t>效率</w:t>
            </w:r>
            <w:r>
              <w:rPr>
                <w:rFonts w:hint="eastAsia" w:cs="Times New Roman"/>
                <w:bCs/>
                <w:color w:val="auto"/>
                <w:sz w:val="21"/>
                <w:szCs w:val="21"/>
                <w:highlight w:val="none"/>
                <w:lang w:val="en-US" w:eastAsia="zh-CN"/>
              </w:rPr>
              <w:t>99</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0.6</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1934" w:type="dxa"/>
            <w:vMerge w:val="restart"/>
            <w:vAlign w:val="center"/>
          </w:tcPr>
          <w:p w14:paraId="32ED8A4C">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eastAsia="zh-CN"/>
              </w:rPr>
              <w:t>《大气污染物综合排放标准》（GB16297-1996）</w:t>
            </w:r>
            <w:r>
              <w:rPr>
                <w:rFonts w:hint="default" w:ascii="Times New Roman" w:hAnsi="Times New Roman" w:eastAsia="宋体" w:cs="Times New Roman"/>
                <w:color w:val="auto"/>
                <w:sz w:val="21"/>
                <w:szCs w:val="21"/>
                <w:highlight w:val="none"/>
                <w:lang w:eastAsia="zh-CN"/>
              </w:rPr>
              <w:t>表2中</w:t>
            </w:r>
            <w:r>
              <w:rPr>
                <w:rFonts w:hint="default" w:ascii="Times New Roman" w:hAnsi="Times New Roman" w:eastAsia="宋体" w:cs="Times New Roman"/>
                <w:color w:val="auto"/>
                <w:sz w:val="21"/>
                <w:szCs w:val="21"/>
                <w:highlight w:val="none"/>
                <w:lang w:val="en-US" w:eastAsia="zh-CN"/>
              </w:rPr>
              <w:t>二级</w:t>
            </w:r>
            <w:r>
              <w:rPr>
                <w:rFonts w:hint="default" w:ascii="Times New Roman" w:hAnsi="Times New Roman" w:eastAsia="宋体" w:cs="Times New Roman"/>
                <w:color w:val="auto"/>
                <w:sz w:val="21"/>
                <w:szCs w:val="21"/>
                <w:highlight w:val="none"/>
                <w:lang w:eastAsia="zh-CN"/>
              </w:rPr>
              <w:t>浓度</w:t>
            </w:r>
            <w:r>
              <w:rPr>
                <w:rFonts w:hint="default" w:ascii="Times New Roman" w:hAnsi="Times New Roman" w:eastAsia="宋体" w:cs="Times New Roman"/>
                <w:color w:val="auto"/>
                <w:sz w:val="21"/>
                <w:szCs w:val="21"/>
                <w:highlight w:val="none"/>
                <w:lang w:val="en-US" w:eastAsia="zh-CN"/>
              </w:rPr>
              <w:t>及</w:t>
            </w:r>
            <w:r>
              <w:rPr>
                <w:rFonts w:hint="default" w:ascii="Times New Roman" w:hAnsi="Times New Roman" w:eastAsia="宋体" w:cs="Times New Roman"/>
                <w:color w:val="auto"/>
                <w:sz w:val="21"/>
                <w:szCs w:val="21"/>
                <w:highlight w:val="none"/>
                <w:lang w:eastAsia="zh-CN"/>
              </w:rPr>
              <w:t>无组织排放监控浓度限值</w:t>
            </w:r>
            <w:r>
              <w:rPr>
                <w:rFonts w:hint="default" w:ascii="Times New Roman" w:hAnsi="Times New Roman" w:eastAsia="宋体" w:cs="Times New Roman"/>
                <w:color w:val="auto"/>
                <w:sz w:val="21"/>
                <w:szCs w:val="21"/>
                <w:highlight w:val="none"/>
                <w:lang w:val="en-US" w:eastAsia="zh-CN"/>
              </w:rPr>
              <w:t>要求，速率严格50%执行。</w:t>
            </w:r>
          </w:p>
        </w:tc>
      </w:tr>
      <w:tr w14:paraId="0FFE84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Merge w:val="continue"/>
            <w:vAlign w:val="center"/>
          </w:tcPr>
          <w:p w14:paraId="7C6110C2">
            <w:pPr>
              <w:shd w:val="clear"/>
              <w:adjustRightInd w:val="0"/>
              <w:snapToGrid w:val="0"/>
              <w:jc w:val="center"/>
              <w:rPr>
                <w:rFonts w:hint="default" w:ascii="Times New Roman" w:hAnsi="Times New Roman" w:eastAsia="宋体" w:cs="Times New Roman"/>
                <w:color w:val="auto"/>
                <w:sz w:val="21"/>
                <w:szCs w:val="21"/>
                <w:highlight w:val="none"/>
              </w:rPr>
            </w:pPr>
          </w:p>
        </w:tc>
        <w:tc>
          <w:tcPr>
            <w:tcW w:w="1759" w:type="dxa"/>
            <w:vAlign w:val="center"/>
          </w:tcPr>
          <w:p w14:paraId="4823C9D5">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破碎粉尘/</w:t>
            </w:r>
            <w:r>
              <w:rPr>
                <w:rFonts w:hint="eastAsia" w:ascii="Times New Roman" w:hAnsi="Times New Roman" w:eastAsia="宋体" w:cs="Times New Roman"/>
                <w:color w:val="auto"/>
                <w:sz w:val="21"/>
                <w:szCs w:val="21"/>
                <w:highlight w:val="none"/>
                <w:lang w:val="en-US" w:eastAsia="zh-CN"/>
              </w:rPr>
              <w:t>DA001</w:t>
            </w:r>
          </w:p>
        </w:tc>
        <w:tc>
          <w:tcPr>
            <w:tcW w:w="1384" w:type="dxa"/>
            <w:vAlign w:val="center"/>
          </w:tcPr>
          <w:p w14:paraId="29DAB829">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3039" w:type="dxa"/>
            <w:vMerge w:val="continue"/>
            <w:vAlign w:val="center"/>
          </w:tcPr>
          <w:p w14:paraId="4AF20298">
            <w:pPr>
              <w:tabs>
                <w:tab w:val="left" w:pos="3255"/>
              </w:tabs>
              <w:jc w:val="center"/>
              <w:rPr>
                <w:rFonts w:hint="default" w:ascii="Times New Roman" w:hAnsi="Times New Roman" w:eastAsia="宋体" w:cs="Times New Roman"/>
                <w:color w:val="auto"/>
                <w:sz w:val="21"/>
                <w:szCs w:val="21"/>
                <w:highlight w:val="none"/>
              </w:rPr>
            </w:pPr>
          </w:p>
        </w:tc>
        <w:tc>
          <w:tcPr>
            <w:tcW w:w="1934" w:type="dxa"/>
            <w:vMerge w:val="continue"/>
            <w:vAlign w:val="center"/>
          </w:tcPr>
          <w:p w14:paraId="6901F0E6">
            <w:pPr>
              <w:shd w:val="clear"/>
              <w:adjustRightInd w:val="0"/>
              <w:snapToGrid w:val="0"/>
              <w:jc w:val="center"/>
              <w:rPr>
                <w:rFonts w:hint="default" w:ascii="Times New Roman" w:hAnsi="Times New Roman" w:eastAsia="宋体" w:cs="Times New Roman"/>
                <w:color w:val="auto"/>
                <w:sz w:val="21"/>
                <w:szCs w:val="21"/>
                <w:highlight w:val="none"/>
              </w:rPr>
            </w:pPr>
          </w:p>
        </w:tc>
      </w:tr>
      <w:tr w14:paraId="5E24AF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Merge w:val="continue"/>
            <w:vAlign w:val="center"/>
          </w:tcPr>
          <w:p w14:paraId="44130851">
            <w:pPr>
              <w:shd w:val="clear"/>
              <w:adjustRightInd w:val="0"/>
              <w:snapToGrid w:val="0"/>
              <w:jc w:val="center"/>
              <w:rPr>
                <w:rFonts w:hint="default" w:ascii="Times New Roman" w:hAnsi="Times New Roman" w:eastAsia="宋体" w:cs="Times New Roman"/>
                <w:color w:val="auto"/>
                <w:sz w:val="21"/>
                <w:szCs w:val="21"/>
                <w:highlight w:val="none"/>
              </w:rPr>
            </w:pPr>
          </w:p>
        </w:tc>
        <w:tc>
          <w:tcPr>
            <w:tcW w:w="1759" w:type="dxa"/>
            <w:vAlign w:val="center"/>
          </w:tcPr>
          <w:p w14:paraId="76D44D33">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000000" w:themeColor="text1"/>
                <w:sz w:val="21"/>
                <w:szCs w:val="21"/>
                <w:highlight w:val="none"/>
                <w:lang w:val="en-US" w:eastAsia="zh-CN"/>
                <w14:textFill>
                  <w14:solidFill>
                    <w14:schemeClr w14:val="tx1"/>
                  </w14:solidFill>
                </w14:textFill>
              </w:rPr>
              <w:t>磨粉</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粉尘</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eastAsia="宋体" w:cs="Times New Roman"/>
                <w:color w:val="auto"/>
                <w:sz w:val="21"/>
                <w:szCs w:val="21"/>
                <w:highlight w:val="none"/>
                <w:lang w:val="en-US" w:eastAsia="zh-CN"/>
              </w:rPr>
              <w:t>DA001</w:t>
            </w:r>
          </w:p>
        </w:tc>
        <w:tc>
          <w:tcPr>
            <w:tcW w:w="1384" w:type="dxa"/>
            <w:vAlign w:val="center"/>
          </w:tcPr>
          <w:p w14:paraId="4D5799A8">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3039" w:type="dxa"/>
            <w:vMerge w:val="continue"/>
            <w:vAlign w:val="center"/>
          </w:tcPr>
          <w:p w14:paraId="3EDFE76E">
            <w:pPr>
              <w:shd w:val="clea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p>
        </w:tc>
        <w:tc>
          <w:tcPr>
            <w:tcW w:w="1934" w:type="dxa"/>
            <w:vMerge w:val="continue"/>
            <w:vAlign w:val="center"/>
          </w:tcPr>
          <w:p w14:paraId="6D5D18D5">
            <w:pPr>
              <w:shd w:val="clear"/>
              <w:adjustRightInd w:val="0"/>
              <w:snapToGrid w:val="0"/>
              <w:jc w:val="center"/>
              <w:rPr>
                <w:rFonts w:hint="default" w:ascii="Times New Roman" w:hAnsi="Times New Roman" w:eastAsia="宋体" w:cs="Times New Roman"/>
                <w:color w:val="auto"/>
                <w:sz w:val="21"/>
                <w:szCs w:val="21"/>
                <w:highlight w:val="none"/>
              </w:rPr>
            </w:pPr>
          </w:p>
        </w:tc>
      </w:tr>
      <w:tr w14:paraId="2FDD2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684" w:type="dxa"/>
            <w:vMerge w:val="continue"/>
            <w:vAlign w:val="center"/>
          </w:tcPr>
          <w:p w14:paraId="458193B2">
            <w:pPr>
              <w:shd w:val="clear"/>
              <w:adjustRightInd w:val="0"/>
              <w:snapToGrid w:val="0"/>
              <w:jc w:val="center"/>
              <w:rPr>
                <w:rFonts w:hint="default" w:ascii="Times New Roman" w:hAnsi="Times New Roman" w:eastAsia="宋体" w:cs="Times New Roman"/>
                <w:color w:val="auto"/>
                <w:sz w:val="21"/>
                <w:szCs w:val="21"/>
                <w:highlight w:val="none"/>
              </w:rPr>
            </w:pPr>
          </w:p>
        </w:tc>
        <w:tc>
          <w:tcPr>
            <w:tcW w:w="1759" w:type="dxa"/>
            <w:vAlign w:val="center"/>
          </w:tcPr>
          <w:p w14:paraId="1879C537">
            <w:pPr>
              <w:shd w:val="clear"/>
              <w:adjustRightInd w:val="0"/>
              <w:snapToGrid w:val="0"/>
              <w:jc w:val="center"/>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挤出废气/</w:t>
            </w:r>
            <w:r>
              <w:rPr>
                <w:rFonts w:hint="default" w:ascii="Times New Roman" w:hAnsi="Times New Roman" w:eastAsia="宋体" w:cs="Times New Roman"/>
                <w:color w:val="auto"/>
                <w:sz w:val="21"/>
                <w:szCs w:val="21"/>
                <w:highlight w:val="none"/>
                <w:lang w:val="en-US" w:eastAsia="zh-CN"/>
              </w:rPr>
              <w:t>DA002</w:t>
            </w:r>
          </w:p>
        </w:tc>
        <w:tc>
          <w:tcPr>
            <w:tcW w:w="1384" w:type="dxa"/>
            <w:vAlign w:val="center"/>
          </w:tcPr>
          <w:p w14:paraId="740C4A57">
            <w:pPr>
              <w:shd w:val="clear"/>
              <w:adjustRightInd w:val="0"/>
              <w:snapToGrid w:val="0"/>
              <w:spacing w:line="0" w:lineRule="atLeast"/>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颗粒物、非甲烷总烃</w:t>
            </w:r>
            <w:r>
              <w:rPr>
                <w:rFonts w:hint="eastAsia" w:cs="Times New Roman"/>
                <w:color w:val="auto"/>
                <w:sz w:val="21"/>
                <w:szCs w:val="21"/>
                <w:highlight w:val="none"/>
                <w:lang w:val="en-US" w:eastAsia="zh-CN"/>
              </w:rPr>
              <w:t>、氯乙烯、氯化氢</w:t>
            </w:r>
          </w:p>
        </w:tc>
        <w:tc>
          <w:tcPr>
            <w:tcW w:w="3039" w:type="dxa"/>
            <w:vMerge w:val="restart"/>
            <w:vAlign w:val="center"/>
          </w:tcPr>
          <w:p w14:paraId="12AD9869">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本项目在</w:t>
            </w:r>
            <w:r>
              <w:rPr>
                <w:rFonts w:hint="eastAsia" w:ascii="Times New Roman" w:hAnsi="Times New Roman" w:eastAsia="宋体" w:cs="Times New Roman"/>
                <w:color w:val="auto"/>
                <w:sz w:val="21"/>
                <w:szCs w:val="21"/>
                <w:highlight w:val="none"/>
                <w:lang w:val="en-US" w:eastAsia="zh-CN"/>
              </w:rPr>
              <w:t>挤出</w:t>
            </w:r>
            <w:r>
              <w:rPr>
                <w:rFonts w:hint="default" w:ascii="Times New Roman" w:hAnsi="Times New Roman" w:eastAsia="宋体" w:cs="Times New Roman"/>
                <w:color w:val="auto"/>
                <w:sz w:val="21"/>
                <w:szCs w:val="21"/>
                <w:highlight w:val="none"/>
                <w:lang w:val="en-US" w:eastAsia="zh-CN"/>
              </w:rPr>
              <w:t>机及</w:t>
            </w:r>
            <w:r>
              <w:rPr>
                <w:rFonts w:hint="eastAsia" w:ascii="Times New Roman" w:hAnsi="Times New Roman" w:eastAsia="宋体" w:cs="Times New Roman"/>
                <w:color w:val="auto"/>
                <w:sz w:val="21"/>
                <w:szCs w:val="21"/>
                <w:highlight w:val="none"/>
                <w:lang w:val="en-US" w:eastAsia="zh-CN"/>
              </w:rPr>
              <w:t>覆膜</w:t>
            </w:r>
            <w:r>
              <w:rPr>
                <w:rFonts w:hint="default" w:ascii="Times New Roman" w:hAnsi="Times New Roman" w:eastAsia="宋体" w:cs="Times New Roman"/>
                <w:color w:val="auto"/>
                <w:sz w:val="21"/>
                <w:szCs w:val="21"/>
                <w:highlight w:val="none"/>
                <w:lang w:val="en-US" w:eastAsia="zh-CN"/>
              </w:rPr>
              <w:t>型机上方分别设置集气罩，共设置</w:t>
            </w: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个集气罩将废气统一收集进入</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default" w:ascii="Times New Roman" w:hAnsi="Times New Roman" w:eastAsia="宋体" w:cs="Times New Roman"/>
                <w:color w:val="auto"/>
                <w:sz w:val="21"/>
                <w:szCs w:val="21"/>
                <w:highlight w:val="none"/>
                <w:lang w:eastAsia="zh-CN"/>
              </w:rPr>
              <w:t>“三级活性炭吸附装置”</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1根15m高排气筒（</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排放，配套</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ascii="Times New Roman" w:hAnsi="Times New Roman" w:cs="Times New Roman"/>
                <w:i w:val="0"/>
                <w:iCs w:val="0"/>
                <w:color w:val="auto"/>
                <w:kern w:val="0"/>
                <w:sz w:val="21"/>
                <w:szCs w:val="21"/>
                <w:u w:val="none"/>
                <w:lang w:val="en-US" w:eastAsia="zh-CN" w:bidi="ar"/>
              </w:rPr>
              <w:t>2</w:t>
            </w:r>
            <w:r>
              <w:rPr>
                <w:rFonts w:hint="eastAsia" w:cs="Times New Roman"/>
                <w:i w:val="0"/>
                <w:iCs w:val="0"/>
                <w:color w:val="auto"/>
                <w:kern w:val="0"/>
                <w:sz w:val="21"/>
                <w:szCs w:val="21"/>
                <w:u w:val="none"/>
                <w:lang w:val="en-US" w:eastAsia="zh-CN" w:bidi="ar"/>
              </w:rPr>
              <w:t>5920</w:t>
            </w:r>
            <w:r>
              <w:rPr>
                <w:rFonts w:hint="default" w:ascii="Times New Roman" w:hAnsi="Times New Roman" w:eastAsia="宋体" w:cs="Times New Roman"/>
                <w:i w:val="0"/>
                <w:iCs w:val="0"/>
                <w:color w:val="auto"/>
                <w:kern w:val="0"/>
                <w:sz w:val="21"/>
                <w:szCs w:val="21"/>
                <w:u w:val="none"/>
                <w:lang w:val="en-US" w:eastAsia="zh-CN" w:bidi="ar"/>
              </w:rPr>
              <w:t>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/h</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2"/>
                <w:sz w:val="21"/>
                <w:szCs w:val="21"/>
                <w:highlight w:val="none"/>
              </w:rPr>
              <w:t>废气收集效率为</w:t>
            </w:r>
            <w:r>
              <w:rPr>
                <w:rFonts w:hint="eastAsia" w:cs="Times New Roman"/>
                <w:color w:val="auto"/>
                <w:kern w:val="2"/>
                <w:sz w:val="21"/>
                <w:szCs w:val="21"/>
                <w:highlight w:val="none"/>
                <w:lang w:val="en-US" w:eastAsia="zh-CN"/>
              </w:rPr>
              <w:t>8</w:t>
            </w:r>
            <w:r>
              <w:rPr>
                <w:rFonts w:hint="default" w:ascii="Times New Roman" w:hAnsi="Times New Roman" w:eastAsia="宋体" w:cs="Times New Roman"/>
                <w:color w:val="auto"/>
                <w:kern w:val="2"/>
                <w:sz w:val="21"/>
                <w:szCs w:val="21"/>
                <w:highlight w:val="none"/>
                <w:lang w:val="en-US" w:eastAsia="zh-CN"/>
              </w:rPr>
              <w:t>0</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val="en-US" w:eastAsia="zh-CN"/>
              </w:rPr>
              <w:t>，三</w:t>
            </w:r>
            <w:r>
              <w:rPr>
                <w:rFonts w:hint="default" w:ascii="Times New Roman" w:hAnsi="Times New Roman" w:eastAsia="宋体" w:cs="Times New Roman"/>
                <w:bCs/>
                <w:color w:val="auto"/>
                <w:sz w:val="21"/>
                <w:szCs w:val="21"/>
                <w:highlight w:val="none"/>
                <w:lang w:val="en-US" w:eastAsia="zh-CN"/>
              </w:rPr>
              <w:t>级</w:t>
            </w:r>
            <w:r>
              <w:rPr>
                <w:rFonts w:hint="default" w:ascii="Times New Roman" w:hAnsi="Times New Roman" w:eastAsia="宋体" w:cs="Times New Roman"/>
                <w:bCs/>
                <w:color w:val="auto"/>
                <w:sz w:val="21"/>
                <w:szCs w:val="21"/>
                <w:highlight w:val="none"/>
              </w:rPr>
              <w:t>活性炭去除效率</w:t>
            </w:r>
            <w:r>
              <w:rPr>
                <w:rFonts w:hint="eastAsia" w:cs="Times New Roman"/>
                <w:bCs/>
                <w:color w:val="auto"/>
                <w:sz w:val="21"/>
                <w:szCs w:val="21"/>
                <w:highlight w:val="none"/>
                <w:lang w:val="en-US" w:eastAsia="zh-CN"/>
              </w:rPr>
              <w:t>7</w:t>
            </w:r>
            <w:r>
              <w:rPr>
                <w:rFonts w:hint="default" w:ascii="Times New Roman" w:hAnsi="Times New Roman" w:eastAsia="宋体" w:cs="Times New Roman"/>
                <w:bCs/>
                <w:color w:val="auto"/>
                <w:sz w:val="21"/>
                <w:szCs w:val="21"/>
                <w:highlight w:val="none"/>
              </w:rPr>
              <w:t>0%</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0.6</w:t>
            </w:r>
            <w:r>
              <w:rPr>
                <w:rFonts w:hint="default" w:ascii="Times New Roman" w:hAnsi="Times New Roman" w:eastAsia="宋体" w:cs="Times New Roman"/>
                <w:bCs/>
                <w:color w:val="auto"/>
                <w:sz w:val="21"/>
                <w:szCs w:val="21"/>
                <w:highlight w:val="none"/>
                <w:lang w:val="en-US" w:eastAsia="zh-CN"/>
              </w:rPr>
              <w:t>m</w:t>
            </w:r>
            <w:r>
              <w:rPr>
                <w:rFonts w:hint="eastAsia" w:cs="Times New Roman"/>
                <w:color w:val="auto"/>
                <w:sz w:val="21"/>
                <w:szCs w:val="21"/>
                <w:highlight w:val="none"/>
                <w:lang w:eastAsia="zh-CN"/>
              </w:rPr>
              <w:t>，</w:t>
            </w:r>
            <w:r>
              <w:rPr>
                <w:rFonts w:hint="eastAsia" w:eastAsia="宋体"/>
                <w:color w:val="auto"/>
                <w:kern w:val="0"/>
                <w:szCs w:val="21"/>
                <w:lang w:bidi="ar"/>
              </w:rPr>
              <w:t>对氯化氢无处理效率</w:t>
            </w:r>
            <w:r>
              <w:rPr>
                <w:rFonts w:hint="default" w:ascii="Times New Roman" w:hAnsi="Times New Roman" w:eastAsia="宋体" w:cs="Times New Roman"/>
                <w:color w:val="auto"/>
                <w:sz w:val="21"/>
                <w:szCs w:val="21"/>
                <w:highlight w:val="none"/>
                <w:lang w:val="en-US" w:eastAsia="zh-CN"/>
              </w:rPr>
              <w:t>。</w:t>
            </w:r>
          </w:p>
        </w:tc>
        <w:tc>
          <w:tcPr>
            <w:tcW w:w="1934" w:type="dxa"/>
            <w:vMerge w:val="continue"/>
            <w:vAlign w:val="center"/>
          </w:tcPr>
          <w:p w14:paraId="78AD9BE9">
            <w:pPr>
              <w:shd w:val="clear"/>
              <w:adjustRightInd w:val="0"/>
              <w:snapToGrid w:val="0"/>
              <w:jc w:val="center"/>
              <w:rPr>
                <w:rFonts w:hint="default" w:ascii="Times New Roman" w:hAnsi="Times New Roman" w:eastAsia="宋体" w:cs="Times New Roman"/>
                <w:color w:val="auto"/>
                <w:sz w:val="21"/>
                <w:szCs w:val="21"/>
                <w:highlight w:val="none"/>
              </w:rPr>
            </w:pPr>
          </w:p>
        </w:tc>
      </w:tr>
      <w:tr w14:paraId="7B2C1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Merge w:val="continue"/>
            <w:vAlign w:val="center"/>
          </w:tcPr>
          <w:p w14:paraId="10DEAC22">
            <w:pPr>
              <w:shd w:val="clear"/>
              <w:adjustRightInd w:val="0"/>
              <w:snapToGrid w:val="0"/>
              <w:jc w:val="center"/>
              <w:rPr>
                <w:rFonts w:hint="default" w:ascii="Times New Roman" w:hAnsi="Times New Roman" w:eastAsia="宋体" w:cs="Times New Roman"/>
                <w:color w:val="auto"/>
                <w:sz w:val="21"/>
                <w:szCs w:val="21"/>
                <w:highlight w:val="none"/>
              </w:rPr>
            </w:pPr>
          </w:p>
        </w:tc>
        <w:tc>
          <w:tcPr>
            <w:tcW w:w="1759" w:type="dxa"/>
            <w:vAlign w:val="center"/>
          </w:tcPr>
          <w:p w14:paraId="4BF02FC0">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覆膜废气/</w:t>
            </w:r>
            <w:r>
              <w:rPr>
                <w:rFonts w:hint="default" w:ascii="Times New Roman" w:hAnsi="Times New Roman" w:eastAsia="宋体" w:cs="Times New Roman"/>
                <w:color w:val="auto"/>
                <w:sz w:val="21"/>
                <w:szCs w:val="21"/>
                <w:highlight w:val="none"/>
                <w:lang w:val="en-US" w:eastAsia="zh-CN"/>
              </w:rPr>
              <w:t>DA002</w:t>
            </w:r>
          </w:p>
        </w:tc>
        <w:tc>
          <w:tcPr>
            <w:tcW w:w="1384" w:type="dxa"/>
            <w:vAlign w:val="center"/>
          </w:tcPr>
          <w:p w14:paraId="584EA6D5">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非甲烷总烃</w:t>
            </w:r>
          </w:p>
        </w:tc>
        <w:tc>
          <w:tcPr>
            <w:tcW w:w="3039" w:type="dxa"/>
            <w:vMerge w:val="continue"/>
            <w:vAlign w:val="center"/>
          </w:tcPr>
          <w:p w14:paraId="4A4A199D">
            <w:pPr>
              <w:shd w:val="clea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1934" w:type="dxa"/>
            <w:vMerge w:val="continue"/>
            <w:vAlign w:val="center"/>
          </w:tcPr>
          <w:p w14:paraId="59EF86E6">
            <w:pPr>
              <w:shd w:val="clear"/>
              <w:adjustRightInd w:val="0"/>
              <w:snapToGrid w:val="0"/>
              <w:jc w:val="center"/>
              <w:rPr>
                <w:rFonts w:hint="default" w:ascii="Times New Roman" w:hAnsi="Times New Roman" w:eastAsia="宋体" w:cs="Times New Roman"/>
                <w:color w:val="auto"/>
                <w:sz w:val="21"/>
                <w:szCs w:val="21"/>
                <w:highlight w:val="none"/>
              </w:rPr>
            </w:pPr>
          </w:p>
        </w:tc>
      </w:tr>
      <w:tr w14:paraId="648825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Merge w:val="continue"/>
            <w:vAlign w:val="center"/>
          </w:tcPr>
          <w:p w14:paraId="16D6DC4C">
            <w:pPr>
              <w:shd w:val="clear"/>
              <w:adjustRightInd w:val="0"/>
              <w:snapToGrid w:val="0"/>
              <w:jc w:val="center"/>
              <w:rPr>
                <w:rFonts w:hint="default" w:ascii="Times New Roman" w:hAnsi="Times New Roman" w:eastAsia="宋体" w:cs="Times New Roman"/>
                <w:color w:val="auto"/>
                <w:sz w:val="21"/>
                <w:szCs w:val="21"/>
                <w:highlight w:val="none"/>
              </w:rPr>
            </w:pPr>
          </w:p>
        </w:tc>
        <w:tc>
          <w:tcPr>
            <w:tcW w:w="1759" w:type="dxa"/>
            <w:vAlign w:val="center"/>
          </w:tcPr>
          <w:p w14:paraId="587ABD91">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lang w:val="en-US" w:eastAsia="zh-CN"/>
              </w:rPr>
              <w:t>生产</w:t>
            </w:r>
            <w:r>
              <w:rPr>
                <w:rFonts w:hint="default" w:ascii="Times New Roman" w:hAnsi="Times New Roman" w:eastAsia="宋体" w:cs="Times New Roman"/>
                <w:color w:val="auto"/>
                <w:sz w:val="21"/>
                <w:szCs w:val="21"/>
                <w:highlight w:val="none"/>
                <w:lang w:val="en-US" w:eastAsia="zh-CN"/>
              </w:rPr>
              <w:t>过程未收集无组织废气</w:t>
            </w:r>
          </w:p>
        </w:tc>
        <w:tc>
          <w:tcPr>
            <w:tcW w:w="1384" w:type="dxa"/>
            <w:vAlign w:val="center"/>
          </w:tcPr>
          <w:p w14:paraId="10B68D2A">
            <w:pPr>
              <w:shd w:val="clea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颗粒物、非甲烷总烃</w:t>
            </w:r>
          </w:p>
        </w:tc>
        <w:tc>
          <w:tcPr>
            <w:tcW w:w="3039" w:type="dxa"/>
            <w:vAlign w:val="center"/>
          </w:tcPr>
          <w:p w14:paraId="40F589C4">
            <w:pPr>
              <w:shd w:val="clear"/>
              <w:adjustRightInd w:val="0"/>
              <w:snapToGrid w:val="0"/>
              <w:spacing w:line="0" w:lineRule="atLeas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加强通风</w:t>
            </w:r>
            <w:r>
              <w:rPr>
                <w:rFonts w:hint="eastAsia" w:ascii="Times New Roman" w:hAnsi="Times New Roman" w:eastAsia="宋体" w:cs="Times New Roman"/>
                <w:color w:val="auto"/>
                <w:sz w:val="21"/>
                <w:szCs w:val="21"/>
                <w:highlight w:val="none"/>
                <w:lang w:val="en-US" w:eastAsia="zh-CN"/>
              </w:rPr>
              <w:t>及管理</w:t>
            </w:r>
            <w:r>
              <w:rPr>
                <w:rFonts w:hint="default" w:ascii="Times New Roman" w:hAnsi="Times New Roman" w:eastAsia="宋体" w:cs="Times New Roman"/>
                <w:color w:val="auto"/>
                <w:sz w:val="21"/>
                <w:szCs w:val="21"/>
                <w:highlight w:val="none"/>
                <w:lang w:val="en-US" w:eastAsia="zh-CN"/>
              </w:rPr>
              <w:t>。</w:t>
            </w:r>
          </w:p>
        </w:tc>
        <w:tc>
          <w:tcPr>
            <w:tcW w:w="1934" w:type="dxa"/>
            <w:vAlign w:val="center"/>
          </w:tcPr>
          <w:p w14:paraId="7BB16C22">
            <w:pPr>
              <w:shd w:val="clea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厂内无组织VOCs排放浓度限值执行</w:t>
            </w:r>
            <w:r>
              <w:rPr>
                <w:rFonts w:hint="default" w:ascii="Times New Roman" w:hAnsi="Times New Roman" w:eastAsia="宋体" w:cs="Times New Roman"/>
                <w:color w:val="auto"/>
                <w:sz w:val="21"/>
                <w:szCs w:val="21"/>
                <w:highlight w:val="none"/>
              </w:rPr>
              <w:t>《挥发性有机物无组织排放控制标准》</w:t>
            </w:r>
            <w:r>
              <w:rPr>
                <w:rFonts w:hint="default" w:ascii="Times New Roman" w:hAnsi="Times New Roman" w:eastAsia="宋体" w:cs="Times New Roman"/>
                <w:color w:val="auto"/>
                <w:sz w:val="21"/>
                <w:szCs w:val="21"/>
                <w:highlight w:val="none"/>
                <w:lang w:val="zh-CN"/>
              </w:rPr>
              <w:t>（GB</w:t>
            </w:r>
            <w:r>
              <w:rPr>
                <w:rFonts w:hint="default" w:ascii="Times New Roman" w:hAnsi="Times New Roman" w:eastAsia="宋体" w:cs="Times New Roman"/>
                <w:color w:val="auto"/>
                <w:sz w:val="21"/>
                <w:szCs w:val="21"/>
                <w:highlight w:val="none"/>
              </w:rPr>
              <w:t>37822</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rPr>
              <w:t>2019</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rPr>
              <w:t>中的要求</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臭气浓度执行</w:t>
            </w:r>
            <w:r>
              <w:rPr>
                <w:rFonts w:hint="default" w:ascii="Times New Roman" w:hAnsi="Times New Roman" w:eastAsia="宋体" w:cs="Times New Roman"/>
                <w:color w:val="auto"/>
                <w:sz w:val="21"/>
                <w:szCs w:val="21"/>
                <w:highlight w:val="none"/>
                <w:lang w:val="zh-CN"/>
              </w:rPr>
              <w:t>《恶臭污染物排放标准》（GB14554-93）表1</w:t>
            </w:r>
            <w:r>
              <w:rPr>
                <w:rFonts w:hint="default" w:ascii="Times New Roman" w:hAnsi="Times New Roman" w:eastAsia="宋体" w:cs="Times New Roman"/>
                <w:color w:val="auto"/>
                <w:sz w:val="21"/>
                <w:szCs w:val="21"/>
                <w:highlight w:val="none"/>
              </w:rPr>
              <w:t>中二级新建</w:t>
            </w:r>
            <w:r>
              <w:rPr>
                <w:rFonts w:hint="default" w:ascii="Times New Roman" w:hAnsi="Times New Roman" w:eastAsia="宋体" w:cs="Times New Roman"/>
                <w:color w:val="auto"/>
                <w:sz w:val="21"/>
                <w:szCs w:val="21"/>
                <w:highlight w:val="none"/>
                <w:lang w:val="zh-CN"/>
              </w:rPr>
              <w:t>企业厂界排放标准要求。</w:t>
            </w:r>
          </w:p>
        </w:tc>
      </w:tr>
      <w:tr w14:paraId="0A203F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Merge w:val="continue"/>
            <w:vAlign w:val="center"/>
          </w:tcPr>
          <w:p w14:paraId="6B12DBF6">
            <w:pPr>
              <w:shd w:val="clear"/>
              <w:adjustRightInd w:val="0"/>
              <w:snapToGrid w:val="0"/>
              <w:jc w:val="center"/>
              <w:rPr>
                <w:rFonts w:hint="default" w:ascii="Times New Roman" w:hAnsi="Times New Roman" w:eastAsia="宋体" w:cs="Times New Roman"/>
                <w:color w:val="auto"/>
                <w:sz w:val="21"/>
                <w:szCs w:val="21"/>
                <w:highlight w:val="none"/>
              </w:rPr>
            </w:pPr>
          </w:p>
        </w:tc>
        <w:tc>
          <w:tcPr>
            <w:tcW w:w="1759" w:type="dxa"/>
            <w:vAlign w:val="center"/>
          </w:tcPr>
          <w:p w14:paraId="2DE82B64">
            <w:pPr>
              <w:pStyle w:val="5"/>
              <w:shd w:val="clear"/>
              <w:spacing w:after="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食堂</w:t>
            </w:r>
          </w:p>
        </w:tc>
        <w:tc>
          <w:tcPr>
            <w:tcW w:w="1384" w:type="dxa"/>
            <w:vAlign w:val="center"/>
          </w:tcPr>
          <w:p w14:paraId="2A7D4D7D">
            <w:pPr>
              <w:pStyle w:val="5"/>
              <w:shd w:val="clear"/>
              <w:spacing w:after="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油烟</w:t>
            </w:r>
          </w:p>
        </w:tc>
        <w:tc>
          <w:tcPr>
            <w:tcW w:w="3039" w:type="dxa"/>
            <w:vAlign w:val="center"/>
          </w:tcPr>
          <w:p w14:paraId="4E65EDBC">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食堂油烟配套“1台油烟净化设施+高于</w:t>
            </w:r>
            <w:r>
              <w:rPr>
                <w:rFonts w:hint="default" w:ascii="Times New Roman" w:hAnsi="Times New Roman" w:eastAsia="宋体" w:cs="Times New Roman"/>
                <w:color w:val="auto"/>
                <w:sz w:val="21"/>
                <w:szCs w:val="21"/>
                <w:highlight w:val="none"/>
                <w:lang w:val="en-US" w:eastAsia="zh-CN"/>
              </w:rPr>
              <w:t>食堂</w:t>
            </w:r>
            <w:r>
              <w:rPr>
                <w:rFonts w:hint="default" w:ascii="Times New Roman" w:hAnsi="Times New Roman" w:eastAsia="宋体" w:cs="Times New Roman"/>
                <w:color w:val="auto"/>
                <w:sz w:val="21"/>
                <w:szCs w:val="21"/>
                <w:highlight w:val="none"/>
              </w:rPr>
              <w:t>房顶1.5m高的排气筒”，油烟净化器净化效率不低于60%。</w:t>
            </w:r>
          </w:p>
        </w:tc>
        <w:tc>
          <w:tcPr>
            <w:tcW w:w="1934" w:type="dxa"/>
            <w:vAlign w:val="center"/>
          </w:tcPr>
          <w:p w14:paraId="771DE66E">
            <w:pPr>
              <w:shd w:val="clea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《饮食业油烟排放标准（试行）》（GB18483-2001）中的小型规模</w:t>
            </w:r>
            <w:r>
              <w:rPr>
                <w:rFonts w:hint="default" w:ascii="Times New Roman" w:hAnsi="Times New Roman" w:eastAsia="宋体" w:cs="Times New Roman"/>
                <w:color w:val="auto"/>
                <w:sz w:val="21"/>
                <w:szCs w:val="21"/>
                <w:highlight w:val="none"/>
              </w:rPr>
              <w:t>最高允许排放浓度，即油烟≤</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.0mg/m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lang w:eastAsia="zh-CN"/>
              </w:rPr>
              <w:t>。</w:t>
            </w:r>
          </w:p>
        </w:tc>
      </w:tr>
      <w:tr w14:paraId="0F6A16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Merge w:val="restart"/>
            <w:vAlign w:val="center"/>
          </w:tcPr>
          <w:p w14:paraId="2BAFEBDB">
            <w:pPr>
              <w:shd w:val="clea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地表水环境</w:t>
            </w:r>
          </w:p>
        </w:tc>
        <w:tc>
          <w:tcPr>
            <w:tcW w:w="1759" w:type="dxa"/>
            <w:vAlign w:val="center"/>
          </w:tcPr>
          <w:p w14:paraId="29C976F2">
            <w:pPr>
              <w:pStyle w:val="5"/>
              <w:shd w:val="clear"/>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生产过程冷却水</w:t>
            </w:r>
          </w:p>
        </w:tc>
        <w:tc>
          <w:tcPr>
            <w:tcW w:w="1384" w:type="dxa"/>
            <w:vAlign w:val="center"/>
          </w:tcPr>
          <w:p w14:paraId="420EF809">
            <w:pPr>
              <w:pStyle w:val="5"/>
              <w:shd w:val="clear"/>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SS</w:t>
            </w:r>
          </w:p>
        </w:tc>
        <w:tc>
          <w:tcPr>
            <w:tcW w:w="3039" w:type="dxa"/>
            <w:vAlign w:val="center"/>
          </w:tcPr>
          <w:p w14:paraId="698554A9">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经循环水冷却池冷却后循环使用，不外排</w:t>
            </w:r>
            <w:r>
              <w:rPr>
                <w:rFonts w:hint="eastAsia" w:ascii="Times New Roman" w:hAnsi="Times New Roman" w:eastAsia="宋体" w:cs="Times New Roman"/>
                <w:color w:val="auto"/>
                <w:sz w:val="21"/>
                <w:szCs w:val="21"/>
                <w:highlight w:val="none"/>
                <w:lang w:val="en-US" w:eastAsia="zh-CN"/>
              </w:rPr>
              <w:t>。</w:t>
            </w:r>
          </w:p>
        </w:tc>
        <w:tc>
          <w:tcPr>
            <w:tcW w:w="1934" w:type="dxa"/>
            <w:vAlign w:val="center"/>
          </w:tcPr>
          <w:p w14:paraId="4D224036">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不外排</w:t>
            </w:r>
          </w:p>
        </w:tc>
      </w:tr>
      <w:tr w14:paraId="4513EC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84" w:type="dxa"/>
            <w:vMerge w:val="continue"/>
            <w:vAlign w:val="center"/>
          </w:tcPr>
          <w:p w14:paraId="73E8BD94">
            <w:pPr>
              <w:shd w:val="clear"/>
              <w:adjustRightInd w:val="0"/>
              <w:snapToGrid w:val="0"/>
              <w:jc w:val="center"/>
              <w:rPr>
                <w:rFonts w:hint="default" w:ascii="Times New Roman" w:hAnsi="Times New Roman" w:eastAsia="宋体" w:cs="Times New Roman"/>
                <w:color w:val="auto"/>
                <w:sz w:val="21"/>
                <w:szCs w:val="21"/>
                <w:highlight w:val="none"/>
              </w:rPr>
            </w:pPr>
          </w:p>
        </w:tc>
        <w:tc>
          <w:tcPr>
            <w:tcW w:w="1759" w:type="dxa"/>
            <w:vAlign w:val="center"/>
          </w:tcPr>
          <w:p w14:paraId="7C7A2AD1">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食堂废水、其他办公生活污水</w:t>
            </w:r>
          </w:p>
        </w:tc>
        <w:tc>
          <w:tcPr>
            <w:tcW w:w="1384" w:type="dxa"/>
            <w:vAlign w:val="center"/>
          </w:tcPr>
          <w:p w14:paraId="0C4860A6">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0"/>
                <w:szCs w:val="21"/>
                <w:highlight w:val="none"/>
                <w:lang w:val="en-US" w:eastAsia="zh-CN"/>
              </w:rPr>
              <w:t>PH、</w:t>
            </w:r>
            <w:r>
              <w:rPr>
                <w:rFonts w:hint="default" w:ascii="Times New Roman" w:hAnsi="Times New Roman" w:eastAsia="宋体" w:cs="Times New Roman"/>
                <w:color w:val="auto"/>
                <w:kern w:val="0"/>
                <w:szCs w:val="21"/>
                <w:highlight w:val="none"/>
              </w:rPr>
              <w:t>CODcr</w:t>
            </w:r>
            <w:r>
              <w:rPr>
                <w:rFonts w:hint="default" w:ascii="Times New Roman" w:hAnsi="Times New Roman" w:eastAsia="宋体" w:cs="Times New Roman"/>
                <w:color w:val="auto"/>
                <w:szCs w:val="21"/>
                <w:highlight w:val="none"/>
                <w:lang w:bidi="ar"/>
              </w:rPr>
              <w:t>、</w:t>
            </w:r>
            <w:r>
              <w:rPr>
                <w:rFonts w:hint="default" w:ascii="Times New Roman" w:hAnsi="Times New Roman" w:eastAsia="宋体" w:cs="Times New Roman"/>
                <w:color w:val="auto"/>
                <w:kern w:val="0"/>
                <w:szCs w:val="21"/>
                <w:highlight w:val="none"/>
              </w:rPr>
              <w:t>BOD</w:t>
            </w:r>
            <w:r>
              <w:rPr>
                <w:rFonts w:hint="default" w:ascii="Times New Roman" w:hAnsi="Times New Roman" w:eastAsia="宋体" w:cs="Times New Roman"/>
                <w:color w:val="auto"/>
                <w:kern w:val="0"/>
                <w:szCs w:val="21"/>
                <w:highlight w:val="none"/>
                <w:vertAlign w:val="subscript"/>
              </w:rPr>
              <w:t>5</w:t>
            </w:r>
            <w:r>
              <w:rPr>
                <w:rFonts w:hint="default" w:ascii="Times New Roman" w:hAnsi="Times New Roman" w:eastAsia="宋体" w:cs="Times New Roman"/>
                <w:color w:val="auto"/>
                <w:szCs w:val="21"/>
                <w:highlight w:val="none"/>
                <w:lang w:bidi="ar"/>
              </w:rPr>
              <w:t>、</w:t>
            </w:r>
            <w:r>
              <w:rPr>
                <w:rFonts w:hint="default" w:ascii="Times New Roman" w:hAnsi="Times New Roman" w:eastAsia="宋体" w:cs="Times New Roman"/>
                <w:color w:val="auto"/>
                <w:kern w:val="0"/>
                <w:szCs w:val="21"/>
                <w:highlight w:val="none"/>
              </w:rPr>
              <w:t>SS</w:t>
            </w:r>
            <w:r>
              <w:rPr>
                <w:rFonts w:hint="default" w:ascii="Times New Roman" w:hAnsi="Times New Roman" w:eastAsia="宋体" w:cs="Times New Roman"/>
                <w:color w:val="auto"/>
                <w:szCs w:val="21"/>
                <w:highlight w:val="none"/>
                <w:lang w:bidi="ar"/>
              </w:rPr>
              <w:t>、</w:t>
            </w:r>
            <w:r>
              <w:rPr>
                <w:rFonts w:hint="default" w:ascii="Times New Roman" w:hAnsi="Times New Roman" w:eastAsia="宋体" w:cs="Times New Roman"/>
                <w:color w:val="auto"/>
                <w:kern w:val="0"/>
                <w:szCs w:val="21"/>
                <w:highlight w:val="none"/>
              </w:rPr>
              <w:t>氨氮</w:t>
            </w:r>
            <w:r>
              <w:rPr>
                <w:rFonts w:hint="default" w:ascii="Times New Roman" w:hAnsi="Times New Roman" w:eastAsia="宋体" w:cs="Times New Roman"/>
                <w:color w:val="auto"/>
                <w:szCs w:val="21"/>
                <w:highlight w:val="none"/>
                <w:lang w:bidi="ar"/>
              </w:rPr>
              <w:t>、</w:t>
            </w:r>
            <w:r>
              <w:rPr>
                <w:rFonts w:hint="default" w:ascii="Times New Roman" w:hAnsi="Times New Roman" w:eastAsia="宋体" w:cs="Times New Roman"/>
                <w:color w:val="auto"/>
                <w:szCs w:val="21"/>
                <w:highlight w:val="none"/>
                <w:lang w:eastAsia="zh-CN" w:bidi="ar"/>
              </w:rPr>
              <w:t>总磷、</w:t>
            </w:r>
            <w:r>
              <w:rPr>
                <w:rFonts w:hint="default" w:ascii="Times New Roman" w:hAnsi="Times New Roman" w:eastAsia="宋体" w:cs="Times New Roman"/>
                <w:color w:val="auto"/>
                <w:szCs w:val="21"/>
                <w:highlight w:val="none"/>
                <w:lang w:val="en-US" w:eastAsia="zh-CN" w:bidi="ar"/>
              </w:rPr>
              <w:t>动植物油</w:t>
            </w:r>
          </w:p>
        </w:tc>
        <w:tc>
          <w:tcPr>
            <w:tcW w:w="3039" w:type="dxa"/>
            <w:vAlign w:val="center"/>
          </w:tcPr>
          <w:p w14:paraId="0796BB90">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食堂废水经隔油池处理后，与生活污水一同进入</w:t>
            </w:r>
            <w:r>
              <w:rPr>
                <w:rFonts w:hint="eastAsia" w:ascii="Times New Roman" w:hAnsi="Times New Roman" w:eastAsia="宋体" w:cs="Times New Roman"/>
                <w:color w:val="auto"/>
                <w:sz w:val="21"/>
                <w:szCs w:val="21"/>
                <w:highlight w:val="none"/>
                <w:lang w:val="en-US" w:eastAsia="zh-CN"/>
              </w:rPr>
              <w:t>依托的</w:t>
            </w:r>
            <w:r>
              <w:rPr>
                <w:rFonts w:hint="default" w:ascii="Times New Roman" w:hAnsi="Times New Roman" w:eastAsia="宋体" w:cs="Times New Roman"/>
                <w:color w:val="auto"/>
                <w:sz w:val="21"/>
                <w:szCs w:val="21"/>
                <w:highlight w:val="none"/>
                <w:lang w:val="en-US" w:eastAsia="zh-CN"/>
              </w:rPr>
              <w:t>化粪池处理</w:t>
            </w:r>
            <w:r>
              <w:rPr>
                <w:rFonts w:hint="eastAsia" w:ascii="Times New Roman" w:hAnsi="Times New Roman" w:eastAsia="宋体" w:cs="Times New Roman"/>
                <w:color w:val="auto"/>
                <w:sz w:val="21"/>
                <w:szCs w:val="21"/>
                <w:highlight w:val="none"/>
                <w:lang w:val="en-US" w:eastAsia="zh-CN"/>
              </w:rPr>
              <w:t>后</w:t>
            </w:r>
            <w:r>
              <w:rPr>
                <w:rFonts w:hint="default" w:ascii="Times New Roman" w:hAnsi="Times New Roman" w:eastAsia="宋体" w:cs="Times New Roman"/>
                <w:color w:val="auto"/>
                <w:sz w:val="21"/>
                <w:szCs w:val="21"/>
                <w:highlight w:val="none"/>
                <w:lang w:val="en-US" w:eastAsia="zh-CN"/>
              </w:rPr>
              <w:t>再进入到厂区</w:t>
            </w:r>
            <w:r>
              <w:rPr>
                <w:rFonts w:hint="eastAsia" w:ascii="Times New Roman" w:hAnsi="Times New Roman" w:eastAsia="宋体" w:cs="Times New Roman"/>
                <w:color w:val="auto"/>
                <w:sz w:val="21"/>
                <w:szCs w:val="21"/>
                <w:highlight w:val="none"/>
                <w:lang w:val="en-US" w:eastAsia="zh-CN"/>
              </w:rPr>
              <w:t>依托的一体化污水处理站</w:t>
            </w:r>
            <w:r>
              <w:rPr>
                <w:rFonts w:hint="default" w:ascii="Times New Roman" w:hAnsi="Times New Roman" w:eastAsia="宋体" w:cs="Times New Roman"/>
                <w:color w:val="auto"/>
                <w:sz w:val="21"/>
                <w:szCs w:val="21"/>
                <w:highlight w:val="none"/>
                <w:lang w:val="en-US" w:eastAsia="zh-CN"/>
              </w:rPr>
              <w:t>处理后，达到《城市污水再生利用 城市杂用水水质》（GB/T18920-2020）中的城市绿化、道路清扫、消防、建筑施工标准后，用于项目区内绿化及道路场地洒水降尘，不外排。雨天储存于</w:t>
            </w:r>
            <w:r>
              <w:rPr>
                <w:rFonts w:hint="eastAsia" w:ascii="Times New Roman" w:hAnsi="Times New Roman" w:eastAsia="宋体" w:cs="Times New Roman"/>
                <w:color w:val="auto"/>
                <w:sz w:val="21"/>
                <w:szCs w:val="21"/>
                <w:highlight w:val="none"/>
                <w:lang w:val="en-US" w:eastAsia="zh-CN"/>
              </w:rPr>
              <w:t>清</w:t>
            </w:r>
            <w:r>
              <w:rPr>
                <w:rFonts w:hint="default" w:ascii="Times New Roman" w:hAnsi="Times New Roman" w:eastAsia="宋体" w:cs="Times New Roman"/>
                <w:color w:val="auto"/>
                <w:sz w:val="21"/>
                <w:szCs w:val="21"/>
                <w:highlight w:val="none"/>
                <w:lang w:val="en-US" w:eastAsia="zh-CN"/>
              </w:rPr>
              <w:t>水池中待晴天再回用，不外排。</w:t>
            </w:r>
          </w:p>
        </w:tc>
        <w:tc>
          <w:tcPr>
            <w:tcW w:w="1934" w:type="dxa"/>
            <w:vAlign w:val="center"/>
          </w:tcPr>
          <w:p w14:paraId="7363B8EA">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《城市污水再生利用 城市杂用水水质》（GB/T18920-2020）中的城市绿化、道路清扫、消防、建筑施工标准</w:t>
            </w:r>
            <w:r>
              <w:rPr>
                <w:rFonts w:hint="default" w:ascii="Times New Roman" w:hAnsi="Times New Roman" w:eastAsia="宋体" w:cs="Times New Roman"/>
                <w:color w:val="auto"/>
                <w:sz w:val="21"/>
                <w:szCs w:val="21"/>
                <w:highlight w:val="none"/>
              </w:rPr>
              <w:t>。</w:t>
            </w:r>
          </w:p>
        </w:tc>
      </w:tr>
      <w:tr w14:paraId="0B312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Merge w:val="continue"/>
            <w:vAlign w:val="center"/>
          </w:tcPr>
          <w:p w14:paraId="06D37CE3">
            <w:pPr>
              <w:shd w:val="clear"/>
              <w:adjustRightInd w:val="0"/>
              <w:snapToGrid w:val="0"/>
              <w:jc w:val="center"/>
              <w:rPr>
                <w:rFonts w:hint="default" w:ascii="Times New Roman" w:hAnsi="Times New Roman" w:eastAsia="宋体" w:cs="Times New Roman"/>
                <w:color w:val="auto"/>
                <w:sz w:val="21"/>
                <w:szCs w:val="21"/>
                <w:highlight w:val="none"/>
              </w:rPr>
            </w:pPr>
          </w:p>
        </w:tc>
        <w:tc>
          <w:tcPr>
            <w:tcW w:w="1759" w:type="dxa"/>
            <w:vAlign w:val="center"/>
          </w:tcPr>
          <w:p w14:paraId="20D8FE68">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p>
        </w:tc>
        <w:tc>
          <w:tcPr>
            <w:tcW w:w="1384" w:type="dxa"/>
            <w:vAlign w:val="center"/>
          </w:tcPr>
          <w:p w14:paraId="266DB010">
            <w:pPr>
              <w:shd w:val="clear"/>
              <w:adjustRightInd w:val="0"/>
              <w:snapToGrid w:val="0"/>
              <w:jc w:val="center"/>
              <w:rPr>
                <w:rFonts w:hint="default" w:ascii="Times New Roman" w:hAnsi="Times New Roman" w:eastAsia="宋体" w:cs="Times New Roman"/>
                <w:color w:val="auto"/>
                <w:sz w:val="21"/>
                <w:szCs w:val="21"/>
                <w:highlight w:val="none"/>
              </w:rPr>
            </w:pPr>
          </w:p>
        </w:tc>
        <w:tc>
          <w:tcPr>
            <w:tcW w:w="3039" w:type="dxa"/>
            <w:vAlign w:val="center"/>
          </w:tcPr>
          <w:p w14:paraId="362D7CE4">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c>
          <w:tcPr>
            <w:tcW w:w="1934" w:type="dxa"/>
            <w:vAlign w:val="center"/>
          </w:tcPr>
          <w:p w14:paraId="289B1C6E">
            <w:pPr>
              <w:keepNext w:val="0"/>
              <w:keepLines w:val="0"/>
              <w:widowControl w:val="0"/>
              <w:suppressLineNumbers w:val="0"/>
              <w:shd w:val="clear"/>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p>
        </w:tc>
      </w:tr>
      <w:tr w14:paraId="4FA63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Align w:val="center"/>
          </w:tcPr>
          <w:p w14:paraId="4D40BE79">
            <w:pPr>
              <w:shd w:val="clea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声环境</w:t>
            </w:r>
          </w:p>
        </w:tc>
        <w:tc>
          <w:tcPr>
            <w:tcW w:w="1759" w:type="dxa"/>
            <w:vAlign w:val="center"/>
          </w:tcPr>
          <w:p w14:paraId="564D5CAA">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Style w:val="98"/>
                <w:rFonts w:hint="default" w:ascii="Times New Roman" w:hAnsi="Times New Roman" w:eastAsia="宋体" w:cs="Times New Roman"/>
                <w:b w:val="0"/>
                <w:i w:val="0"/>
                <w:caps w:val="0"/>
                <w:color w:val="auto"/>
                <w:spacing w:val="0"/>
                <w:w w:val="100"/>
                <w:kern w:val="2"/>
                <w:sz w:val="21"/>
                <w:szCs w:val="21"/>
                <w:highlight w:val="none"/>
                <w:lang w:val="en-US" w:eastAsia="zh-CN" w:bidi="ar-SA"/>
              </w:rPr>
              <w:t>生产设备机组</w:t>
            </w:r>
          </w:p>
        </w:tc>
        <w:tc>
          <w:tcPr>
            <w:tcW w:w="1384" w:type="dxa"/>
            <w:vAlign w:val="center"/>
          </w:tcPr>
          <w:p w14:paraId="1FF05417">
            <w:pPr>
              <w:shd w:val="clear"/>
              <w:adjustRightInd w:val="0"/>
              <w:snapToGrid w:val="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Leq（A）</w:t>
            </w:r>
          </w:p>
        </w:tc>
        <w:tc>
          <w:tcPr>
            <w:tcW w:w="3039" w:type="dxa"/>
            <w:vAlign w:val="center"/>
          </w:tcPr>
          <w:p w14:paraId="44ED9832">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基础减震、厂房隔音。</w:t>
            </w:r>
          </w:p>
        </w:tc>
        <w:tc>
          <w:tcPr>
            <w:tcW w:w="1934" w:type="dxa"/>
            <w:vAlign w:val="center"/>
          </w:tcPr>
          <w:p w14:paraId="5ABF0F77">
            <w:pPr>
              <w:shd w:val="clear"/>
              <w:adjustRightInd w:val="0"/>
              <w:snapToGrid w:val="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厂界执行</w:t>
            </w:r>
            <w:r>
              <w:rPr>
                <w:rFonts w:hint="default" w:ascii="Times New Roman" w:hAnsi="Times New Roman" w:eastAsia="宋体" w:cs="Times New Roman"/>
                <w:color w:val="auto"/>
                <w:sz w:val="21"/>
                <w:szCs w:val="21"/>
                <w:highlight w:val="none"/>
              </w:rPr>
              <w:t>《工业企业厂界环境噪声排放标准》（GB12348-2008）</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类标准要求。</w:t>
            </w:r>
          </w:p>
        </w:tc>
      </w:tr>
      <w:tr w14:paraId="06A512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Align w:val="center"/>
          </w:tcPr>
          <w:p w14:paraId="622F303E">
            <w:pPr>
              <w:shd w:val="clea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电磁辐射</w:t>
            </w:r>
          </w:p>
        </w:tc>
        <w:tc>
          <w:tcPr>
            <w:tcW w:w="1759" w:type="dxa"/>
            <w:vAlign w:val="center"/>
          </w:tcPr>
          <w:p w14:paraId="40A90117">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384" w:type="dxa"/>
            <w:vAlign w:val="center"/>
          </w:tcPr>
          <w:p w14:paraId="3428326B">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039" w:type="dxa"/>
            <w:vAlign w:val="center"/>
          </w:tcPr>
          <w:p w14:paraId="08306F51">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934" w:type="dxa"/>
            <w:vAlign w:val="center"/>
          </w:tcPr>
          <w:p w14:paraId="6BEB8BDC">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064514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Align w:val="center"/>
          </w:tcPr>
          <w:p w14:paraId="3E25D392">
            <w:pPr>
              <w:shd w:val="clea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固体废物</w:t>
            </w:r>
          </w:p>
        </w:tc>
        <w:tc>
          <w:tcPr>
            <w:tcW w:w="8116" w:type="dxa"/>
            <w:gridSpan w:val="4"/>
            <w:vAlign w:val="center"/>
          </w:tcPr>
          <w:p w14:paraId="30AB8778">
            <w:pPr>
              <w:shd w:val="clea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b w:val="0"/>
                <w:bCs w:val="0"/>
                <w:color w:val="auto"/>
                <w:sz w:val="21"/>
                <w:szCs w:val="21"/>
                <w:highlight w:val="none"/>
                <w:lang w:val="en-US" w:eastAsia="zh-CN"/>
              </w:rPr>
              <w:t>项目</w:t>
            </w:r>
            <w:r>
              <w:rPr>
                <w:rFonts w:hint="eastAsia" w:cs="Times New Roman"/>
                <w:b w:val="0"/>
                <w:bCs w:val="0"/>
                <w:color w:val="auto"/>
                <w:sz w:val="21"/>
                <w:szCs w:val="21"/>
                <w:highlight w:val="none"/>
                <w:lang w:val="en-US" w:eastAsia="zh-CN"/>
              </w:rPr>
              <w:t>切割</w:t>
            </w:r>
            <w:r>
              <w:rPr>
                <w:rFonts w:hint="default" w:ascii="Times New Roman" w:hAnsi="Times New Roman" w:eastAsia="宋体" w:cs="Times New Roman"/>
                <w:b w:val="0"/>
                <w:bCs w:val="0"/>
                <w:color w:val="auto"/>
                <w:sz w:val="21"/>
                <w:szCs w:val="21"/>
                <w:highlight w:val="none"/>
                <w:lang w:val="en-US" w:eastAsia="zh-CN"/>
              </w:rPr>
              <w:t>过程产生的边角料</w:t>
            </w:r>
            <w:r>
              <w:rPr>
                <w:rFonts w:hint="eastAsia" w:cs="Times New Roman"/>
                <w:b w:val="0"/>
                <w:bCs w:val="0"/>
                <w:color w:val="auto"/>
                <w:sz w:val="21"/>
                <w:szCs w:val="21"/>
                <w:highlight w:val="none"/>
                <w:lang w:val="en-US" w:eastAsia="zh-CN"/>
              </w:rPr>
              <w:t>，检验过程产生的不合格产品，原辅料拆包、产品包装产生的</w:t>
            </w:r>
            <w:r>
              <w:rPr>
                <w:rFonts w:hint="default" w:ascii="Times New Roman" w:hAnsi="Times New Roman" w:eastAsia="宋体" w:cs="Times New Roman"/>
                <w:b w:val="0"/>
                <w:bCs w:val="0"/>
                <w:color w:val="auto"/>
                <w:sz w:val="21"/>
                <w:szCs w:val="21"/>
                <w:highlight w:val="none"/>
              </w:rPr>
              <w:t>废包装材料</w:t>
            </w:r>
            <w:r>
              <w:rPr>
                <w:rFonts w:hint="default" w:ascii="Times New Roman" w:hAnsi="Times New Roman" w:eastAsia="宋体" w:cs="Times New Roman"/>
                <w:b w:val="0"/>
                <w:bCs w:val="0"/>
                <w:color w:val="auto"/>
                <w:kern w:val="2"/>
                <w:sz w:val="21"/>
                <w:szCs w:val="21"/>
                <w:highlight w:val="none"/>
                <w:lang w:val="en-US" w:eastAsia="zh-CN" w:bidi="ar"/>
              </w:rPr>
              <w:t>统一收集后暂存于一般固体废物暂</w:t>
            </w:r>
            <w:r>
              <w:rPr>
                <w:rFonts w:hint="default" w:ascii="Times New Roman" w:hAnsi="Times New Roman" w:eastAsia="宋体" w:cs="Times New Roman"/>
                <w:b w:val="0"/>
                <w:bCs w:val="0"/>
                <w:color w:val="auto"/>
                <w:sz w:val="21"/>
                <w:szCs w:val="21"/>
                <w:highlight w:val="none"/>
                <w:lang w:val="en-US" w:eastAsia="zh-CN"/>
              </w:rPr>
              <w:t>存处，定期外售给废品收购站；</w:t>
            </w:r>
            <w:r>
              <w:rPr>
                <w:rFonts w:hint="eastAsia" w:cs="Times New Roman"/>
                <w:b w:val="0"/>
                <w:bCs w:val="0"/>
                <w:color w:val="auto"/>
                <w:sz w:val="21"/>
                <w:szCs w:val="21"/>
                <w:highlight w:val="none"/>
                <w:lang w:val="en-US" w:eastAsia="zh-CN"/>
              </w:rPr>
              <w:t>除尘器回收的</w:t>
            </w:r>
            <w:r>
              <w:rPr>
                <w:rFonts w:hint="default" w:ascii="Times New Roman" w:hAnsi="Times New Roman" w:eastAsia="宋体" w:cs="Times New Roman"/>
                <w:b w:val="0"/>
                <w:bCs w:val="0"/>
                <w:color w:val="auto"/>
                <w:sz w:val="21"/>
                <w:szCs w:val="21"/>
                <w:highlight w:val="none"/>
                <w:lang w:val="en-US" w:eastAsia="zh-CN"/>
              </w:rPr>
              <w:t>粉尘</w:t>
            </w:r>
            <w:r>
              <w:rPr>
                <w:rFonts w:hint="default" w:ascii="Times New Roman" w:hAnsi="Times New Roman" w:eastAsia="宋体" w:cs="Times New Roman"/>
                <w:b w:val="0"/>
                <w:bCs w:val="0"/>
                <w:color w:val="auto"/>
                <w:sz w:val="21"/>
                <w:szCs w:val="21"/>
                <w:highlight w:val="none"/>
                <w:lang w:val="zh-CN"/>
              </w:rPr>
              <w:t>统一收集后返回生产线再利用；</w:t>
            </w:r>
            <w:r>
              <w:rPr>
                <w:rFonts w:hint="default" w:ascii="Times New Roman" w:hAnsi="Times New Roman" w:eastAsia="宋体" w:cs="Times New Roman"/>
                <w:b w:val="0"/>
                <w:bCs w:val="0"/>
                <w:color w:val="auto"/>
                <w:sz w:val="21"/>
                <w:szCs w:val="21"/>
                <w:highlight w:val="none"/>
              </w:rPr>
              <w:t>生活垃圾</w:t>
            </w:r>
            <w:r>
              <w:rPr>
                <w:rFonts w:hint="default" w:ascii="Times New Roman" w:hAnsi="Times New Roman" w:eastAsia="宋体" w:cs="Times New Roman"/>
                <w:b w:val="0"/>
                <w:bCs w:val="0"/>
                <w:color w:val="auto"/>
                <w:sz w:val="21"/>
                <w:szCs w:val="21"/>
                <w:highlight w:val="none"/>
                <w:lang w:eastAsia="zh-CN"/>
              </w:rPr>
              <w:t>统一</w:t>
            </w:r>
            <w:r>
              <w:rPr>
                <w:rFonts w:hint="default" w:ascii="Times New Roman" w:hAnsi="Times New Roman" w:eastAsia="宋体" w:cs="Times New Roman"/>
                <w:b w:val="0"/>
                <w:bCs w:val="0"/>
                <w:color w:val="auto"/>
                <w:sz w:val="21"/>
                <w:szCs w:val="21"/>
                <w:highlight w:val="none"/>
              </w:rPr>
              <w:t>收集后</w:t>
            </w:r>
            <w:r>
              <w:rPr>
                <w:rFonts w:hint="default" w:ascii="Times New Roman" w:hAnsi="Times New Roman" w:eastAsia="宋体" w:cs="Times New Roman"/>
                <w:b w:val="0"/>
                <w:bCs w:val="0"/>
                <w:color w:val="auto"/>
                <w:sz w:val="21"/>
                <w:szCs w:val="21"/>
                <w:highlight w:val="none"/>
                <w:lang w:eastAsia="zh-CN"/>
              </w:rPr>
              <w:t>由当地</w:t>
            </w:r>
            <w:r>
              <w:rPr>
                <w:rFonts w:hint="default" w:ascii="Times New Roman" w:hAnsi="Times New Roman" w:eastAsia="宋体" w:cs="Times New Roman"/>
                <w:b w:val="0"/>
                <w:bCs w:val="0"/>
                <w:color w:val="auto"/>
                <w:sz w:val="21"/>
                <w:szCs w:val="21"/>
                <w:highlight w:val="none"/>
              </w:rPr>
              <w:t>环卫部门</w:t>
            </w:r>
            <w:r>
              <w:rPr>
                <w:rFonts w:hint="default" w:ascii="Times New Roman" w:hAnsi="Times New Roman" w:eastAsia="宋体" w:cs="Times New Roman"/>
                <w:b w:val="0"/>
                <w:bCs w:val="0"/>
                <w:color w:val="auto"/>
                <w:sz w:val="21"/>
                <w:szCs w:val="21"/>
                <w:highlight w:val="none"/>
                <w:lang w:eastAsia="zh-CN"/>
              </w:rPr>
              <w:t>定期</w:t>
            </w:r>
            <w:r>
              <w:rPr>
                <w:rFonts w:hint="default" w:ascii="Times New Roman" w:hAnsi="Times New Roman" w:eastAsia="宋体" w:cs="Times New Roman"/>
                <w:b w:val="0"/>
                <w:bCs w:val="0"/>
                <w:color w:val="auto"/>
                <w:sz w:val="21"/>
                <w:szCs w:val="21"/>
                <w:highlight w:val="none"/>
              </w:rPr>
              <w:t>清运</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处置</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食堂餐厨垃圾通过加盖塑料桶收集后</w:t>
            </w:r>
            <w:r>
              <w:rPr>
                <w:rFonts w:hint="default" w:ascii="Times New Roman" w:hAnsi="Times New Roman" w:eastAsia="宋体" w:cs="Times New Roman"/>
                <w:b w:val="0"/>
                <w:bCs w:val="0"/>
                <w:color w:val="auto"/>
                <w:sz w:val="21"/>
                <w:szCs w:val="21"/>
                <w:highlight w:val="none"/>
                <w:lang w:eastAsia="zh-CN"/>
              </w:rPr>
              <w:t>由有资质的单位定期清运、处置；</w:t>
            </w:r>
            <w:r>
              <w:rPr>
                <w:rFonts w:hint="default" w:ascii="Times New Roman" w:hAnsi="Times New Roman" w:eastAsia="宋体" w:cs="Times New Roman"/>
                <w:color w:val="auto"/>
                <w:sz w:val="21"/>
                <w:szCs w:val="21"/>
                <w:highlight w:val="none"/>
              </w:rPr>
              <w:t>废活性炭</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废矿物油、</w:t>
            </w:r>
            <w:r>
              <w:rPr>
                <w:rFonts w:hint="default" w:ascii="Times New Roman" w:hAnsi="Times New Roman" w:eastAsia="宋体" w:cs="Times New Roman"/>
                <w:color w:val="auto"/>
                <w:sz w:val="21"/>
                <w:szCs w:val="21"/>
                <w:highlight w:val="none"/>
              </w:rPr>
              <w:t>废弃的含油抹布、劳保用品收集暂存于危废暂存间后，委托资质单位</w:t>
            </w:r>
            <w:r>
              <w:rPr>
                <w:rFonts w:hint="default" w:ascii="Times New Roman" w:hAnsi="Times New Roman" w:eastAsia="宋体" w:cs="Times New Roman"/>
                <w:color w:val="auto"/>
                <w:sz w:val="21"/>
                <w:szCs w:val="21"/>
                <w:highlight w:val="none"/>
                <w:lang w:eastAsia="zh-CN"/>
              </w:rPr>
              <w:t>清运处置</w:t>
            </w:r>
            <w:r>
              <w:rPr>
                <w:rFonts w:hint="default" w:ascii="Times New Roman" w:hAnsi="Times New Roman" w:eastAsia="宋体" w:cs="Times New Roman"/>
                <w:color w:val="auto"/>
                <w:sz w:val="21"/>
                <w:szCs w:val="21"/>
                <w:highlight w:val="none"/>
              </w:rPr>
              <w:t>。</w:t>
            </w:r>
          </w:p>
        </w:tc>
      </w:tr>
      <w:tr w14:paraId="08F91F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Align w:val="center"/>
          </w:tcPr>
          <w:p w14:paraId="795C4AB1">
            <w:pPr>
              <w:shd w:val="clea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土壤及地下水污染防治措施</w:t>
            </w:r>
          </w:p>
        </w:tc>
        <w:tc>
          <w:tcPr>
            <w:tcW w:w="8116" w:type="dxa"/>
            <w:gridSpan w:val="4"/>
            <w:vAlign w:val="center"/>
          </w:tcPr>
          <w:p w14:paraId="63D7E414">
            <w:pPr>
              <w:widowControl/>
              <w:shd w:val="clear"/>
              <w:spacing w:line="240" w:lineRule="auto"/>
              <w:ind w:firstLine="0" w:firstLineChars="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分区防渗：①重点防渗：</w:t>
            </w:r>
            <w:r>
              <w:rPr>
                <w:rFonts w:hint="default" w:ascii="Times New Roman" w:hAnsi="Times New Roman" w:eastAsia="宋体" w:cs="Times New Roman"/>
                <w:b w:val="0"/>
                <w:bCs w:val="0"/>
                <w:color w:val="auto"/>
                <w:sz w:val="21"/>
                <w:szCs w:val="21"/>
                <w:highlight w:val="none"/>
                <w:lang w:val="zh-CN"/>
              </w:rPr>
              <w:t>危废暂存间地面及</w:t>
            </w:r>
            <w:r>
              <w:rPr>
                <w:rFonts w:hint="default" w:ascii="Times New Roman" w:hAnsi="Times New Roman" w:eastAsia="宋体" w:cs="Times New Roman"/>
                <w:b w:val="0"/>
                <w:bCs w:val="0"/>
                <w:color w:val="auto"/>
                <w:sz w:val="21"/>
                <w:szCs w:val="21"/>
                <w:highlight w:val="none"/>
                <w:lang w:val="en-US" w:eastAsia="zh-CN"/>
              </w:rPr>
              <w:t>四周墙裙脚</w:t>
            </w:r>
            <w:r>
              <w:rPr>
                <w:rFonts w:hint="default" w:ascii="Times New Roman" w:hAnsi="Times New Roman" w:eastAsia="宋体" w:cs="Times New Roman"/>
                <w:b w:val="0"/>
                <w:bCs w:val="0"/>
                <w:color w:val="auto"/>
                <w:sz w:val="21"/>
                <w:szCs w:val="21"/>
                <w:highlight w:val="none"/>
                <w:lang w:val="zh-CN"/>
              </w:rPr>
              <w:t>采用“</w:t>
            </w:r>
            <w:r>
              <w:rPr>
                <w:rFonts w:hint="default" w:ascii="Times New Roman" w:hAnsi="Times New Roman" w:eastAsia="宋体" w:cs="Times New Roman"/>
                <w:b w:val="0"/>
                <w:bCs w:val="0"/>
                <w:color w:val="auto"/>
                <w:sz w:val="21"/>
                <w:szCs w:val="21"/>
                <w:highlight w:val="none"/>
                <w:lang w:val="en-US" w:eastAsia="zh-CN"/>
              </w:rPr>
              <w:t>抗渗混凝土</w:t>
            </w:r>
            <w:r>
              <w:rPr>
                <w:rFonts w:hint="default" w:ascii="Times New Roman" w:hAnsi="Times New Roman" w:eastAsia="宋体" w:cs="Times New Roman"/>
                <w:b w:val="0"/>
                <w:bCs w:val="0"/>
                <w:color w:val="auto"/>
                <w:sz w:val="21"/>
                <w:szCs w:val="21"/>
                <w:highlight w:val="none"/>
                <w:lang w:val="zh-CN"/>
              </w:rPr>
              <w:t>+2mm厚HDPE+环氧树脂”</w:t>
            </w:r>
            <w:r>
              <w:rPr>
                <w:rFonts w:hint="default" w:ascii="Times New Roman" w:hAnsi="Times New Roman" w:eastAsia="宋体" w:cs="Times New Roman"/>
                <w:b w:val="0"/>
                <w:bCs w:val="0"/>
                <w:color w:val="auto"/>
                <w:sz w:val="21"/>
                <w:szCs w:val="21"/>
                <w:highlight w:val="none"/>
                <w:lang w:val="en-US" w:eastAsia="zh-CN"/>
              </w:rPr>
              <w:t>进行重点防渗处理</w:t>
            </w:r>
            <w:r>
              <w:rPr>
                <w:rFonts w:hint="default" w:ascii="Times New Roman" w:hAnsi="Times New Roman" w:eastAsia="宋体" w:cs="Times New Roman"/>
                <w:b w:val="0"/>
                <w:bCs w:val="0"/>
                <w:color w:val="auto"/>
                <w:sz w:val="21"/>
                <w:szCs w:val="21"/>
                <w:highlight w:val="none"/>
                <w:lang w:val="zh-CN"/>
              </w:rPr>
              <w:t>，渗透系数≤10</w:t>
            </w:r>
            <w:r>
              <w:rPr>
                <w:rFonts w:hint="default" w:ascii="Times New Roman" w:hAnsi="Times New Roman" w:eastAsia="宋体" w:cs="Times New Roman"/>
                <w:b w:val="0"/>
                <w:bCs w:val="0"/>
                <w:color w:val="auto"/>
                <w:sz w:val="21"/>
                <w:szCs w:val="21"/>
                <w:highlight w:val="none"/>
                <w:vertAlign w:val="superscript"/>
                <w:lang w:val="zh-CN"/>
              </w:rPr>
              <w:t>-10</w:t>
            </w:r>
            <w:r>
              <w:rPr>
                <w:rFonts w:hint="default" w:ascii="Times New Roman" w:hAnsi="Times New Roman" w:eastAsia="宋体" w:cs="Times New Roman"/>
                <w:b w:val="0"/>
                <w:bCs w:val="0"/>
                <w:color w:val="auto"/>
                <w:sz w:val="21"/>
                <w:szCs w:val="21"/>
                <w:highlight w:val="none"/>
                <w:lang w:val="zh-CN"/>
              </w:rPr>
              <w:t>cm/s</w:t>
            </w:r>
            <w:r>
              <w:rPr>
                <w:rFonts w:hint="default" w:ascii="Times New Roman" w:hAnsi="Times New Roman" w:eastAsia="宋体" w:cs="Times New Roman"/>
                <w:b w:val="0"/>
                <w:bCs w:val="0"/>
                <w:color w:val="auto"/>
                <w:sz w:val="21"/>
                <w:szCs w:val="21"/>
                <w:highlight w:val="none"/>
              </w:rPr>
              <w:t>，并按照要求设置规范的标识</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标牌</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②一般防渗区：</w:t>
            </w:r>
            <w:r>
              <w:rPr>
                <w:rFonts w:hint="default" w:ascii="Times New Roman" w:hAnsi="Times New Roman" w:eastAsia="宋体" w:cs="Times New Roman"/>
                <w:color w:val="auto"/>
                <w:sz w:val="21"/>
                <w:szCs w:val="21"/>
                <w:highlight w:val="none"/>
                <w:lang w:val="en-US" w:eastAsia="zh-CN"/>
              </w:rPr>
              <w:t>冷却</w:t>
            </w:r>
            <w:r>
              <w:rPr>
                <w:rFonts w:hint="eastAsia" w:cs="Times New Roman"/>
                <w:color w:val="auto"/>
                <w:sz w:val="21"/>
                <w:szCs w:val="21"/>
                <w:highlight w:val="none"/>
                <w:lang w:val="en-US" w:eastAsia="zh-CN"/>
              </w:rPr>
              <w:t>循环</w:t>
            </w:r>
            <w:r>
              <w:rPr>
                <w:rFonts w:hint="default" w:ascii="Times New Roman" w:hAnsi="Times New Roman" w:eastAsia="宋体" w:cs="Times New Roman"/>
                <w:color w:val="auto"/>
                <w:sz w:val="21"/>
                <w:szCs w:val="21"/>
                <w:highlight w:val="none"/>
                <w:lang w:val="en-US" w:eastAsia="zh-CN"/>
              </w:rPr>
              <w:t>水池、隔油池、</w:t>
            </w:r>
            <w:r>
              <w:rPr>
                <w:rFonts w:hint="default" w:ascii="Times New Roman" w:hAnsi="Times New Roman" w:eastAsia="宋体" w:cs="Times New Roman"/>
                <w:color w:val="auto"/>
                <w:highlight w:val="none"/>
                <w:lang w:val="en-US" w:eastAsia="zh-CN"/>
              </w:rPr>
              <w:t>一般固体废物暂存区</w:t>
            </w:r>
            <w:r>
              <w:rPr>
                <w:rFonts w:hint="default" w:ascii="Times New Roman" w:hAnsi="Times New Roman" w:eastAsia="宋体" w:cs="Times New Roman"/>
                <w:b w:val="0"/>
                <w:bCs w:val="0"/>
                <w:color w:val="auto"/>
                <w:sz w:val="21"/>
                <w:szCs w:val="21"/>
                <w:highlight w:val="none"/>
                <w:lang w:val="zh-CN"/>
              </w:rPr>
              <w:t>防渗技术要求达到等效黏土防渗层Mb≥1.5m，渗透系数≤10</w:t>
            </w:r>
            <w:r>
              <w:rPr>
                <w:rFonts w:hint="default" w:ascii="Times New Roman" w:hAnsi="Times New Roman" w:eastAsia="宋体" w:cs="Times New Roman"/>
                <w:b w:val="0"/>
                <w:bCs w:val="0"/>
                <w:color w:val="auto"/>
                <w:sz w:val="21"/>
                <w:szCs w:val="21"/>
                <w:highlight w:val="none"/>
                <w:vertAlign w:val="superscript"/>
                <w:lang w:val="zh-CN"/>
              </w:rPr>
              <w:t>-</w:t>
            </w:r>
            <w:r>
              <w:rPr>
                <w:rFonts w:hint="default" w:ascii="Times New Roman" w:hAnsi="Times New Roman" w:eastAsia="宋体" w:cs="Times New Roman"/>
                <w:b w:val="0"/>
                <w:bCs w:val="0"/>
                <w:color w:val="auto"/>
                <w:sz w:val="21"/>
                <w:szCs w:val="21"/>
                <w:highlight w:val="none"/>
                <w:vertAlign w:val="superscript"/>
                <w:lang w:val="en-US" w:eastAsia="zh-CN"/>
              </w:rPr>
              <w:t>7</w:t>
            </w:r>
            <w:r>
              <w:rPr>
                <w:rFonts w:hint="default" w:ascii="Times New Roman" w:hAnsi="Times New Roman" w:eastAsia="宋体" w:cs="Times New Roman"/>
                <w:b w:val="0"/>
                <w:bCs w:val="0"/>
                <w:color w:val="auto"/>
                <w:sz w:val="21"/>
                <w:szCs w:val="21"/>
                <w:highlight w:val="none"/>
                <w:lang w:val="zh-CN"/>
              </w:rPr>
              <w:t>cm/s。</w:t>
            </w:r>
            <w:r>
              <w:rPr>
                <w:rFonts w:hint="default" w:ascii="Times New Roman" w:hAnsi="Times New Roman" w:eastAsia="宋体" w:cs="Times New Roman"/>
                <w:b w:val="0"/>
                <w:bCs w:val="0"/>
                <w:color w:val="auto"/>
                <w:sz w:val="21"/>
                <w:szCs w:val="21"/>
                <w:highlight w:val="none"/>
                <w:lang w:val="en-US" w:eastAsia="zh-CN"/>
              </w:rPr>
              <w:t>③简单防渗区：</w:t>
            </w:r>
            <w:r>
              <w:rPr>
                <w:rFonts w:hint="default" w:ascii="Times New Roman" w:hAnsi="Times New Roman" w:eastAsia="宋体" w:cs="Times New Roman"/>
                <w:color w:val="auto"/>
                <w:sz w:val="21"/>
                <w:szCs w:val="21"/>
                <w:highlight w:val="none"/>
                <w:lang w:val="zh-CN"/>
              </w:rPr>
              <w:t>其余生产区、</w:t>
            </w:r>
            <w:r>
              <w:rPr>
                <w:rFonts w:hint="default" w:ascii="Times New Roman" w:hAnsi="Times New Roman" w:eastAsia="宋体" w:cs="Times New Roman"/>
                <w:color w:val="auto"/>
                <w:sz w:val="21"/>
                <w:szCs w:val="21"/>
                <w:highlight w:val="none"/>
              </w:rPr>
              <w:t>道路及</w:t>
            </w:r>
            <w:r>
              <w:rPr>
                <w:rFonts w:hint="default" w:ascii="Times New Roman" w:hAnsi="Times New Roman" w:eastAsia="宋体"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rPr>
              <w:t>区域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除绿化外</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zh-CN"/>
              </w:rPr>
              <w:t>进行一般</w:t>
            </w:r>
            <w:r>
              <w:rPr>
                <w:rFonts w:hint="default" w:ascii="Times New Roman" w:hAnsi="Times New Roman" w:eastAsia="宋体" w:cs="Times New Roman"/>
                <w:b w:val="0"/>
                <w:bCs w:val="0"/>
                <w:color w:val="auto"/>
                <w:sz w:val="21"/>
                <w:szCs w:val="21"/>
                <w:highlight w:val="none"/>
                <w:lang w:val="en-US" w:eastAsia="zh-CN"/>
              </w:rPr>
              <w:t>硬化处理。</w:t>
            </w:r>
          </w:p>
        </w:tc>
      </w:tr>
      <w:tr w14:paraId="42339D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Align w:val="center"/>
          </w:tcPr>
          <w:p w14:paraId="4A44CB0D">
            <w:pPr>
              <w:shd w:val="clea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生态保护措施</w:t>
            </w:r>
          </w:p>
        </w:tc>
        <w:tc>
          <w:tcPr>
            <w:tcW w:w="8116" w:type="dxa"/>
            <w:gridSpan w:val="4"/>
            <w:vAlign w:val="center"/>
          </w:tcPr>
          <w:p w14:paraId="277774F0">
            <w:pPr>
              <w:shd w:val="clea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项目充分利用空间进行绿化，达到美化环境的效果。</w:t>
            </w:r>
          </w:p>
        </w:tc>
      </w:tr>
      <w:tr w14:paraId="3544F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Align w:val="center"/>
          </w:tcPr>
          <w:p w14:paraId="4DCC0FFB">
            <w:pPr>
              <w:shd w:val="clea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环境风险防范措施</w:t>
            </w:r>
          </w:p>
        </w:tc>
        <w:tc>
          <w:tcPr>
            <w:tcW w:w="8116" w:type="dxa"/>
            <w:gridSpan w:val="4"/>
            <w:vAlign w:val="center"/>
          </w:tcPr>
          <w:p w14:paraId="1E781491">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1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①</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厂区进行分区防渗，</w:t>
            </w:r>
            <w:r>
              <w:rPr>
                <w:rFonts w:hint="default" w:ascii="Times New Roman" w:hAnsi="Times New Roman" w:eastAsia="宋体" w:cs="Times New Roman"/>
                <w:color w:val="auto"/>
                <w:sz w:val="21"/>
                <w:szCs w:val="21"/>
                <w:highlight w:val="none"/>
                <w:vertAlign w:val="baseline"/>
                <w:lang w:val="en-US" w:eastAsia="zh-CN"/>
              </w:rPr>
              <w:t>危废暂存间</w:t>
            </w:r>
            <w:r>
              <w:rPr>
                <w:rFonts w:hint="default" w:ascii="Times New Roman" w:hAnsi="Times New Roman" w:eastAsia="宋体" w:cs="Times New Roman"/>
                <w:color w:val="auto"/>
                <w:kern w:val="2"/>
                <w:sz w:val="21"/>
                <w:szCs w:val="21"/>
                <w:highlight w:val="none"/>
                <w:u w:val="none"/>
                <w:lang w:val="zh-CN" w:eastAsia="zh-CN" w:bidi="ar-SA"/>
              </w:rPr>
              <w:t>进行重点防渗，</w:t>
            </w:r>
            <w:r>
              <w:rPr>
                <w:rFonts w:hint="default" w:ascii="Times New Roman" w:hAnsi="Times New Roman" w:eastAsia="宋体" w:cs="Times New Roman"/>
                <w:color w:val="auto"/>
                <w:sz w:val="21"/>
                <w:szCs w:val="21"/>
                <w:highlight w:val="none"/>
              </w:rPr>
              <w:t>地面</w:t>
            </w:r>
            <w:r>
              <w:rPr>
                <w:rFonts w:hint="default" w:ascii="Times New Roman" w:hAnsi="Times New Roman" w:eastAsia="宋体" w:cs="Times New Roman"/>
                <w:color w:val="auto"/>
                <w:sz w:val="21"/>
                <w:szCs w:val="21"/>
                <w:highlight w:val="none"/>
                <w:lang w:val="en-US" w:eastAsia="zh-CN"/>
              </w:rPr>
              <w:t>和四周墙裙脚</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kern w:val="2"/>
                <w:sz w:val="21"/>
                <w:szCs w:val="21"/>
                <w:highlight w:val="none"/>
              </w:rPr>
              <w:t>“抗渗混凝土+2mm厚HDPE+环氧树脂涂料”</w:t>
            </w:r>
            <w:r>
              <w:rPr>
                <w:rFonts w:hint="default" w:ascii="Times New Roman" w:hAnsi="Times New Roman" w:eastAsia="宋体" w:cs="Times New Roman"/>
                <w:color w:val="auto"/>
                <w:sz w:val="21"/>
                <w:szCs w:val="21"/>
                <w:highlight w:val="none"/>
                <w:lang w:val="en-US" w:eastAsia="zh-CN"/>
              </w:rPr>
              <w:t>进行重点防渗</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en-US" w:eastAsia="zh-CN"/>
              </w:rPr>
              <w:t>渗透系数≤10</w:t>
            </w:r>
            <w:r>
              <w:rPr>
                <w:rFonts w:hint="default" w:ascii="Times New Roman" w:hAnsi="Times New Roman" w:eastAsia="宋体" w:cs="Times New Roman"/>
                <w:color w:val="auto"/>
                <w:sz w:val="21"/>
                <w:szCs w:val="21"/>
                <w:highlight w:val="none"/>
                <w:vertAlign w:val="superscript"/>
                <w:lang w:val="en-US" w:eastAsia="zh-CN"/>
              </w:rPr>
              <w:t>-10</w:t>
            </w:r>
            <w:r>
              <w:rPr>
                <w:rFonts w:hint="default" w:ascii="Times New Roman" w:hAnsi="Times New Roman" w:eastAsia="宋体" w:cs="Times New Roman"/>
                <w:color w:val="auto"/>
                <w:sz w:val="21"/>
                <w:szCs w:val="21"/>
                <w:highlight w:val="none"/>
                <w:lang w:val="en-US" w:eastAsia="zh-CN"/>
              </w:rPr>
              <w:t>cm/s，危废暂存间地面向内形成一定的坡度，并设置围堰或在门口设置门槛，防止</w:t>
            </w:r>
            <w:r>
              <w:rPr>
                <w:rFonts w:hint="default" w:ascii="Times New Roman" w:hAnsi="Times New Roman" w:eastAsia="宋体" w:cs="Times New Roman"/>
                <w:color w:val="auto"/>
                <w:kern w:val="2"/>
                <w:sz w:val="21"/>
                <w:szCs w:val="21"/>
                <w:highlight w:val="none"/>
                <w:u w:val="none"/>
                <w:lang w:val="zh-CN" w:eastAsia="zh-CN" w:bidi="ar-SA"/>
              </w:rPr>
              <w:t>废矿物油</w:t>
            </w:r>
            <w:r>
              <w:rPr>
                <w:rFonts w:hint="default" w:ascii="Times New Roman" w:hAnsi="Times New Roman" w:eastAsia="宋体" w:cs="Times New Roman"/>
                <w:color w:val="auto"/>
                <w:sz w:val="21"/>
                <w:szCs w:val="21"/>
                <w:highlight w:val="none"/>
                <w:lang w:val="en-US" w:eastAsia="zh-CN"/>
              </w:rPr>
              <w:t>泄漏后进入外环境。</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2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②</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设置专人进行管理，定期对危废储存</w:t>
            </w:r>
            <w:r>
              <w:rPr>
                <w:rFonts w:hint="default" w:ascii="Times New Roman" w:hAnsi="Times New Roman" w:eastAsia="宋体" w:cs="Times New Roman"/>
                <w:color w:val="auto"/>
                <w:kern w:val="2"/>
                <w:sz w:val="21"/>
                <w:szCs w:val="21"/>
                <w:highlight w:val="none"/>
                <w:u w:val="none"/>
                <w:lang w:val="zh-CN" w:eastAsia="zh-CN" w:bidi="ar-SA"/>
              </w:rPr>
              <w:t>容器</w:t>
            </w:r>
            <w:r>
              <w:rPr>
                <w:rFonts w:hint="default" w:ascii="Times New Roman" w:hAnsi="Times New Roman" w:eastAsia="宋体" w:cs="Times New Roman"/>
                <w:color w:val="auto"/>
                <w:sz w:val="21"/>
                <w:szCs w:val="21"/>
                <w:highlight w:val="none"/>
                <w:lang w:val="en-US" w:eastAsia="zh-CN"/>
              </w:rPr>
              <w:t>进行检查，并做好巡检记录及时发现事故隐患并迅速</w:t>
            </w:r>
            <w:r>
              <w:rPr>
                <w:rFonts w:hint="eastAsia" w:cs="Times New Roman"/>
                <w:color w:val="auto"/>
                <w:sz w:val="21"/>
                <w:szCs w:val="21"/>
                <w:highlight w:val="none"/>
                <w:lang w:val="en-US" w:eastAsia="zh-CN"/>
              </w:rPr>
              <w:t>予以</w:t>
            </w:r>
            <w:r>
              <w:rPr>
                <w:rFonts w:hint="default" w:ascii="Times New Roman" w:hAnsi="Times New Roman" w:eastAsia="宋体" w:cs="Times New Roman"/>
                <w:color w:val="auto"/>
                <w:sz w:val="21"/>
                <w:szCs w:val="21"/>
                <w:highlight w:val="none"/>
                <w:lang w:val="en-US" w:eastAsia="zh-CN"/>
              </w:rPr>
              <w:t>消除。</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3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③</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编制突发环境事件应急预案，并报</w:t>
            </w:r>
            <w:r>
              <w:rPr>
                <w:rFonts w:hint="default" w:ascii="Times New Roman" w:hAnsi="Times New Roman" w:eastAsia="宋体" w:cs="Times New Roman"/>
                <w:color w:val="auto"/>
                <w:sz w:val="21"/>
                <w:szCs w:val="21"/>
                <w:highlight w:val="none"/>
                <w:lang w:eastAsia="zh-CN"/>
              </w:rPr>
              <w:t>昆明市生态环境局寻甸分局</w:t>
            </w:r>
            <w:r>
              <w:rPr>
                <w:rFonts w:hint="default" w:ascii="Times New Roman" w:hAnsi="Times New Roman" w:eastAsia="宋体" w:cs="Times New Roman"/>
                <w:color w:val="auto"/>
                <w:sz w:val="21"/>
                <w:szCs w:val="21"/>
                <w:highlight w:val="none"/>
                <w:lang w:val="en-US" w:eastAsia="zh-CN"/>
              </w:rPr>
              <w:t>备案。建立完善的应急报告制度，落实应急物资和经费，日常加强应急演练。</w:t>
            </w:r>
          </w:p>
        </w:tc>
      </w:tr>
      <w:tr w14:paraId="152C48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4" w:type="dxa"/>
            <w:vAlign w:val="center"/>
          </w:tcPr>
          <w:p w14:paraId="71C3A169">
            <w:pPr>
              <w:shd w:val="clea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其他环境管理要求</w:t>
            </w:r>
          </w:p>
        </w:tc>
        <w:tc>
          <w:tcPr>
            <w:tcW w:w="8116" w:type="dxa"/>
            <w:gridSpan w:val="4"/>
            <w:vAlign w:val="center"/>
          </w:tcPr>
          <w:p w14:paraId="3DFD0856">
            <w:pPr>
              <w:keepNext w:val="0"/>
              <w:keepLines w:val="0"/>
              <w:pageBreakBefore w:val="0"/>
              <w:widowControl w:val="0"/>
              <w:shd w:val="clear"/>
              <w:kinsoku/>
              <w:wordWrap/>
              <w:overflowPunct/>
              <w:topLinePunct w:val="0"/>
              <w:autoSpaceDE/>
              <w:autoSpaceDN/>
              <w:bidi w:val="0"/>
              <w:adjustRightInd w:val="0"/>
              <w:snapToGrid w:val="0"/>
              <w:spacing w:line="348" w:lineRule="auto"/>
              <w:ind w:firstLine="422" w:firstLineChars="200"/>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1、环境管理计划</w:t>
            </w:r>
          </w:p>
          <w:p w14:paraId="655826EE">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1）根据国家环保政策、标准及环境监测要求，制定该项目运行期环境管理规章制度、各种污染物排放指标。</w:t>
            </w:r>
          </w:p>
          <w:p w14:paraId="737E3715">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2）项目建成投产前建设单位应自行组织项目竣工环境保护验收工作，检查环保设施是否达到“三同时”要求。</w:t>
            </w:r>
          </w:p>
          <w:p w14:paraId="7E1AE810">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3）加强环保设施的管理，定期检查</w:t>
            </w:r>
            <w:r>
              <w:rPr>
                <w:rFonts w:hint="default" w:ascii="Times New Roman" w:hAnsi="Times New Roman" w:eastAsia="宋体" w:cs="Times New Roman"/>
                <w:color w:val="auto"/>
                <w:szCs w:val="21"/>
                <w:highlight w:val="none"/>
                <w:lang w:val="en-US" w:eastAsia="zh-CN"/>
              </w:rPr>
              <w:t>厂</w:t>
            </w:r>
            <w:r>
              <w:rPr>
                <w:rFonts w:hint="default" w:ascii="Times New Roman" w:hAnsi="Times New Roman" w:eastAsia="宋体" w:cs="Times New Roman"/>
                <w:color w:val="auto"/>
                <w:szCs w:val="21"/>
                <w:highlight w:val="none"/>
              </w:rPr>
              <w:t>内环保设施运行情况。及时排除故障，保证环保设施正常运转</w:t>
            </w:r>
            <w:r>
              <w:rPr>
                <w:rFonts w:hint="default" w:ascii="Times New Roman" w:hAnsi="Times New Roman" w:eastAsia="宋体" w:cs="Times New Roman"/>
                <w:color w:val="auto"/>
                <w:szCs w:val="21"/>
                <w:highlight w:val="none"/>
                <w:lang w:eastAsia="zh-CN"/>
              </w:rPr>
              <w:t>。</w:t>
            </w:r>
          </w:p>
          <w:p w14:paraId="5691E532">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r>
              <w:rPr>
                <w:rFonts w:hint="default" w:ascii="Times New Roman" w:hAnsi="Times New Roman" w:eastAsia="宋体" w:cs="Times New Roman"/>
                <w:color w:val="auto"/>
                <w:szCs w:val="21"/>
                <w:highlight w:val="none"/>
                <w:lang w:val="en-US" w:eastAsia="zh-CN"/>
              </w:rPr>
              <w:t>危险废物</w:t>
            </w:r>
            <w:r>
              <w:rPr>
                <w:rFonts w:hint="default" w:ascii="Times New Roman" w:hAnsi="Times New Roman" w:eastAsia="宋体" w:cs="Times New Roman"/>
                <w:color w:val="auto"/>
                <w:szCs w:val="21"/>
                <w:highlight w:val="none"/>
              </w:rPr>
              <w:t>的收集管理应由专人负责，分类收集。</w:t>
            </w:r>
          </w:p>
          <w:p w14:paraId="76F3F339">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5）运用经济、教育、行政、法律及其它手段，加强项目区内人员的环保意识，加强环境保护的自觉性，不断提高环境管理水平。</w:t>
            </w:r>
          </w:p>
          <w:p w14:paraId="4EA6796D">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6）配合当地环保监测机构，实施环境监测计划。</w:t>
            </w:r>
          </w:p>
          <w:p w14:paraId="1610E550">
            <w:pPr>
              <w:keepNext w:val="0"/>
              <w:keepLines w:val="0"/>
              <w:pageBreakBefore w:val="0"/>
              <w:widowControl w:val="0"/>
              <w:shd w:val="clear"/>
              <w:kinsoku/>
              <w:wordWrap/>
              <w:overflowPunct/>
              <w:topLinePunct w:val="0"/>
              <w:autoSpaceDE/>
              <w:autoSpaceDN/>
              <w:bidi w:val="0"/>
              <w:adjustRightInd w:val="0"/>
              <w:snapToGrid w:val="0"/>
              <w:spacing w:line="348" w:lineRule="auto"/>
              <w:ind w:firstLine="422" w:firstLineChars="200"/>
              <w:jc w:val="lef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 xml:space="preserve">、排污许可证 </w:t>
            </w:r>
          </w:p>
          <w:p w14:paraId="04B56456">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本项目为</w:t>
            </w:r>
            <w:r>
              <w:rPr>
                <w:rFonts w:hint="eastAsia" w:ascii="Times New Roman" w:hAnsi="Times New Roman" w:eastAsia="宋体" w:cs="Times New Roman"/>
                <w:color w:val="auto"/>
                <w:sz w:val="21"/>
                <w:szCs w:val="21"/>
                <w:highlight w:val="none"/>
                <w:lang w:val="zh-CN" w:eastAsia="zh-CN"/>
              </w:rPr>
              <w:t>竹木纤维集成墙板及扣板</w:t>
            </w:r>
            <w:r>
              <w:rPr>
                <w:rFonts w:hint="default" w:ascii="Times New Roman" w:hAnsi="Times New Roman" w:eastAsia="宋体" w:cs="Times New Roman"/>
                <w:color w:val="auto"/>
                <w:sz w:val="21"/>
                <w:szCs w:val="21"/>
                <w:highlight w:val="none"/>
                <w:lang w:val="en-US" w:eastAsia="zh-CN"/>
              </w:rPr>
              <w:t>等生产制造项目，</w:t>
            </w:r>
            <w:r>
              <w:rPr>
                <w:rFonts w:hint="default" w:ascii="Times New Roman" w:hAnsi="Times New Roman" w:eastAsia="宋体" w:cs="Times New Roman"/>
                <w:color w:val="auto"/>
                <w:sz w:val="21"/>
                <w:szCs w:val="21"/>
                <w:highlight w:val="none"/>
                <w:lang w:eastAsia="zh-CN"/>
              </w:rPr>
              <w:t>国民经济行业类别为“</w:t>
            </w:r>
            <w:r>
              <w:rPr>
                <w:rFonts w:hint="default" w:ascii="Times New Roman" w:hAnsi="Times New Roman" w:eastAsia="宋体" w:cs="Times New Roman"/>
                <w:color w:val="auto"/>
                <w:sz w:val="21"/>
                <w:szCs w:val="21"/>
                <w:highlight w:val="none"/>
              </w:rPr>
              <w:t>塑料板、管、型材制造</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C2922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，根据《固定污染源排污许可分类管理名录（2019版）》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塑料制品业</w:t>
            </w:r>
            <w:r>
              <w:rPr>
                <w:rFonts w:hint="default" w:ascii="Times New Roman" w:hAnsi="Times New Roman" w:eastAsia="宋体" w:cs="Times New Roman"/>
                <w:color w:val="auto"/>
                <w:sz w:val="21"/>
                <w:szCs w:val="21"/>
                <w:highlight w:val="none"/>
                <w:lang w:val="en-US" w:eastAsia="zh-CN"/>
              </w:rPr>
              <w:t>292—</w:t>
            </w:r>
            <w:r>
              <w:rPr>
                <w:rFonts w:hint="default" w:ascii="Times New Roman" w:hAnsi="Times New Roman" w:eastAsia="宋体" w:cs="Times New Roman"/>
                <w:color w:val="auto"/>
                <w:sz w:val="21"/>
                <w:szCs w:val="21"/>
                <w:highlight w:val="none"/>
              </w:rPr>
              <w:t>年产1万吨及以上的泡沫塑料制造2924，年产1万吨及以上涉及改性的塑料薄膜制造2921、塑料板、管、型材制造2922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涉及通用工序简化管理的</w:t>
            </w:r>
            <w:r>
              <w:rPr>
                <w:rFonts w:hint="default" w:ascii="Times New Roman" w:hAnsi="Times New Roman" w:eastAsia="宋体" w:cs="Times New Roman"/>
                <w:color w:val="auto"/>
                <w:sz w:val="21"/>
                <w:szCs w:val="21"/>
                <w:highlight w:val="none"/>
                <w:lang w:val="en-US" w:eastAsia="zh-CN"/>
              </w:rPr>
              <w:t>”才需进行简化管理，本项目</w:t>
            </w:r>
            <w:r>
              <w:rPr>
                <w:rFonts w:hint="eastAsia" w:ascii="Times New Roman" w:hAnsi="Times New Roman" w:eastAsia="宋体" w:cs="Times New Roman"/>
                <w:color w:val="auto"/>
                <w:sz w:val="21"/>
                <w:szCs w:val="21"/>
                <w:highlight w:val="none"/>
                <w:lang w:val="zh-CN" w:eastAsia="zh-CN"/>
              </w:rPr>
              <w:t>竹木纤维集成墙板及扣板</w:t>
            </w:r>
            <w:r>
              <w:rPr>
                <w:rFonts w:hint="default" w:ascii="Times New Roman" w:hAnsi="Times New Roman" w:eastAsia="宋体" w:cs="Times New Roman"/>
                <w:color w:val="auto"/>
                <w:sz w:val="21"/>
                <w:szCs w:val="21"/>
                <w:highlight w:val="none"/>
                <w:lang w:val="en-US" w:eastAsia="zh-CN"/>
              </w:rPr>
              <w:t>产量仅为</w:t>
            </w:r>
            <w:r>
              <w:rPr>
                <w:rFonts w:hint="eastAsia" w:cs="Times New Roman"/>
                <w:color w:val="auto"/>
                <w:sz w:val="21"/>
                <w:szCs w:val="21"/>
                <w:highlight w:val="none"/>
                <w:lang w:val="en-US" w:eastAsia="zh-CN"/>
              </w:rPr>
              <w:t>1350</w:t>
            </w:r>
            <w:r>
              <w:rPr>
                <w:rFonts w:hint="default" w:ascii="Times New Roman" w:hAnsi="Times New Roman" w:eastAsia="宋体" w:cs="Times New Roman"/>
                <w:color w:val="auto"/>
                <w:sz w:val="21"/>
                <w:szCs w:val="21"/>
                <w:highlight w:val="none"/>
                <w:lang w:val="en-US" w:eastAsia="zh-CN"/>
              </w:rPr>
              <w:t>t/a，也不涉及通用工序中的简化管理，因此属于“其他”，</w:t>
            </w:r>
            <w:r>
              <w:rPr>
                <w:rFonts w:hint="default" w:ascii="Times New Roman" w:hAnsi="Times New Roman" w:eastAsia="宋体" w:cs="Times New Roman"/>
                <w:color w:val="auto"/>
                <w:sz w:val="21"/>
                <w:szCs w:val="21"/>
                <w:highlight w:val="none"/>
                <w:lang w:eastAsia="zh-CN"/>
              </w:rPr>
              <w:t>需进行排污</w:t>
            </w:r>
            <w:r>
              <w:rPr>
                <w:rFonts w:hint="default" w:ascii="Times New Roman" w:hAnsi="Times New Roman" w:eastAsia="宋体" w:cs="Times New Roman"/>
                <w:color w:val="auto"/>
                <w:sz w:val="21"/>
                <w:szCs w:val="21"/>
                <w:highlight w:val="none"/>
                <w:lang w:val="en-US" w:eastAsia="zh-CN"/>
              </w:rPr>
              <w:t>登记管理</w:t>
            </w:r>
            <w:r>
              <w:rPr>
                <w:rFonts w:hint="default" w:ascii="Times New Roman" w:hAnsi="Times New Roman" w:eastAsia="宋体" w:cs="Times New Roman"/>
                <w:color w:val="auto"/>
                <w:sz w:val="21"/>
                <w:szCs w:val="21"/>
                <w:highlight w:val="none"/>
              </w:rPr>
              <w:t>。</w:t>
            </w:r>
          </w:p>
          <w:p w14:paraId="31E87327">
            <w:pPr>
              <w:keepNext w:val="0"/>
              <w:keepLines w:val="0"/>
              <w:pageBreakBefore w:val="0"/>
              <w:widowControl w:val="0"/>
              <w:shd w:val="clear"/>
              <w:kinsoku/>
              <w:wordWrap/>
              <w:overflowPunct/>
              <w:topLinePunct w:val="0"/>
              <w:autoSpaceDE/>
              <w:autoSpaceDN/>
              <w:bidi w:val="0"/>
              <w:adjustRightInd w:val="0"/>
              <w:snapToGrid w:val="0"/>
              <w:spacing w:line="348" w:lineRule="auto"/>
              <w:ind w:firstLine="422" w:firstLineChars="200"/>
              <w:jc w:val="lef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rPr>
              <w:t>、排污口规范化设置</w:t>
            </w:r>
          </w:p>
          <w:p w14:paraId="42DC9398">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rPr>
              <w:t>排污口是</w:t>
            </w:r>
            <w:r>
              <w:rPr>
                <w:rFonts w:hint="default" w:ascii="Times New Roman" w:hAnsi="Times New Roman" w:eastAsia="宋体" w:cs="Times New Roman"/>
                <w:color w:val="auto"/>
                <w:sz w:val="21"/>
                <w:szCs w:val="21"/>
                <w:highlight w:val="none"/>
                <w:lang w:val="en-US" w:eastAsia="zh-CN"/>
              </w:rPr>
              <w:t>项目运营期</w:t>
            </w:r>
            <w:r>
              <w:rPr>
                <w:rFonts w:hint="default" w:ascii="Times New Roman" w:hAnsi="Times New Roman" w:eastAsia="宋体" w:cs="Times New Roman"/>
                <w:color w:val="auto"/>
                <w:sz w:val="21"/>
                <w:szCs w:val="21"/>
                <w:highlight w:val="none"/>
              </w:rPr>
              <w:t>污染物进入环境、污染环境的通道，强化</w:t>
            </w:r>
            <w:r>
              <w:rPr>
                <w:rFonts w:hint="default" w:ascii="Times New Roman" w:hAnsi="Times New Roman" w:eastAsia="宋体" w:cs="Times New Roman"/>
                <w:color w:val="auto"/>
                <w:szCs w:val="21"/>
                <w:highlight w:val="none"/>
              </w:rPr>
              <w:t>总排口管理是实施污染物总量控制的基础工作之一，也是环境管理逐步实现污染物科学化、定量化的主要手段。</w:t>
            </w:r>
          </w:p>
          <w:p w14:paraId="6D706574">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项目排放口设置满足以下要求：</w:t>
            </w:r>
          </w:p>
          <w:p w14:paraId="3CF51D70">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污染物排放口，应按国家《环境保护图形标志排放口（源）》（GB15562.1-1995）的规定，设置国家环保总局统一制作的环境保护图形标志牌；本项目废气排放口和废水处理设施均应设置相应标志，并进行专人管理。</w:t>
            </w:r>
          </w:p>
          <w:p w14:paraId="6B833367">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eastAsia" w:cs="Times New Roman"/>
                <w:color w:val="auto"/>
                <w:szCs w:val="21"/>
                <w:highlight w:val="none"/>
                <w:lang w:eastAsia="zh-CN"/>
              </w:rPr>
            </w:pPr>
            <w:r>
              <w:rPr>
                <w:rFonts w:hint="default" w:ascii="Times New Roman" w:hAnsi="Times New Roman" w:eastAsia="宋体" w:cs="Times New Roman"/>
                <w:color w:val="auto"/>
                <w:szCs w:val="21"/>
                <w:highlight w:val="none"/>
              </w:rPr>
              <w:t>（2）污染物排放口的环境保护图形标志牌应设置在靠近采样点的醒目处，标志牌设置高度为其上缘距地面约2m，排污口附近1m范围内有建筑物的，设平面式标志牌，无建筑物的设立式标志牌。公司应遵照国家对排污口规范的要求，在“三废”及部分噪声排放点设置标志，标志的设置应完全执行《环境保护图形标志排放口》（GB15562.1-1995）、《环境保护图形标志固体废物贮存（处置）场》（GB15562.2-1995）中有关规定</w:t>
            </w:r>
            <w:r>
              <w:rPr>
                <w:rFonts w:hint="default" w:ascii="Times New Roman" w:hAnsi="Times New Roman" w:eastAsia="宋体" w:cs="Times New Roman"/>
                <w:color w:val="auto"/>
                <w:szCs w:val="21"/>
                <w:highlight w:val="none"/>
                <w:lang w:eastAsia="zh-CN"/>
              </w:rPr>
              <w:t>。</w:t>
            </w:r>
          </w:p>
          <w:p w14:paraId="7415ED9E">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eastAsia" w:cs="Times New Roman"/>
                <w:color w:val="auto"/>
                <w:szCs w:val="21"/>
                <w:highlight w:val="none"/>
                <w:lang w:eastAsia="zh-CN"/>
              </w:rPr>
            </w:pPr>
          </w:p>
          <w:p w14:paraId="0C30C1C5">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eastAsia" w:cs="Times New Roman"/>
                <w:color w:val="auto"/>
                <w:szCs w:val="21"/>
                <w:highlight w:val="none"/>
                <w:lang w:eastAsia="zh-CN"/>
              </w:rPr>
            </w:pPr>
          </w:p>
          <w:p w14:paraId="2FA4D44A">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eastAsia" w:cs="Times New Roman"/>
                <w:color w:val="auto"/>
                <w:szCs w:val="21"/>
                <w:highlight w:val="none"/>
                <w:lang w:eastAsia="zh-CN"/>
              </w:rPr>
            </w:pPr>
          </w:p>
          <w:p w14:paraId="6A238736">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eastAsia" w:cs="Times New Roman"/>
                <w:color w:val="auto"/>
                <w:szCs w:val="21"/>
                <w:highlight w:val="none"/>
                <w:lang w:eastAsia="zh-CN"/>
              </w:rPr>
            </w:pPr>
          </w:p>
          <w:p w14:paraId="488A5509">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eastAsia" w:cs="Times New Roman"/>
                <w:color w:val="auto"/>
                <w:szCs w:val="21"/>
                <w:highlight w:val="none"/>
                <w:lang w:eastAsia="zh-CN"/>
              </w:rPr>
            </w:pPr>
          </w:p>
          <w:p w14:paraId="29B27A27">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eastAsia" w:cs="Times New Roman"/>
                <w:color w:val="auto"/>
                <w:szCs w:val="21"/>
                <w:highlight w:val="none"/>
                <w:lang w:eastAsia="zh-CN"/>
              </w:rPr>
            </w:pPr>
          </w:p>
          <w:p w14:paraId="72AC5AA9">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eastAsia" w:cs="Times New Roman"/>
                <w:color w:val="auto"/>
                <w:szCs w:val="21"/>
                <w:highlight w:val="none"/>
                <w:lang w:eastAsia="zh-CN"/>
              </w:rPr>
            </w:pPr>
          </w:p>
          <w:p w14:paraId="67E57201">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eastAsia" w:cs="Times New Roman"/>
                <w:color w:val="auto"/>
                <w:szCs w:val="21"/>
                <w:highlight w:val="none"/>
                <w:lang w:eastAsia="zh-CN"/>
              </w:rPr>
            </w:pPr>
          </w:p>
          <w:p w14:paraId="0FB160E3">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eastAsia" w:cs="Times New Roman"/>
                <w:color w:val="auto"/>
                <w:szCs w:val="21"/>
                <w:highlight w:val="none"/>
                <w:lang w:eastAsia="zh-CN"/>
              </w:rPr>
            </w:pPr>
          </w:p>
          <w:p w14:paraId="1E7F81DA">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eastAsia" w:cs="Times New Roman"/>
                <w:color w:val="auto"/>
                <w:szCs w:val="21"/>
                <w:highlight w:val="none"/>
                <w:lang w:eastAsia="zh-CN"/>
              </w:rPr>
            </w:pPr>
          </w:p>
          <w:p w14:paraId="426DF8DB">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eastAsia" w:cs="Times New Roman"/>
                <w:color w:val="auto"/>
                <w:szCs w:val="21"/>
                <w:highlight w:val="none"/>
                <w:lang w:eastAsia="zh-CN"/>
              </w:rPr>
            </w:pPr>
          </w:p>
          <w:p w14:paraId="6DF67FD4">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eastAsia" w:cs="Times New Roman"/>
                <w:color w:val="auto"/>
                <w:szCs w:val="21"/>
                <w:highlight w:val="none"/>
                <w:lang w:eastAsia="zh-CN"/>
              </w:rPr>
            </w:pPr>
          </w:p>
          <w:p w14:paraId="53059CD2">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eastAsia" w:cs="Times New Roman"/>
                <w:color w:val="auto"/>
                <w:szCs w:val="21"/>
                <w:highlight w:val="none"/>
                <w:lang w:eastAsia="zh-CN"/>
              </w:rPr>
            </w:pPr>
          </w:p>
          <w:p w14:paraId="0A8C33B7">
            <w:pPr>
              <w:keepNext w:val="0"/>
              <w:keepLines w:val="0"/>
              <w:pageBreakBefore w:val="0"/>
              <w:widowControl w:val="0"/>
              <w:shd w:val="clear"/>
              <w:kinsoku/>
              <w:wordWrap/>
              <w:overflowPunct/>
              <w:topLinePunct w:val="0"/>
              <w:autoSpaceDE/>
              <w:autoSpaceDN/>
              <w:bidi w:val="0"/>
              <w:adjustRightInd w:val="0"/>
              <w:snapToGrid w:val="0"/>
              <w:spacing w:line="348" w:lineRule="auto"/>
              <w:ind w:firstLine="420" w:firstLineChars="200"/>
              <w:jc w:val="left"/>
              <w:textAlignment w:val="auto"/>
              <w:rPr>
                <w:rFonts w:hint="eastAsia" w:cs="Times New Roman"/>
                <w:color w:val="auto"/>
                <w:szCs w:val="21"/>
                <w:highlight w:val="none"/>
                <w:lang w:eastAsia="zh-CN"/>
              </w:rPr>
            </w:pPr>
          </w:p>
          <w:p w14:paraId="4DA17B44">
            <w:pPr>
              <w:keepNext w:val="0"/>
              <w:keepLines w:val="0"/>
              <w:pageBreakBefore w:val="0"/>
              <w:widowControl w:val="0"/>
              <w:shd w:val="clear"/>
              <w:kinsoku/>
              <w:wordWrap/>
              <w:overflowPunct/>
              <w:topLinePunct w:val="0"/>
              <w:autoSpaceDE/>
              <w:autoSpaceDN/>
              <w:bidi w:val="0"/>
              <w:adjustRightInd w:val="0"/>
              <w:snapToGrid w:val="0"/>
              <w:spacing w:line="348" w:lineRule="auto"/>
              <w:jc w:val="left"/>
              <w:textAlignment w:val="auto"/>
              <w:rPr>
                <w:rFonts w:hint="default" w:ascii="Times New Roman" w:hAnsi="Times New Roman" w:eastAsia="宋体" w:cs="Times New Roman"/>
                <w:color w:val="auto"/>
                <w:sz w:val="21"/>
                <w:szCs w:val="21"/>
                <w:highlight w:val="none"/>
                <w:lang w:val="en-US" w:eastAsia="zh-CN"/>
              </w:rPr>
            </w:pPr>
          </w:p>
        </w:tc>
      </w:tr>
    </w:tbl>
    <w:p w14:paraId="158DEDEC">
      <w:pPr>
        <w:pStyle w:val="25"/>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pPr>
      <w:r>
        <w:rPr>
          <w:rFonts w:hint="default" w:ascii="Times New Roman" w:hAnsi="Times New Roman" w:eastAsia="宋体" w:cs="Times New Roman"/>
          <w:snapToGrid w:val="0"/>
          <w:color w:val="auto"/>
          <w:highlight w:val="none"/>
        </w:rPr>
        <w:br w:type="page"/>
      </w:r>
      <w:bookmarkStart w:id="31" w:name="_Toc1582"/>
      <w:bookmarkStart w:id="32" w:name="_Toc24787"/>
      <w:r>
        <w:rPr>
          <w:rFonts w:hint="default" w:ascii="Times New Roman" w:hAnsi="Times New Roman" w:eastAsia="宋体" w:cs="Times New Roman"/>
          <w:b/>
          <w:bCs/>
          <w:snapToGrid w:val="0"/>
          <w:color w:val="auto"/>
          <w:sz w:val="30"/>
          <w:szCs w:val="30"/>
          <w:highlight w:val="none"/>
        </w:rPr>
        <w:t>六、结论</w:t>
      </w:r>
      <w:bookmarkEnd w:id="31"/>
      <w:bookmarkEnd w:id="32"/>
    </w:p>
    <w:tbl>
      <w:tblPr>
        <w:tblStyle w:val="26"/>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41909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top"/>
          </w:tcPr>
          <w:p w14:paraId="53512521">
            <w:pPr>
              <w:shd w:val="clear"/>
              <w:spacing w:line="360" w:lineRule="auto"/>
              <w:ind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的建设符合国家、地方产业政策，以及相关规划，不涉及自然保护区、风景名胜区、水源保护区等环境敏感区，与周围居民点、学校、医院等关心点距离较远，选址合理。在采取环评提出的措施后，项目产生的废气、噪声均可达标排放，</w:t>
            </w:r>
            <w:r>
              <w:rPr>
                <w:rFonts w:hint="eastAsia" w:cs="Times New Roman"/>
                <w:color w:val="auto"/>
                <w:sz w:val="24"/>
                <w:highlight w:val="none"/>
                <w:lang w:val="en-US" w:eastAsia="zh-CN"/>
              </w:rPr>
              <w:t>废水不外排，</w:t>
            </w:r>
            <w:r>
              <w:rPr>
                <w:rFonts w:hint="default" w:ascii="Times New Roman" w:hAnsi="Times New Roman" w:eastAsia="宋体" w:cs="Times New Roman"/>
                <w:color w:val="auto"/>
                <w:sz w:val="24"/>
                <w:highlight w:val="none"/>
                <w:lang w:val="en-US" w:eastAsia="zh-CN"/>
              </w:rPr>
              <w:t>固废处置率100%，对当地环境质量及主要关心点环境影响较小，符合达标排放、总量控制和不降低当地环境功能的原则要求，符合国家法律法规要求。</w:t>
            </w:r>
          </w:p>
          <w:p w14:paraId="6AD8A070">
            <w:pPr>
              <w:shd w:val="clear"/>
              <w:spacing w:line="360" w:lineRule="auto"/>
              <w:ind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本项目在严格执行环境保护“三同时”制度，严格进行环境管理，保证项目内的废气处理设施及其他环保设施的正常运行，污染物达标排放的条件下，从环境保护角度论证，本项目的建设是可行的。</w:t>
            </w:r>
          </w:p>
          <w:p w14:paraId="33C30235">
            <w:pPr>
              <w:pStyle w:val="6"/>
              <w:rPr>
                <w:rFonts w:hint="default" w:ascii="Times New Roman" w:hAnsi="Times New Roman" w:eastAsia="宋体" w:cs="Times New Roman"/>
                <w:color w:val="auto"/>
                <w:sz w:val="24"/>
                <w:highlight w:val="none"/>
                <w:lang w:val="en-US" w:eastAsia="zh-CN"/>
              </w:rPr>
            </w:pPr>
          </w:p>
          <w:p w14:paraId="206A874D">
            <w:pPr>
              <w:pStyle w:val="34"/>
              <w:rPr>
                <w:rFonts w:hint="default" w:ascii="Times New Roman" w:hAnsi="Times New Roman" w:eastAsia="宋体" w:cs="Times New Roman"/>
                <w:color w:val="auto"/>
                <w:sz w:val="24"/>
                <w:highlight w:val="none"/>
                <w:lang w:val="en-US" w:eastAsia="zh-CN"/>
              </w:rPr>
            </w:pPr>
          </w:p>
          <w:p w14:paraId="5D3178C3">
            <w:pPr>
              <w:rPr>
                <w:rFonts w:hint="default" w:ascii="Times New Roman" w:hAnsi="Times New Roman" w:eastAsia="宋体" w:cs="Times New Roman"/>
                <w:color w:val="auto"/>
                <w:sz w:val="24"/>
                <w:highlight w:val="none"/>
                <w:lang w:val="en-US" w:eastAsia="zh-CN"/>
              </w:rPr>
            </w:pPr>
          </w:p>
          <w:p w14:paraId="5611610A">
            <w:pPr>
              <w:pStyle w:val="6"/>
              <w:rPr>
                <w:rFonts w:hint="default" w:ascii="Times New Roman" w:hAnsi="Times New Roman" w:eastAsia="宋体" w:cs="Times New Roman"/>
                <w:color w:val="auto"/>
                <w:sz w:val="24"/>
                <w:highlight w:val="none"/>
                <w:lang w:val="en-US" w:eastAsia="zh-CN"/>
              </w:rPr>
            </w:pPr>
          </w:p>
          <w:p w14:paraId="5B44AC32">
            <w:pPr>
              <w:pStyle w:val="34"/>
              <w:rPr>
                <w:rFonts w:hint="default" w:ascii="Times New Roman" w:hAnsi="Times New Roman" w:eastAsia="宋体" w:cs="Times New Roman"/>
                <w:color w:val="auto"/>
                <w:sz w:val="24"/>
                <w:highlight w:val="none"/>
                <w:lang w:val="en-US" w:eastAsia="zh-CN"/>
              </w:rPr>
            </w:pPr>
          </w:p>
          <w:p w14:paraId="25DEEDDD">
            <w:pPr>
              <w:rPr>
                <w:rFonts w:hint="default" w:ascii="Times New Roman" w:hAnsi="Times New Roman" w:eastAsia="宋体" w:cs="Times New Roman"/>
                <w:color w:val="auto"/>
                <w:sz w:val="24"/>
                <w:highlight w:val="none"/>
                <w:lang w:val="en-US" w:eastAsia="zh-CN"/>
              </w:rPr>
            </w:pPr>
          </w:p>
          <w:p w14:paraId="6B5CCF94">
            <w:pPr>
              <w:pStyle w:val="6"/>
              <w:rPr>
                <w:rFonts w:hint="default" w:ascii="Times New Roman" w:hAnsi="Times New Roman" w:eastAsia="宋体" w:cs="Times New Roman"/>
                <w:color w:val="auto"/>
                <w:sz w:val="24"/>
                <w:highlight w:val="none"/>
                <w:lang w:val="en-US" w:eastAsia="zh-CN"/>
              </w:rPr>
            </w:pPr>
          </w:p>
          <w:p w14:paraId="3B87CDB5">
            <w:pPr>
              <w:pStyle w:val="34"/>
              <w:rPr>
                <w:rFonts w:hint="default" w:ascii="Times New Roman" w:hAnsi="Times New Roman" w:eastAsia="宋体" w:cs="Times New Roman"/>
                <w:color w:val="auto"/>
                <w:sz w:val="24"/>
                <w:highlight w:val="none"/>
                <w:lang w:val="en-US" w:eastAsia="zh-CN"/>
              </w:rPr>
            </w:pPr>
          </w:p>
          <w:p w14:paraId="0171782C">
            <w:pPr>
              <w:rPr>
                <w:rFonts w:hint="default" w:ascii="Times New Roman" w:hAnsi="Times New Roman" w:eastAsia="宋体" w:cs="Times New Roman"/>
                <w:color w:val="auto"/>
                <w:sz w:val="24"/>
                <w:highlight w:val="none"/>
                <w:lang w:val="en-US" w:eastAsia="zh-CN"/>
              </w:rPr>
            </w:pPr>
          </w:p>
          <w:p w14:paraId="2942882B">
            <w:pPr>
              <w:pStyle w:val="6"/>
              <w:rPr>
                <w:rFonts w:hint="default" w:ascii="Times New Roman" w:hAnsi="Times New Roman" w:eastAsia="宋体" w:cs="Times New Roman"/>
                <w:color w:val="auto"/>
                <w:sz w:val="24"/>
                <w:highlight w:val="none"/>
                <w:lang w:val="en-US" w:eastAsia="zh-CN"/>
              </w:rPr>
            </w:pPr>
          </w:p>
          <w:p w14:paraId="2BBEB089">
            <w:pPr>
              <w:pStyle w:val="34"/>
              <w:rPr>
                <w:rFonts w:hint="default" w:ascii="Times New Roman" w:hAnsi="Times New Roman" w:eastAsia="宋体" w:cs="Times New Roman"/>
                <w:color w:val="auto"/>
                <w:sz w:val="24"/>
                <w:highlight w:val="none"/>
                <w:lang w:val="en-US" w:eastAsia="zh-CN"/>
              </w:rPr>
            </w:pPr>
          </w:p>
          <w:p w14:paraId="50C5DBEC">
            <w:pPr>
              <w:rPr>
                <w:rFonts w:hint="default" w:ascii="Times New Roman" w:hAnsi="Times New Roman" w:eastAsia="宋体" w:cs="Times New Roman"/>
                <w:color w:val="auto"/>
                <w:sz w:val="24"/>
                <w:highlight w:val="none"/>
                <w:lang w:val="en-US" w:eastAsia="zh-CN"/>
              </w:rPr>
            </w:pPr>
          </w:p>
          <w:p w14:paraId="76E5691B">
            <w:pPr>
              <w:pStyle w:val="6"/>
              <w:rPr>
                <w:rFonts w:hint="default" w:ascii="Times New Roman" w:hAnsi="Times New Roman" w:eastAsia="宋体" w:cs="Times New Roman"/>
                <w:color w:val="auto"/>
                <w:sz w:val="24"/>
                <w:highlight w:val="none"/>
                <w:lang w:val="en-US" w:eastAsia="zh-CN"/>
              </w:rPr>
            </w:pPr>
          </w:p>
          <w:p w14:paraId="5F142E9E">
            <w:pPr>
              <w:pStyle w:val="34"/>
              <w:rPr>
                <w:rFonts w:hint="default" w:ascii="Times New Roman" w:hAnsi="Times New Roman" w:eastAsia="宋体" w:cs="Times New Roman"/>
                <w:color w:val="auto"/>
                <w:sz w:val="24"/>
                <w:highlight w:val="none"/>
                <w:lang w:val="en-US" w:eastAsia="zh-CN"/>
              </w:rPr>
            </w:pPr>
          </w:p>
          <w:p w14:paraId="2256F14B">
            <w:pPr>
              <w:rPr>
                <w:rFonts w:hint="default" w:ascii="Times New Roman" w:hAnsi="Times New Roman" w:eastAsia="宋体" w:cs="Times New Roman"/>
                <w:color w:val="auto"/>
                <w:sz w:val="24"/>
                <w:highlight w:val="none"/>
                <w:lang w:val="en-US" w:eastAsia="zh-CN"/>
              </w:rPr>
            </w:pPr>
          </w:p>
          <w:p w14:paraId="340FF630">
            <w:pPr>
              <w:pStyle w:val="6"/>
              <w:rPr>
                <w:rFonts w:hint="default" w:ascii="Times New Roman" w:hAnsi="Times New Roman" w:eastAsia="宋体" w:cs="Times New Roman"/>
                <w:color w:val="auto"/>
                <w:sz w:val="24"/>
                <w:highlight w:val="none"/>
                <w:lang w:val="en-US" w:eastAsia="zh-CN"/>
              </w:rPr>
            </w:pPr>
          </w:p>
          <w:p w14:paraId="1D31616F">
            <w:pPr>
              <w:pStyle w:val="34"/>
              <w:rPr>
                <w:rFonts w:hint="default" w:ascii="Times New Roman" w:hAnsi="Times New Roman" w:eastAsia="宋体" w:cs="Times New Roman"/>
                <w:lang w:val="en-US" w:eastAsia="zh-CN"/>
              </w:rPr>
            </w:pPr>
          </w:p>
        </w:tc>
      </w:tr>
    </w:tbl>
    <w:p w14:paraId="64666206">
      <w:pPr>
        <w:shd w:val="clear"/>
        <w:rPr>
          <w:rFonts w:hint="default" w:ascii="Times New Roman" w:hAnsi="Times New Roman" w:eastAsia="宋体"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A1390B1">
      <w:pPr>
        <w:pStyle w:val="25"/>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b/>
          <w:bCs/>
          <w:snapToGrid w:val="0"/>
          <w:color w:val="auto"/>
          <w:sz w:val="30"/>
          <w:szCs w:val="30"/>
          <w:highlight w:val="none"/>
        </w:rPr>
      </w:pPr>
      <w:bookmarkStart w:id="33" w:name="_Toc6881"/>
      <w:bookmarkStart w:id="34" w:name="_Toc24156"/>
      <w:bookmarkStart w:id="35" w:name="_Toc9427"/>
      <w:r>
        <w:rPr>
          <w:rFonts w:hint="default" w:ascii="Times New Roman" w:hAnsi="Times New Roman" w:eastAsia="宋体" w:cs="Times New Roman"/>
          <w:b/>
          <w:bCs/>
          <w:snapToGrid w:val="0"/>
          <w:color w:val="auto"/>
          <w:sz w:val="30"/>
          <w:szCs w:val="30"/>
          <w:highlight w:val="none"/>
        </w:rPr>
        <w:t>附表</w:t>
      </w:r>
      <w:bookmarkEnd w:id="33"/>
      <w:bookmarkEnd w:id="34"/>
      <w:bookmarkEnd w:id="35"/>
    </w:p>
    <w:p w14:paraId="1EE1798D">
      <w:pPr>
        <w:pStyle w:val="25"/>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240" w:lineRule="auto"/>
        <w:jc w:val="center"/>
        <w:textAlignment w:val="auto"/>
        <w:outlineLvl w:val="9"/>
        <w:rPr>
          <w:rFonts w:hint="default" w:ascii="Times New Roman" w:hAnsi="Times New Roman" w:eastAsia="宋体" w:cs="Times New Roman"/>
          <w:snapToGrid w:val="0"/>
          <w:color w:val="auto"/>
          <w:sz w:val="24"/>
          <w:szCs w:val="24"/>
          <w:highlight w:val="none"/>
        </w:rPr>
      </w:pPr>
      <w:bookmarkStart w:id="36" w:name="_Toc18631"/>
      <w:bookmarkStart w:id="37" w:name="_Toc29979"/>
      <w:r>
        <w:rPr>
          <w:rFonts w:hint="default" w:ascii="Times New Roman" w:hAnsi="Times New Roman" w:eastAsia="宋体" w:cs="Times New Roman"/>
          <w:snapToGrid w:val="0"/>
          <w:color w:val="auto"/>
          <w:sz w:val="24"/>
          <w:szCs w:val="24"/>
          <w:highlight w:val="none"/>
        </w:rPr>
        <w:t>建设项目污染物排放量汇总表</w:t>
      </w:r>
      <w:bookmarkEnd w:id="36"/>
      <w:bookmarkEnd w:id="37"/>
      <w:r>
        <w:rPr>
          <w:rFonts w:hint="default" w:ascii="Times New Roman" w:hAnsi="Times New Roman" w:eastAsia="宋体" w:cs="Times New Roman"/>
          <w:snapToGrid w:val="0"/>
          <w:color w:val="auto"/>
          <w:sz w:val="24"/>
          <w:szCs w:val="24"/>
          <w:highlight w:val="none"/>
          <w:lang w:eastAsia="zh-CN"/>
        </w:rPr>
        <w:t>（单位：</w:t>
      </w:r>
      <w:r>
        <w:rPr>
          <w:rFonts w:hint="default" w:ascii="Times New Roman" w:hAnsi="Times New Roman" w:eastAsia="宋体" w:cs="Times New Roman"/>
          <w:snapToGrid w:val="0"/>
          <w:color w:val="auto"/>
          <w:sz w:val="24"/>
          <w:szCs w:val="24"/>
          <w:highlight w:val="none"/>
          <w:lang w:val="en-US" w:eastAsia="zh-CN"/>
        </w:rPr>
        <w:t>t/a</w:t>
      </w:r>
      <w:r>
        <w:rPr>
          <w:rFonts w:hint="default" w:ascii="Times New Roman" w:hAnsi="Times New Roman" w:eastAsia="宋体" w:cs="Times New Roman"/>
          <w:snapToGrid w:val="0"/>
          <w:color w:val="auto"/>
          <w:sz w:val="24"/>
          <w:szCs w:val="24"/>
          <w:highlight w:val="none"/>
          <w:lang w:eastAsia="zh-CN"/>
        </w:rPr>
        <w:t>）</w:t>
      </w:r>
    </w:p>
    <w:tbl>
      <w:tblPr>
        <w:tblStyle w:val="26"/>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255"/>
        <w:gridCol w:w="1378"/>
        <w:gridCol w:w="1488"/>
        <w:gridCol w:w="1402"/>
        <w:gridCol w:w="1415"/>
        <w:gridCol w:w="1317"/>
        <w:gridCol w:w="1627"/>
        <w:gridCol w:w="1017"/>
      </w:tblGrid>
      <w:tr w14:paraId="43A4E0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tcBorders>
              <w:tl2br w:val="single" w:color="auto" w:sz="4" w:space="0"/>
            </w:tcBorders>
            <w:tcMar>
              <w:left w:w="28" w:type="dxa"/>
              <w:right w:w="28" w:type="dxa"/>
            </w:tcMar>
            <w:vAlign w:val="center"/>
          </w:tcPr>
          <w:p w14:paraId="296D81BB">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w:t>
            </w:r>
          </w:p>
          <w:p w14:paraId="6324F231">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分类</w:t>
            </w:r>
          </w:p>
        </w:tc>
        <w:tc>
          <w:tcPr>
            <w:tcW w:w="3255" w:type="dxa"/>
            <w:tcMar>
              <w:left w:w="28" w:type="dxa"/>
              <w:right w:w="28" w:type="dxa"/>
            </w:tcMar>
            <w:vAlign w:val="center"/>
          </w:tcPr>
          <w:p w14:paraId="72F8C7B6">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污染物名称</w:t>
            </w:r>
          </w:p>
        </w:tc>
        <w:tc>
          <w:tcPr>
            <w:tcW w:w="1378" w:type="dxa"/>
            <w:tcMar>
              <w:left w:w="28" w:type="dxa"/>
              <w:right w:w="28" w:type="dxa"/>
            </w:tcMar>
            <w:vAlign w:val="center"/>
          </w:tcPr>
          <w:p w14:paraId="16579468">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现有工程排放量（固体废物产生量）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1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①</w:t>
            </w:r>
            <w:r>
              <w:rPr>
                <w:rFonts w:hint="default" w:ascii="Times New Roman" w:hAnsi="Times New Roman" w:eastAsia="宋体" w:cs="Times New Roman"/>
                <w:color w:val="auto"/>
                <w:sz w:val="21"/>
                <w:szCs w:val="21"/>
                <w:highlight w:val="none"/>
                <w:lang w:val="en-US" w:eastAsia="zh-CN"/>
              </w:rPr>
              <w:fldChar w:fldCharType="end"/>
            </w:r>
          </w:p>
        </w:tc>
        <w:tc>
          <w:tcPr>
            <w:tcW w:w="1488" w:type="dxa"/>
            <w:tcMar>
              <w:left w:w="28" w:type="dxa"/>
              <w:right w:w="28" w:type="dxa"/>
            </w:tcMar>
            <w:vAlign w:val="center"/>
          </w:tcPr>
          <w:p w14:paraId="32F9C9B5">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现有工程许可排放量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2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②</w:t>
            </w:r>
            <w:r>
              <w:rPr>
                <w:rFonts w:hint="default" w:ascii="Times New Roman" w:hAnsi="Times New Roman" w:eastAsia="宋体" w:cs="Times New Roman"/>
                <w:color w:val="auto"/>
                <w:sz w:val="21"/>
                <w:szCs w:val="21"/>
                <w:highlight w:val="none"/>
                <w:lang w:val="en-US" w:eastAsia="zh-CN"/>
              </w:rPr>
              <w:fldChar w:fldCharType="end"/>
            </w:r>
          </w:p>
        </w:tc>
        <w:tc>
          <w:tcPr>
            <w:tcW w:w="1402" w:type="dxa"/>
            <w:tcMar>
              <w:left w:w="28" w:type="dxa"/>
              <w:right w:w="28" w:type="dxa"/>
            </w:tcMar>
            <w:vAlign w:val="center"/>
          </w:tcPr>
          <w:p w14:paraId="7C16720A">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在建工程排放量（固体废物产生量）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3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③</w:t>
            </w:r>
            <w:r>
              <w:rPr>
                <w:rFonts w:hint="default" w:ascii="Times New Roman" w:hAnsi="Times New Roman" w:eastAsia="宋体" w:cs="Times New Roman"/>
                <w:color w:val="auto"/>
                <w:sz w:val="21"/>
                <w:szCs w:val="21"/>
                <w:highlight w:val="none"/>
                <w:lang w:val="en-US" w:eastAsia="zh-CN"/>
              </w:rPr>
              <w:fldChar w:fldCharType="end"/>
            </w:r>
          </w:p>
        </w:tc>
        <w:tc>
          <w:tcPr>
            <w:tcW w:w="1415" w:type="dxa"/>
            <w:tcMar>
              <w:left w:w="28" w:type="dxa"/>
              <w:right w:w="28" w:type="dxa"/>
            </w:tcMar>
            <w:vAlign w:val="center"/>
          </w:tcPr>
          <w:p w14:paraId="63196CC3">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4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④</w:t>
            </w:r>
            <w:r>
              <w:rPr>
                <w:rFonts w:hint="default" w:ascii="Times New Roman" w:hAnsi="Times New Roman" w:eastAsia="宋体" w:cs="Times New Roman"/>
                <w:color w:val="auto"/>
                <w:sz w:val="21"/>
                <w:szCs w:val="21"/>
                <w:highlight w:val="none"/>
                <w:lang w:val="en-US" w:eastAsia="zh-CN"/>
              </w:rPr>
              <w:fldChar w:fldCharType="end"/>
            </w:r>
          </w:p>
        </w:tc>
        <w:tc>
          <w:tcPr>
            <w:tcW w:w="1317" w:type="dxa"/>
            <w:tcMar>
              <w:left w:w="28" w:type="dxa"/>
              <w:right w:w="28" w:type="dxa"/>
            </w:tcMar>
            <w:vAlign w:val="center"/>
          </w:tcPr>
          <w:p w14:paraId="6C7F7934">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以新带老削减量（新建项目不填）</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5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⑤</w:t>
            </w:r>
            <w:r>
              <w:rPr>
                <w:rFonts w:hint="default" w:ascii="Times New Roman" w:hAnsi="Times New Roman" w:eastAsia="宋体" w:cs="Times New Roman"/>
                <w:color w:val="auto"/>
                <w:sz w:val="21"/>
                <w:szCs w:val="21"/>
                <w:highlight w:val="none"/>
                <w:lang w:val="en-US" w:eastAsia="zh-CN"/>
              </w:rPr>
              <w:fldChar w:fldCharType="end"/>
            </w:r>
          </w:p>
        </w:tc>
        <w:tc>
          <w:tcPr>
            <w:tcW w:w="1627" w:type="dxa"/>
            <w:tcMar>
              <w:left w:w="28" w:type="dxa"/>
              <w:right w:w="28" w:type="dxa"/>
            </w:tcMar>
            <w:vAlign w:val="center"/>
          </w:tcPr>
          <w:p w14:paraId="35AA9EAF">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本项目建成后全厂排放量（固体废物产生量）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6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⑥</w:t>
            </w:r>
            <w:r>
              <w:rPr>
                <w:rFonts w:hint="default" w:ascii="Times New Roman" w:hAnsi="Times New Roman" w:eastAsia="宋体" w:cs="Times New Roman"/>
                <w:color w:val="auto"/>
                <w:sz w:val="21"/>
                <w:szCs w:val="21"/>
                <w:highlight w:val="none"/>
                <w:lang w:val="en-US" w:eastAsia="zh-CN"/>
              </w:rPr>
              <w:fldChar w:fldCharType="end"/>
            </w:r>
          </w:p>
        </w:tc>
        <w:tc>
          <w:tcPr>
            <w:tcW w:w="1017" w:type="dxa"/>
            <w:tcMar>
              <w:left w:w="28" w:type="dxa"/>
              <w:right w:w="28" w:type="dxa"/>
            </w:tcMar>
            <w:vAlign w:val="center"/>
          </w:tcPr>
          <w:p w14:paraId="435B6F14">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变化量</w:t>
            </w:r>
          </w:p>
          <w:p w14:paraId="2B247D74">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7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⑦</w:t>
            </w:r>
            <w:r>
              <w:rPr>
                <w:rFonts w:hint="default" w:ascii="Times New Roman" w:hAnsi="Times New Roman" w:eastAsia="宋体" w:cs="Times New Roman"/>
                <w:color w:val="auto"/>
                <w:sz w:val="21"/>
                <w:szCs w:val="21"/>
                <w:highlight w:val="none"/>
                <w:lang w:val="en-US" w:eastAsia="zh-CN"/>
              </w:rPr>
              <w:fldChar w:fldCharType="end"/>
            </w:r>
          </w:p>
        </w:tc>
      </w:tr>
      <w:tr w14:paraId="694BED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14:paraId="4EDEFE70">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废气</w:t>
            </w:r>
          </w:p>
        </w:tc>
        <w:tc>
          <w:tcPr>
            <w:tcW w:w="3255" w:type="dxa"/>
            <w:vAlign w:val="center"/>
          </w:tcPr>
          <w:p w14:paraId="03190EDD">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378" w:type="dxa"/>
            <w:vAlign w:val="center"/>
          </w:tcPr>
          <w:p w14:paraId="6EADBB30">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1D5EBE03">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7C1E2AC8">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707BAF59">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cs="Times New Roman"/>
                <w:i w:val="0"/>
                <w:iCs w:val="0"/>
                <w:color w:val="auto"/>
                <w:kern w:val="0"/>
                <w:sz w:val="21"/>
                <w:szCs w:val="21"/>
                <w:highlight w:val="none"/>
                <w:u w:val="none"/>
                <w:lang w:val="en-US" w:eastAsia="zh-CN" w:bidi="ar"/>
              </w:rPr>
              <w:t>5783</w:t>
            </w:r>
            <w:r>
              <w:rPr>
                <w:rFonts w:hint="eastAsia" w:cs="Times New Roman"/>
                <w:color w:val="auto"/>
                <w:sz w:val="21"/>
                <w:szCs w:val="21"/>
                <w:highlight w:val="none"/>
                <w:lang w:val="en-US" w:eastAsia="zh-CN"/>
              </w:rPr>
              <w:t>t/a</w:t>
            </w:r>
          </w:p>
        </w:tc>
        <w:tc>
          <w:tcPr>
            <w:tcW w:w="1317" w:type="dxa"/>
            <w:vAlign w:val="center"/>
          </w:tcPr>
          <w:p w14:paraId="64866A01">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0E949360">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cs="Times New Roman"/>
                <w:i w:val="0"/>
                <w:iCs w:val="0"/>
                <w:color w:val="auto"/>
                <w:kern w:val="0"/>
                <w:sz w:val="21"/>
                <w:szCs w:val="21"/>
                <w:highlight w:val="none"/>
                <w:u w:val="none"/>
                <w:lang w:val="en-US" w:eastAsia="zh-CN" w:bidi="ar"/>
              </w:rPr>
              <w:t>5783</w:t>
            </w:r>
            <w:r>
              <w:rPr>
                <w:rFonts w:hint="eastAsia" w:cs="Times New Roman"/>
                <w:color w:val="auto"/>
                <w:sz w:val="21"/>
                <w:szCs w:val="21"/>
                <w:highlight w:val="none"/>
                <w:lang w:val="en-US" w:eastAsia="zh-CN"/>
              </w:rPr>
              <w:t>t/a</w:t>
            </w:r>
          </w:p>
        </w:tc>
        <w:tc>
          <w:tcPr>
            <w:tcW w:w="1017" w:type="dxa"/>
            <w:vAlign w:val="center"/>
          </w:tcPr>
          <w:p w14:paraId="2C0CE4B7">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cs="Times New Roman"/>
                <w:i w:val="0"/>
                <w:iCs w:val="0"/>
                <w:color w:val="auto"/>
                <w:kern w:val="0"/>
                <w:sz w:val="21"/>
                <w:szCs w:val="21"/>
                <w:highlight w:val="none"/>
                <w:u w:val="none"/>
                <w:lang w:val="en-US" w:eastAsia="zh-CN" w:bidi="ar"/>
              </w:rPr>
              <w:t>5783</w:t>
            </w:r>
            <w:r>
              <w:rPr>
                <w:rFonts w:hint="eastAsia" w:cs="Times New Roman"/>
                <w:color w:val="auto"/>
                <w:sz w:val="21"/>
                <w:szCs w:val="21"/>
                <w:highlight w:val="none"/>
                <w:lang w:val="en-US" w:eastAsia="zh-CN"/>
              </w:rPr>
              <w:t>t/a</w:t>
            </w:r>
          </w:p>
        </w:tc>
      </w:tr>
      <w:tr w14:paraId="1CD2AA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0D3C3D47">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054BD5FA">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非甲烷总烃</w:t>
            </w:r>
          </w:p>
        </w:tc>
        <w:tc>
          <w:tcPr>
            <w:tcW w:w="1378" w:type="dxa"/>
            <w:vAlign w:val="center"/>
          </w:tcPr>
          <w:p w14:paraId="3A94247C">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437B75E1">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6770747B">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49C8D98B">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1.3944</w:t>
            </w:r>
            <w:r>
              <w:rPr>
                <w:rFonts w:hint="eastAsia" w:cs="Times New Roman"/>
                <w:color w:val="auto"/>
                <w:sz w:val="21"/>
                <w:szCs w:val="21"/>
                <w:highlight w:val="none"/>
                <w:lang w:val="en-US" w:eastAsia="zh-CN"/>
              </w:rPr>
              <w:t>t/a</w:t>
            </w:r>
          </w:p>
        </w:tc>
        <w:tc>
          <w:tcPr>
            <w:tcW w:w="1317" w:type="dxa"/>
            <w:vAlign w:val="center"/>
          </w:tcPr>
          <w:p w14:paraId="2885E4D7">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0ADD7195">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1.3944</w:t>
            </w:r>
            <w:r>
              <w:rPr>
                <w:rFonts w:hint="eastAsia" w:cs="Times New Roman"/>
                <w:color w:val="auto"/>
                <w:sz w:val="21"/>
                <w:szCs w:val="21"/>
                <w:highlight w:val="none"/>
                <w:lang w:val="en-US" w:eastAsia="zh-CN"/>
              </w:rPr>
              <w:t>t/a</w:t>
            </w:r>
          </w:p>
        </w:tc>
        <w:tc>
          <w:tcPr>
            <w:tcW w:w="1017" w:type="dxa"/>
            <w:vAlign w:val="center"/>
          </w:tcPr>
          <w:p w14:paraId="00679CC8">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+1.3944</w:t>
            </w:r>
            <w:r>
              <w:rPr>
                <w:rFonts w:hint="eastAsia" w:cs="Times New Roman"/>
                <w:color w:val="auto"/>
                <w:sz w:val="21"/>
                <w:szCs w:val="21"/>
                <w:highlight w:val="none"/>
                <w:lang w:val="en-US" w:eastAsia="zh-CN"/>
              </w:rPr>
              <w:t>t/a</w:t>
            </w:r>
          </w:p>
        </w:tc>
      </w:tr>
      <w:tr w14:paraId="58C14B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49159172">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20981F4F">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氯化氢</w:t>
            </w:r>
          </w:p>
        </w:tc>
        <w:tc>
          <w:tcPr>
            <w:tcW w:w="1378" w:type="dxa"/>
            <w:vAlign w:val="center"/>
          </w:tcPr>
          <w:p w14:paraId="2936E119">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77AD431E">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789D7010">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56BD4636">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cs="Times New Roman"/>
                <w:i w:val="0"/>
                <w:iCs w:val="0"/>
                <w:color w:val="auto"/>
                <w:kern w:val="0"/>
                <w:sz w:val="21"/>
                <w:szCs w:val="21"/>
                <w:highlight w:val="none"/>
                <w:u w:val="none"/>
                <w:lang w:val="en-US" w:eastAsia="zh-CN" w:bidi="ar"/>
              </w:rPr>
              <w:t>0313</w:t>
            </w:r>
            <w:r>
              <w:rPr>
                <w:rFonts w:hint="eastAsia" w:cs="Times New Roman"/>
                <w:color w:val="auto"/>
                <w:sz w:val="21"/>
                <w:szCs w:val="21"/>
                <w:highlight w:val="none"/>
                <w:lang w:val="en-US" w:eastAsia="zh-CN"/>
              </w:rPr>
              <w:t>t/a</w:t>
            </w:r>
          </w:p>
        </w:tc>
        <w:tc>
          <w:tcPr>
            <w:tcW w:w="1317" w:type="dxa"/>
            <w:vAlign w:val="center"/>
          </w:tcPr>
          <w:p w14:paraId="3B24F549">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71F6689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cs="Times New Roman"/>
                <w:i w:val="0"/>
                <w:iCs w:val="0"/>
                <w:color w:val="auto"/>
                <w:kern w:val="0"/>
                <w:sz w:val="21"/>
                <w:szCs w:val="21"/>
                <w:highlight w:val="none"/>
                <w:u w:val="none"/>
                <w:lang w:val="en-US" w:eastAsia="zh-CN" w:bidi="ar"/>
              </w:rPr>
              <w:t>0313</w:t>
            </w:r>
            <w:r>
              <w:rPr>
                <w:rFonts w:hint="eastAsia" w:cs="Times New Roman"/>
                <w:color w:val="auto"/>
                <w:sz w:val="21"/>
                <w:szCs w:val="21"/>
                <w:highlight w:val="none"/>
                <w:lang w:val="en-US" w:eastAsia="zh-CN"/>
              </w:rPr>
              <w:t>t/a</w:t>
            </w:r>
          </w:p>
        </w:tc>
        <w:tc>
          <w:tcPr>
            <w:tcW w:w="1017" w:type="dxa"/>
            <w:vAlign w:val="center"/>
          </w:tcPr>
          <w:p w14:paraId="6CEB8D59">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0.</w:t>
            </w:r>
            <w:r>
              <w:rPr>
                <w:rFonts w:hint="eastAsia" w:cs="Times New Roman"/>
                <w:i w:val="0"/>
                <w:iCs w:val="0"/>
                <w:color w:val="auto"/>
                <w:kern w:val="0"/>
                <w:sz w:val="21"/>
                <w:szCs w:val="21"/>
                <w:highlight w:val="none"/>
                <w:u w:val="none"/>
                <w:lang w:val="en-US" w:eastAsia="zh-CN" w:bidi="ar"/>
              </w:rPr>
              <w:t>0313</w:t>
            </w:r>
            <w:r>
              <w:rPr>
                <w:rFonts w:hint="eastAsia" w:cs="Times New Roman"/>
                <w:color w:val="auto"/>
                <w:sz w:val="21"/>
                <w:szCs w:val="21"/>
                <w:highlight w:val="none"/>
                <w:lang w:val="en-US" w:eastAsia="zh-CN"/>
              </w:rPr>
              <w:t>t/a</w:t>
            </w:r>
          </w:p>
        </w:tc>
      </w:tr>
      <w:tr w14:paraId="28D85B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5F40E9CD">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33A473E4">
            <w:pPr>
              <w:shd w:val="clear" w:color="auto"/>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氯乙烯</w:t>
            </w:r>
          </w:p>
        </w:tc>
        <w:tc>
          <w:tcPr>
            <w:tcW w:w="1378" w:type="dxa"/>
            <w:vAlign w:val="center"/>
          </w:tcPr>
          <w:p w14:paraId="18E2850C">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FF0000"/>
                <w:sz w:val="21"/>
                <w:szCs w:val="21"/>
                <w:highlight w:val="none"/>
                <w:lang w:val="en-US" w:eastAsia="zh-CN"/>
              </w:rPr>
              <w:t>/</w:t>
            </w:r>
          </w:p>
        </w:tc>
        <w:tc>
          <w:tcPr>
            <w:tcW w:w="1488" w:type="dxa"/>
            <w:vAlign w:val="center"/>
          </w:tcPr>
          <w:p w14:paraId="64DD331B">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FF0000"/>
                <w:sz w:val="21"/>
                <w:szCs w:val="21"/>
                <w:highlight w:val="none"/>
                <w:lang w:val="en-US" w:eastAsia="zh-CN"/>
              </w:rPr>
              <w:t>/</w:t>
            </w:r>
          </w:p>
        </w:tc>
        <w:tc>
          <w:tcPr>
            <w:tcW w:w="1402" w:type="dxa"/>
            <w:vAlign w:val="center"/>
          </w:tcPr>
          <w:p w14:paraId="77ABCACE">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FF0000"/>
                <w:sz w:val="21"/>
                <w:szCs w:val="21"/>
                <w:highlight w:val="none"/>
                <w:lang w:val="en-US" w:eastAsia="zh-CN"/>
              </w:rPr>
              <w:t>/</w:t>
            </w:r>
          </w:p>
        </w:tc>
        <w:tc>
          <w:tcPr>
            <w:tcW w:w="1415" w:type="dxa"/>
            <w:vAlign w:val="center"/>
          </w:tcPr>
          <w:p w14:paraId="39AC2B4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cs="Times New Roman"/>
                <w:i w:val="0"/>
                <w:iCs w:val="0"/>
                <w:color w:val="auto"/>
                <w:kern w:val="0"/>
                <w:sz w:val="21"/>
                <w:szCs w:val="21"/>
                <w:highlight w:val="none"/>
                <w:u w:val="none"/>
                <w:lang w:val="en-US" w:eastAsia="zh-CN" w:bidi="ar"/>
              </w:rPr>
              <w:t>618</w:t>
            </w:r>
            <w:r>
              <w:rPr>
                <w:rFonts w:hint="eastAsia" w:cs="Times New Roman"/>
                <w:color w:val="auto"/>
                <w:sz w:val="21"/>
                <w:szCs w:val="21"/>
                <w:highlight w:val="none"/>
                <w:lang w:val="en-US" w:eastAsia="zh-CN"/>
              </w:rPr>
              <w:t>t/a</w:t>
            </w:r>
          </w:p>
        </w:tc>
        <w:tc>
          <w:tcPr>
            <w:tcW w:w="1317" w:type="dxa"/>
            <w:vAlign w:val="center"/>
          </w:tcPr>
          <w:p w14:paraId="34D9B8E4">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74BE1C7C">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cs="Times New Roman"/>
                <w:i w:val="0"/>
                <w:iCs w:val="0"/>
                <w:color w:val="auto"/>
                <w:kern w:val="0"/>
                <w:sz w:val="21"/>
                <w:szCs w:val="21"/>
                <w:highlight w:val="none"/>
                <w:u w:val="none"/>
                <w:lang w:val="en-US" w:eastAsia="zh-CN" w:bidi="ar"/>
              </w:rPr>
              <w:t>618</w:t>
            </w:r>
            <w:r>
              <w:rPr>
                <w:rFonts w:hint="eastAsia" w:cs="Times New Roman"/>
                <w:color w:val="auto"/>
                <w:sz w:val="21"/>
                <w:szCs w:val="21"/>
                <w:highlight w:val="none"/>
                <w:lang w:val="en-US" w:eastAsia="zh-CN"/>
              </w:rPr>
              <w:t>t/a</w:t>
            </w:r>
          </w:p>
        </w:tc>
        <w:tc>
          <w:tcPr>
            <w:tcW w:w="1017" w:type="dxa"/>
            <w:vAlign w:val="center"/>
          </w:tcPr>
          <w:p w14:paraId="548A62CF">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cs="Times New Roman"/>
                <w:i w:val="0"/>
                <w:iCs w:val="0"/>
                <w:color w:val="auto"/>
                <w:kern w:val="0"/>
                <w:sz w:val="21"/>
                <w:szCs w:val="21"/>
                <w:highlight w:val="none"/>
                <w:u w:val="none"/>
                <w:lang w:val="en-US" w:eastAsia="zh-CN" w:bidi="ar"/>
              </w:rPr>
              <w:t>618</w:t>
            </w:r>
            <w:r>
              <w:rPr>
                <w:rFonts w:hint="eastAsia" w:cs="Times New Roman"/>
                <w:color w:val="auto"/>
                <w:sz w:val="21"/>
                <w:szCs w:val="21"/>
                <w:highlight w:val="none"/>
                <w:lang w:val="en-US" w:eastAsia="zh-CN"/>
              </w:rPr>
              <w:t>t/a</w:t>
            </w:r>
          </w:p>
        </w:tc>
      </w:tr>
      <w:tr w14:paraId="40BB5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889" w:type="dxa"/>
            <w:vMerge w:val="restart"/>
            <w:vAlign w:val="center"/>
          </w:tcPr>
          <w:p w14:paraId="5F09C986">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废水</w:t>
            </w:r>
          </w:p>
        </w:tc>
        <w:tc>
          <w:tcPr>
            <w:tcW w:w="3255" w:type="dxa"/>
            <w:vAlign w:val="center"/>
          </w:tcPr>
          <w:p w14:paraId="5951CF5E">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COD</w:t>
            </w:r>
          </w:p>
        </w:tc>
        <w:tc>
          <w:tcPr>
            <w:tcW w:w="1378" w:type="dxa"/>
            <w:vAlign w:val="center"/>
          </w:tcPr>
          <w:p w14:paraId="48DA4034">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36BE7254">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0CA16A0E">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4F05A542">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317" w:type="dxa"/>
            <w:vAlign w:val="center"/>
          </w:tcPr>
          <w:p w14:paraId="7F3C13AB">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6E2AEEF8">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1017" w:type="dxa"/>
            <w:vAlign w:val="center"/>
          </w:tcPr>
          <w:p w14:paraId="6549D10D">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r>
      <w:tr w14:paraId="5DB702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3B4D4C43">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72D4EAA9">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氨氮</w:t>
            </w:r>
          </w:p>
        </w:tc>
        <w:tc>
          <w:tcPr>
            <w:tcW w:w="1378" w:type="dxa"/>
            <w:vAlign w:val="center"/>
          </w:tcPr>
          <w:p w14:paraId="4B242B07">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58D2DB9D">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1DB90F5B">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6E108B23">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317" w:type="dxa"/>
            <w:vAlign w:val="center"/>
          </w:tcPr>
          <w:p w14:paraId="0671B15E">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3A00E9E7">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1017" w:type="dxa"/>
            <w:vAlign w:val="center"/>
          </w:tcPr>
          <w:p w14:paraId="7A34EEF7">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r>
      <w:tr w14:paraId="6C1E86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14:paraId="673F8B3D">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一般固体废物</w:t>
            </w:r>
          </w:p>
        </w:tc>
        <w:tc>
          <w:tcPr>
            <w:tcW w:w="3255" w:type="dxa"/>
            <w:vAlign w:val="center"/>
          </w:tcPr>
          <w:p w14:paraId="085DC74C">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边角料</w:t>
            </w:r>
          </w:p>
        </w:tc>
        <w:tc>
          <w:tcPr>
            <w:tcW w:w="1378" w:type="dxa"/>
            <w:vAlign w:val="center"/>
          </w:tcPr>
          <w:p w14:paraId="4ACEFE61">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297DBB75">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5E4B4176">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5E1D00DC">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1.35t/a</w:t>
            </w:r>
          </w:p>
        </w:tc>
        <w:tc>
          <w:tcPr>
            <w:tcW w:w="1317" w:type="dxa"/>
            <w:vAlign w:val="center"/>
          </w:tcPr>
          <w:p w14:paraId="6B71C62D">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317F91E5">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1.35t/a</w:t>
            </w:r>
          </w:p>
        </w:tc>
        <w:tc>
          <w:tcPr>
            <w:tcW w:w="1017" w:type="dxa"/>
            <w:vAlign w:val="center"/>
          </w:tcPr>
          <w:p w14:paraId="05D8B79F">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+1.35t/a</w:t>
            </w:r>
          </w:p>
        </w:tc>
      </w:tr>
      <w:tr w14:paraId="17369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5901B6B7">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2E9FE49C">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 w:val="0"/>
                <w:bCs w:val="0"/>
                <w:color w:val="auto"/>
                <w:sz w:val="21"/>
                <w:szCs w:val="21"/>
                <w:highlight w:val="none"/>
                <w:lang w:val="en-US" w:eastAsia="zh-CN"/>
              </w:rPr>
              <w:t>不合格产品</w:t>
            </w:r>
          </w:p>
        </w:tc>
        <w:tc>
          <w:tcPr>
            <w:tcW w:w="1378" w:type="dxa"/>
            <w:vAlign w:val="center"/>
          </w:tcPr>
          <w:p w14:paraId="134BBCE0">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70E15B55">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31657071">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249A0BE1">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1.35t/a</w:t>
            </w:r>
          </w:p>
        </w:tc>
        <w:tc>
          <w:tcPr>
            <w:tcW w:w="1317" w:type="dxa"/>
            <w:vAlign w:val="center"/>
          </w:tcPr>
          <w:p w14:paraId="4E5CA7AB">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4E886400">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1.35t/a</w:t>
            </w:r>
          </w:p>
        </w:tc>
        <w:tc>
          <w:tcPr>
            <w:tcW w:w="1017" w:type="dxa"/>
            <w:vAlign w:val="center"/>
          </w:tcPr>
          <w:p w14:paraId="2A47E57F">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+1.35t/a</w:t>
            </w:r>
          </w:p>
        </w:tc>
      </w:tr>
      <w:tr w14:paraId="7ACC2C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2D70509B">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1EAC27D1">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废包装</w:t>
            </w:r>
            <w:r>
              <w:rPr>
                <w:rFonts w:hint="eastAsia" w:cs="Times New Roman"/>
                <w:color w:val="auto"/>
                <w:sz w:val="21"/>
                <w:szCs w:val="21"/>
                <w:highlight w:val="none"/>
                <w:lang w:val="en-US" w:eastAsia="zh-CN"/>
              </w:rPr>
              <w:t>材料</w:t>
            </w:r>
          </w:p>
        </w:tc>
        <w:tc>
          <w:tcPr>
            <w:tcW w:w="1378" w:type="dxa"/>
            <w:vAlign w:val="center"/>
          </w:tcPr>
          <w:p w14:paraId="0D516466">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0BCAA171">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28B61CC5">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643C7BAF">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2.0t/a</w:t>
            </w:r>
          </w:p>
        </w:tc>
        <w:tc>
          <w:tcPr>
            <w:tcW w:w="1317" w:type="dxa"/>
            <w:vAlign w:val="center"/>
          </w:tcPr>
          <w:p w14:paraId="10603148">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6E1DBCC0">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2.0t/a</w:t>
            </w:r>
          </w:p>
        </w:tc>
        <w:tc>
          <w:tcPr>
            <w:tcW w:w="1017" w:type="dxa"/>
            <w:vAlign w:val="center"/>
          </w:tcPr>
          <w:p w14:paraId="41562614">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+2.0t/a</w:t>
            </w:r>
          </w:p>
        </w:tc>
      </w:tr>
      <w:tr w14:paraId="5F3CF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736BD984">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524CCB3C">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eastAsia" w:cs="Times New Roman"/>
                <w:color w:val="auto"/>
                <w:sz w:val="21"/>
                <w:szCs w:val="21"/>
                <w:highlight w:val="none"/>
                <w:lang w:val="en-US" w:eastAsia="zh-CN"/>
              </w:rPr>
              <w:t>除尘器收集的</w:t>
            </w:r>
            <w:r>
              <w:rPr>
                <w:rFonts w:hint="default" w:ascii="Times New Roman" w:hAnsi="Times New Roman" w:eastAsia="宋体" w:cs="Times New Roman"/>
                <w:color w:val="auto"/>
                <w:sz w:val="21"/>
                <w:szCs w:val="21"/>
                <w:highlight w:val="none"/>
                <w:lang w:val="en-US" w:eastAsia="zh-CN"/>
              </w:rPr>
              <w:t>粉尘</w:t>
            </w:r>
          </w:p>
        </w:tc>
        <w:tc>
          <w:tcPr>
            <w:tcW w:w="1378" w:type="dxa"/>
            <w:vAlign w:val="center"/>
          </w:tcPr>
          <w:p w14:paraId="1264D7F9">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3DC8E980">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150A354E">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073BCB05">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6.3606</w:t>
            </w:r>
            <w:r>
              <w:rPr>
                <w:rFonts w:hint="eastAsia" w:cs="Times New Roman"/>
                <w:color w:val="auto"/>
                <w:sz w:val="21"/>
                <w:szCs w:val="21"/>
                <w:highlight w:val="none"/>
                <w:lang w:val="en-US" w:eastAsia="zh-CN"/>
              </w:rPr>
              <w:t>t/a</w:t>
            </w:r>
          </w:p>
        </w:tc>
        <w:tc>
          <w:tcPr>
            <w:tcW w:w="1317" w:type="dxa"/>
            <w:vAlign w:val="center"/>
          </w:tcPr>
          <w:p w14:paraId="2AC0C6E8">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78EAC399">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b w:val="0"/>
                <w:bCs w:val="0"/>
                <w:color w:val="auto"/>
                <w:sz w:val="21"/>
                <w:szCs w:val="21"/>
                <w:highlight w:val="none"/>
                <w:lang w:val="en-US" w:eastAsia="zh-CN"/>
              </w:rPr>
              <w:t>6.3606</w:t>
            </w:r>
            <w:r>
              <w:rPr>
                <w:rFonts w:hint="eastAsia" w:cs="Times New Roman"/>
                <w:color w:val="auto"/>
                <w:sz w:val="21"/>
                <w:szCs w:val="21"/>
                <w:highlight w:val="none"/>
                <w:lang w:val="en-US" w:eastAsia="zh-CN"/>
              </w:rPr>
              <w:t>t/a</w:t>
            </w:r>
          </w:p>
        </w:tc>
        <w:tc>
          <w:tcPr>
            <w:tcW w:w="1017" w:type="dxa"/>
            <w:vAlign w:val="center"/>
          </w:tcPr>
          <w:p w14:paraId="52A3EA73">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 w:val="0"/>
                <w:bCs w:val="0"/>
                <w:color w:val="auto"/>
                <w:sz w:val="21"/>
                <w:szCs w:val="21"/>
                <w:highlight w:val="none"/>
                <w:lang w:val="en-US" w:eastAsia="zh-CN"/>
              </w:rPr>
              <w:t>+6.3606</w:t>
            </w:r>
            <w:r>
              <w:rPr>
                <w:rFonts w:hint="eastAsia" w:cs="Times New Roman"/>
                <w:color w:val="auto"/>
                <w:sz w:val="21"/>
                <w:szCs w:val="21"/>
                <w:highlight w:val="none"/>
                <w:lang w:val="en-US" w:eastAsia="zh-CN"/>
              </w:rPr>
              <w:t>t/a</w:t>
            </w:r>
          </w:p>
        </w:tc>
      </w:tr>
      <w:tr w14:paraId="6A946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12ADC356">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5521C841">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tc>
        <w:tc>
          <w:tcPr>
            <w:tcW w:w="1378" w:type="dxa"/>
            <w:vAlign w:val="center"/>
          </w:tcPr>
          <w:p w14:paraId="01A0900F">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64A4F0DB">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5D144307">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34E754B2">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6.0</w:t>
            </w:r>
            <w:r>
              <w:rPr>
                <w:rFonts w:hint="eastAsia" w:cs="Times New Roman"/>
                <w:color w:val="auto"/>
                <w:sz w:val="21"/>
                <w:szCs w:val="21"/>
                <w:highlight w:val="none"/>
                <w:lang w:val="en-US" w:eastAsia="zh-CN"/>
              </w:rPr>
              <w:t>t/a</w:t>
            </w:r>
          </w:p>
        </w:tc>
        <w:tc>
          <w:tcPr>
            <w:tcW w:w="1317" w:type="dxa"/>
            <w:vAlign w:val="center"/>
          </w:tcPr>
          <w:p w14:paraId="6581BD82">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5E51668C">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6.0</w:t>
            </w:r>
            <w:r>
              <w:rPr>
                <w:rFonts w:hint="eastAsia" w:cs="Times New Roman"/>
                <w:color w:val="auto"/>
                <w:sz w:val="21"/>
                <w:szCs w:val="21"/>
                <w:highlight w:val="none"/>
                <w:lang w:val="en-US" w:eastAsia="zh-CN"/>
              </w:rPr>
              <w:t>t/a</w:t>
            </w:r>
          </w:p>
        </w:tc>
        <w:tc>
          <w:tcPr>
            <w:tcW w:w="1017" w:type="dxa"/>
            <w:vAlign w:val="center"/>
          </w:tcPr>
          <w:p w14:paraId="1A04D345">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6.0</w:t>
            </w:r>
            <w:r>
              <w:rPr>
                <w:rFonts w:hint="eastAsia" w:cs="Times New Roman"/>
                <w:color w:val="auto"/>
                <w:sz w:val="21"/>
                <w:szCs w:val="21"/>
                <w:highlight w:val="none"/>
                <w:lang w:val="en-US" w:eastAsia="zh-CN"/>
              </w:rPr>
              <w:t>t/a</w:t>
            </w:r>
          </w:p>
        </w:tc>
      </w:tr>
      <w:tr w14:paraId="5CA21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38F762E7">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6DB37E2C">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餐厨垃圾</w:t>
            </w:r>
          </w:p>
        </w:tc>
        <w:tc>
          <w:tcPr>
            <w:tcW w:w="1378" w:type="dxa"/>
            <w:vAlign w:val="center"/>
          </w:tcPr>
          <w:p w14:paraId="754D1E55">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2AB98EEF">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1E82FE86">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2BB3F64C">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1.8</w:t>
            </w:r>
            <w:r>
              <w:rPr>
                <w:rFonts w:hint="eastAsia" w:cs="Times New Roman"/>
                <w:color w:val="auto"/>
                <w:sz w:val="21"/>
                <w:szCs w:val="21"/>
                <w:highlight w:val="none"/>
                <w:lang w:val="en-US" w:eastAsia="zh-CN"/>
              </w:rPr>
              <w:t>t/a</w:t>
            </w:r>
          </w:p>
        </w:tc>
        <w:tc>
          <w:tcPr>
            <w:tcW w:w="1317" w:type="dxa"/>
            <w:vAlign w:val="center"/>
          </w:tcPr>
          <w:p w14:paraId="1E244DCA">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598F6639">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1.8</w:t>
            </w:r>
            <w:r>
              <w:rPr>
                <w:rFonts w:hint="eastAsia" w:cs="Times New Roman"/>
                <w:color w:val="auto"/>
                <w:sz w:val="21"/>
                <w:szCs w:val="21"/>
                <w:highlight w:val="none"/>
                <w:lang w:val="en-US" w:eastAsia="zh-CN"/>
              </w:rPr>
              <w:t>t/a</w:t>
            </w:r>
          </w:p>
        </w:tc>
        <w:tc>
          <w:tcPr>
            <w:tcW w:w="1017" w:type="dxa"/>
            <w:vAlign w:val="center"/>
          </w:tcPr>
          <w:p w14:paraId="390C68EE">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1.8</w:t>
            </w:r>
            <w:r>
              <w:rPr>
                <w:rFonts w:hint="eastAsia" w:cs="Times New Roman"/>
                <w:color w:val="auto"/>
                <w:sz w:val="21"/>
                <w:szCs w:val="21"/>
                <w:highlight w:val="none"/>
                <w:lang w:val="en-US" w:eastAsia="zh-CN"/>
              </w:rPr>
              <w:t>t/a</w:t>
            </w:r>
          </w:p>
        </w:tc>
      </w:tr>
      <w:tr w14:paraId="482C8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14:paraId="7909433C">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3255" w:type="dxa"/>
            <w:vAlign w:val="center"/>
          </w:tcPr>
          <w:p w14:paraId="402261E0">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废活性炭</w:t>
            </w:r>
          </w:p>
        </w:tc>
        <w:tc>
          <w:tcPr>
            <w:tcW w:w="1378" w:type="dxa"/>
            <w:vAlign w:val="center"/>
          </w:tcPr>
          <w:p w14:paraId="0DF088AE">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0AED144E">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28AD8066">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4473B58D">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8.1134t/a</w:t>
            </w:r>
          </w:p>
        </w:tc>
        <w:tc>
          <w:tcPr>
            <w:tcW w:w="1317" w:type="dxa"/>
            <w:vAlign w:val="center"/>
          </w:tcPr>
          <w:p w14:paraId="2844B55D">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6241B0BF">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8.1134t/a</w:t>
            </w:r>
          </w:p>
        </w:tc>
        <w:tc>
          <w:tcPr>
            <w:tcW w:w="1017" w:type="dxa"/>
            <w:vAlign w:val="center"/>
          </w:tcPr>
          <w:p w14:paraId="306DE024">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+8.1134t/a</w:t>
            </w:r>
          </w:p>
        </w:tc>
      </w:tr>
      <w:tr w14:paraId="3C385D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4E8A7673">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337A02D4">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废矿物油</w:t>
            </w:r>
          </w:p>
        </w:tc>
        <w:tc>
          <w:tcPr>
            <w:tcW w:w="1378" w:type="dxa"/>
            <w:vAlign w:val="center"/>
          </w:tcPr>
          <w:p w14:paraId="3E11C4B3">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2A325306">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50B9559D">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337E029F">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2t/a</w:t>
            </w:r>
          </w:p>
        </w:tc>
        <w:tc>
          <w:tcPr>
            <w:tcW w:w="1317" w:type="dxa"/>
            <w:vAlign w:val="center"/>
          </w:tcPr>
          <w:p w14:paraId="19055ECC">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0F03189C">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2t/a</w:t>
            </w:r>
          </w:p>
        </w:tc>
        <w:tc>
          <w:tcPr>
            <w:tcW w:w="1017" w:type="dxa"/>
            <w:vAlign w:val="center"/>
          </w:tcPr>
          <w:p w14:paraId="55097385">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2t/a</w:t>
            </w:r>
          </w:p>
        </w:tc>
      </w:tr>
      <w:tr w14:paraId="34FC5F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14:paraId="2469581D">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14:paraId="38B7B142">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废弃的含油抹布、劳保用品</w:t>
            </w:r>
          </w:p>
        </w:tc>
        <w:tc>
          <w:tcPr>
            <w:tcW w:w="1378" w:type="dxa"/>
            <w:vAlign w:val="center"/>
          </w:tcPr>
          <w:p w14:paraId="1D7909A4">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14:paraId="4C9E3D93">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14:paraId="76122348">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15" w:type="dxa"/>
            <w:vAlign w:val="center"/>
          </w:tcPr>
          <w:p w14:paraId="62E71DFC">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0.1t/a</w:t>
            </w:r>
          </w:p>
        </w:tc>
        <w:tc>
          <w:tcPr>
            <w:tcW w:w="1317" w:type="dxa"/>
            <w:vAlign w:val="center"/>
          </w:tcPr>
          <w:p w14:paraId="2A5996F3">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627" w:type="dxa"/>
            <w:vAlign w:val="center"/>
          </w:tcPr>
          <w:p w14:paraId="32BE8537">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0.1t/a</w:t>
            </w:r>
          </w:p>
        </w:tc>
        <w:tc>
          <w:tcPr>
            <w:tcW w:w="1017" w:type="dxa"/>
            <w:vAlign w:val="center"/>
          </w:tcPr>
          <w:p w14:paraId="0E8F2FE5">
            <w:pPr>
              <w:keepNext w:val="0"/>
              <w:keepLines w:val="0"/>
              <w:pageBreakBefore w:val="0"/>
              <w:widowControl w:val="0"/>
              <w:shd w:val="clear"/>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+0.1t/a</w:t>
            </w:r>
          </w:p>
        </w:tc>
      </w:tr>
    </w:tbl>
    <w:p w14:paraId="4D909E2F">
      <w:pPr>
        <w:rPr>
          <w:rFonts w:hint="default" w:ascii="Times New Roman" w:hAnsi="Times New Roman" w:eastAsia="宋体" w:cs="Times New Roman"/>
        </w:rPr>
      </w:pPr>
      <w:r>
        <w:rPr>
          <w:rFonts w:hint="default" w:ascii="Times New Roman" w:hAnsi="Times New Roman" w:eastAsia="宋体" w:cs="Times New Roman"/>
          <w:snapToGrid w:val="0"/>
          <w:color w:val="auto"/>
          <w:kern w:val="21"/>
          <w:szCs w:val="21"/>
          <w:highlight w:val="none"/>
        </w:rPr>
        <w:t>注：</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⑥</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3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③</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4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④</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5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⑤</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7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⑦</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⑥</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snapToGrid w:val="0"/>
          <w:color w:val="auto"/>
          <w:spacing w:val="-6"/>
          <w:kern w:val="21"/>
          <w:szCs w:val="21"/>
          <w:highlight w:val="none"/>
        </w:rPr>
        <w:fldChar w:fldCharType="end"/>
      </w:r>
    </w:p>
    <w:sectPr>
      <w:pgSz w:w="16838" w:h="11906" w:orient="landscape"/>
      <w:pgMar w:top="1701"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Geneva">
    <w:altName w:val="Arial"/>
    <w:panose1 w:val="020B0503030404040204"/>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20C73">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3DAB">
    <w:pPr>
      <w:pStyle w:val="20"/>
      <w:framePr w:wrap="around" w:vAnchor="text" w:hAnchor="margin" w:xAlign="center" w:y="1"/>
      <w:rPr>
        <w:rStyle w:val="30"/>
      </w:rPr>
    </w:pPr>
    <w:r>
      <w:fldChar w:fldCharType="begin"/>
    </w:r>
    <w:r>
      <w:rPr>
        <w:rStyle w:val="30"/>
      </w:rPr>
      <w:instrText xml:space="preserve">PAGE  </w:instrText>
    </w:r>
    <w:r>
      <w:fldChar w:fldCharType="end"/>
    </w:r>
  </w:p>
  <w:p w14:paraId="21144F8B">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9DC83">
    <w:pPr>
      <w:pStyle w:val="20"/>
      <w:tabs>
        <w:tab w:val="right" w:pos="7951"/>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6D301">
    <w:pPr>
      <w:pStyle w:val="2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41B1F">
    <w:pPr>
      <w:pStyle w:val="20"/>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AD251">
                          <w:pPr>
                            <w:pStyle w:val="20"/>
                            <w:rPr>
                              <w:rStyle w:val="30"/>
                              <w:rFonts w:ascii="宋体" w:hAnsi="宋体"/>
                              <w:sz w:val="28"/>
                              <w:szCs w:val="28"/>
                            </w:rPr>
                          </w:pPr>
                          <w:r>
                            <w:rPr>
                              <w:rStyle w:val="30"/>
                              <w:rFonts w:hint="eastAsia" w:ascii="宋体" w:hAnsi="宋体"/>
                              <w:sz w:val="28"/>
                              <w:szCs w:val="28"/>
                            </w:rPr>
                            <w:t>—</w:t>
                          </w:r>
                          <w:r>
                            <w:rPr>
                              <w:rStyle w:val="30"/>
                              <w:rFonts w:hint="eastAsia" w:ascii="宋体" w:hAnsi="宋体"/>
                              <w:sz w:val="20"/>
                            </w:rPr>
                            <w:t xml:space="preserve">  </w:t>
                          </w:r>
                          <w:r>
                            <w:rPr>
                              <w:rStyle w:val="30"/>
                              <w:rFonts w:ascii="宋体" w:hAnsi="宋体"/>
                              <w:sz w:val="26"/>
                              <w:szCs w:val="26"/>
                            </w:rPr>
                            <w:fldChar w:fldCharType="begin"/>
                          </w:r>
                          <w:r>
                            <w:rPr>
                              <w:rStyle w:val="30"/>
                              <w:rFonts w:ascii="宋体" w:hAnsi="宋体"/>
                              <w:sz w:val="26"/>
                              <w:szCs w:val="26"/>
                            </w:rPr>
                            <w:instrText xml:space="preserve">PAGE  </w:instrText>
                          </w:r>
                          <w:r>
                            <w:rPr>
                              <w:rStyle w:val="30"/>
                              <w:rFonts w:ascii="宋体" w:hAnsi="宋体"/>
                              <w:sz w:val="26"/>
                              <w:szCs w:val="26"/>
                            </w:rPr>
                            <w:fldChar w:fldCharType="separate"/>
                          </w:r>
                          <w:r>
                            <w:rPr>
                              <w:rStyle w:val="30"/>
                              <w:rFonts w:ascii="宋体" w:hAnsi="宋体"/>
                              <w:sz w:val="26"/>
                              <w:szCs w:val="26"/>
                            </w:rPr>
                            <w:t>9</w:t>
                          </w:r>
                          <w:r>
                            <w:rPr>
                              <w:rStyle w:val="30"/>
                              <w:rFonts w:ascii="宋体" w:hAnsi="宋体"/>
                              <w:sz w:val="26"/>
                              <w:szCs w:val="26"/>
                            </w:rPr>
                            <w:fldChar w:fldCharType="end"/>
                          </w:r>
                          <w:r>
                            <w:rPr>
                              <w:rStyle w:val="30"/>
                              <w:rFonts w:hint="eastAsia" w:ascii="宋体" w:hAnsi="宋体"/>
                              <w:sz w:val="20"/>
                            </w:rPr>
                            <w:t xml:space="preserve">  </w:t>
                          </w:r>
                          <w:r>
                            <w:rPr>
                              <w:rStyle w:val="30"/>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4AD251">
                    <w:pPr>
                      <w:pStyle w:val="20"/>
                      <w:rPr>
                        <w:rStyle w:val="30"/>
                        <w:rFonts w:ascii="宋体" w:hAnsi="宋体"/>
                        <w:sz w:val="28"/>
                        <w:szCs w:val="28"/>
                      </w:rPr>
                    </w:pPr>
                    <w:r>
                      <w:rPr>
                        <w:rStyle w:val="30"/>
                        <w:rFonts w:hint="eastAsia" w:ascii="宋体" w:hAnsi="宋体"/>
                        <w:sz w:val="28"/>
                        <w:szCs w:val="28"/>
                      </w:rPr>
                      <w:t>—</w:t>
                    </w:r>
                    <w:r>
                      <w:rPr>
                        <w:rStyle w:val="30"/>
                        <w:rFonts w:hint="eastAsia" w:ascii="宋体" w:hAnsi="宋体"/>
                        <w:sz w:val="20"/>
                      </w:rPr>
                      <w:t xml:space="preserve">  </w:t>
                    </w:r>
                    <w:r>
                      <w:rPr>
                        <w:rStyle w:val="30"/>
                        <w:rFonts w:ascii="宋体" w:hAnsi="宋体"/>
                        <w:sz w:val="26"/>
                        <w:szCs w:val="26"/>
                      </w:rPr>
                      <w:fldChar w:fldCharType="begin"/>
                    </w:r>
                    <w:r>
                      <w:rPr>
                        <w:rStyle w:val="30"/>
                        <w:rFonts w:ascii="宋体" w:hAnsi="宋体"/>
                        <w:sz w:val="26"/>
                        <w:szCs w:val="26"/>
                      </w:rPr>
                      <w:instrText xml:space="preserve">PAGE  </w:instrText>
                    </w:r>
                    <w:r>
                      <w:rPr>
                        <w:rStyle w:val="30"/>
                        <w:rFonts w:ascii="宋体" w:hAnsi="宋体"/>
                        <w:sz w:val="26"/>
                        <w:szCs w:val="26"/>
                      </w:rPr>
                      <w:fldChar w:fldCharType="separate"/>
                    </w:r>
                    <w:r>
                      <w:rPr>
                        <w:rStyle w:val="30"/>
                        <w:rFonts w:ascii="宋体" w:hAnsi="宋体"/>
                        <w:sz w:val="26"/>
                        <w:szCs w:val="26"/>
                      </w:rPr>
                      <w:t>9</w:t>
                    </w:r>
                    <w:r>
                      <w:rPr>
                        <w:rStyle w:val="30"/>
                        <w:rFonts w:ascii="宋体" w:hAnsi="宋体"/>
                        <w:sz w:val="26"/>
                        <w:szCs w:val="26"/>
                      </w:rPr>
                      <w:fldChar w:fldCharType="end"/>
                    </w:r>
                    <w:r>
                      <w:rPr>
                        <w:rStyle w:val="30"/>
                        <w:rFonts w:hint="eastAsia" w:ascii="宋体" w:hAnsi="宋体"/>
                        <w:sz w:val="20"/>
                      </w:rPr>
                      <w:t xml:space="preserve">  </w:t>
                    </w:r>
                    <w:r>
                      <w:rPr>
                        <w:rStyle w:val="30"/>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846FA">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4CFA9"/>
    <w:multiLevelType w:val="multilevel"/>
    <w:tmpl w:val="BB64CFA9"/>
    <w:lvl w:ilvl="0" w:tentative="0">
      <w:start w:val="1"/>
      <w:numFmt w:val="decimal"/>
      <w:lvlText w:val="（%1）"/>
      <w:lvlJc w:val="left"/>
      <w:pPr>
        <w:ind w:left="132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78" w:hanging="601"/>
      </w:pPr>
      <w:rPr>
        <w:rFonts w:hint="default"/>
        <w:lang w:val="zh-CN" w:eastAsia="zh-CN" w:bidi="zh-CN"/>
      </w:rPr>
    </w:lvl>
    <w:lvl w:ilvl="2" w:tentative="0">
      <w:start w:val="0"/>
      <w:numFmt w:val="bullet"/>
      <w:lvlText w:val="•"/>
      <w:lvlJc w:val="left"/>
      <w:pPr>
        <w:ind w:left="3037" w:hanging="601"/>
      </w:pPr>
      <w:rPr>
        <w:rFonts w:hint="default"/>
        <w:lang w:val="zh-CN" w:eastAsia="zh-CN" w:bidi="zh-CN"/>
      </w:rPr>
    </w:lvl>
    <w:lvl w:ilvl="3" w:tentative="0">
      <w:start w:val="0"/>
      <w:numFmt w:val="bullet"/>
      <w:lvlText w:val="•"/>
      <w:lvlJc w:val="left"/>
      <w:pPr>
        <w:ind w:left="3895" w:hanging="601"/>
      </w:pPr>
      <w:rPr>
        <w:rFonts w:hint="default"/>
        <w:lang w:val="zh-CN" w:eastAsia="zh-CN" w:bidi="zh-CN"/>
      </w:rPr>
    </w:lvl>
    <w:lvl w:ilvl="4" w:tentative="0">
      <w:start w:val="0"/>
      <w:numFmt w:val="bullet"/>
      <w:lvlText w:val="•"/>
      <w:lvlJc w:val="left"/>
      <w:pPr>
        <w:ind w:left="4754" w:hanging="601"/>
      </w:pPr>
      <w:rPr>
        <w:rFonts w:hint="default"/>
        <w:lang w:val="zh-CN" w:eastAsia="zh-CN" w:bidi="zh-CN"/>
      </w:rPr>
    </w:lvl>
    <w:lvl w:ilvl="5" w:tentative="0">
      <w:start w:val="0"/>
      <w:numFmt w:val="bullet"/>
      <w:lvlText w:val="•"/>
      <w:lvlJc w:val="left"/>
      <w:pPr>
        <w:ind w:left="5613" w:hanging="601"/>
      </w:pPr>
      <w:rPr>
        <w:rFonts w:hint="default"/>
        <w:lang w:val="zh-CN" w:eastAsia="zh-CN" w:bidi="zh-CN"/>
      </w:rPr>
    </w:lvl>
    <w:lvl w:ilvl="6" w:tentative="0">
      <w:start w:val="0"/>
      <w:numFmt w:val="bullet"/>
      <w:lvlText w:val="•"/>
      <w:lvlJc w:val="left"/>
      <w:pPr>
        <w:ind w:left="6471" w:hanging="601"/>
      </w:pPr>
      <w:rPr>
        <w:rFonts w:hint="default"/>
        <w:lang w:val="zh-CN" w:eastAsia="zh-CN" w:bidi="zh-CN"/>
      </w:rPr>
    </w:lvl>
    <w:lvl w:ilvl="7" w:tentative="0">
      <w:start w:val="0"/>
      <w:numFmt w:val="bullet"/>
      <w:lvlText w:val="•"/>
      <w:lvlJc w:val="left"/>
      <w:pPr>
        <w:ind w:left="7330" w:hanging="601"/>
      </w:pPr>
      <w:rPr>
        <w:rFonts w:hint="default"/>
        <w:lang w:val="zh-CN" w:eastAsia="zh-CN" w:bidi="zh-CN"/>
      </w:rPr>
    </w:lvl>
    <w:lvl w:ilvl="8" w:tentative="0">
      <w:start w:val="0"/>
      <w:numFmt w:val="bullet"/>
      <w:lvlText w:val="•"/>
      <w:lvlJc w:val="left"/>
      <w:pPr>
        <w:ind w:left="8188" w:hanging="601"/>
      </w:pPr>
      <w:rPr>
        <w:rFonts w:hint="default"/>
        <w:lang w:val="zh-CN" w:eastAsia="zh-CN" w:bidi="zh-CN"/>
      </w:rPr>
    </w:lvl>
  </w:abstractNum>
  <w:abstractNum w:abstractNumId="1">
    <w:nsid w:val="5A699B6E"/>
    <w:multiLevelType w:val="multilevel"/>
    <w:tmpl w:val="5A699B6E"/>
    <w:lvl w:ilvl="0" w:tentative="0">
      <w:start w:val="1"/>
      <w:numFmt w:val="decimal"/>
      <w:suff w:val="space"/>
      <w:lvlText w:val="第%1章  "/>
      <w:lvlJc w:val="center"/>
      <w:pPr>
        <w:tabs>
          <w:tab w:val="left" w:pos="420"/>
        </w:tabs>
        <w:ind w:left="0" w:firstLine="0"/>
      </w:pPr>
      <w:rPr>
        <w:rFonts w:hint="default" w:ascii="Times New Roman" w:hAnsi="Times New Roman" w:eastAsia="黑体" w:cs="Times New Roman"/>
        <w:b/>
        <w:bCs/>
        <w:sz w:val="30"/>
        <w:szCs w:val="30"/>
      </w:rPr>
    </w:lvl>
    <w:lvl w:ilvl="1" w:tentative="0">
      <w:start w:val="1"/>
      <w:numFmt w:val="decimal"/>
      <w:suff w:val="nothing"/>
      <w:lvlText w:val="%1.%2 "/>
      <w:lvlJc w:val="left"/>
      <w:pPr>
        <w:tabs>
          <w:tab w:val="left" w:pos="0"/>
        </w:tabs>
        <w:ind w:left="575" w:hanging="575"/>
      </w:pPr>
      <w:rPr>
        <w:rFonts w:hint="default" w:ascii="Times New Roman" w:hAnsi="Times New Roman" w:eastAsia="黑体" w:cs="Times New Roman"/>
        <w:b/>
        <w:bCs/>
        <w:sz w:val="28"/>
        <w:szCs w:val="28"/>
      </w:rPr>
    </w:lvl>
    <w:lvl w:ilvl="2" w:tentative="0">
      <w:start w:val="1"/>
      <w:numFmt w:val="decimal"/>
      <w:suff w:val="nothing"/>
      <w:lvlText w:val="%1.%2.%3 "/>
      <w:lvlJc w:val="left"/>
      <w:pPr>
        <w:tabs>
          <w:tab w:val="left" w:pos="0"/>
        </w:tabs>
        <w:ind w:left="720" w:hanging="720"/>
      </w:pPr>
      <w:rPr>
        <w:rFonts w:hint="default" w:ascii="Times New Roman" w:hAnsi="Times New Roman" w:eastAsia="宋体" w:cs="Times New Roman"/>
        <w:b/>
        <w:bCs/>
        <w:sz w:val="24"/>
        <w:szCs w:val="24"/>
      </w:rPr>
    </w:lvl>
    <w:lvl w:ilvl="3" w:tentative="0">
      <w:start w:val="1"/>
      <w:numFmt w:val="decimal"/>
      <w:suff w:val="nothing"/>
      <w:lvlText w:val="%1.%2.%3.%4 "/>
      <w:lvlJc w:val="left"/>
      <w:pPr>
        <w:tabs>
          <w:tab w:val="left" w:pos="0"/>
        </w:tabs>
        <w:ind w:left="864" w:hanging="864"/>
      </w:pPr>
      <w:rPr>
        <w:rFonts w:hint="default" w:ascii="Times New Roman" w:hAnsi="Times New Roman" w:eastAsia="宋体" w:cs="Times New Roman"/>
        <w:b/>
        <w:bCs/>
        <w:sz w:val="24"/>
        <w:szCs w:val="24"/>
      </w:rPr>
    </w:lvl>
    <w:lvl w:ilvl="4" w:tentative="0">
      <w:start w:val="1"/>
      <w:numFmt w:val="decimal"/>
      <w:lvlRestart w:val="2"/>
      <w:pStyle w:val="54"/>
      <w:suff w:val="nothing"/>
      <w:lvlText w:val="表%1.%2-%5  "/>
      <w:lvlJc w:val="left"/>
      <w:pPr>
        <w:tabs>
          <w:tab w:val="left" w:pos="0"/>
        </w:tabs>
        <w:ind w:left="1008" w:hanging="1008"/>
      </w:pPr>
      <w:rPr>
        <w:rFonts w:hint="default" w:ascii="Times New Roman" w:hAnsi="Times New Roman" w:eastAsia="宋体" w:cs="Times New Roman"/>
        <w:b/>
        <w:bCs/>
        <w:sz w:val="24"/>
        <w:szCs w:val="24"/>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2">
    <w:nsid w:val="670799FE"/>
    <w:multiLevelType w:val="singleLevel"/>
    <w:tmpl w:val="670799FE"/>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WRkZmU5OTJhNGQyMDFmYzgxYmU0MjIxODYxNTUifQ=="/>
  </w:docVars>
  <w:rsids>
    <w:rsidRoot w:val="00172A27"/>
    <w:rsid w:val="00001F8C"/>
    <w:rsid w:val="00003504"/>
    <w:rsid w:val="00051995"/>
    <w:rsid w:val="000F6956"/>
    <w:rsid w:val="001247F5"/>
    <w:rsid w:val="00195B31"/>
    <w:rsid w:val="001A20EC"/>
    <w:rsid w:val="001A2968"/>
    <w:rsid w:val="001A2B41"/>
    <w:rsid w:val="001F3ADA"/>
    <w:rsid w:val="00205621"/>
    <w:rsid w:val="00224C7A"/>
    <w:rsid w:val="002D269B"/>
    <w:rsid w:val="002F4511"/>
    <w:rsid w:val="003178A8"/>
    <w:rsid w:val="00327CB1"/>
    <w:rsid w:val="00340FEF"/>
    <w:rsid w:val="003C1F52"/>
    <w:rsid w:val="003C28DE"/>
    <w:rsid w:val="003C3010"/>
    <w:rsid w:val="003E01F4"/>
    <w:rsid w:val="004C39BF"/>
    <w:rsid w:val="00551409"/>
    <w:rsid w:val="006360BD"/>
    <w:rsid w:val="00675306"/>
    <w:rsid w:val="00692FA7"/>
    <w:rsid w:val="006A623D"/>
    <w:rsid w:val="006C1441"/>
    <w:rsid w:val="006D6F3B"/>
    <w:rsid w:val="006E177F"/>
    <w:rsid w:val="006E6810"/>
    <w:rsid w:val="007E4E77"/>
    <w:rsid w:val="0081083A"/>
    <w:rsid w:val="00847DE1"/>
    <w:rsid w:val="00884CAE"/>
    <w:rsid w:val="0089189B"/>
    <w:rsid w:val="008E40E1"/>
    <w:rsid w:val="00980EC9"/>
    <w:rsid w:val="00981520"/>
    <w:rsid w:val="00A10993"/>
    <w:rsid w:val="00A124D7"/>
    <w:rsid w:val="00A40483"/>
    <w:rsid w:val="00A43F55"/>
    <w:rsid w:val="00A86FB1"/>
    <w:rsid w:val="00B431AC"/>
    <w:rsid w:val="00B52CB1"/>
    <w:rsid w:val="00BA691D"/>
    <w:rsid w:val="00C74E44"/>
    <w:rsid w:val="00C823C4"/>
    <w:rsid w:val="00CA1B74"/>
    <w:rsid w:val="00CD79DA"/>
    <w:rsid w:val="00D021BE"/>
    <w:rsid w:val="00D5761F"/>
    <w:rsid w:val="00D91EDB"/>
    <w:rsid w:val="00E865C2"/>
    <w:rsid w:val="00EA40E8"/>
    <w:rsid w:val="00F76805"/>
    <w:rsid w:val="01011707"/>
    <w:rsid w:val="01022F84"/>
    <w:rsid w:val="01064671"/>
    <w:rsid w:val="010A79CD"/>
    <w:rsid w:val="010F5955"/>
    <w:rsid w:val="01115B19"/>
    <w:rsid w:val="01167F7D"/>
    <w:rsid w:val="01233A9E"/>
    <w:rsid w:val="01282E62"/>
    <w:rsid w:val="012C34B7"/>
    <w:rsid w:val="013378DB"/>
    <w:rsid w:val="0136518B"/>
    <w:rsid w:val="013A432D"/>
    <w:rsid w:val="013D79A5"/>
    <w:rsid w:val="01413E0E"/>
    <w:rsid w:val="01431C2E"/>
    <w:rsid w:val="01472C04"/>
    <w:rsid w:val="01490EBF"/>
    <w:rsid w:val="014D0B1B"/>
    <w:rsid w:val="0156177E"/>
    <w:rsid w:val="01565F5C"/>
    <w:rsid w:val="0163340B"/>
    <w:rsid w:val="016D6AC7"/>
    <w:rsid w:val="017023A7"/>
    <w:rsid w:val="0182157D"/>
    <w:rsid w:val="0183453D"/>
    <w:rsid w:val="019127B6"/>
    <w:rsid w:val="01940A17"/>
    <w:rsid w:val="019450FA"/>
    <w:rsid w:val="0198234B"/>
    <w:rsid w:val="01991C4C"/>
    <w:rsid w:val="01A2544F"/>
    <w:rsid w:val="01A37B56"/>
    <w:rsid w:val="01A93FA3"/>
    <w:rsid w:val="01AF1275"/>
    <w:rsid w:val="01B131E0"/>
    <w:rsid w:val="01B6221C"/>
    <w:rsid w:val="01BE7323"/>
    <w:rsid w:val="01C16785"/>
    <w:rsid w:val="01C74429"/>
    <w:rsid w:val="01CE02A5"/>
    <w:rsid w:val="01CF66BA"/>
    <w:rsid w:val="01D227E9"/>
    <w:rsid w:val="01D51CEF"/>
    <w:rsid w:val="01D52DEE"/>
    <w:rsid w:val="01E07FB3"/>
    <w:rsid w:val="01E274B5"/>
    <w:rsid w:val="01E54191"/>
    <w:rsid w:val="01E7687A"/>
    <w:rsid w:val="01EA3F2D"/>
    <w:rsid w:val="01F013C1"/>
    <w:rsid w:val="01F568EE"/>
    <w:rsid w:val="01F677A7"/>
    <w:rsid w:val="01FE5971"/>
    <w:rsid w:val="02022291"/>
    <w:rsid w:val="02023F4B"/>
    <w:rsid w:val="020D3724"/>
    <w:rsid w:val="02104022"/>
    <w:rsid w:val="02117558"/>
    <w:rsid w:val="02160608"/>
    <w:rsid w:val="021805A0"/>
    <w:rsid w:val="021826DA"/>
    <w:rsid w:val="021F6013"/>
    <w:rsid w:val="02284581"/>
    <w:rsid w:val="022A49B8"/>
    <w:rsid w:val="023000CF"/>
    <w:rsid w:val="0234328A"/>
    <w:rsid w:val="023831E6"/>
    <w:rsid w:val="02427F54"/>
    <w:rsid w:val="02443CCC"/>
    <w:rsid w:val="024737BC"/>
    <w:rsid w:val="02497534"/>
    <w:rsid w:val="024A4B13"/>
    <w:rsid w:val="024B0EA1"/>
    <w:rsid w:val="024C35ED"/>
    <w:rsid w:val="024C492F"/>
    <w:rsid w:val="024C63F3"/>
    <w:rsid w:val="024E20A3"/>
    <w:rsid w:val="02503F29"/>
    <w:rsid w:val="0250441F"/>
    <w:rsid w:val="02511F45"/>
    <w:rsid w:val="02545BB4"/>
    <w:rsid w:val="025817C9"/>
    <w:rsid w:val="026223A4"/>
    <w:rsid w:val="026954E1"/>
    <w:rsid w:val="027143C1"/>
    <w:rsid w:val="02725808"/>
    <w:rsid w:val="02730CBD"/>
    <w:rsid w:val="027B0375"/>
    <w:rsid w:val="027B5F7F"/>
    <w:rsid w:val="027F637D"/>
    <w:rsid w:val="028203C5"/>
    <w:rsid w:val="0284056C"/>
    <w:rsid w:val="028714FA"/>
    <w:rsid w:val="028A66BC"/>
    <w:rsid w:val="029167E5"/>
    <w:rsid w:val="029213A5"/>
    <w:rsid w:val="02955AF6"/>
    <w:rsid w:val="029562D6"/>
    <w:rsid w:val="029C3C73"/>
    <w:rsid w:val="029C58B6"/>
    <w:rsid w:val="029E7C2F"/>
    <w:rsid w:val="02A1631F"/>
    <w:rsid w:val="02A53D13"/>
    <w:rsid w:val="02A66735"/>
    <w:rsid w:val="02B50098"/>
    <w:rsid w:val="02B76EA0"/>
    <w:rsid w:val="02C72207"/>
    <w:rsid w:val="02CB1CF7"/>
    <w:rsid w:val="02CC4935"/>
    <w:rsid w:val="02D51B8F"/>
    <w:rsid w:val="02E078A9"/>
    <w:rsid w:val="02E156D1"/>
    <w:rsid w:val="02E1776D"/>
    <w:rsid w:val="02E90D84"/>
    <w:rsid w:val="02EE56E8"/>
    <w:rsid w:val="02F23758"/>
    <w:rsid w:val="02FA25DD"/>
    <w:rsid w:val="02FF23DD"/>
    <w:rsid w:val="0309790E"/>
    <w:rsid w:val="030C6E5A"/>
    <w:rsid w:val="03153BB5"/>
    <w:rsid w:val="03172975"/>
    <w:rsid w:val="032A1114"/>
    <w:rsid w:val="032A2EC2"/>
    <w:rsid w:val="032B47D4"/>
    <w:rsid w:val="032E299E"/>
    <w:rsid w:val="03373831"/>
    <w:rsid w:val="033879A6"/>
    <w:rsid w:val="033905F3"/>
    <w:rsid w:val="033B50CF"/>
    <w:rsid w:val="033E7623"/>
    <w:rsid w:val="0340173B"/>
    <w:rsid w:val="03477077"/>
    <w:rsid w:val="03477A8E"/>
    <w:rsid w:val="0348159A"/>
    <w:rsid w:val="034D095E"/>
    <w:rsid w:val="034D4E02"/>
    <w:rsid w:val="034E2BCA"/>
    <w:rsid w:val="03524B74"/>
    <w:rsid w:val="03550A4B"/>
    <w:rsid w:val="035703B8"/>
    <w:rsid w:val="03591C06"/>
    <w:rsid w:val="035E4CED"/>
    <w:rsid w:val="0361265C"/>
    <w:rsid w:val="036A5AAA"/>
    <w:rsid w:val="036F4ACF"/>
    <w:rsid w:val="037567E0"/>
    <w:rsid w:val="03786668"/>
    <w:rsid w:val="037C09BB"/>
    <w:rsid w:val="037D4FF9"/>
    <w:rsid w:val="03870314"/>
    <w:rsid w:val="0397607D"/>
    <w:rsid w:val="039B3DC0"/>
    <w:rsid w:val="03A2514E"/>
    <w:rsid w:val="03A73E08"/>
    <w:rsid w:val="03A92761"/>
    <w:rsid w:val="03A9365C"/>
    <w:rsid w:val="03AC1B29"/>
    <w:rsid w:val="03AE1559"/>
    <w:rsid w:val="03B46C2F"/>
    <w:rsid w:val="03BE360A"/>
    <w:rsid w:val="03C055D4"/>
    <w:rsid w:val="03C33A72"/>
    <w:rsid w:val="03C427E7"/>
    <w:rsid w:val="03C8318C"/>
    <w:rsid w:val="03D33559"/>
    <w:rsid w:val="03D56A09"/>
    <w:rsid w:val="03DB0660"/>
    <w:rsid w:val="03DD34B3"/>
    <w:rsid w:val="03DF20E6"/>
    <w:rsid w:val="03E84AD5"/>
    <w:rsid w:val="03EA75CC"/>
    <w:rsid w:val="03EB7DBF"/>
    <w:rsid w:val="03FB485E"/>
    <w:rsid w:val="03FC7FF0"/>
    <w:rsid w:val="03FD2384"/>
    <w:rsid w:val="03FD436B"/>
    <w:rsid w:val="040309AC"/>
    <w:rsid w:val="0410030A"/>
    <w:rsid w:val="041365C4"/>
    <w:rsid w:val="04163446"/>
    <w:rsid w:val="04172478"/>
    <w:rsid w:val="04180F6C"/>
    <w:rsid w:val="04182BE0"/>
    <w:rsid w:val="041B151E"/>
    <w:rsid w:val="041D2A27"/>
    <w:rsid w:val="042042C5"/>
    <w:rsid w:val="04273BA4"/>
    <w:rsid w:val="042E24FA"/>
    <w:rsid w:val="04337931"/>
    <w:rsid w:val="043446B7"/>
    <w:rsid w:val="043761DA"/>
    <w:rsid w:val="043A35D9"/>
    <w:rsid w:val="043E3C1F"/>
    <w:rsid w:val="044048B6"/>
    <w:rsid w:val="04455CBC"/>
    <w:rsid w:val="04485834"/>
    <w:rsid w:val="045253A0"/>
    <w:rsid w:val="0456591D"/>
    <w:rsid w:val="04590024"/>
    <w:rsid w:val="045C2D6E"/>
    <w:rsid w:val="045D72C7"/>
    <w:rsid w:val="045F3810"/>
    <w:rsid w:val="045F6DD7"/>
    <w:rsid w:val="046046D6"/>
    <w:rsid w:val="04776088"/>
    <w:rsid w:val="047C774D"/>
    <w:rsid w:val="047D5A67"/>
    <w:rsid w:val="047F4146"/>
    <w:rsid w:val="04802709"/>
    <w:rsid w:val="04864599"/>
    <w:rsid w:val="048C120B"/>
    <w:rsid w:val="048F32CE"/>
    <w:rsid w:val="049158F0"/>
    <w:rsid w:val="049F3A8D"/>
    <w:rsid w:val="04A60661"/>
    <w:rsid w:val="04AE3779"/>
    <w:rsid w:val="04AE464C"/>
    <w:rsid w:val="04B14484"/>
    <w:rsid w:val="04B213C1"/>
    <w:rsid w:val="04B4111F"/>
    <w:rsid w:val="04B5525E"/>
    <w:rsid w:val="04BC3FEE"/>
    <w:rsid w:val="04C335CE"/>
    <w:rsid w:val="04C410F4"/>
    <w:rsid w:val="04C904B8"/>
    <w:rsid w:val="04CB7A9A"/>
    <w:rsid w:val="04CD6D06"/>
    <w:rsid w:val="04CF5F94"/>
    <w:rsid w:val="04CF70C9"/>
    <w:rsid w:val="04D840CA"/>
    <w:rsid w:val="04DC4690"/>
    <w:rsid w:val="04E179AB"/>
    <w:rsid w:val="04E83035"/>
    <w:rsid w:val="04F35535"/>
    <w:rsid w:val="05025D14"/>
    <w:rsid w:val="050442C2"/>
    <w:rsid w:val="0507507E"/>
    <w:rsid w:val="051017B6"/>
    <w:rsid w:val="051305CF"/>
    <w:rsid w:val="05145A0C"/>
    <w:rsid w:val="051554AC"/>
    <w:rsid w:val="051A0D14"/>
    <w:rsid w:val="052370D3"/>
    <w:rsid w:val="05263B5D"/>
    <w:rsid w:val="05273155"/>
    <w:rsid w:val="052B2F21"/>
    <w:rsid w:val="0532472F"/>
    <w:rsid w:val="053775DF"/>
    <w:rsid w:val="053814B3"/>
    <w:rsid w:val="053E00D1"/>
    <w:rsid w:val="0543026B"/>
    <w:rsid w:val="054377AC"/>
    <w:rsid w:val="05551D4C"/>
    <w:rsid w:val="055C757F"/>
    <w:rsid w:val="055D3573"/>
    <w:rsid w:val="055E50A5"/>
    <w:rsid w:val="05600E1D"/>
    <w:rsid w:val="056A6957"/>
    <w:rsid w:val="05753A6C"/>
    <w:rsid w:val="05791EDF"/>
    <w:rsid w:val="05796D93"/>
    <w:rsid w:val="057A4A23"/>
    <w:rsid w:val="05820786"/>
    <w:rsid w:val="05830037"/>
    <w:rsid w:val="0585260C"/>
    <w:rsid w:val="05854CE9"/>
    <w:rsid w:val="059357C9"/>
    <w:rsid w:val="05956AF3"/>
    <w:rsid w:val="05A23AEA"/>
    <w:rsid w:val="05A3035A"/>
    <w:rsid w:val="05A32D8D"/>
    <w:rsid w:val="05A47E39"/>
    <w:rsid w:val="05A607FA"/>
    <w:rsid w:val="05AA040B"/>
    <w:rsid w:val="05B20F4D"/>
    <w:rsid w:val="05B42F17"/>
    <w:rsid w:val="05B44CC5"/>
    <w:rsid w:val="05B55C2C"/>
    <w:rsid w:val="05B828E7"/>
    <w:rsid w:val="05CA3E52"/>
    <w:rsid w:val="05D03AAD"/>
    <w:rsid w:val="05DB3FDB"/>
    <w:rsid w:val="05DD4852"/>
    <w:rsid w:val="05E271D0"/>
    <w:rsid w:val="05E774E6"/>
    <w:rsid w:val="05E855C0"/>
    <w:rsid w:val="05EA3927"/>
    <w:rsid w:val="05EA5338"/>
    <w:rsid w:val="05F477B7"/>
    <w:rsid w:val="05FA2A55"/>
    <w:rsid w:val="05FB0B46"/>
    <w:rsid w:val="05FB3BE5"/>
    <w:rsid w:val="05FC1F0A"/>
    <w:rsid w:val="05FE23E4"/>
    <w:rsid w:val="06025659"/>
    <w:rsid w:val="060856F4"/>
    <w:rsid w:val="060A7287"/>
    <w:rsid w:val="060C2D53"/>
    <w:rsid w:val="060C68AF"/>
    <w:rsid w:val="060E6ACB"/>
    <w:rsid w:val="06110369"/>
    <w:rsid w:val="06147E59"/>
    <w:rsid w:val="06191684"/>
    <w:rsid w:val="061D0ABC"/>
    <w:rsid w:val="062067FE"/>
    <w:rsid w:val="062B6E9A"/>
    <w:rsid w:val="062C6F51"/>
    <w:rsid w:val="062F2FDC"/>
    <w:rsid w:val="06302974"/>
    <w:rsid w:val="063B2870"/>
    <w:rsid w:val="063B7CCA"/>
    <w:rsid w:val="063D2F0C"/>
    <w:rsid w:val="063E50AD"/>
    <w:rsid w:val="064249C6"/>
    <w:rsid w:val="06456A13"/>
    <w:rsid w:val="064A5629"/>
    <w:rsid w:val="06500E91"/>
    <w:rsid w:val="06555537"/>
    <w:rsid w:val="065869FD"/>
    <w:rsid w:val="065B0CF6"/>
    <w:rsid w:val="065F4847"/>
    <w:rsid w:val="066801DD"/>
    <w:rsid w:val="067A04CA"/>
    <w:rsid w:val="067F3525"/>
    <w:rsid w:val="068230B2"/>
    <w:rsid w:val="06867DFC"/>
    <w:rsid w:val="06872F1A"/>
    <w:rsid w:val="06915006"/>
    <w:rsid w:val="06947999"/>
    <w:rsid w:val="06952D48"/>
    <w:rsid w:val="069B6A6E"/>
    <w:rsid w:val="069D1BFD"/>
    <w:rsid w:val="069D785C"/>
    <w:rsid w:val="06A26CE1"/>
    <w:rsid w:val="06A34A08"/>
    <w:rsid w:val="06B156A8"/>
    <w:rsid w:val="06B7213F"/>
    <w:rsid w:val="06BA5030"/>
    <w:rsid w:val="06C4362D"/>
    <w:rsid w:val="06C7630B"/>
    <w:rsid w:val="06C9658A"/>
    <w:rsid w:val="06CB676A"/>
    <w:rsid w:val="06CC603E"/>
    <w:rsid w:val="06CF4373"/>
    <w:rsid w:val="06D67D46"/>
    <w:rsid w:val="06DB2608"/>
    <w:rsid w:val="06DB4379"/>
    <w:rsid w:val="06EB0BBA"/>
    <w:rsid w:val="07040202"/>
    <w:rsid w:val="07041C7C"/>
    <w:rsid w:val="071B32B6"/>
    <w:rsid w:val="07267541"/>
    <w:rsid w:val="07287718"/>
    <w:rsid w:val="072B545A"/>
    <w:rsid w:val="072C6375"/>
    <w:rsid w:val="07310263"/>
    <w:rsid w:val="07382F16"/>
    <w:rsid w:val="073D5962"/>
    <w:rsid w:val="0743707D"/>
    <w:rsid w:val="07496C3D"/>
    <w:rsid w:val="074C325F"/>
    <w:rsid w:val="074E2EF7"/>
    <w:rsid w:val="074F755C"/>
    <w:rsid w:val="07557ACE"/>
    <w:rsid w:val="075958CC"/>
    <w:rsid w:val="075A189C"/>
    <w:rsid w:val="075F3ED9"/>
    <w:rsid w:val="07660241"/>
    <w:rsid w:val="076B3AA9"/>
    <w:rsid w:val="07767EF0"/>
    <w:rsid w:val="077B3522"/>
    <w:rsid w:val="077C7D1E"/>
    <w:rsid w:val="07822CFC"/>
    <w:rsid w:val="07990119"/>
    <w:rsid w:val="07A128D4"/>
    <w:rsid w:val="07A1396F"/>
    <w:rsid w:val="07A174CB"/>
    <w:rsid w:val="07A5520D"/>
    <w:rsid w:val="07A953B1"/>
    <w:rsid w:val="07B0770E"/>
    <w:rsid w:val="07B34569"/>
    <w:rsid w:val="07BA4244"/>
    <w:rsid w:val="07BE6026"/>
    <w:rsid w:val="07C25320"/>
    <w:rsid w:val="07C25615"/>
    <w:rsid w:val="07CA07CF"/>
    <w:rsid w:val="07CE1789"/>
    <w:rsid w:val="07DD7326"/>
    <w:rsid w:val="07E44307"/>
    <w:rsid w:val="07E9507F"/>
    <w:rsid w:val="07EC6998"/>
    <w:rsid w:val="07F21110"/>
    <w:rsid w:val="07F32AD5"/>
    <w:rsid w:val="07F40B73"/>
    <w:rsid w:val="07FD7592"/>
    <w:rsid w:val="08000455"/>
    <w:rsid w:val="0800140A"/>
    <w:rsid w:val="080A7EF9"/>
    <w:rsid w:val="080D0674"/>
    <w:rsid w:val="080E5162"/>
    <w:rsid w:val="0810758D"/>
    <w:rsid w:val="082425D6"/>
    <w:rsid w:val="08254FB4"/>
    <w:rsid w:val="082751D4"/>
    <w:rsid w:val="0828199A"/>
    <w:rsid w:val="082C3238"/>
    <w:rsid w:val="082D338F"/>
    <w:rsid w:val="08367B67"/>
    <w:rsid w:val="08371AF0"/>
    <w:rsid w:val="08393BA7"/>
    <w:rsid w:val="083E11BD"/>
    <w:rsid w:val="08406CE4"/>
    <w:rsid w:val="08430582"/>
    <w:rsid w:val="0843532F"/>
    <w:rsid w:val="084F243F"/>
    <w:rsid w:val="084F6F27"/>
    <w:rsid w:val="08512C9F"/>
    <w:rsid w:val="08514A4D"/>
    <w:rsid w:val="08517028"/>
    <w:rsid w:val="08560C25"/>
    <w:rsid w:val="08591B53"/>
    <w:rsid w:val="085E716A"/>
    <w:rsid w:val="08601134"/>
    <w:rsid w:val="08640C24"/>
    <w:rsid w:val="08644C05"/>
    <w:rsid w:val="08730E67"/>
    <w:rsid w:val="08744F7A"/>
    <w:rsid w:val="087644CB"/>
    <w:rsid w:val="087D7F38"/>
    <w:rsid w:val="08821A3A"/>
    <w:rsid w:val="08852292"/>
    <w:rsid w:val="088766C0"/>
    <w:rsid w:val="08892439"/>
    <w:rsid w:val="088D0955"/>
    <w:rsid w:val="088E7A4F"/>
    <w:rsid w:val="0895702F"/>
    <w:rsid w:val="08961A12"/>
    <w:rsid w:val="089825F0"/>
    <w:rsid w:val="089875A8"/>
    <w:rsid w:val="089F7EAE"/>
    <w:rsid w:val="08A63D15"/>
    <w:rsid w:val="08A90D2D"/>
    <w:rsid w:val="08AB6408"/>
    <w:rsid w:val="08B80F70"/>
    <w:rsid w:val="08B90139"/>
    <w:rsid w:val="08C16076"/>
    <w:rsid w:val="08D15B8E"/>
    <w:rsid w:val="08D2511C"/>
    <w:rsid w:val="08D768B3"/>
    <w:rsid w:val="08DC2B16"/>
    <w:rsid w:val="08E06BFE"/>
    <w:rsid w:val="08E65530"/>
    <w:rsid w:val="08EA1120"/>
    <w:rsid w:val="08F655F4"/>
    <w:rsid w:val="08FD1DEA"/>
    <w:rsid w:val="08FD31A9"/>
    <w:rsid w:val="09045F63"/>
    <w:rsid w:val="090675AE"/>
    <w:rsid w:val="090A75A9"/>
    <w:rsid w:val="091B682D"/>
    <w:rsid w:val="09206DDD"/>
    <w:rsid w:val="09212671"/>
    <w:rsid w:val="09261B58"/>
    <w:rsid w:val="0926412B"/>
    <w:rsid w:val="092B34F0"/>
    <w:rsid w:val="092C6356"/>
    <w:rsid w:val="092C7268"/>
    <w:rsid w:val="09364775"/>
    <w:rsid w:val="0941451D"/>
    <w:rsid w:val="09497E1A"/>
    <w:rsid w:val="094A557B"/>
    <w:rsid w:val="09510A7C"/>
    <w:rsid w:val="095A2027"/>
    <w:rsid w:val="095C4F27"/>
    <w:rsid w:val="09646A02"/>
    <w:rsid w:val="09672AD3"/>
    <w:rsid w:val="096C40EB"/>
    <w:rsid w:val="096E75D6"/>
    <w:rsid w:val="097B395C"/>
    <w:rsid w:val="097F55EA"/>
    <w:rsid w:val="098904FD"/>
    <w:rsid w:val="099217C1"/>
    <w:rsid w:val="099866AB"/>
    <w:rsid w:val="09AC1E04"/>
    <w:rsid w:val="09AD03A9"/>
    <w:rsid w:val="09B039F5"/>
    <w:rsid w:val="09B32549"/>
    <w:rsid w:val="09BE4F1A"/>
    <w:rsid w:val="09C00789"/>
    <w:rsid w:val="09C13E54"/>
    <w:rsid w:val="09C30A11"/>
    <w:rsid w:val="09C33728"/>
    <w:rsid w:val="09C70C60"/>
    <w:rsid w:val="09C851E3"/>
    <w:rsid w:val="09D370FD"/>
    <w:rsid w:val="09D5345C"/>
    <w:rsid w:val="09D674F6"/>
    <w:rsid w:val="09E6676A"/>
    <w:rsid w:val="09EA11A2"/>
    <w:rsid w:val="09EA6F07"/>
    <w:rsid w:val="09EC032D"/>
    <w:rsid w:val="09F16108"/>
    <w:rsid w:val="09F239E0"/>
    <w:rsid w:val="0A012637"/>
    <w:rsid w:val="0A026946"/>
    <w:rsid w:val="0A06008E"/>
    <w:rsid w:val="0A0B22A6"/>
    <w:rsid w:val="0A0D3EBF"/>
    <w:rsid w:val="0A1D552E"/>
    <w:rsid w:val="0A1F0DB5"/>
    <w:rsid w:val="0A211B30"/>
    <w:rsid w:val="0A21573F"/>
    <w:rsid w:val="0A2473F4"/>
    <w:rsid w:val="0A261B64"/>
    <w:rsid w:val="0A2A1AFE"/>
    <w:rsid w:val="0A2C39C3"/>
    <w:rsid w:val="0A2C447B"/>
    <w:rsid w:val="0A2C5771"/>
    <w:rsid w:val="0A3259D4"/>
    <w:rsid w:val="0A340C28"/>
    <w:rsid w:val="0A382368"/>
    <w:rsid w:val="0A3B7763"/>
    <w:rsid w:val="0A3D797F"/>
    <w:rsid w:val="0A3D7FAC"/>
    <w:rsid w:val="0A3E61CF"/>
    <w:rsid w:val="0A430D0D"/>
    <w:rsid w:val="0A454A85"/>
    <w:rsid w:val="0A6007AB"/>
    <w:rsid w:val="0A615F1A"/>
    <w:rsid w:val="0A650D4A"/>
    <w:rsid w:val="0A65591F"/>
    <w:rsid w:val="0A693506"/>
    <w:rsid w:val="0A69398C"/>
    <w:rsid w:val="0A694362"/>
    <w:rsid w:val="0A774AB2"/>
    <w:rsid w:val="0A792992"/>
    <w:rsid w:val="0A7E6F9F"/>
    <w:rsid w:val="0A80786B"/>
    <w:rsid w:val="0A883A89"/>
    <w:rsid w:val="0A8F5D00"/>
    <w:rsid w:val="0A911907"/>
    <w:rsid w:val="0A93759F"/>
    <w:rsid w:val="0A946A55"/>
    <w:rsid w:val="0A960E3D"/>
    <w:rsid w:val="0A963AAE"/>
    <w:rsid w:val="0A9D4330"/>
    <w:rsid w:val="0AA27E70"/>
    <w:rsid w:val="0AAA04B5"/>
    <w:rsid w:val="0AAB0D8C"/>
    <w:rsid w:val="0AAB489B"/>
    <w:rsid w:val="0AAC240E"/>
    <w:rsid w:val="0AB75863"/>
    <w:rsid w:val="0ABD0ABF"/>
    <w:rsid w:val="0ABE2142"/>
    <w:rsid w:val="0ABE6664"/>
    <w:rsid w:val="0ACB31DC"/>
    <w:rsid w:val="0ACE0286"/>
    <w:rsid w:val="0ACE7AA0"/>
    <w:rsid w:val="0ADA6B55"/>
    <w:rsid w:val="0ADB6EF4"/>
    <w:rsid w:val="0AE36ECE"/>
    <w:rsid w:val="0AF60B31"/>
    <w:rsid w:val="0AF96715"/>
    <w:rsid w:val="0AFA13CC"/>
    <w:rsid w:val="0AFC77D6"/>
    <w:rsid w:val="0B0009AC"/>
    <w:rsid w:val="0B073AE9"/>
    <w:rsid w:val="0B093D05"/>
    <w:rsid w:val="0B09418A"/>
    <w:rsid w:val="0B163D2C"/>
    <w:rsid w:val="0B1A19B4"/>
    <w:rsid w:val="0B1B6EBB"/>
    <w:rsid w:val="0B217FC5"/>
    <w:rsid w:val="0B224DC6"/>
    <w:rsid w:val="0B253CC8"/>
    <w:rsid w:val="0B2F5832"/>
    <w:rsid w:val="0B3150EA"/>
    <w:rsid w:val="0B33619E"/>
    <w:rsid w:val="0B3A2110"/>
    <w:rsid w:val="0B3E67C2"/>
    <w:rsid w:val="0B41524D"/>
    <w:rsid w:val="0B45421B"/>
    <w:rsid w:val="0B5605CC"/>
    <w:rsid w:val="0B5B3783"/>
    <w:rsid w:val="0B5C708E"/>
    <w:rsid w:val="0B622A02"/>
    <w:rsid w:val="0B6536B8"/>
    <w:rsid w:val="0B674CBC"/>
    <w:rsid w:val="0B6874E1"/>
    <w:rsid w:val="0B6947A3"/>
    <w:rsid w:val="0B6A6843"/>
    <w:rsid w:val="0B6C50CB"/>
    <w:rsid w:val="0B6D1AC3"/>
    <w:rsid w:val="0B6E19A7"/>
    <w:rsid w:val="0B747F8F"/>
    <w:rsid w:val="0B7B0B24"/>
    <w:rsid w:val="0B8475F4"/>
    <w:rsid w:val="0B883F1F"/>
    <w:rsid w:val="0B920E35"/>
    <w:rsid w:val="0B9A6BA7"/>
    <w:rsid w:val="0BA23811"/>
    <w:rsid w:val="0BA354C3"/>
    <w:rsid w:val="0BA41A53"/>
    <w:rsid w:val="0BAB4DBC"/>
    <w:rsid w:val="0BB356B3"/>
    <w:rsid w:val="0BB53255"/>
    <w:rsid w:val="0BBC0D77"/>
    <w:rsid w:val="0BBE064B"/>
    <w:rsid w:val="0BBE4AFD"/>
    <w:rsid w:val="0BC10245"/>
    <w:rsid w:val="0BDC4F58"/>
    <w:rsid w:val="0BDE01E4"/>
    <w:rsid w:val="0BE20C78"/>
    <w:rsid w:val="0BE53D27"/>
    <w:rsid w:val="0BE55E0C"/>
    <w:rsid w:val="0BED2CDE"/>
    <w:rsid w:val="0BF56E60"/>
    <w:rsid w:val="0C020575"/>
    <w:rsid w:val="0C0539DD"/>
    <w:rsid w:val="0C0804DC"/>
    <w:rsid w:val="0C100447"/>
    <w:rsid w:val="0C112AE3"/>
    <w:rsid w:val="0C1A4BEB"/>
    <w:rsid w:val="0C1B6E61"/>
    <w:rsid w:val="0C231608"/>
    <w:rsid w:val="0C252158"/>
    <w:rsid w:val="0C255D6D"/>
    <w:rsid w:val="0C262B62"/>
    <w:rsid w:val="0C2649DF"/>
    <w:rsid w:val="0C2E6944"/>
    <w:rsid w:val="0C377A52"/>
    <w:rsid w:val="0C395F24"/>
    <w:rsid w:val="0C3D30AA"/>
    <w:rsid w:val="0C4072B2"/>
    <w:rsid w:val="0C436DA2"/>
    <w:rsid w:val="0C486239"/>
    <w:rsid w:val="0C4F123E"/>
    <w:rsid w:val="0C4F1FBB"/>
    <w:rsid w:val="0C545836"/>
    <w:rsid w:val="0C5B2527"/>
    <w:rsid w:val="0C6236CC"/>
    <w:rsid w:val="0C711B61"/>
    <w:rsid w:val="0C7139B7"/>
    <w:rsid w:val="0C77337C"/>
    <w:rsid w:val="0C7E65A6"/>
    <w:rsid w:val="0C82288B"/>
    <w:rsid w:val="0C9B7F52"/>
    <w:rsid w:val="0CA30FB8"/>
    <w:rsid w:val="0CAD19F6"/>
    <w:rsid w:val="0CB97065"/>
    <w:rsid w:val="0CB97F98"/>
    <w:rsid w:val="0CBB4B8B"/>
    <w:rsid w:val="0CBD6881"/>
    <w:rsid w:val="0CC53C5B"/>
    <w:rsid w:val="0CC96970"/>
    <w:rsid w:val="0CCC0710"/>
    <w:rsid w:val="0CD97A58"/>
    <w:rsid w:val="0CDE3470"/>
    <w:rsid w:val="0CE143B2"/>
    <w:rsid w:val="0CE97058"/>
    <w:rsid w:val="0CEB6BF1"/>
    <w:rsid w:val="0CF04ACE"/>
    <w:rsid w:val="0CFD51A3"/>
    <w:rsid w:val="0D020A0B"/>
    <w:rsid w:val="0D04428B"/>
    <w:rsid w:val="0D066333"/>
    <w:rsid w:val="0D0A343A"/>
    <w:rsid w:val="0D10137A"/>
    <w:rsid w:val="0D191630"/>
    <w:rsid w:val="0D1F336B"/>
    <w:rsid w:val="0D2C2E3D"/>
    <w:rsid w:val="0D305D1E"/>
    <w:rsid w:val="0D364756"/>
    <w:rsid w:val="0D3875BE"/>
    <w:rsid w:val="0D3D7C96"/>
    <w:rsid w:val="0D4F52D6"/>
    <w:rsid w:val="0D600C33"/>
    <w:rsid w:val="0D637D73"/>
    <w:rsid w:val="0D643474"/>
    <w:rsid w:val="0D6C40D7"/>
    <w:rsid w:val="0D734AD7"/>
    <w:rsid w:val="0D7A67F4"/>
    <w:rsid w:val="0D7C4200"/>
    <w:rsid w:val="0D8103A0"/>
    <w:rsid w:val="0D8458C4"/>
    <w:rsid w:val="0D863B28"/>
    <w:rsid w:val="0D93556D"/>
    <w:rsid w:val="0D960D3E"/>
    <w:rsid w:val="0DA254C0"/>
    <w:rsid w:val="0DA675E9"/>
    <w:rsid w:val="0DA837B8"/>
    <w:rsid w:val="0DB31787"/>
    <w:rsid w:val="0DB55A7E"/>
    <w:rsid w:val="0DB937C0"/>
    <w:rsid w:val="0DBF4B4E"/>
    <w:rsid w:val="0DC21F49"/>
    <w:rsid w:val="0DCD09F0"/>
    <w:rsid w:val="0DCE08EE"/>
    <w:rsid w:val="0DCE4BD6"/>
    <w:rsid w:val="0DD51C7C"/>
    <w:rsid w:val="0DE46363"/>
    <w:rsid w:val="0DE563A5"/>
    <w:rsid w:val="0DE72CCE"/>
    <w:rsid w:val="0DEB1EA7"/>
    <w:rsid w:val="0DF0289C"/>
    <w:rsid w:val="0DF30ACF"/>
    <w:rsid w:val="0DFA16E3"/>
    <w:rsid w:val="0DFF5C3B"/>
    <w:rsid w:val="0E06277D"/>
    <w:rsid w:val="0E073D0D"/>
    <w:rsid w:val="0E081147"/>
    <w:rsid w:val="0E081B83"/>
    <w:rsid w:val="0E102753"/>
    <w:rsid w:val="0E22633F"/>
    <w:rsid w:val="0E296834"/>
    <w:rsid w:val="0E296B13"/>
    <w:rsid w:val="0E3118AB"/>
    <w:rsid w:val="0E386C18"/>
    <w:rsid w:val="0E3C2671"/>
    <w:rsid w:val="0E4018D9"/>
    <w:rsid w:val="0E462B7A"/>
    <w:rsid w:val="0E467795"/>
    <w:rsid w:val="0E5139F9"/>
    <w:rsid w:val="0E525ADF"/>
    <w:rsid w:val="0E567261"/>
    <w:rsid w:val="0E5C05EF"/>
    <w:rsid w:val="0E6C0832"/>
    <w:rsid w:val="0E6F3E7F"/>
    <w:rsid w:val="0E7D63D0"/>
    <w:rsid w:val="0E807E3A"/>
    <w:rsid w:val="0E8372DC"/>
    <w:rsid w:val="0E8813E4"/>
    <w:rsid w:val="0E887F44"/>
    <w:rsid w:val="0E894549"/>
    <w:rsid w:val="0E9125B0"/>
    <w:rsid w:val="0E927E61"/>
    <w:rsid w:val="0E9457C5"/>
    <w:rsid w:val="0E971CEC"/>
    <w:rsid w:val="0E9B4C74"/>
    <w:rsid w:val="0EA30C46"/>
    <w:rsid w:val="0EA3623F"/>
    <w:rsid w:val="0EA50285"/>
    <w:rsid w:val="0EA50836"/>
    <w:rsid w:val="0EA63619"/>
    <w:rsid w:val="0EA72B92"/>
    <w:rsid w:val="0EAA1E72"/>
    <w:rsid w:val="0EAD7E75"/>
    <w:rsid w:val="0EB16A5D"/>
    <w:rsid w:val="0EB421D9"/>
    <w:rsid w:val="0EB83A78"/>
    <w:rsid w:val="0EC264DD"/>
    <w:rsid w:val="0EC71F0D"/>
    <w:rsid w:val="0EC97C3C"/>
    <w:rsid w:val="0ECD409F"/>
    <w:rsid w:val="0EE20AF5"/>
    <w:rsid w:val="0EE71214"/>
    <w:rsid w:val="0EE7435D"/>
    <w:rsid w:val="0EE85DA2"/>
    <w:rsid w:val="0EF20FBD"/>
    <w:rsid w:val="0EFC6BE3"/>
    <w:rsid w:val="0F0C3DC3"/>
    <w:rsid w:val="0F114F36"/>
    <w:rsid w:val="0F142919"/>
    <w:rsid w:val="0F144A26"/>
    <w:rsid w:val="0F1862C4"/>
    <w:rsid w:val="0F1B4006"/>
    <w:rsid w:val="0F1C245B"/>
    <w:rsid w:val="0F235324"/>
    <w:rsid w:val="0F2630C3"/>
    <w:rsid w:val="0F2C1D70"/>
    <w:rsid w:val="0F36468A"/>
    <w:rsid w:val="0F3927D6"/>
    <w:rsid w:val="0F3E028F"/>
    <w:rsid w:val="0F401FD9"/>
    <w:rsid w:val="0F455900"/>
    <w:rsid w:val="0F470958"/>
    <w:rsid w:val="0F4D2FB0"/>
    <w:rsid w:val="0F4E1581"/>
    <w:rsid w:val="0F525C40"/>
    <w:rsid w:val="0F597A04"/>
    <w:rsid w:val="0F5A38D7"/>
    <w:rsid w:val="0F5B2655"/>
    <w:rsid w:val="0F611DE9"/>
    <w:rsid w:val="0F6255B7"/>
    <w:rsid w:val="0F625791"/>
    <w:rsid w:val="0F661726"/>
    <w:rsid w:val="0F676827"/>
    <w:rsid w:val="0F76123D"/>
    <w:rsid w:val="0F8B118C"/>
    <w:rsid w:val="0F9A589C"/>
    <w:rsid w:val="0F9B7951"/>
    <w:rsid w:val="0FA609CC"/>
    <w:rsid w:val="0FAC3659"/>
    <w:rsid w:val="0FAD1102"/>
    <w:rsid w:val="0FAE390F"/>
    <w:rsid w:val="0FAE645B"/>
    <w:rsid w:val="0FB6788B"/>
    <w:rsid w:val="0FBE6C7E"/>
    <w:rsid w:val="0FC63F72"/>
    <w:rsid w:val="0FC77ADA"/>
    <w:rsid w:val="0FD3668F"/>
    <w:rsid w:val="0FE663C2"/>
    <w:rsid w:val="0FF00AF3"/>
    <w:rsid w:val="0FF26075"/>
    <w:rsid w:val="0FF44180"/>
    <w:rsid w:val="0FF7237E"/>
    <w:rsid w:val="0FF860F6"/>
    <w:rsid w:val="0FFA1E6E"/>
    <w:rsid w:val="0FFA3C1C"/>
    <w:rsid w:val="0FFC1427"/>
    <w:rsid w:val="10014FAA"/>
    <w:rsid w:val="100845EF"/>
    <w:rsid w:val="10142F30"/>
    <w:rsid w:val="1017737C"/>
    <w:rsid w:val="10196798"/>
    <w:rsid w:val="101A14F8"/>
    <w:rsid w:val="101E031E"/>
    <w:rsid w:val="10214E0C"/>
    <w:rsid w:val="10245548"/>
    <w:rsid w:val="10270FEE"/>
    <w:rsid w:val="102D0195"/>
    <w:rsid w:val="10336795"/>
    <w:rsid w:val="10347536"/>
    <w:rsid w:val="103747D2"/>
    <w:rsid w:val="103D0BA2"/>
    <w:rsid w:val="103E48B7"/>
    <w:rsid w:val="103F5C65"/>
    <w:rsid w:val="103F5EF9"/>
    <w:rsid w:val="10414F72"/>
    <w:rsid w:val="10463305"/>
    <w:rsid w:val="1049590D"/>
    <w:rsid w:val="104C1361"/>
    <w:rsid w:val="10556DBB"/>
    <w:rsid w:val="10595FBD"/>
    <w:rsid w:val="105C0433"/>
    <w:rsid w:val="105C33D3"/>
    <w:rsid w:val="105E23FD"/>
    <w:rsid w:val="1067038F"/>
    <w:rsid w:val="106A1358"/>
    <w:rsid w:val="106F63B8"/>
    <w:rsid w:val="107E2A03"/>
    <w:rsid w:val="10817E99"/>
    <w:rsid w:val="10851ACA"/>
    <w:rsid w:val="10896DE0"/>
    <w:rsid w:val="10953945"/>
    <w:rsid w:val="1096761C"/>
    <w:rsid w:val="109951E3"/>
    <w:rsid w:val="109B2935"/>
    <w:rsid w:val="109D1177"/>
    <w:rsid w:val="109F26BD"/>
    <w:rsid w:val="10A5614F"/>
    <w:rsid w:val="10AE1D05"/>
    <w:rsid w:val="10B777B7"/>
    <w:rsid w:val="10B91E62"/>
    <w:rsid w:val="10BE1BE7"/>
    <w:rsid w:val="10BF3AD4"/>
    <w:rsid w:val="10C00446"/>
    <w:rsid w:val="10C85AC8"/>
    <w:rsid w:val="10D31FAC"/>
    <w:rsid w:val="10D516B4"/>
    <w:rsid w:val="10DD253A"/>
    <w:rsid w:val="10DD419A"/>
    <w:rsid w:val="10E072B6"/>
    <w:rsid w:val="10E16EA2"/>
    <w:rsid w:val="10EE3E65"/>
    <w:rsid w:val="10EF74F9"/>
    <w:rsid w:val="10F93234"/>
    <w:rsid w:val="10FA431D"/>
    <w:rsid w:val="10FC6398"/>
    <w:rsid w:val="11003900"/>
    <w:rsid w:val="110338F5"/>
    <w:rsid w:val="11052878"/>
    <w:rsid w:val="110B7891"/>
    <w:rsid w:val="110F6F7F"/>
    <w:rsid w:val="11125AA7"/>
    <w:rsid w:val="11173D01"/>
    <w:rsid w:val="111C3A3A"/>
    <w:rsid w:val="111D1A3C"/>
    <w:rsid w:val="111D7BC2"/>
    <w:rsid w:val="11287AF5"/>
    <w:rsid w:val="112D6274"/>
    <w:rsid w:val="11335637"/>
    <w:rsid w:val="113849FC"/>
    <w:rsid w:val="113A4C18"/>
    <w:rsid w:val="113E3FDC"/>
    <w:rsid w:val="113F4FF3"/>
    <w:rsid w:val="114F2D0E"/>
    <w:rsid w:val="11543643"/>
    <w:rsid w:val="115B3BDC"/>
    <w:rsid w:val="115B4B8E"/>
    <w:rsid w:val="115E37E9"/>
    <w:rsid w:val="116C28F7"/>
    <w:rsid w:val="116D6B65"/>
    <w:rsid w:val="116F79B7"/>
    <w:rsid w:val="11712A1C"/>
    <w:rsid w:val="117143B2"/>
    <w:rsid w:val="117233EF"/>
    <w:rsid w:val="11755507"/>
    <w:rsid w:val="1178642B"/>
    <w:rsid w:val="1179579B"/>
    <w:rsid w:val="117B00BB"/>
    <w:rsid w:val="11813B96"/>
    <w:rsid w:val="118A31F7"/>
    <w:rsid w:val="118E1F67"/>
    <w:rsid w:val="118F6B11"/>
    <w:rsid w:val="119074D8"/>
    <w:rsid w:val="1194344E"/>
    <w:rsid w:val="119B4D4D"/>
    <w:rsid w:val="11AA6C32"/>
    <w:rsid w:val="11AE2F10"/>
    <w:rsid w:val="11B12A00"/>
    <w:rsid w:val="11C412E0"/>
    <w:rsid w:val="11C9066B"/>
    <w:rsid w:val="11CB13F5"/>
    <w:rsid w:val="11D23F92"/>
    <w:rsid w:val="11D86EAE"/>
    <w:rsid w:val="11DC2C5C"/>
    <w:rsid w:val="11E1766F"/>
    <w:rsid w:val="11E22BBA"/>
    <w:rsid w:val="11E64B3D"/>
    <w:rsid w:val="11E74565"/>
    <w:rsid w:val="11E76422"/>
    <w:rsid w:val="11E9616D"/>
    <w:rsid w:val="11EB4164"/>
    <w:rsid w:val="11EB41F5"/>
    <w:rsid w:val="11ED1C8A"/>
    <w:rsid w:val="11EE77B0"/>
    <w:rsid w:val="11EF60BB"/>
    <w:rsid w:val="11F34DDD"/>
    <w:rsid w:val="11F554D8"/>
    <w:rsid w:val="11F62EE9"/>
    <w:rsid w:val="11F86D77"/>
    <w:rsid w:val="11FA721D"/>
    <w:rsid w:val="1202325C"/>
    <w:rsid w:val="12045226"/>
    <w:rsid w:val="12095A3E"/>
    <w:rsid w:val="120B60B9"/>
    <w:rsid w:val="120C0775"/>
    <w:rsid w:val="120D35E2"/>
    <w:rsid w:val="1212349F"/>
    <w:rsid w:val="12125B81"/>
    <w:rsid w:val="121355DB"/>
    <w:rsid w:val="12171242"/>
    <w:rsid w:val="12210E7B"/>
    <w:rsid w:val="1226659C"/>
    <w:rsid w:val="122753E4"/>
    <w:rsid w:val="1229224D"/>
    <w:rsid w:val="122B630F"/>
    <w:rsid w:val="122D0061"/>
    <w:rsid w:val="123155A1"/>
    <w:rsid w:val="12333C10"/>
    <w:rsid w:val="123769F4"/>
    <w:rsid w:val="12473D7F"/>
    <w:rsid w:val="124D2729"/>
    <w:rsid w:val="124E024F"/>
    <w:rsid w:val="125062A1"/>
    <w:rsid w:val="12530516"/>
    <w:rsid w:val="125C38BD"/>
    <w:rsid w:val="126570BB"/>
    <w:rsid w:val="12664815"/>
    <w:rsid w:val="126C4B0A"/>
    <w:rsid w:val="127D6304"/>
    <w:rsid w:val="127F5B59"/>
    <w:rsid w:val="128819B3"/>
    <w:rsid w:val="128C0640"/>
    <w:rsid w:val="128D618E"/>
    <w:rsid w:val="12940358"/>
    <w:rsid w:val="12960CDE"/>
    <w:rsid w:val="129C6349"/>
    <w:rsid w:val="129E34BA"/>
    <w:rsid w:val="12A8563E"/>
    <w:rsid w:val="12A85BB1"/>
    <w:rsid w:val="12AD766B"/>
    <w:rsid w:val="12B46304"/>
    <w:rsid w:val="12BE3627"/>
    <w:rsid w:val="12BE7183"/>
    <w:rsid w:val="12C64289"/>
    <w:rsid w:val="12C7072D"/>
    <w:rsid w:val="12CB4732"/>
    <w:rsid w:val="12D5073B"/>
    <w:rsid w:val="12D75CEB"/>
    <w:rsid w:val="12D83555"/>
    <w:rsid w:val="12DF7C4D"/>
    <w:rsid w:val="12E3308D"/>
    <w:rsid w:val="12E43DCF"/>
    <w:rsid w:val="12E62E70"/>
    <w:rsid w:val="12E83F6C"/>
    <w:rsid w:val="12EC0194"/>
    <w:rsid w:val="12F02E71"/>
    <w:rsid w:val="12F40DF6"/>
    <w:rsid w:val="12FA57FD"/>
    <w:rsid w:val="130519AD"/>
    <w:rsid w:val="13054DB2"/>
    <w:rsid w:val="13070B2A"/>
    <w:rsid w:val="1307145F"/>
    <w:rsid w:val="13076E22"/>
    <w:rsid w:val="13135720"/>
    <w:rsid w:val="131B3BB9"/>
    <w:rsid w:val="13280AA0"/>
    <w:rsid w:val="132B25B1"/>
    <w:rsid w:val="132F16B3"/>
    <w:rsid w:val="133631BD"/>
    <w:rsid w:val="133B516B"/>
    <w:rsid w:val="133E0FD8"/>
    <w:rsid w:val="13426E05"/>
    <w:rsid w:val="13436531"/>
    <w:rsid w:val="134372EB"/>
    <w:rsid w:val="13453400"/>
    <w:rsid w:val="13486713"/>
    <w:rsid w:val="134E648D"/>
    <w:rsid w:val="135247DB"/>
    <w:rsid w:val="135256C1"/>
    <w:rsid w:val="135950FD"/>
    <w:rsid w:val="135A25E6"/>
    <w:rsid w:val="13695C36"/>
    <w:rsid w:val="136C704E"/>
    <w:rsid w:val="13710699"/>
    <w:rsid w:val="13767056"/>
    <w:rsid w:val="137D703E"/>
    <w:rsid w:val="13807363"/>
    <w:rsid w:val="13813876"/>
    <w:rsid w:val="13871C6A"/>
    <w:rsid w:val="1389029B"/>
    <w:rsid w:val="13953A2D"/>
    <w:rsid w:val="13956732"/>
    <w:rsid w:val="13975FCE"/>
    <w:rsid w:val="139C03FB"/>
    <w:rsid w:val="13A35FA2"/>
    <w:rsid w:val="13A879AD"/>
    <w:rsid w:val="13B10A95"/>
    <w:rsid w:val="13B50586"/>
    <w:rsid w:val="13B97A6D"/>
    <w:rsid w:val="13BD568C"/>
    <w:rsid w:val="13BE626E"/>
    <w:rsid w:val="13BE63AE"/>
    <w:rsid w:val="13BF412F"/>
    <w:rsid w:val="13C54441"/>
    <w:rsid w:val="13C82D78"/>
    <w:rsid w:val="13C87727"/>
    <w:rsid w:val="13D53B45"/>
    <w:rsid w:val="13D84217"/>
    <w:rsid w:val="13DC453C"/>
    <w:rsid w:val="13DF6E73"/>
    <w:rsid w:val="13E175CD"/>
    <w:rsid w:val="13E45817"/>
    <w:rsid w:val="13E7095B"/>
    <w:rsid w:val="13F1593A"/>
    <w:rsid w:val="13FD3CDB"/>
    <w:rsid w:val="13FD4129"/>
    <w:rsid w:val="140339E5"/>
    <w:rsid w:val="14067033"/>
    <w:rsid w:val="14092680"/>
    <w:rsid w:val="141F18CA"/>
    <w:rsid w:val="142A6E60"/>
    <w:rsid w:val="142F527C"/>
    <w:rsid w:val="14327BEE"/>
    <w:rsid w:val="1434290B"/>
    <w:rsid w:val="143474F1"/>
    <w:rsid w:val="14357918"/>
    <w:rsid w:val="14362BD1"/>
    <w:rsid w:val="143666D2"/>
    <w:rsid w:val="1437543F"/>
    <w:rsid w:val="143855E5"/>
    <w:rsid w:val="143F5FAA"/>
    <w:rsid w:val="144430F9"/>
    <w:rsid w:val="144B0EEA"/>
    <w:rsid w:val="144D5D1A"/>
    <w:rsid w:val="144F3ACE"/>
    <w:rsid w:val="14524026"/>
    <w:rsid w:val="1454727D"/>
    <w:rsid w:val="14553B17"/>
    <w:rsid w:val="14635DCB"/>
    <w:rsid w:val="14644BBB"/>
    <w:rsid w:val="14733088"/>
    <w:rsid w:val="1477078D"/>
    <w:rsid w:val="1480655B"/>
    <w:rsid w:val="14812B5E"/>
    <w:rsid w:val="14830684"/>
    <w:rsid w:val="14832432"/>
    <w:rsid w:val="148461AA"/>
    <w:rsid w:val="148553CE"/>
    <w:rsid w:val="14883EEC"/>
    <w:rsid w:val="148A7C64"/>
    <w:rsid w:val="148E6A4C"/>
    <w:rsid w:val="14952165"/>
    <w:rsid w:val="14991DEC"/>
    <w:rsid w:val="149B30C3"/>
    <w:rsid w:val="149E655B"/>
    <w:rsid w:val="14AA3E63"/>
    <w:rsid w:val="14AC7060"/>
    <w:rsid w:val="14B00DC9"/>
    <w:rsid w:val="14B03698"/>
    <w:rsid w:val="14B167FF"/>
    <w:rsid w:val="14B75363"/>
    <w:rsid w:val="14B8518F"/>
    <w:rsid w:val="14BD65D4"/>
    <w:rsid w:val="14C34F24"/>
    <w:rsid w:val="14CA765B"/>
    <w:rsid w:val="14CE3295"/>
    <w:rsid w:val="14D16651"/>
    <w:rsid w:val="14D26F15"/>
    <w:rsid w:val="14D427D3"/>
    <w:rsid w:val="14D74BF1"/>
    <w:rsid w:val="14DC5FE6"/>
    <w:rsid w:val="14E32ED1"/>
    <w:rsid w:val="14E63240"/>
    <w:rsid w:val="14EA24B1"/>
    <w:rsid w:val="14EF1875"/>
    <w:rsid w:val="14F90946"/>
    <w:rsid w:val="14FC3F92"/>
    <w:rsid w:val="14FE41AE"/>
    <w:rsid w:val="150712B5"/>
    <w:rsid w:val="151E65FF"/>
    <w:rsid w:val="152655BA"/>
    <w:rsid w:val="15267BD5"/>
    <w:rsid w:val="1527568C"/>
    <w:rsid w:val="152C56B4"/>
    <w:rsid w:val="1537600B"/>
    <w:rsid w:val="153951E6"/>
    <w:rsid w:val="153B0F5F"/>
    <w:rsid w:val="153E1664"/>
    <w:rsid w:val="15435C00"/>
    <w:rsid w:val="15451DDD"/>
    <w:rsid w:val="15455344"/>
    <w:rsid w:val="155073CC"/>
    <w:rsid w:val="1552003B"/>
    <w:rsid w:val="15581ECD"/>
    <w:rsid w:val="155C16B2"/>
    <w:rsid w:val="155E4A4F"/>
    <w:rsid w:val="156C1118"/>
    <w:rsid w:val="156E2000"/>
    <w:rsid w:val="156E30E2"/>
    <w:rsid w:val="157A747A"/>
    <w:rsid w:val="15806971"/>
    <w:rsid w:val="1583587E"/>
    <w:rsid w:val="15910B7E"/>
    <w:rsid w:val="1591146B"/>
    <w:rsid w:val="159259DB"/>
    <w:rsid w:val="15973CBB"/>
    <w:rsid w:val="15995C85"/>
    <w:rsid w:val="159B12DE"/>
    <w:rsid w:val="159D1D5D"/>
    <w:rsid w:val="159D5775"/>
    <w:rsid w:val="159E329B"/>
    <w:rsid w:val="15A02B70"/>
    <w:rsid w:val="15A05265"/>
    <w:rsid w:val="15A5462A"/>
    <w:rsid w:val="15A72150"/>
    <w:rsid w:val="15A8150E"/>
    <w:rsid w:val="15AE7982"/>
    <w:rsid w:val="15B33262"/>
    <w:rsid w:val="15B7753C"/>
    <w:rsid w:val="15B905C7"/>
    <w:rsid w:val="15BD4731"/>
    <w:rsid w:val="15BE749A"/>
    <w:rsid w:val="15C33CB3"/>
    <w:rsid w:val="15C7386F"/>
    <w:rsid w:val="15CC1BB7"/>
    <w:rsid w:val="15D05B4B"/>
    <w:rsid w:val="15D13671"/>
    <w:rsid w:val="15D46CBD"/>
    <w:rsid w:val="15DA1140"/>
    <w:rsid w:val="15DB268D"/>
    <w:rsid w:val="15DF44BE"/>
    <w:rsid w:val="15E12AFC"/>
    <w:rsid w:val="15EE1307"/>
    <w:rsid w:val="15F630D7"/>
    <w:rsid w:val="15F967B3"/>
    <w:rsid w:val="160012BD"/>
    <w:rsid w:val="16003FC0"/>
    <w:rsid w:val="16007AB2"/>
    <w:rsid w:val="16011215"/>
    <w:rsid w:val="160457F4"/>
    <w:rsid w:val="16090D0A"/>
    <w:rsid w:val="160B2645"/>
    <w:rsid w:val="160D0296"/>
    <w:rsid w:val="161031AD"/>
    <w:rsid w:val="16140DEE"/>
    <w:rsid w:val="16196CEE"/>
    <w:rsid w:val="162163A6"/>
    <w:rsid w:val="1622065F"/>
    <w:rsid w:val="16227A29"/>
    <w:rsid w:val="162C4310"/>
    <w:rsid w:val="162E2871"/>
    <w:rsid w:val="162E6FEA"/>
    <w:rsid w:val="16306CB5"/>
    <w:rsid w:val="163634D4"/>
    <w:rsid w:val="163934C9"/>
    <w:rsid w:val="163B747F"/>
    <w:rsid w:val="163C3568"/>
    <w:rsid w:val="163C4F8E"/>
    <w:rsid w:val="163E47A2"/>
    <w:rsid w:val="163F0C39"/>
    <w:rsid w:val="16443E43"/>
    <w:rsid w:val="16491459"/>
    <w:rsid w:val="164B51D1"/>
    <w:rsid w:val="164C1885"/>
    <w:rsid w:val="164C2CF7"/>
    <w:rsid w:val="16502F3E"/>
    <w:rsid w:val="16512C66"/>
    <w:rsid w:val="16534C52"/>
    <w:rsid w:val="16573195"/>
    <w:rsid w:val="16610EFD"/>
    <w:rsid w:val="16646293"/>
    <w:rsid w:val="1665226C"/>
    <w:rsid w:val="16663DB9"/>
    <w:rsid w:val="1666781F"/>
    <w:rsid w:val="16737EDB"/>
    <w:rsid w:val="167570BE"/>
    <w:rsid w:val="1676568C"/>
    <w:rsid w:val="16783AEC"/>
    <w:rsid w:val="167B0147"/>
    <w:rsid w:val="167E2E5B"/>
    <w:rsid w:val="168C2EEF"/>
    <w:rsid w:val="169528F0"/>
    <w:rsid w:val="16970417"/>
    <w:rsid w:val="169C3C7F"/>
    <w:rsid w:val="169D3553"/>
    <w:rsid w:val="16A14DF1"/>
    <w:rsid w:val="16AB2114"/>
    <w:rsid w:val="16B30AE1"/>
    <w:rsid w:val="16B70AB9"/>
    <w:rsid w:val="16B965DF"/>
    <w:rsid w:val="16BA4105"/>
    <w:rsid w:val="16BD5CDA"/>
    <w:rsid w:val="16BE69CE"/>
    <w:rsid w:val="16CD4B69"/>
    <w:rsid w:val="16CE3958"/>
    <w:rsid w:val="16D03928"/>
    <w:rsid w:val="16D97DC7"/>
    <w:rsid w:val="16DB2B04"/>
    <w:rsid w:val="16E15B36"/>
    <w:rsid w:val="16E3365C"/>
    <w:rsid w:val="16E92565"/>
    <w:rsid w:val="16EC492F"/>
    <w:rsid w:val="16ED44DA"/>
    <w:rsid w:val="16F83709"/>
    <w:rsid w:val="16FE584E"/>
    <w:rsid w:val="1700420E"/>
    <w:rsid w:val="17081314"/>
    <w:rsid w:val="170D2487"/>
    <w:rsid w:val="17151105"/>
    <w:rsid w:val="17190E2C"/>
    <w:rsid w:val="171A7846"/>
    <w:rsid w:val="171B2960"/>
    <w:rsid w:val="172063F2"/>
    <w:rsid w:val="17211B5D"/>
    <w:rsid w:val="17256CE1"/>
    <w:rsid w:val="17285513"/>
    <w:rsid w:val="172872C1"/>
    <w:rsid w:val="172D0D7B"/>
    <w:rsid w:val="173A0E4F"/>
    <w:rsid w:val="173B5246"/>
    <w:rsid w:val="173C4B1A"/>
    <w:rsid w:val="173D3E77"/>
    <w:rsid w:val="173D68BB"/>
    <w:rsid w:val="17411885"/>
    <w:rsid w:val="17431887"/>
    <w:rsid w:val="17481C73"/>
    <w:rsid w:val="174836DA"/>
    <w:rsid w:val="174F2A9F"/>
    <w:rsid w:val="175A5EFD"/>
    <w:rsid w:val="17650515"/>
    <w:rsid w:val="17683B07"/>
    <w:rsid w:val="17684793"/>
    <w:rsid w:val="176A5B2B"/>
    <w:rsid w:val="176B58AB"/>
    <w:rsid w:val="176D1177"/>
    <w:rsid w:val="177644D0"/>
    <w:rsid w:val="177845C9"/>
    <w:rsid w:val="17824C23"/>
    <w:rsid w:val="178C3CF3"/>
    <w:rsid w:val="178C7B30"/>
    <w:rsid w:val="178D1819"/>
    <w:rsid w:val="17914E66"/>
    <w:rsid w:val="17917D74"/>
    <w:rsid w:val="17936E30"/>
    <w:rsid w:val="17950011"/>
    <w:rsid w:val="17A10E21"/>
    <w:rsid w:val="17A32F4D"/>
    <w:rsid w:val="17A85737"/>
    <w:rsid w:val="17AD104E"/>
    <w:rsid w:val="17B15700"/>
    <w:rsid w:val="17B67BAB"/>
    <w:rsid w:val="17B814A8"/>
    <w:rsid w:val="17B84AE8"/>
    <w:rsid w:val="17C24895"/>
    <w:rsid w:val="17C3523B"/>
    <w:rsid w:val="17C36FE9"/>
    <w:rsid w:val="17D30381"/>
    <w:rsid w:val="17E170AC"/>
    <w:rsid w:val="17E20185"/>
    <w:rsid w:val="17E20250"/>
    <w:rsid w:val="17E51656"/>
    <w:rsid w:val="17E73D4A"/>
    <w:rsid w:val="17F329A6"/>
    <w:rsid w:val="17F77AAB"/>
    <w:rsid w:val="17FD699F"/>
    <w:rsid w:val="17FE06E4"/>
    <w:rsid w:val="18055854"/>
    <w:rsid w:val="180D4E89"/>
    <w:rsid w:val="181602D3"/>
    <w:rsid w:val="18161D69"/>
    <w:rsid w:val="181A3234"/>
    <w:rsid w:val="181C3E1E"/>
    <w:rsid w:val="18255F44"/>
    <w:rsid w:val="182C2477"/>
    <w:rsid w:val="182C4B26"/>
    <w:rsid w:val="182D1850"/>
    <w:rsid w:val="18335F1D"/>
    <w:rsid w:val="183D4058"/>
    <w:rsid w:val="184229CE"/>
    <w:rsid w:val="184400AB"/>
    <w:rsid w:val="184C6FDF"/>
    <w:rsid w:val="18577262"/>
    <w:rsid w:val="18636913"/>
    <w:rsid w:val="186913B9"/>
    <w:rsid w:val="186F1A5A"/>
    <w:rsid w:val="187631A9"/>
    <w:rsid w:val="187D6A50"/>
    <w:rsid w:val="1881137E"/>
    <w:rsid w:val="18836BCC"/>
    <w:rsid w:val="188B3FAB"/>
    <w:rsid w:val="189270E7"/>
    <w:rsid w:val="189B5D97"/>
    <w:rsid w:val="18A14754"/>
    <w:rsid w:val="18AF6EC4"/>
    <w:rsid w:val="18B31A70"/>
    <w:rsid w:val="18BB355D"/>
    <w:rsid w:val="18C14A51"/>
    <w:rsid w:val="18C354F3"/>
    <w:rsid w:val="18C536A3"/>
    <w:rsid w:val="18C60A94"/>
    <w:rsid w:val="18CB084B"/>
    <w:rsid w:val="18CC38BF"/>
    <w:rsid w:val="18D442CB"/>
    <w:rsid w:val="18D6213F"/>
    <w:rsid w:val="18D71DD8"/>
    <w:rsid w:val="18DB7BBC"/>
    <w:rsid w:val="18E216F1"/>
    <w:rsid w:val="18E322BF"/>
    <w:rsid w:val="18E44402"/>
    <w:rsid w:val="18E77701"/>
    <w:rsid w:val="18E836DE"/>
    <w:rsid w:val="18F5116E"/>
    <w:rsid w:val="190340F9"/>
    <w:rsid w:val="190568F9"/>
    <w:rsid w:val="19067AD5"/>
    <w:rsid w:val="19124F6A"/>
    <w:rsid w:val="191316D9"/>
    <w:rsid w:val="19232435"/>
    <w:rsid w:val="19242A1C"/>
    <w:rsid w:val="19265A82"/>
    <w:rsid w:val="192B12EA"/>
    <w:rsid w:val="192F5858"/>
    <w:rsid w:val="19313AE7"/>
    <w:rsid w:val="19353F17"/>
    <w:rsid w:val="1936518C"/>
    <w:rsid w:val="193E101D"/>
    <w:rsid w:val="193E726F"/>
    <w:rsid w:val="194175B6"/>
    <w:rsid w:val="194523AC"/>
    <w:rsid w:val="19483D04"/>
    <w:rsid w:val="194A1770"/>
    <w:rsid w:val="194B54E8"/>
    <w:rsid w:val="194C2307"/>
    <w:rsid w:val="194D37D0"/>
    <w:rsid w:val="19557636"/>
    <w:rsid w:val="195754C6"/>
    <w:rsid w:val="19596F19"/>
    <w:rsid w:val="19597DE9"/>
    <w:rsid w:val="195A572B"/>
    <w:rsid w:val="196B1588"/>
    <w:rsid w:val="196B7938"/>
    <w:rsid w:val="197174BD"/>
    <w:rsid w:val="19720CC7"/>
    <w:rsid w:val="197607B7"/>
    <w:rsid w:val="197D7D98"/>
    <w:rsid w:val="197E099D"/>
    <w:rsid w:val="19831126"/>
    <w:rsid w:val="198527A8"/>
    <w:rsid w:val="19880B1B"/>
    <w:rsid w:val="19894F54"/>
    <w:rsid w:val="1991739F"/>
    <w:rsid w:val="199364A5"/>
    <w:rsid w:val="199A3016"/>
    <w:rsid w:val="199A44E3"/>
    <w:rsid w:val="19AF1F1B"/>
    <w:rsid w:val="19B133AF"/>
    <w:rsid w:val="19B17A0A"/>
    <w:rsid w:val="19BA156E"/>
    <w:rsid w:val="19BE6530"/>
    <w:rsid w:val="19C73E97"/>
    <w:rsid w:val="19C968E8"/>
    <w:rsid w:val="19D454DE"/>
    <w:rsid w:val="19E020D4"/>
    <w:rsid w:val="19E30D3E"/>
    <w:rsid w:val="19E90135"/>
    <w:rsid w:val="19EC6CCB"/>
    <w:rsid w:val="19ED659F"/>
    <w:rsid w:val="19F077E8"/>
    <w:rsid w:val="19F07D87"/>
    <w:rsid w:val="19FC385E"/>
    <w:rsid w:val="1A014D68"/>
    <w:rsid w:val="1A02204B"/>
    <w:rsid w:val="1A023DF9"/>
    <w:rsid w:val="1A122BC9"/>
    <w:rsid w:val="1A18186E"/>
    <w:rsid w:val="1A18361C"/>
    <w:rsid w:val="1A1D0C33"/>
    <w:rsid w:val="1A1E1D1A"/>
    <w:rsid w:val="1A207E41"/>
    <w:rsid w:val="1A2361DE"/>
    <w:rsid w:val="1A2D1CA6"/>
    <w:rsid w:val="1A3174C7"/>
    <w:rsid w:val="1A383F32"/>
    <w:rsid w:val="1A3F504D"/>
    <w:rsid w:val="1A424B3D"/>
    <w:rsid w:val="1A4923F5"/>
    <w:rsid w:val="1A4A7EC5"/>
    <w:rsid w:val="1A4B621C"/>
    <w:rsid w:val="1A4D493F"/>
    <w:rsid w:val="1A4F2DB6"/>
    <w:rsid w:val="1A5D0811"/>
    <w:rsid w:val="1A696AC4"/>
    <w:rsid w:val="1A6A3B27"/>
    <w:rsid w:val="1A6A64BE"/>
    <w:rsid w:val="1A6E2201"/>
    <w:rsid w:val="1A731825"/>
    <w:rsid w:val="1A7353E6"/>
    <w:rsid w:val="1A741638"/>
    <w:rsid w:val="1A7935F0"/>
    <w:rsid w:val="1A7D3DC7"/>
    <w:rsid w:val="1A8011C2"/>
    <w:rsid w:val="1A8213DE"/>
    <w:rsid w:val="1A8326B7"/>
    <w:rsid w:val="1A8470D5"/>
    <w:rsid w:val="1A867F89"/>
    <w:rsid w:val="1A8707A2"/>
    <w:rsid w:val="1A8A0CDA"/>
    <w:rsid w:val="1A8B64E4"/>
    <w:rsid w:val="1A8C4532"/>
    <w:rsid w:val="1A906823"/>
    <w:rsid w:val="1A9B1409"/>
    <w:rsid w:val="1AA107CB"/>
    <w:rsid w:val="1AA126A3"/>
    <w:rsid w:val="1AA80FE1"/>
    <w:rsid w:val="1AAC1D72"/>
    <w:rsid w:val="1AAD228C"/>
    <w:rsid w:val="1AB943B7"/>
    <w:rsid w:val="1AC90407"/>
    <w:rsid w:val="1ACD08AB"/>
    <w:rsid w:val="1ADC734A"/>
    <w:rsid w:val="1AEB2ADF"/>
    <w:rsid w:val="1AEE0ED0"/>
    <w:rsid w:val="1B0167A6"/>
    <w:rsid w:val="1B03691D"/>
    <w:rsid w:val="1B0D6EF9"/>
    <w:rsid w:val="1B110E54"/>
    <w:rsid w:val="1B1418BE"/>
    <w:rsid w:val="1B1433F2"/>
    <w:rsid w:val="1B18370C"/>
    <w:rsid w:val="1B1F59AD"/>
    <w:rsid w:val="1B244243"/>
    <w:rsid w:val="1B251795"/>
    <w:rsid w:val="1B261D69"/>
    <w:rsid w:val="1B2673B2"/>
    <w:rsid w:val="1B327DFC"/>
    <w:rsid w:val="1B39030E"/>
    <w:rsid w:val="1B3E538B"/>
    <w:rsid w:val="1B43606F"/>
    <w:rsid w:val="1B46240B"/>
    <w:rsid w:val="1B4F270F"/>
    <w:rsid w:val="1B590390"/>
    <w:rsid w:val="1B5C34B0"/>
    <w:rsid w:val="1B5E3125"/>
    <w:rsid w:val="1B6144FE"/>
    <w:rsid w:val="1B6A60FA"/>
    <w:rsid w:val="1B6C11C8"/>
    <w:rsid w:val="1B6C3361"/>
    <w:rsid w:val="1B6D0B86"/>
    <w:rsid w:val="1B707488"/>
    <w:rsid w:val="1B715935"/>
    <w:rsid w:val="1B721A08"/>
    <w:rsid w:val="1B752565"/>
    <w:rsid w:val="1B766B87"/>
    <w:rsid w:val="1B797C0D"/>
    <w:rsid w:val="1B80591D"/>
    <w:rsid w:val="1B8064A6"/>
    <w:rsid w:val="1B8126FA"/>
    <w:rsid w:val="1B8371BB"/>
    <w:rsid w:val="1B855224"/>
    <w:rsid w:val="1B8A679C"/>
    <w:rsid w:val="1B930AD5"/>
    <w:rsid w:val="1B965141"/>
    <w:rsid w:val="1BA2759C"/>
    <w:rsid w:val="1BA535D6"/>
    <w:rsid w:val="1BA60433"/>
    <w:rsid w:val="1BA62EAA"/>
    <w:rsid w:val="1BA76296"/>
    <w:rsid w:val="1BB11F7A"/>
    <w:rsid w:val="1BB750B7"/>
    <w:rsid w:val="1BB90E2F"/>
    <w:rsid w:val="1BBA62E9"/>
    <w:rsid w:val="1BC455EE"/>
    <w:rsid w:val="1BC565DC"/>
    <w:rsid w:val="1BCD48DA"/>
    <w:rsid w:val="1BCD52B3"/>
    <w:rsid w:val="1BDF3A0A"/>
    <w:rsid w:val="1BE80EF6"/>
    <w:rsid w:val="1BEF424D"/>
    <w:rsid w:val="1BF954ED"/>
    <w:rsid w:val="1BF956CF"/>
    <w:rsid w:val="1BFC2ACA"/>
    <w:rsid w:val="1BFF6B87"/>
    <w:rsid w:val="1C035D31"/>
    <w:rsid w:val="1C0539CF"/>
    <w:rsid w:val="1C09446B"/>
    <w:rsid w:val="1C0E117B"/>
    <w:rsid w:val="1C100BB9"/>
    <w:rsid w:val="1C136D8A"/>
    <w:rsid w:val="1C1D316C"/>
    <w:rsid w:val="1C1D75AD"/>
    <w:rsid w:val="1C1E6BE2"/>
    <w:rsid w:val="1C202B1E"/>
    <w:rsid w:val="1C2C7853"/>
    <w:rsid w:val="1C3A32D0"/>
    <w:rsid w:val="1C452578"/>
    <w:rsid w:val="1C4B4B3B"/>
    <w:rsid w:val="1C4F0BFB"/>
    <w:rsid w:val="1C525167"/>
    <w:rsid w:val="1C5A0D28"/>
    <w:rsid w:val="1C5B5A42"/>
    <w:rsid w:val="1C5E7EC4"/>
    <w:rsid w:val="1C607A2E"/>
    <w:rsid w:val="1C6963B1"/>
    <w:rsid w:val="1C6B35FB"/>
    <w:rsid w:val="1C6D1D6F"/>
    <w:rsid w:val="1C6E7E6B"/>
    <w:rsid w:val="1C6F7740"/>
    <w:rsid w:val="1C784104"/>
    <w:rsid w:val="1C7A05BE"/>
    <w:rsid w:val="1C7C0C57"/>
    <w:rsid w:val="1C8D6CD8"/>
    <w:rsid w:val="1C8F1B2E"/>
    <w:rsid w:val="1C913BC1"/>
    <w:rsid w:val="1C954CD6"/>
    <w:rsid w:val="1C994EC8"/>
    <w:rsid w:val="1C9A4142"/>
    <w:rsid w:val="1C9F6277"/>
    <w:rsid w:val="1CA1608E"/>
    <w:rsid w:val="1CA2734E"/>
    <w:rsid w:val="1CA44644"/>
    <w:rsid w:val="1CA4563B"/>
    <w:rsid w:val="1CA64834"/>
    <w:rsid w:val="1CAA77BD"/>
    <w:rsid w:val="1CB4492A"/>
    <w:rsid w:val="1CBA322D"/>
    <w:rsid w:val="1CBB1A5E"/>
    <w:rsid w:val="1CBF19D2"/>
    <w:rsid w:val="1CC04712"/>
    <w:rsid w:val="1CC73DEA"/>
    <w:rsid w:val="1CC916A3"/>
    <w:rsid w:val="1CCC09D0"/>
    <w:rsid w:val="1CCE4466"/>
    <w:rsid w:val="1CD079CB"/>
    <w:rsid w:val="1CD239BF"/>
    <w:rsid w:val="1CD6156D"/>
    <w:rsid w:val="1CE65C54"/>
    <w:rsid w:val="1CF06D47"/>
    <w:rsid w:val="1CF22D64"/>
    <w:rsid w:val="1CF954F5"/>
    <w:rsid w:val="1D081F61"/>
    <w:rsid w:val="1D0870CF"/>
    <w:rsid w:val="1D0D3703"/>
    <w:rsid w:val="1D152095"/>
    <w:rsid w:val="1D185F8C"/>
    <w:rsid w:val="1D19579E"/>
    <w:rsid w:val="1D1D719C"/>
    <w:rsid w:val="1D1F0D32"/>
    <w:rsid w:val="1D1F6293"/>
    <w:rsid w:val="1D206B8C"/>
    <w:rsid w:val="1D244C19"/>
    <w:rsid w:val="1D29103E"/>
    <w:rsid w:val="1D293D92"/>
    <w:rsid w:val="1D2A06BD"/>
    <w:rsid w:val="1D2B0222"/>
    <w:rsid w:val="1D2D5293"/>
    <w:rsid w:val="1D2F2FB7"/>
    <w:rsid w:val="1D317AB1"/>
    <w:rsid w:val="1D323CD7"/>
    <w:rsid w:val="1D376540"/>
    <w:rsid w:val="1D385D84"/>
    <w:rsid w:val="1D3A7985"/>
    <w:rsid w:val="1D3C4A05"/>
    <w:rsid w:val="1D4A758A"/>
    <w:rsid w:val="1D4B5609"/>
    <w:rsid w:val="1D4F1A4B"/>
    <w:rsid w:val="1D5030CD"/>
    <w:rsid w:val="1D5305B1"/>
    <w:rsid w:val="1D5A03F0"/>
    <w:rsid w:val="1D5B5B91"/>
    <w:rsid w:val="1D65301C"/>
    <w:rsid w:val="1D662507"/>
    <w:rsid w:val="1D6735C1"/>
    <w:rsid w:val="1D6A1CE7"/>
    <w:rsid w:val="1D6B462A"/>
    <w:rsid w:val="1D6F3E9B"/>
    <w:rsid w:val="1D704EAC"/>
    <w:rsid w:val="1D7457D3"/>
    <w:rsid w:val="1D7517E7"/>
    <w:rsid w:val="1D790876"/>
    <w:rsid w:val="1D7B481A"/>
    <w:rsid w:val="1D813BCE"/>
    <w:rsid w:val="1D862BB4"/>
    <w:rsid w:val="1D8C3B39"/>
    <w:rsid w:val="1D903E12"/>
    <w:rsid w:val="1D951B3B"/>
    <w:rsid w:val="1D9B6A3E"/>
    <w:rsid w:val="1D9F5E03"/>
    <w:rsid w:val="1DA4146D"/>
    <w:rsid w:val="1DA51BD7"/>
    <w:rsid w:val="1DA52F17"/>
    <w:rsid w:val="1DC13FCB"/>
    <w:rsid w:val="1DC62751"/>
    <w:rsid w:val="1DCA10D2"/>
    <w:rsid w:val="1DCD0BC2"/>
    <w:rsid w:val="1DCD642E"/>
    <w:rsid w:val="1DD714CA"/>
    <w:rsid w:val="1DE026A3"/>
    <w:rsid w:val="1DE1641B"/>
    <w:rsid w:val="1DE5415D"/>
    <w:rsid w:val="1DEE1D7B"/>
    <w:rsid w:val="1DF0613F"/>
    <w:rsid w:val="1DF12CD9"/>
    <w:rsid w:val="1DF4775D"/>
    <w:rsid w:val="1DFA6CCA"/>
    <w:rsid w:val="1DFD411A"/>
    <w:rsid w:val="1E0022FC"/>
    <w:rsid w:val="1E0A4DB8"/>
    <w:rsid w:val="1E0D1DFA"/>
    <w:rsid w:val="1E0F4C28"/>
    <w:rsid w:val="1E0F4C6B"/>
    <w:rsid w:val="1E1172D3"/>
    <w:rsid w:val="1E144269"/>
    <w:rsid w:val="1E2076B7"/>
    <w:rsid w:val="1E222CBC"/>
    <w:rsid w:val="1E2A6054"/>
    <w:rsid w:val="1E2E3A39"/>
    <w:rsid w:val="1E3173A3"/>
    <w:rsid w:val="1E370E0A"/>
    <w:rsid w:val="1E390005"/>
    <w:rsid w:val="1E3D5D47"/>
    <w:rsid w:val="1E462B8B"/>
    <w:rsid w:val="1E4B4FD8"/>
    <w:rsid w:val="1E4D747A"/>
    <w:rsid w:val="1E512551"/>
    <w:rsid w:val="1E5305ED"/>
    <w:rsid w:val="1E5B1F6F"/>
    <w:rsid w:val="1E5F1377"/>
    <w:rsid w:val="1E6A2B9E"/>
    <w:rsid w:val="1E6C3BCE"/>
    <w:rsid w:val="1E766B63"/>
    <w:rsid w:val="1E7767C7"/>
    <w:rsid w:val="1E797BD7"/>
    <w:rsid w:val="1E86075E"/>
    <w:rsid w:val="1E875215"/>
    <w:rsid w:val="1E9369A6"/>
    <w:rsid w:val="1E990AA4"/>
    <w:rsid w:val="1E9A6CF6"/>
    <w:rsid w:val="1EA36AAA"/>
    <w:rsid w:val="1EA93EBF"/>
    <w:rsid w:val="1EB1403F"/>
    <w:rsid w:val="1EB37344"/>
    <w:rsid w:val="1EB37DB8"/>
    <w:rsid w:val="1EB53569"/>
    <w:rsid w:val="1EB560FD"/>
    <w:rsid w:val="1EB6330F"/>
    <w:rsid w:val="1EB82905"/>
    <w:rsid w:val="1EC9410B"/>
    <w:rsid w:val="1EDC730E"/>
    <w:rsid w:val="1EDD4E34"/>
    <w:rsid w:val="1EE1179C"/>
    <w:rsid w:val="1EE214C0"/>
    <w:rsid w:val="1EF3123C"/>
    <w:rsid w:val="1EF3191E"/>
    <w:rsid w:val="1EF55B62"/>
    <w:rsid w:val="1EF65EF6"/>
    <w:rsid w:val="1EFD52D1"/>
    <w:rsid w:val="1EFD54D7"/>
    <w:rsid w:val="1F070103"/>
    <w:rsid w:val="1F0B3750"/>
    <w:rsid w:val="1F0B7084"/>
    <w:rsid w:val="1F0F466C"/>
    <w:rsid w:val="1F1702FA"/>
    <w:rsid w:val="1F1B4728"/>
    <w:rsid w:val="1F2070D4"/>
    <w:rsid w:val="1F24386A"/>
    <w:rsid w:val="1F29007A"/>
    <w:rsid w:val="1F2C5FA4"/>
    <w:rsid w:val="1F2E521C"/>
    <w:rsid w:val="1F301408"/>
    <w:rsid w:val="1F321F3A"/>
    <w:rsid w:val="1F360D7E"/>
    <w:rsid w:val="1F36422B"/>
    <w:rsid w:val="1F3709E9"/>
    <w:rsid w:val="1F433D04"/>
    <w:rsid w:val="1F4A7DB3"/>
    <w:rsid w:val="1F4D0EF4"/>
    <w:rsid w:val="1F552FA7"/>
    <w:rsid w:val="1F574CD6"/>
    <w:rsid w:val="1F5E4FD7"/>
    <w:rsid w:val="1F617814"/>
    <w:rsid w:val="1F664E2A"/>
    <w:rsid w:val="1F666BD8"/>
    <w:rsid w:val="1F690C77"/>
    <w:rsid w:val="1F703E42"/>
    <w:rsid w:val="1F7312F5"/>
    <w:rsid w:val="1F737547"/>
    <w:rsid w:val="1F784B5D"/>
    <w:rsid w:val="1F877CA4"/>
    <w:rsid w:val="1F877DA2"/>
    <w:rsid w:val="1F896D6A"/>
    <w:rsid w:val="1F8F5FAF"/>
    <w:rsid w:val="1F9626BE"/>
    <w:rsid w:val="1F976D27"/>
    <w:rsid w:val="1F9B218F"/>
    <w:rsid w:val="1F9B5337"/>
    <w:rsid w:val="1F9E45C4"/>
    <w:rsid w:val="1F9F033C"/>
    <w:rsid w:val="1FA00D60"/>
    <w:rsid w:val="1FA344E3"/>
    <w:rsid w:val="1FA37E2C"/>
    <w:rsid w:val="1FB60782"/>
    <w:rsid w:val="1FB91191"/>
    <w:rsid w:val="1FB97650"/>
    <w:rsid w:val="1FBA5176"/>
    <w:rsid w:val="1FBD6F82"/>
    <w:rsid w:val="1FC009DE"/>
    <w:rsid w:val="1FC102B2"/>
    <w:rsid w:val="1FC14DBD"/>
    <w:rsid w:val="1FC16504"/>
    <w:rsid w:val="1FC472A5"/>
    <w:rsid w:val="1FC758F5"/>
    <w:rsid w:val="1FCD4EA9"/>
    <w:rsid w:val="1FCD625C"/>
    <w:rsid w:val="1FCE5246"/>
    <w:rsid w:val="1FD004A7"/>
    <w:rsid w:val="1FD53695"/>
    <w:rsid w:val="1FD824E7"/>
    <w:rsid w:val="1FDD392D"/>
    <w:rsid w:val="1FE0288F"/>
    <w:rsid w:val="1FED37B9"/>
    <w:rsid w:val="20114A36"/>
    <w:rsid w:val="2012795A"/>
    <w:rsid w:val="20191E9C"/>
    <w:rsid w:val="202A56CE"/>
    <w:rsid w:val="20311017"/>
    <w:rsid w:val="20317AED"/>
    <w:rsid w:val="2039253E"/>
    <w:rsid w:val="203B492A"/>
    <w:rsid w:val="203E1903"/>
    <w:rsid w:val="203E386D"/>
    <w:rsid w:val="203E74FC"/>
    <w:rsid w:val="20445069"/>
    <w:rsid w:val="20445CF6"/>
    <w:rsid w:val="20452B26"/>
    <w:rsid w:val="20452D6E"/>
    <w:rsid w:val="204557E3"/>
    <w:rsid w:val="20457135"/>
    <w:rsid w:val="20463307"/>
    <w:rsid w:val="204721AA"/>
    <w:rsid w:val="204818BF"/>
    <w:rsid w:val="20482782"/>
    <w:rsid w:val="204A474C"/>
    <w:rsid w:val="20517888"/>
    <w:rsid w:val="20530352"/>
    <w:rsid w:val="205B7CB4"/>
    <w:rsid w:val="20607ACB"/>
    <w:rsid w:val="20685FBC"/>
    <w:rsid w:val="20740615"/>
    <w:rsid w:val="2076401A"/>
    <w:rsid w:val="20783067"/>
    <w:rsid w:val="207B26EE"/>
    <w:rsid w:val="207B3A1F"/>
    <w:rsid w:val="2080206C"/>
    <w:rsid w:val="20814CCB"/>
    <w:rsid w:val="20825957"/>
    <w:rsid w:val="20851F29"/>
    <w:rsid w:val="20897B81"/>
    <w:rsid w:val="208A0FEC"/>
    <w:rsid w:val="208F10F2"/>
    <w:rsid w:val="20930891"/>
    <w:rsid w:val="209332EC"/>
    <w:rsid w:val="2096173F"/>
    <w:rsid w:val="20981464"/>
    <w:rsid w:val="209E05F3"/>
    <w:rsid w:val="209F7DAC"/>
    <w:rsid w:val="20A43EB9"/>
    <w:rsid w:val="20A63400"/>
    <w:rsid w:val="20A756FA"/>
    <w:rsid w:val="20AD455D"/>
    <w:rsid w:val="20AE57E6"/>
    <w:rsid w:val="20B06AF5"/>
    <w:rsid w:val="20B87907"/>
    <w:rsid w:val="20BD2233"/>
    <w:rsid w:val="20BE3384"/>
    <w:rsid w:val="20C067BC"/>
    <w:rsid w:val="20C11FAE"/>
    <w:rsid w:val="20D33D76"/>
    <w:rsid w:val="20D63E58"/>
    <w:rsid w:val="20DB53A4"/>
    <w:rsid w:val="20DC26D0"/>
    <w:rsid w:val="20E30D41"/>
    <w:rsid w:val="20E34258"/>
    <w:rsid w:val="20E805DE"/>
    <w:rsid w:val="20EC0B7F"/>
    <w:rsid w:val="20EE7201"/>
    <w:rsid w:val="20F326ED"/>
    <w:rsid w:val="20F33B84"/>
    <w:rsid w:val="20F6042F"/>
    <w:rsid w:val="20F84942"/>
    <w:rsid w:val="20F94EDF"/>
    <w:rsid w:val="20FB5A46"/>
    <w:rsid w:val="20FC5411"/>
    <w:rsid w:val="21031E9A"/>
    <w:rsid w:val="21033044"/>
    <w:rsid w:val="21075377"/>
    <w:rsid w:val="21130FE1"/>
    <w:rsid w:val="21224D81"/>
    <w:rsid w:val="21260D5C"/>
    <w:rsid w:val="21366A7E"/>
    <w:rsid w:val="21376B82"/>
    <w:rsid w:val="21381B3A"/>
    <w:rsid w:val="213C22E6"/>
    <w:rsid w:val="213F00CE"/>
    <w:rsid w:val="21425423"/>
    <w:rsid w:val="21457CBE"/>
    <w:rsid w:val="2147554F"/>
    <w:rsid w:val="21487990"/>
    <w:rsid w:val="21535882"/>
    <w:rsid w:val="21537670"/>
    <w:rsid w:val="215F4A0D"/>
    <w:rsid w:val="21601A4E"/>
    <w:rsid w:val="21676C37"/>
    <w:rsid w:val="216B59E3"/>
    <w:rsid w:val="216F4323"/>
    <w:rsid w:val="216F733B"/>
    <w:rsid w:val="21701F90"/>
    <w:rsid w:val="217560B0"/>
    <w:rsid w:val="21771FE5"/>
    <w:rsid w:val="21780E44"/>
    <w:rsid w:val="2188552B"/>
    <w:rsid w:val="219A700D"/>
    <w:rsid w:val="219D08AB"/>
    <w:rsid w:val="21A00408"/>
    <w:rsid w:val="21A63C04"/>
    <w:rsid w:val="21AE532C"/>
    <w:rsid w:val="21B53586"/>
    <w:rsid w:val="21C00D8A"/>
    <w:rsid w:val="21C10A3D"/>
    <w:rsid w:val="21C34002"/>
    <w:rsid w:val="21C62615"/>
    <w:rsid w:val="21CD1AFC"/>
    <w:rsid w:val="21D4266A"/>
    <w:rsid w:val="21D60813"/>
    <w:rsid w:val="21D859E0"/>
    <w:rsid w:val="21D90BF9"/>
    <w:rsid w:val="21DC50BF"/>
    <w:rsid w:val="21E116E9"/>
    <w:rsid w:val="21F14FC0"/>
    <w:rsid w:val="21F33EFD"/>
    <w:rsid w:val="22013701"/>
    <w:rsid w:val="220A5F40"/>
    <w:rsid w:val="221072FD"/>
    <w:rsid w:val="22146DBF"/>
    <w:rsid w:val="221B1A4E"/>
    <w:rsid w:val="222A37F0"/>
    <w:rsid w:val="223823A3"/>
    <w:rsid w:val="224372CA"/>
    <w:rsid w:val="22445ECF"/>
    <w:rsid w:val="22453BA2"/>
    <w:rsid w:val="2255003C"/>
    <w:rsid w:val="2261178B"/>
    <w:rsid w:val="22630B62"/>
    <w:rsid w:val="226E652B"/>
    <w:rsid w:val="226F3030"/>
    <w:rsid w:val="22717EF7"/>
    <w:rsid w:val="227C4BFC"/>
    <w:rsid w:val="227E5C9D"/>
    <w:rsid w:val="229B5F30"/>
    <w:rsid w:val="229F7F7D"/>
    <w:rsid w:val="22AA7723"/>
    <w:rsid w:val="22B660C8"/>
    <w:rsid w:val="22BC3EB7"/>
    <w:rsid w:val="22BD1BBF"/>
    <w:rsid w:val="22BD45D7"/>
    <w:rsid w:val="22C60B71"/>
    <w:rsid w:val="22C87CCC"/>
    <w:rsid w:val="22D05933"/>
    <w:rsid w:val="22D30A28"/>
    <w:rsid w:val="22DB5B2F"/>
    <w:rsid w:val="22DF561F"/>
    <w:rsid w:val="22E22A19"/>
    <w:rsid w:val="22E449E3"/>
    <w:rsid w:val="22E52C9B"/>
    <w:rsid w:val="22E70030"/>
    <w:rsid w:val="22F059E5"/>
    <w:rsid w:val="22FC5261"/>
    <w:rsid w:val="22FD5350"/>
    <w:rsid w:val="23007343"/>
    <w:rsid w:val="23007CB8"/>
    <w:rsid w:val="2302130E"/>
    <w:rsid w:val="230706D2"/>
    <w:rsid w:val="231213D0"/>
    <w:rsid w:val="23134E96"/>
    <w:rsid w:val="23152DEF"/>
    <w:rsid w:val="23194D81"/>
    <w:rsid w:val="231A6657"/>
    <w:rsid w:val="231B12FE"/>
    <w:rsid w:val="232309CE"/>
    <w:rsid w:val="232D07FC"/>
    <w:rsid w:val="23307C29"/>
    <w:rsid w:val="233314C7"/>
    <w:rsid w:val="23362D65"/>
    <w:rsid w:val="23393A5D"/>
    <w:rsid w:val="233A6758"/>
    <w:rsid w:val="23411E36"/>
    <w:rsid w:val="234436D4"/>
    <w:rsid w:val="23486C01"/>
    <w:rsid w:val="235214CF"/>
    <w:rsid w:val="23556570"/>
    <w:rsid w:val="23597536"/>
    <w:rsid w:val="235A7056"/>
    <w:rsid w:val="235D7CE4"/>
    <w:rsid w:val="23616034"/>
    <w:rsid w:val="23621DAC"/>
    <w:rsid w:val="23645B24"/>
    <w:rsid w:val="23672C8A"/>
    <w:rsid w:val="236A130D"/>
    <w:rsid w:val="237613B4"/>
    <w:rsid w:val="237C0F3C"/>
    <w:rsid w:val="23904D06"/>
    <w:rsid w:val="23906919"/>
    <w:rsid w:val="23A300A3"/>
    <w:rsid w:val="23A3664D"/>
    <w:rsid w:val="23AE4F4C"/>
    <w:rsid w:val="23B07E0C"/>
    <w:rsid w:val="23BA3EF6"/>
    <w:rsid w:val="23C640E9"/>
    <w:rsid w:val="23CC35A5"/>
    <w:rsid w:val="23CD191B"/>
    <w:rsid w:val="23D06D16"/>
    <w:rsid w:val="23D5432C"/>
    <w:rsid w:val="23D902C0"/>
    <w:rsid w:val="23D9206E"/>
    <w:rsid w:val="23DD0BFC"/>
    <w:rsid w:val="23DF2FA8"/>
    <w:rsid w:val="23E00EE5"/>
    <w:rsid w:val="23E427C1"/>
    <w:rsid w:val="23EA026F"/>
    <w:rsid w:val="23F231AE"/>
    <w:rsid w:val="23F821FE"/>
    <w:rsid w:val="23FF1D1D"/>
    <w:rsid w:val="23FF5750"/>
    <w:rsid w:val="24042E63"/>
    <w:rsid w:val="240C7710"/>
    <w:rsid w:val="24150A21"/>
    <w:rsid w:val="241C63FF"/>
    <w:rsid w:val="2423153B"/>
    <w:rsid w:val="242332EA"/>
    <w:rsid w:val="24266E50"/>
    <w:rsid w:val="24305BD3"/>
    <w:rsid w:val="243204A7"/>
    <w:rsid w:val="24390235"/>
    <w:rsid w:val="24391C07"/>
    <w:rsid w:val="243F083D"/>
    <w:rsid w:val="2446776E"/>
    <w:rsid w:val="2449696F"/>
    <w:rsid w:val="244A2F6C"/>
    <w:rsid w:val="2450029A"/>
    <w:rsid w:val="2455334D"/>
    <w:rsid w:val="24577437"/>
    <w:rsid w:val="24695B13"/>
    <w:rsid w:val="246A1D00"/>
    <w:rsid w:val="24772B22"/>
    <w:rsid w:val="247C0C4C"/>
    <w:rsid w:val="247E3DD4"/>
    <w:rsid w:val="247E5135"/>
    <w:rsid w:val="2481129D"/>
    <w:rsid w:val="2485604C"/>
    <w:rsid w:val="248A0A7D"/>
    <w:rsid w:val="248B0E8F"/>
    <w:rsid w:val="248C728E"/>
    <w:rsid w:val="24967F5F"/>
    <w:rsid w:val="249D60D3"/>
    <w:rsid w:val="24A02B8C"/>
    <w:rsid w:val="24A3442A"/>
    <w:rsid w:val="24A563F4"/>
    <w:rsid w:val="24A65CC9"/>
    <w:rsid w:val="24A92677"/>
    <w:rsid w:val="24A96539"/>
    <w:rsid w:val="24AD137F"/>
    <w:rsid w:val="24B054EC"/>
    <w:rsid w:val="24C22047"/>
    <w:rsid w:val="24C31A17"/>
    <w:rsid w:val="24C46654"/>
    <w:rsid w:val="24D34D10"/>
    <w:rsid w:val="24D9609E"/>
    <w:rsid w:val="24E3729E"/>
    <w:rsid w:val="24E862E1"/>
    <w:rsid w:val="25050981"/>
    <w:rsid w:val="25071B35"/>
    <w:rsid w:val="250A07C3"/>
    <w:rsid w:val="25137802"/>
    <w:rsid w:val="2524556B"/>
    <w:rsid w:val="252510A2"/>
    <w:rsid w:val="253711A7"/>
    <w:rsid w:val="25390831"/>
    <w:rsid w:val="253D3D04"/>
    <w:rsid w:val="254A073A"/>
    <w:rsid w:val="254A7C7B"/>
    <w:rsid w:val="254B6F9C"/>
    <w:rsid w:val="2559688E"/>
    <w:rsid w:val="255D6CCF"/>
    <w:rsid w:val="255E550E"/>
    <w:rsid w:val="256162F1"/>
    <w:rsid w:val="256242E5"/>
    <w:rsid w:val="25644CD9"/>
    <w:rsid w:val="25653D07"/>
    <w:rsid w:val="25694D45"/>
    <w:rsid w:val="25733DFD"/>
    <w:rsid w:val="257537F7"/>
    <w:rsid w:val="257F27A2"/>
    <w:rsid w:val="258B7119"/>
    <w:rsid w:val="258C1362"/>
    <w:rsid w:val="2591184A"/>
    <w:rsid w:val="25951FC5"/>
    <w:rsid w:val="25AD2225"/>
    <w:rsid w:val="25AD4AD5"/>
    <w:rsid w:val="25AE1305"/>
    <w:rsid w:val="25AF7C37"/>
    <w:rsid w:val="25B20291"/>
    <w:rsid w:val="25B636AB"/>
    <w:rsid w:val="25B92D29"/>
    <w:rsid w:val="25BC5F46"/>
    <w:rsid w:val="25BD776E"/>
    <w:rsid w:val="25BE76BC"/>
    <w:rsid w:val="25C06B8A"/>
    <w:rsid w:val="25D54AB7"/>
    <w:rsid w:val="25D626A7"/>
    <w:rsid w:val="25D710E1"/>
    <w:rsid w:val="25D92344"/>
    <w:rsid w:val="25DA2FFB"/>
    <w:rsid w:val="25DD44DF"/>
    <w:rsid w:val="25E46AA9"/>
    <w:rsid w:val="25F0369F"/>
    <w:rsid w:val="25F03E08"/>
    <w:rsid w:val="25F54977"/>
    <w:rsid w:val="25F653DC"/>
    <w:rsid w:val="25F9324C"/>
    <w:rsid w:val="25FD7B6A"/>
    <w:rsid w:val="26041520"/>
    <w:rsid w:val="260809E9"/>
    <w:rsid w:val="262477ED"/>
    <w:rsid w:val="26263565"/>
    <w:rsid w:val="262F0073"/>
    <w:rsid w:val="26307F40"/>
    <w:rsid w:val="2634088A"/>
    <w:rsid w:val="263537A8"/>
    <w:rsid w:val="263B7010"/>
    <w:rsid w:val="26445084"/>
    <w:rsid w:val="264834DB"/>
    <w:rsid w:val="265005E2"/>
    <w:rsid w:val="26561E20"/>
    <w:rsid w:val="265754CC"/>
    <w:rsid w:val="265B5C80"/>
    <w:rsid w:val="265C4DF4"/>
    <w:rsid w:val="26600825"/>
    <w:rsid w:val="26661BB3"/>
    <w:rsid w:val="2669133F"/>
    <w:rsid w:val="266C17D2"/>
    <w:rsid w:val="26741FA5"/>
    <w:rsid w:val="26755E2C"/>
    <w:rsid w:val="267C5E66"/>
    <w:rsid w:val="268169ED"/>
    <w:rsid w:val="268214FA"/>
    <w:rsid w:val="26851904"/>
    <w:rsid w:val="268C1088"/>
    <w:rsid w:val="268E11BD"/>
    <w:rsid w:val="268F41C1"/>
    <w:rsid w:val="269A673C"/>
    <w:rsid w:val="26A050C5"/>
    <w:rsid w:val="26A36964"/>
    <w:rsid w:val="26A54C67"/>
    <w:rsid w:val="26AF38E8"/>
    <w:rsid w:val="26B61F36"/>
    <w:rsid w:val="26BB44D0"/>
    <w:rsid w:val="26BC4DD8"/>
    <w:rsid w:val="26C12ADE"/>
    <w:rsid w:val="26C27698"/>
    <w:rsid w:val="26C74B1D"/>
    <w:rsid w:val="26C8226C"/>
    <w:rsid w:val="26C827B3"/>
    <w:rsid w:val="26CA7D26"/>
    <w:rsid w:val="26CD39E1"/>
    <w:rsid w:val="26CF1A96"/>
    <w:rsid w:val="26D71E4A"/>
    <w:rsid w:val="26D905D7"/>
    <w:rsid w:val="26DA02E8"/>
    <w:rsid w:val="26DE5BEE"/>
    <w:rsid w:val="26E038BD"/>
    <w:rsid w:val="26E1123A"/>
    <w:rsid w:val="26E26D33"/>
    <w:rsid w:val="26EA49F0"/>
    <w:rsid w:val="26EA6341"/>
    <w:rsid w:val="26EC76C8"/>
    <w:rsid w:val="26F90B2C"/>
    <w:rsid w:val="26FB22FC"/>
    <w:rsid w:val="26FC437E"/>
    <w:rsid w:val="26FD42C6"/>
    <w:rsid w:val="2702368A"/>
    <w:rsid w:val="27096C04"/>
    <w:rsid w:val="270B6293"/>
    <w:rsid w:val="270E4F90"/>
    <w:rsid w:val="270E64D3"/>
    <w:rsid w:val="27121405"/>
    <w:rsid w:val="2712523F"/>
    <w:rsid w:val="27195750"/>
    <w:rsid w:val="27206206"/>
    <w:rsid w:val="27263487"/>
    <w:rsid w:val="272B3051"/>
    <w:rsid w:val="273D2914"/>
    <w:rsid w:val="27463F98"/>
    <w:rsid w:val="27475258"/>
    <w:rsid w:val="27491CE2"/>
    <w:rsid w:val="27497346"/>
    <w:rsid w:val="274C00E7"/>
    <w:rsid w:val="274E4B21"/>
    <w:rsid w:val="27526510"/>
    <w:rsid w:val="27554346"/>
    <w:rsid w:val="275E4EAC"/>
    <w:rsid w:val="27673E35"/>
    <w:rsid w:val="27736336"/>
    <w:rsid w:val="277D71B5"/>
    <w:rsid w:val="277F74D6"/>
    <w:rsid w:val="278102EA"/>
    <w:rsid w:val="27893DAB"/>
    <w:rsid w:val="278C73F8"/>
    <w:rsid w:val="27930DA0"/>
    <w:rsid w:val="27934C2A"/>
    <w:rsid w:val="2799071E"/>
    <w:rsid w:val="279B2B20"/>
    <w:rsid w:val="279D281D"/>
    <w:rsid w:val="27A26C1B"/>
    <w:rsid w:val="27BA50C6"/>
    <w:rsid w:val="27C110E8"/>
    <w:rsid w:val="27C25748"/>
    <w:rsid w:val="27C2589A"/>
    <w:rsid w:val="27C608B1"/>
    <w:rsid w:val="27C6290A"/>
    <w:rsid w:val="27C9064C"/>
    <w:rsid w:val="27CB2BC4"/>
    <w:rsid w:val="27CB2C5E"/>
    <w:rsid w:val="27CD33AB"/>
    <w:rsid w:val="27CF033D"/>
    <w:rsid w:val="27D008CD"/>
    <w:rsid w:val="27D05536"/>
    <w:rsid w:val="27D138F1"/>
    <w:rsid w:val="27D24728"/>
    <w:rsid w:val="27D46535"/>
    <w:rsid w:val="27D6739B"/>
    <w:rsid w:val="27D74B17"/>
    <w:rsid w:val="27D86AE1"/>
    <w:rsid w:val="27E014F2"/>
    <w:rsid w:val="27E84793"/>
    <w:rsid w:val="27E849D0"/>
    <w:rsid w:val="27E9484A"/>
    <w:rsid w:val="27EB3F28"/>
    <w:rsid w:val="27F03E2A"/>
    <w:rsid w:val="280E5870"/>
    <w:rsid w:val="28146ADA"/>
    <w:rsid w:val="28173D98"/>
    <w:rsid w:val="28194FE3"/>
    <w:rsid w:val="281B6B3C"/>
    <w:rsid w:val="281E2746"/>
    <w:rsid w:val="281F2A9C"/>
    <w:rsid w:val="28250CC6"/>
    <w:rsid w:val="28251E9F"/>
    <w:rsid w:val="28266DBE"/>
    <w:rsid w:val="28285372"/>
    <w:rsid w:val="2829733C"/>
    <w:rsid w:val="28372F41"/>
    <w:rsid w:val="283A4B96"/>
    <w:rsid w:val="284B190C"/>
    <w:rsid w:val="285254FA"/>
    <w:rsid w:val="28527737"/>
    <w:rsid w:val="2854351E"/>
    <w:rsid w:val="285A5748"/>
    <w:rsid w:val="285C547F"/>
    <w:rsid w:val="285D1471"/>
    <w:rsid w:val="28606245"/>
    <w:rsid w:val="28645791"/>
    <w:rsid w:val="28660A96"/>
    <w:rsid w:val="286D0FD7"/>
    <w:rsid w:val="286E4D4F"/>
    <w:rsid w:val="28757F59"/>
    <w:rsid w:val="28810F26"/>
    <w:rsid w:val="28862099"/>
    <w:rsid w:val="2887059C"/>
    <w:rsid w:val="288753C6"/>
    <w:rsid w:val="28893937"/>
    <w:rsid w:val="288A5FB2"/>
    <w:rsid w:val="288B58A3"/>
    <w:rsid w:val="28956780"/>
    <w:rsid w:val="289851FD"/>
    <w:rsid w:val="289929F4"/>
    <w:rsid w:val="28994D76"/>
    <w:rsid w:val="289D28FF"/>
    <w:rsid w:val="289E0A26"/>
    <w:rsid w:val="28A0427A"/>
    <w:rsid w:val="28A138D1"/>
    <w:rsid w:val="28A30E9D"/>
    <w:rsid w:val="28A32C4B"/>
    <w:rsid w:val="28A36707"/>
    <w:rsid w:val="28A71382"/>
    <w:rsid w:val="28AF35C6"/>
    <w:rsid w:val="28B05368"/>
    <w:rsid w:val="28B06FF1"/>
    <w:rsid w:val="28B1024A"/>
    <w:rsid w:val="28B135BA"/>
    <w:rsid w:val="28B90FF5"/>
    <w:rsid w:val="28BA2D7F"/>
    <w:rsid w:val="28BC1F5F"/>
    <w:rsid w:val="28C00BB4"/>
    <w:rsid w:val="28C57065"/>
    <w:rsid w:val="28C82C67"/>
    <w:rsid w:val="28D15A0A"/>
    <w:rsid w:val="28D37A3B"/>
    <w:rsid w:val="28DC43AF"/>
    <w:rsid w:val="28E15521"/>
    <w:rsid w:val="28E21187"/>
    <w:rsid w:val="28E677EB"/>
    <w:rsid w:val="28ED2118"/>
    <w:rsid w:val="28EF4F44"/>
    <w:rsid w:val="28F11C08"/>
    <w:rsid w:val="28FC7098"/>
    <w:rsid w:val="29002B12"/>
    <w:rsid w:val="2900507C"/>
    <w:rsid w:val="290731DA"/>
    <w:rsid w:val="290D0E0E"/>
    <w:rsid w:val="29171045"/>
    <w:rsid w:val="291D7154"/>
    <w:rsid w:val="29211DC2"/>
    <w:rsid w:val="29220014"/>
    <w:rsid w:val="292B0F16"/>
    <w:rsid w:val="293748C1"/>
    <w:rsid w:val="293935AF"/>
    <w:rsid w:val="29555D8B"/>
    <w:rsid w:val="29564161"/>
    <w:rsid w:val="29580D07"/>
    <w:rsid w:val="295B1778"/>
    <w:rsid w:val="295D54F0"/>
    <w:rsid w:val="29606D8E"/>
    <w:rsid w:val="296350A7"/>
    <w:rsid w:val="29653242"/>
    <w:rsid w:val="296B5316"/>
    <w:rsid w:val="296C5604"/>
    <w:rsid w:val="298939FC"/>
    <w:rsid w:val="298C3CA4"/>
    <w:rsid w:val="298C78D4"/>
    <w:rsid w:val="298D37D0"/>
    <w:rsid w:val="299130E9"/>
    <w:rsid w:val="29930F11"/>
    <w:rsid w:val="2994513B"/>
    <w:rsid w:val="2996455E"/>
    <w:rsid w:val="299B1B74"/>
    <w:rsid w:val="299C1562"/>
    <w:rsid w:val="29A97F8A"/>
    <w:rsid w:val="29AA7633"/>
    <w:rsid w:val="29AC5B2F"/>
    <w:rsid w:val="29AD778D"/>
    <w:rsid w:val="29B36EBE"/>
    <w:rsid w:val="29B47173"/>
    <w:rsid w:val="29B92FC4"/>
    <w:rsid w:val="29BB1BAC"/>
    <w:rsid w:val="29C2692C"/>
    <w:rsid w:val="29C27101"/>
    <w:rsid w:val="29C410CB"/>
    <w:rsid w:val="29C87D11"/>
    <w:rsid w:val="29D05CC2"/>
    <w:rsid w:val="29D15596"/>
    <w:rsid w:val="29DE07BC"/>
    <w:rsid w:val="29DF7CB3"/>
    <w:rsid w:val="29E057D9"/>
    <w:rsid w:val="29E0631C"/>
    <w:rsid w:val="29E1421C"/>
    <w:rsid w:val="29E4176D"/>
    <w:rsid w:val="29E6570E"/>
    <w:rsid w:val="29E94B0F"/>
    <w:rsid w:val="29EC61E5"/>
    <w:rsid w:val="29ED1106"/>
    <w:rsid w:val="29EE7EF6"/>
    <w:rsid w:val="29F31A52"/>
    <w:rsid w:val="29FD2C93"/>
    <w:rsid w:val="2A0911D4"/>
    <w:rsid w:val="2A0E0598"/>
    <w:rsid w:val="2A1060BE"/>
    <w:rsid w:val="2A151926"/>
    <w:rsid w:val="2A190AFA"/>
    <w:rsid w:val="2A1A6F3D"/>
    <w:rsid w:val="2A1F09F7"/>
    <w:rsid w:val="2A225DF1"/>
    <w:rsid w:val="2A3049B2"/>
    <w:rsid w:val="2A331DAD"/>
    <w:rsid w:val="2A3527AE"/>
    <w:rsid w:val="2A3C5891"/>
    <w:rsid w:val="2A3D6440"/>
    <w:rsid w:val="2A4B5348"/>
    <w:rsid w:val="2A4B5EB3"/>
    <w:rsid w:val="2A5F0DF4"/>
    <w:rsid w:val="2A5F5BA1"/>
    <w:rsid w:val="2A622692"/>
    <w:rsid w:val="2A656CB8"/>
    <w:rsid w:val="2A685EFA"/>
    <w:rsid w:val="2A701253"/>
    <w:rsid w:val="2A765DEA"/>
    <w:rsid w:val="2A854FC4"/>
    <w:rsid w:val="2A862824"/>
    <w:rsid w:val="2A872FE8"/>
    <w:rsid w:val="2A9211C9"/>
    <w:rsid w:val="2A932085"/>
    <w:rsid w:val="2A9413C9"/>
    <w:rsid w:val="2A944F41"/>
    <w:rsid w:val="2A9D36CA"/>
    <w:rsid w:val="2A9E191C"/>
    <w:rsid w:val="2A9F0A5B"/>
    <w:rsid w:val="2AA42411"/>
    <w:rsid w:val="2AA9206F"/>
    <w:rsid w:val="2AAD3775"/>
    <w:rsid w:val="2AB056E9"/>
    <w:rsid w:val="2AB23619"/>
    <w:rsid w:val="2AB34501"/>
    <w:rsid w:val="2ABB0C08"/>
    <w:rsid w:val="2AC1560A"/>
    <w:rsid w:val="2ACA4E23"/>
    <w:rsid w:val="2AD16F39"/>
    <w:rsid w:val="2AD24E7F"/>
    <w:rsid w:val="2AD27817"/>
    <w:rsid w:val="2AD30686"/>
    <w:rsid w:val="2AD57308"/>
    <w:rsid w:val="2AD838DF"/>
    <w:rsid w:val="2AD90BA6"/>
    <w:rsid w:val="2ADD0128"/>
    <w:rsid w:val="2AEA268E"/>
    <w:rsid w:val="2AF27EBA"/>
    <w:rsid w:val="2AF53506"/>
    <w:rsid w:val="2AF91248"/>
    <w:rsid w:val="2AFE498C"/>
    <w:rsid w:val="2B0261C7"/>
    <w:rsid w:val="2B073965"/>
    <w:rsid w:val="2B14199B"/>
    <w:rsid w:val="2B1616C0"/>
    <w:rsid w:val="2B1C6CE5"/>
    <w:rsid w:val="2B2067D5"/>
    <w:rsid w:val="2B277B63"/>
    <w:rsid w:val="2B2C172A"/>
    <w:rsid w:val="2B2D2CA0"/>
    <w:rsid w:val="2B3109E2"/>
    <w:rsid w:val="2B375A80"/>
    <w:rsid w:val="2B421E23"/>
    <w:rsid w:val="2B427E9C"/>
    <w:rsid w:val="2B4326B6"/>
    <w:rsid w:val="2B4A3808"/>
    <w:rsid w:val="2B4D6E9E"/>
    <w:rsid w:val="2B506556"/>
    <w:rsid w:val="2B5618EA"/>
    <w:rsid w:val="2B5D4325"/>
    <w:rsid w:val="2B5E554F"/>
    <w:rsid w:val="2B620B9B"/>
    <w:rsid w:val="2B6A60AE"/>
    <w:rsid w:val="2B6E5792"/>
    <w:rsid w:val="2B747BBA"/>
    <w:rsid w:val="2B801021"/>
    <w:rsid w:val="2B8A1EA0"/>
    <w:rsid w:val="2B960845"/>
    <w:rsid w:val="2B971695"/>
    <w:rsid w:val="2B976789"/>
    <w:rsid w:val="2B9B40AD"/>
    <w:rsid w:val="2B9F0531"/>
    <w:rsid w:val="2B9F27E9"/>
    <w:rsid w:val="2B9F77CC"/>
    <w:rsid w:val="2BAE0029"/>
    <w:rsid w:val="2BAE233A"/>
    <w:rsid w:val="2BAE3DE1"/>
    <w:rsid w:val="2BB12FF2"/>
    <w:rsid w:val="2BB54425"/>
    <w:rsid w:val="2BB60EE7"/>
    <w:rsid w:val="2BB81905"/>
    <w:rsid w:val="2BBD4024"/>
    <w:rsid w:val="2BC3094D"/>
    <w:rsid w:val="2BC62637"/>
    <w:rsid w:val="2BC73198"/>
    <w:rsid w:val="2BD110F2"/>
    <w:rsid w:val="2BD55811"/>
    <w:rsid w:val="2BDD46C6"/>
    <w:rsid w:val="2BDF6BED"/>
    <w:rsid w:val="2BE02002"/>
    <w:rsid w:val="2BE22220"/>
    <w:rsid w:val="2BE772F2"/>
    <w:rsid w:val="2BEF0B9E"/>
    <w:rsid w:val="2BEF61A7"/>
    <w:rsid w:val="2BF12D8A"/>
    <w:rsid w:val="2BF25884"/>
    <w:rsid w:val="2BFA0DD4"/>
    <w:rsid w:val="2C064ECB"/>
    <w:rsid w:val="2C0734F1"/>
    <w:rsid w:val="2C104E0B"/>
    <w:rsid w:val="2C155C0E"/>
    <w:rsid w:val="2C1B0FB3"/>
    <w:rsid w:val="2C230890"/>
    <w:rsid w:val="2C244F6F"/>
    <w:rsid w:val="2C275E71"/>
    <w:rsid w:val="2C29790B"/>
    <w:rsid w:val="2C2C11A9"/>
    <w:rsid w:val="2C2C6236"/>
    <w:rsid w:val="2C33078A"/>
    <w:rsid w:val="2C3562B0"/>
    <w:rsid w:val="2C387B4E"/>
    <w:rsid w:val="2C390A42"/>
    <w:rsid w:val="2C3D33B6"/>
    <w:rsid w:val="2C4732BE"/>
    <w:rsid w:val="2C4A2D94"/>
    <w:rsid w:val="2C4B7881"/>
    <w:rsid w:val="2C5A208D"/>
    <w:rsid w:val="2C5F332D"/>
    <w:rsid w:val="2C603C73"/>
    <w:rsid w:val="2C675C97"/>
    <w:rsid w:val="2C696B54"/>
    <w:rsid w:val="2C6B4044"/>
    <w:rsid w:val="2C705659"/>
    <w:rsid w:val="2C7C7A3B"/>
    <w:rsid w:val="2C7D2489"/>
    <w:rsid w:val="2C7E7C57"/>
    <w:rsid w:val="2C832503"/>
    <w:rsid w:val="2C854E8D"/>
    <w:rsid w:val="2C8B2374"/>
    <w:rsid w:val="2C8E59C0"/>
    <w:rsid w:val="2C9A4C4D"/>
    <w:rsid w:val="2CA90A4C"/>
    <w:rsid w:val="2CB7324A"/>
    <w:rsid w:val="2CBC077F"/>
    <w:rsid w:val="2CC0362F"/>
    <w:rsid w:val="2CC1332A"/>
    <w:rsid w:val="2CC460EE"/>
    <w:rsid w:val="2CC55886"/>
    <w:rsid w:val="2CC94C4A"/>
    <w:rsid w:val="2CCB451E"/>
    <w:rsid w:val="2CCD4076"/>
    <w:rsid w:val="2CD31625"/>
    <w:rsid w:val="2CD60A6C"/>
    <w:rsid w:val="2CDB5B13"/>
    <w:rsid w:val="2CDC2BCF"/>
    <w:rsid w:val="2CDC7EC4"/>
    <w:rsid w:val="2CE13E0E"/>
    <w:rsid w:val="2CE43832"/>
    <w:rsid w:val="2CEB03C6"/>
    <w:rsid w:val="2CF33A75"/>
    <w:rsid w:val="2CF50BA2"/>
    <w:rsid w:val="2CF55A3F"/>
    <w:rsid w:val="2CF9288F"/>
    <w:rsid w:val="2CFC0B7C"/>
    <w:rsid w:val="2CFF241A"/>
    <w:rsid w:val="2D034EA5"/>
    <w:rsid w:val="2D0839C4"/>
    <w:rsid w:val="2D0B7BD5"/>
    <w:rsid w:val="2D1057CD"/>
    <w:rsid w:val="2D157E8F"/>
    <w:rsid w:val="2D2307FE"/>
    <w:rsid w:val="2D2B7629"/>
    <w:rsid w:val="2D2D2CF0"/>
    <w:rsid w:val="2D2F7EFE"/>
    <w:rsid w:val="2D307726"/>
    <w:rsid w:val="2D3E1194"/>
    <w:rsid w:val="2D430559"/>
    <w:rsid w:val="2D464494"/>
    <w:rsid w:val="2D4C4AC2"/>
    <w:rsid w:val="2D4F15F3"/>
    <w:rsid w:val="2D4F514F"/>
    <w:rsid w:val="2D525F67"/>
    <w:rsid w:val="2D5573EF"/>
    <w:rsid w:val="2D5663E5"/>
    <w:rsid w:val="2D5704A8"/>
    <w:rsid w:val="2D5A73F9"/>
    <w:rsid w:val="2D5B79F0"/>
    <w:rsid w:val="2D5C59D6"/>
    <w:rsid w:val="2D727090"/>
    <w:rsid w:val="2D7746A6"/>
    <w:rsid w:val="2D8172D3"/>
    <w:rsid w:val="2D8469EC"/>
    <w:rsid w:val="2D852054"/>
    <w:rsid w:val="2D872595"/>
    <w:rsid w:val="2D872936"/>
    <w:rsid w:val="2D8748E9"/>
    <w:rsid w:val="2D9066E8"/>
    <w:rsid w:val="2D92328E"/>
    <w:rsid w:val="2D964B2C"/>
    <w:rsid w:val="2D980FF2"/>
    <w:rsid w:val="2D9D3677"/>
    <w:rsid w:val="2D9D373F"/>
    <w:rsid w:val="2DA239F0"/>
    <w:rsid w:val="2DA52FC1"/>
    <w:rsid w:val="2DAB444D"/>
    <w:rsid w:val="2DAD00C8"/>
    <w:rsid w:val="2DB15E0A"/>
    <w:rsid w:val="2DB21507"/>
    <w:rsid w:val="2DB24309"/>
    <w:rsid w:val="2DB245D8"/>
    <w:rsid w:val="2DB256DE"/>
    <w:rsid w:val="2DB6793F"/>
    <w:rsid w:val="2DB96B52"/>
    <w:rsid w:val="2DBB4593"/>
    <w:rsid w:val="2DBB5804"/>
    <w:rsid w:val="2DC0323D"/>
    <w:rsid w:val="2DC0604D"/>
    <w:rsid w:val="2DC21DC5"/>
    <w:rsid w:val="2DC378EB"/>
    <w:rsid w:val="2DC45B3D"/>
    <w:rsid w:val="2DC515B0"/>
    <w:rsid w:val="2DC7118A"/>
    <w:rsid w:val="2DC729FE"/>
    <w:rsid w:val="2DC77DCA"/>
    <w:rsid w:val="2DC94944"/>
    <w:rsid w:val="2DCB1181"/>
    <w:rsid w:val="2DCD403A"/>
    <w:rsid w:val="2DE63220"/>
    <w:rsid w:val="2DEA387E"/>
    <w:rsid w:val="2DEA78B6"/>
    <w:rsid w:val="2DF552BE"/>
    <w:rsid w:val="2DFB0D3B"/>
    <w:rsid w:val="2DFE297D"/>
    <w:rsid w:val="2E0208DD"/>
    <w:rsid w:val="2E073CE1"/>
    <w:rsid w:val="2E0A444D"/>
    <w:rsid w:val="2E0C6AD8"/>
    <w:rsid w:val="2E0E2DE1"/>
    <w:rsid w:val="2E114AFB"/>
    <w:rsid w:val="2E1344DC"/>
    <w:rsid w:val="2E165C6D"/>
    <w:rsid w:val="2E20085E"/>
    <w:rsid w:val="2E206AEC"/>
    <w:rsid w:val="2E234885"/>
    <w:rsid w:val="2E286A42"/>
    <w:rsid w:val="2E426A62"/>
    <w:rsid w:val="2E455DAD"/>
    <w:rsid w:val="2E4722CA"/>
    <w:rsid w:val="2E472DE0"/>
    <w:rsid w:val="2E4E18AB"/>
    <w:rsid w:val="2E5311BD"/>
    <w:rsid w:val="2E55192F"/>
    <w:rsid w:val="2E596761"/>
    <w:rsid w:val="2E5A3DAC"/>
    <w:rsid w:val="2E6021BF"/>
    <w:rsid w:val="2E607A11"/>
    <w:rsid w:val="2E6776C4"/>
    <w:rsid w:val="2E69625B"/>
    <w:rsid w:val="2E7133BC"/>
    <w:rsid w:val="2E7D18A1"/>
    <w:rsid w:val="2E7E255B"/>
    <w:rsid w:val="2E7F3812"/>
    <w:rsid w:val="2E8B0409"/>
    <w:rsid w:val="2E8D23D3"/>
    <w:rsid w:val="2E903C71"/>
    <w:rsid w:val="2E922B40"/>
    <w:rsid w:val="2E9E2638"/>
    <w:rsid w:val="2EA446A8"/>
    <w:rsid w:val="2EA5109B"/>
    <w:rsid w:val="2EB01C1E"/>
    <w:rsid w:val="2EB46A04"/>
    <w:rsid w:val="2EB711FE"/>
    <w:rsid w:val="2EB72FAC"/>
    <w:rsid w:val="2EBA26CA"/>
    <w:rsid w:val="2ECD362D"/>
    <w:rsid w:val="2ED67E02"/>
    <w:rsid w:val="2ED90510"/>
    <w:rsid w:val="2EE20771"/>
    <w:rsid w:val="2EE850B0"/>
    <w:rsid w:val="2EE962FC"/>
    <w:rsid w:val="2EEB0EA8"/>
    <w:rsid w:val="2EEC01FD"/>
    <w:rsid w:val="2EED0359"/>
    <w:rsid w:val="2EF04710"/>
    <w:rsid w:val="2EF22236"/>
    <w:rsid w:val="2EF37D5C"/>
    <w:rsid w:val="2EFC4E63"/>
    <w:rsid w:val="2F005838"/>
    <w:rsid w:val="2F014B01"/>
    <w:rsid w:val="2F0247C0"/>
    <w:rsid w:val="2F0401BB"/>
    <w:rsid w:val="2F087CAC"/>
    <w:rsid w:val="2F0A1F46"/>
    <w:rsid w:val="2F0B32F8"/>
    <w:rsid w:val="2F0C63BC"/>
    <w:rsid w:val="2F113D39"/>
    <w:rsid w:val="2F141D40"/>
    <w:rsid w:val="2F17393F"/>
    <w:rsid w:val="2F1877C3"/>
    <w:rsid w:val="2F191A56"/>
    <w:rsid w:val="2F1C3757"/>
    <w:rsid w:val="2F203D67"/>
    <w:rsid w:val="2F21503B"/>
    <w:rsid w:val="2F257C3B"/>
    <w:rsid w:val="2F2905B9"/>
    <w:rsid w:val="2F2919D0"/>
    <w:rsid w:val="2F2B3CDF"/>
    <w:rsid w:val="2F363DB4"/>
    <w:rsid w:val="2F3960B7"/>
    <w:rsid w:val="2F446CE9"/>
    <w:rsid w:val="2F48608E"/>
    <w:rsid w:val="2F4A718D"/>
    <w:rsid w:val="2F516105"/>
    <w:rsid w:val="2F533148"/>
    <w:rsid w:val="2F6A03D2"/>
    <w:rsid w:val="2F70684F"/>
    <w:rsid w:val="2F723377"/>
    <w:rsid w:val="2F776BDF"/>
    <w:rsid w:val="2F787D25"/>
    <w:rsid w:val="2F793F79"/>
    <w:rsid w:val="2F7967EA"/>
    <w:rsid w:val="2F7D09D9"/>
    <w:rsid w:val="2F8A246F"/>
    <w:rsid w:val="2F9316C0"/>
    <w:rsid w:val="2F962126"/>
    <w:rsid w:val="2F964394"/>
    <w:rsid w:val="2F993D27"/>
    <w:rsid w:val="2F9966D9"/>
    <w:rsid w:val="2F9E1DDD"/>
    <w:rsid w:val="2FA15A0A"/>
    <w:rsid w:val="2FA26362"/>
    <w:rsid w:val="2FB62D97"/>
    <w:rsid w:val="2FB946A1"/>
    <w:rsid w:val="2FBA48F0"/>
    <w:rsid w:val="2FBF7029"/>
    <w:rsid w:val="2FC10CAA"/>
    <w:rsid w:val="2FC242FE"/>
    <w:rsid w:val="2FC92BA2"/>
    <w:rsid w:val="2FD054DB"/>
    <w:rsid w:val="2FD271D9"/>
    <w:rsid w:val="2FD359BF"/>
    <w:rsid w:val="2FD42EE9"/>
    <w:rsid w:val="2FD47B8E"/>
    <w:rsid w:val="2FD808A9"/>
    <w:rsid w:val="2FE37DD1"/>
    <w:rsid w:val="2FEE6974"/>
    <w:rsid w:val="2FF41FDE"/>
    <w:rsid w:val="2FF63B4F"/>
    <w:rsid w:val="2FF81E0E"/>
    <w:rsid w:val="2FFB2DCC"/>
    <w:rsid w:val="2FFD65A9"/>
    <w:rsid w:val="300E12F2"/>
    <w:rsid w:val="301B6D6D"/>
    <w:rsid w:val="301C6CAC"/>
    <w:rsid w:val="302851CF"/>
    <w:rsid w:val="30307EF5"/>
    <w:rsid w:val="30316D8E"/>
    <w:rsid w:val="30336FAA"/>
    <w:rsid w:val="303650C3"/>
    <w:rsid w:val="30367A6B"/>
    <w:rsid w:val="303A5707"/>
    <w:rsid w:val="303F594F"/>
    <w:rsid w:val="30463939"/>
    <w:rsid w:val="304765B2"/>
    <w:rsid w:val="304F5466"/>
    <w:rsid w:val="30504D60"/>
    <w:rsid w:val="305553AF"/>
    <w:rsid w:val="30662EDC"/>
    <w:rsid w:val="307153DD"/>
    <w:rsid w:val="307C003B"/>
    <w:rsid w:val="30883269"/>
    <w:rsid w:val="30900081"/>
    <w:rsid w:val="30991074"/>
    <w:rsid w:val="30AB65CC"/>
    <w:rsid w:val="30AD6D47"/>
    <w:rsid w:val="30B26121"/>
    <w:rsid w:val="30B6207A"/>
    <w:rsid w:val="30C23E8A"/>
    <w:rsid w:val="30C47C02"/>
    <w:rsid w:val="30C9346B"/>
    <w:rsid w:val="30C95219"/>
    <w:rsid w:val="30CA5584"/>
    <w:rsid w:val="30CB2D3F"/>
    <w:rsid w:val="30CC6AB7"/>
    <w:rsid w:val="30CC6F7E"/>
    <w:rsid w:val="30D23F36"/>
    <w:rsid w:val="30D75275"/>
    <w:rsid w:val="30D75B88"/>
    <w:rsid w:val="30DC319E"/>
    <w:rsid w:val="30DD197C"/>
    <w:rsid w:val="30DD6F16"/>
    <w:rsid w:val="30E3277E"/>
    <w:rsid w:val="30EA09D1"/>
    <w:rsid w:val="30EC0F07"/>
    <w:rsid w:val="30EE2ED1"/>
    <w:rsid w:val="30EE3F00"/>
    <w:rsid w:val="30EF1D20"/>
    <w:rsid w:val="30F009F7"/>
    <w:rsid w:val="30F3057A"/>
    <w:rsid w:val="30F779FC"/>
    <w:rsid w:val="30FA10A9"/>
    <w:rsid w:val="30FA12BF"/>
    <w:rsid w:val="310164B1"/>
    <w:rsid w:val="31210BB1"/>
    <w:rsid w:val="312E5247"/>
    <w:rsid w:val="3134032E"/>
    <w:rsid w:val="31363E4E"/>
    <w:rsid w:val="3138414C"/>
    <w:rsid w:val="313A6116"/>
    <w:rsid w:val="313B179E"/>
    <w:rsid w:val="31432E8B"/>
    <w:rsid w:val="314A7BDF"/>
    <w:rsid w:val="314B5736"/>
    <w:rsid w:val="314D409C"/>
    <w:rsid w:val="314F750B"/>
    <w:rsid w:val="315159AC"/>
    <w:rsid w:val="3153463F"/>
    <w:rsid w:val="31566970"/>
    <w:rsid w:val="31580624"/>
    <w:rsid w:val="315B5C24"/>
    <w:rsid w:val="315E7B1E"/>
    <w:rsid w:val="316A0565"/>
    <w:rsid w:val="31700F9D"/>
    <w:rsid w:val="31731494"/>
    <w:rsid w:val="317D7EBB"/>
    <w:rsid w:val="317E24A7"/>
    <w:rsid w:val="317F499A"/>
    <w:rsid w:val="317F5EF4"/>
    <w:rsid w:val="317F6A68"/>
    <w:rsid w:val="31876369"/>
    <w:rsid w:val="318A170B"/>
    <w:rsid w:val="318B0720"/>
    <w:rsid w:val="318B24CE"/>
    <w:rsid w:val="318D450C"/>
    <w:rsid w:val="318E776C"/>
    <w:rsid w:val="31903F88"/>
    <w:rsid w:val="31916A3A"/>
    <w:rsid w:val="319B0086"/>
    <w:rsid w:val="319B4849"/>
    <w:rsid w:val="319E474E"/>
    <w:rsid w:val="319F0024"/>
    <w:rsid w:val="319F3801"/>
    <w:rsid w:val="31A812D2"/>
    <w:rsid w:val="31AB2DAB"/>
    <w:rsid w:val="31B25476"/>
    <w:rsid w:val="31B639EF"/>
    <w:rsid w:val="31B71515"/>
    <w:rsid w:val="31B959C7"/>
    <w:rsid w:val="31BD550A"/>
    <w:rsid w:val="31C13821"/>
    <w:rsid w:val="31C3435E"/>
    <w:rsid w:val="31C84771"/>
    <w:rsid w:val="31CC3212"/>
    <w:rsid w:val="31CC514D"/>
    <w:rsid w:val="31CD2AE7"/>
    <w:rsid w:val="31CF465E"/>
    <w:rsid w:val="31D37F2E"/>
    <w:rsid w:val="31D40319"/>
    <w:rsid w:val="31D65860"/>
    <w:rsid w:val="31DF2946"/>
    <w:rsid w:val="31E77E49"/>
    <w:rsid w:val="31EC4B14"/>
    <w:rsid w:val="31ED3189"/>
    <w:rsid w:val="31EE10DC"/>
    <w:rsid w:val="31F27808"/>
    <w:rsid w:val="31F724B8"/>
    <w:rsid w:val="31F81AD3"/>
    <w:rsid w:val="32056724"/>
    <w:rsid w:val="320C4196"/>
    <w:rsid w:val="320D180F"/>
    <w:rsid w:val="32110C25"/>
    <w:rsid w:val="321142D8"/>
    <w:rsid w:val="321353C1"/>
    <w:rsid w:val="32140715"/>
    <w:rsid w:val="321B644E"/>
    <w:rsid w:val="321E3342"/>
    <w:rsid w:val="3221513D"/>
    <w:rsid w:val="32237D11"/>
    <w:rsid w:val="32285F6F"/>
    <w:rsid w:val="32292413"/>
    <w:rsid w:val="322D56F5"/>
    <w:rsid w:val="32317484"/>
    <w:rsid w:val="323647E0"/>
    <w:rsid w:val="323808A8"/>
    <w:rsid w:val="323D5EBE"/>
    <w:rsid w:val="32431AD0"/>
    <w:rsid w:val="32530340"/>
    <w:rsid w:val="325A2586"/>
    <w:rsid w:val="325A3421"/>
    <w:rsid w:val="32607DFF"/>
    <w:rsid w:val="3261536A"/>
    <w:rsid w:val="32627A4B"/>
    <w:rsid w:val="326501D5"/>
    <w:rsid w:val="326571C3"/>
    <w:rsid w:val="326A47D9"/>
    <w:rsid w:val="326E03CD"/>
    <w:rsid w:val="32716E51"/>
    <w:rsid w:val="32737B32"/>
    <w:rsid w:val="32793FAC"/>
    <w:rsid w:val="327A71D0"/>
    <w:rsid w:val="327B0795"/>
    <w:rsid w:val="3282040F"/>
    <w:rsid w:val="3282531E"/>
    <w:rsid w:val="32852E33"/>
    <w:rsid w:val="328E2CF1"/>
    <w:rsid w:val="32977498"/>
    <w:rsid w:val="329B2BE5"/>
    <w:rsid w:val="32A11B7A"/>
    <w:rsid w:val="32A55B5B"/>
    <w:rsid w:val="32AB22E8"/>
    <w:rsid w:val="32B04DB2"/>
    <w:rsid w:val="32B67A1F"/>
    <w:rsid w:val="32BF68D3"/>
    <w:rsid w:val="32C5619B"/>
    <w:rsid w:val="32C569FF"/>
    <w:rsid w:val="32CC7242"/>
    <w:rsid w:val="32CD3487"/>
    <w:rsid w:val="32CE19D4"/>
    <w:rsid w:val="32CE4D68"/>
    <w:rsid w:val="32CF2B72"/>
    <w:rsid w:val="32D03638"/>
    <w:rsid w:val="32D50524"/>
    <w:rsid w:val="32DB1F71"/>
    <w:rsid w:val="32DD0471"/>
    <w:rsid w:val="32E53A10"/>
    <w:rsid w:val="32EC5A11"/>
    <w:rsid w:val="32F00761"/>
    <w:rsid w:val="32F50547"/>
    <w:rsid w:val="32F60DB7"/>
    <w:rsid w:val="32FA3431"/>
    <w:rsid w:val="32FC48DF"/>
    <w:rsid w:val="32FE2CD7"/>
    <w:rsid w:val="3306616E"/>
    <w:rsid w:val="330662B0"/>
    <w:rsid w:val="330C6B05"/>
    <w:rsid w:val="331D0911"/>
    <w:rsid w:val="3321758E"/>
    <w:rsid w:val="33222E5D"/>
    <w:rsid w:val="3322495F"/>
    <w:rsid w:val="33233306"/>
    <w:rsid w:val="332350B4"/>
    <w:rsid w:val="33296443"/>
    <w:rsid w:val="33353E56"/>
    <w:rsid w:val="333A389D"/>
    <w:rsid w:val="334B0167"/>
    <w:rsid w:val="33545A64"/>
    <w:rsid w:val="33576B0C"/>
    <w:rsid w:val="335C2071"/>
    <w:rsid w:val="336F3663"/>
    <w:rsid w:val="33753436"/>
    <w:rsid w:val="337554A3"/>
    <w:rsid w:val="33784CD4"/>
    <w:rsid w:val="337B0E24"/>
    <w:rsid w:val="337C47C4"/>
    <w:rsid w:val="3381002D"/>
    <w:rsid w:val="338401D6"/>
    <w:rsid w:val="338C030E"/>
    <w:rsid w:val="33925D96"/>
    <w:rsid w:val="33955FA0"/>
    <w:rsid w:val="339A1123"/>
    <w:rsid w:val="33A45AC9"/>
    <w:rsid w:val="33A51F6D"/>
    <w:rsid w:val="33B053AF"/>
    <w:rsid w:val="33B43F5E"/>
    <w:rsid w:val="33B7681F"/>
    <w:rsid w:val="33C0222F"/>
    <w:rsid w:val="33C61EE3"/>
    <w:rsid w:val="33CA4D76"/>
    <w:rsid w:val="33CF5015"/>
    <w:rsid w:val="33D041B0"/>
    <w:rsid w:val="33D34C0B"/>
    <w:rsid w:val="33D62126"/>
    <w:rsid w:val="33D72BCA"/>
    <w:rsid w:val="33E011C1"/>
    <w:rsid w:val="33E0347F"/>
    <w:rsid w:val="33E16D1D"/>
    <w:rsid w:val="33E32A95"/>
    <w:rsid w:val="33E81E5A"/>
    <w:rsid w:val="33F057A9"/>
    <w:rsid w:val="33F44659"/>
    <w:rsid w:val="33F95E15"/>
    <w:rsid w:val="34052A0C"/>
    <w:rsid w:val="340623D2"/>
    <w:rsid w:val="34091EBE"/>
    <w:rsid w:val="34094833"/>
    <w:rsid w:val="340D2243"/>
    <w:rsid w:val="34162F23"/>
    <w:rsid w:val="341A5D77"/>
    <w:rsid w:val="341B4CF0"/>
    <w:rsid w:val="341B4D8B"/>
    <w:rsid w:val="34210CAE"/>
    <w:rsid w:val="342B1D46"/>
    <w:rsid w:val="343A1627"/>
    <w:rsid w:val="343C3F54"/>
    <w:rsid w:val="344008D1"/>
    <w:rsid w:val="344572AC"/>
    <w:rsid w:val="34495444"/>
    <w:rsid w:val="34591F09"/>
    <w:rsid w:val="345E1E65"/>
    <w:rsid w:val="3465632F"/>
    <w:rsid w:val="34702C2B"/>
    <w:rsid w:val="347436ED"/>
    <w:rsid w:val="347B4A7C"/>
    <w:rsid w:val="347F62B4"/>
    <w:rsid w:val="348002E4"/>
    <w:rsid w:val="34802708"/>
    <w:rsid w:val="34802B8F"/>
    <w:rsid w:val="3482348D"/>
    <w:rsid w:val="34847DD4"/>
    <w:rsid w:val="3485461B"/>
    <w:rsid w:val="34862EA5"/>
    <w:rsid w:val="34925255"/>
    <w:rsid w:val="349721D9"/>
    <w:rsid w:val="349C1403"/>
    <w:rsid w:val="349D69F2"/>
    <w:rsid w:val="34A00474"/>
    <w:rsid w:val="34AA710F"/>
    <w:rsid w:val="34AE30A3"/>
    <w:rsid w:val="34BE489F"/>
    <w:rsid w:val="34C5219B"/>
    <w:rsid w:val="34CA77B1"/>
    <w:rsid w:val="34D10B40"/>
    <w:rsid w:val="34D52F4E"/>
    <w:rsid w:val="34D661A3"/>
    <w:rsid w:val="34D7676C"/>
    <w:rsid w:val="34D81ECE"/>
    <w:rsid w:val="34DB376C"/>
    <w:rsid w:val="34EB2CDD"/>
    <w:rsid w:val="34EB4257"/>
    <w:rsid w:val="34EB7302"/>
    <w:rsid w:val="34EC2EB9"/>
    <w:rsid w:val="34EE524E"/>
    <w:rsid w:val="34EE74E4"/>
    <w:rsid w:val="34F545A2"/>
    <w:rsid w:val="35002E80"/>
    <w:rsid w:val="3504664D"/>
    <w:rsid w:val="350F40EB"/>
    <w:rsid w:val="350F64CC"/>
    <w:rsid w:val="35156C7E"/>
    <w:rsid w:val="351849C1"/>
    <w:rsid w:val="35196C4D"/>
    <w:rsid w:val="351E091F"/>
    <w:rsid w:val="351F0FAC"/>
    <w:rsid w:val="35210197"/>
    <w:rsid w:val="35245113"/>
    <w:rsid w:val="35285CBC"/>
    <w:rsid w:val="352A4256"/>
    <w:rsid w:val="35310049"/>
    <w:rsid w:val="35321C38"/>
    <w:rsid w:val="3537177B"/>
    <w:rsid w:val="353D61D5"/>
    <w:rsid w:val="3542559A"/>
    <w:rsid w:val="35431424"/>
    <w:rsid w:val="35474AB0"/>
    <w:rsid w:val="3547515D"/>
    <w:rsid w:val="35480CF6"/>
    <w:rsid w:val="354E3E1E"/>
    <w:rsid w:val="35523A2F"/>
    <w:rsid w:val="355D069A"/>
    <w:rsid w:val="35646B82"/>
    <w:rsid w:val="3568190D"/>
    <w:rsid w:val="356B50D9"/>
    <w:rsid w:val="356C58AD"/>
    <w:rsid w:val="357021D8"/>
    <w:rsid w:val="357065AB"/>
    <w:rsid w:val="35774AB9"/>
    <w:rsid w:val="357E2A76"/>
    <w:rsid w:val="358335C2"/>
    <w:rsid w:val="3587366D"/>
    <w:rsid w:val="359F29EC"/>
    <w:rsid w:val="35A16F73"/>
    <w:rsid w:val="35A3641B"/>
    <w:rsid w:val="35A41DB0"/>
    <w:rsid w:val="35A46254"/>
    <w:rsid w:val="35A470AE"/>
    <w:rsid w:val="35A53AAE"/>
    <w:rsid w:val="35AD5109"/>
    <w:rsid w:val="35AE2C2F"/>
    <w:rsid w:val="35B277CF"/>
    <w:rsid w:val="35B33B03"/>
    <w:rsid w:val="35B33C6E"/>
    <w:rsid w:val="35BA5E1A"/>
    <w:rsid w:val="35C349EC"/>
    <w:rsid w:val="35C366DA"/>
    <w:rsid w:val="35C84690"/>
    <w:rsid w:val="35CA7988"/>
    <w:rsid w:val="35D42486"/>
    <w:rsid w:val="35E47D46"/>
    <w:rsid w:val="35EB0151"/>
    <w:rsid w:val="35ED6B48"/>
    <w:rsid w:val="35F4434E"/>
    <w:rsid w:val="35F45E8B"/>
    <w:rsid w:val="35FB5B03"/>
    <w:rsid w:val="361707D4"/>
    <w:rsid w:val="36174C78"/>
    <w:rsid w:val="361A359F"/>
    <w:rsid w:val="361E6007"/>
    <w:rsid w:val="36241293"/>
    <w:rsid w:val="36257395"/>
    <w:rsid w:val="362C0724"/>
    <w:rsid w:val="363155DA"/>
    <w:rsid w:val="363B18A2"/>
    <w:rsid w:val="36411F77"/>
    <w:rsid w:val="364315C9"/>
    <w:rsid w:val="364C5C81"/>
    <w:rsid w:val="36583083"/>
    <w:rsid w:val="365A33B7"/>
    <w:rsid w:val="36637BEB"/>
    <w:rsid w:val="366830F8"/>
    <w:rsid w:val="366D23E9"/>
    <w:rsid w:val="366E276C"/>
    <w:rsid w:val="366F4EF9"/>
    <w:rsid w:val="36703A01"/>
    <w:rsid w:val="367114E5"/>
    <w:rsid w:val="36720C73"/>
    <w:rsid w:val="36755FDE"/>
    <w:rsid w:val="36780B29"/>
    <w:rsid w:val="36832A4B"/>
    <w:rsid w:val="368340BC"/>
    <w:rsid w:val="36847283"/>
    <w:rsid w:val="36881445"/>
    <w:rsid w:val="368A292D"/>
    <w:rsid w:val="368A594B"/>
    <w:rsid w:val="368A71F8"/>
    <w:rsid w:val="368C1783"/>
    <w:rsid w:val="368F7238"/>
    <w:rsid w:val="3692245E"/>
    <w:rsid w:val="36932551"/>
    <w:rsid w:val="36AA4451"/>
    <w:rsid w:val="36B008D8"/>
    <w:rsid w:val="36B10C29"/>
    <w:rsid w:val="36B3674F"/>
    <w:rsid w:val="36B50719"/>
    <w:rsid w:val="36B7627B"/>
    <w:rsid w:val="36B83D65"/>
    <w:rsid w:val="36BB1AA7"/>
    <w:rsid w:val="36BC2851"/>
    <w:rsid w:val="36C21C3F"/>
    <w:rsid w:val="36C56482"/>
    <w:rsid w:val="36C95F72"/>
    <w:rsid w:val="36D32BC4"/>
    <w:rsid w:val="36D7150B"/>
    <w:rsid w:val="36D96DD9"/>
    <w:rsid w:val="36E65199"/>
    <w:rsid w:val="36E66C40"/>
    <w:rsid w:val="36EE7787"/>
    <w:rsid w:val="36F10990"/>
    <w:rsid w:val="36FF1994"/>
    <w:rsid w:val="37030298"/>
    <w:rsid w:val="37047405"/>
    <w:rsid w:val="3709478E"/>
    <w:rsid w:val="370D26A3"/>
    <w:rsid w:val="37152F66"/>
    <w:rsid w:val="37201095"/>
    <w:rsid w:val="37207A8A"/>
    <w:rsid w:val="372235BD"/>
    <w:rsid w:val="37227431"/>
    <w:rsid w:val="37252C7D"/>
    <w:rsid w:val="372A4E59"/>
    <w:rsid w:val="37304231"/>
    <w:rsid w:val="373309DC"/>
    <w:rsid w:val="37390631"/>
    <w:rsid w:val="373C4996"/>
    <w:rsid w:val="373F5038"/>
    <w:rsid w:val="3744712F"/>
    <w:rsid w:val="37461371"/>
    <w:rsid w:val="374C2271"/>
    <w:rsid w:val="37520247"/>
    <w:rsid w:val="37557806"/>
    <w:rsid w:val="375665FE"/>
    <w:rsid w:val="376215F9"/>
    <w:rsid w:val="376B2A66"/>
    <w:rsid w:val="376C68FE"/>
    <w:rsid w:val="376E70A4"/>
    <w:rsid w:val="37753A04"/>
    <w:rsid w:val="377719EF"/>
    <w:rsid w:val="377C1237"/>
    <w:rsid w:val="37856E75"/>
    <w:rsid w:val="378679C0"/>
    <w:rsid w:val="37885B03"/>
    <w:rsid w:val="37887BDC"/>
    <w:rsid w:val="379775C4"/>
    <w:rsid w:val="379A16BD"/>
    <w:rsid w:val="379F77DE"/>
    <w:rsid w:val="37A3451C"/>
    <w:rsid w:val="37A3555E"/>
    <w:rsid w:val="37A434A3"/>
    <w:rsid w:val="37A6175D"/>
    <w:rsid w:val="37A920BC"/>
    <w:rsid w:val="37AC7AD3"/>
    <w:rsid w:val="37B01116"/>
    <w:rsid w:val="37B16457"/>
    <w:rsid w:val="37C4498C"/>
    <w:rsid w:val="37C5495D"/>
    <w:rsid w:val="37DB07AD"/>
    <w:rsid w:val="37DE77FC"/>
    <w:rsid w:val="37DF02D1"/>
    <w:rsid w:val="37E33064"/>
    <w:rsid w:val="37E341DA"/>
    <w:rsid w:val="37EA43F2"/>
    <w:rsid w:val="37EC117D"/>
    <w:rsid w:val="37EC5F7B"/>
    <w:rsid w:val="37F0694A"/>
    <w:rsid w:val="37F14165"/>
    <w:rsid w:val="37F25055"/>
    <w:rsid w:val="37FE1C4C"/>
    <w:rsid w:val="380357AD"/>
    <w:rsid w:val="380600E0"/>
    <w:rsid w:val="38092C35"/>
    <w:rsid w:val="380B0E00"/>
    <w:rsid w:val="380C7EA0"/>
    <w:rsid w:val="381257AF"/>
    <w:rsid w:val="381450F7"/>
    <w:rsid w:val="38203D65"/>
    <w:rsid w:val="3824244F"/>
    <w:rsid w:val="38276324"/>
    <w:rsid w:val="38283467"/>
    <w:rsid w:val="382947EF"/>
    <w:rsid w:val="38352053"/>
    <w:rsid w:val="3837600C"/>
    <w:rsid w:val="384334CD"/>
    <w:rsid w:val="38433B03"/>
    <w:rsid w:val="38441E4A"/>
    <w:rsid w:val="384C6E5B"/>
    <w:rsid w:val="38581D94"/>
    <w:rsid w:val="386203BD"/>
    <w:rsid w:val="38635F53"/>
    <w:rsid w:val="386459BA"/>
    <w:rsid w:val="386C12AB"/>
    <w:rsid w:val="386F3B58"/>
    <w:rsid w:val="38703520"/>
    <w:rsid w:val="387442BD"/>
    <w:rsid w:val="387A5AF6"/>
    <w:rsid w:val="387A74C6"/>
    <w:rsid w:val="387E2D8D"/>
    <w:rsid w:val="387E4B3B"/>
    <w:rsid w:val="38824FEC"/>
    <w:rsid w:val="388365F5"/>
    <w:rsid w:val="38853D44"/>
    <w:rsid w:val="388B2279"/>
    <w:rsid w:val="389B74EC"/>
    <w:rsid w:val="389E342F"/>
    <w:rsid w:val="38A20708"/>
    <w:rsid w:val="38A2163C"/>
    <w:rsid w:val="38AB62F0"/>
    <w:rsid w:val="38B10CD7"/>
    <w:rsid w:val="38B371E2"/>
    <w:rsid w:val="38BC484B"/>
    <w:rsid w:val="38BF1A11"/>
    <w:rsid w:val="38C01848"/>
    <w:rsid w:val="38C21810"/>
    <w:rsid w:val="38C80C72"/>
    <w:rsid w:val="38CD6618"/>
    <w:rsid w:val="38D8647F"/>
    <w:rsid w:val="38DD7AB3"/>
    <w:rsid w:val="38E758FC"/>
    <w:rsid w:val="38ED6A84"/>
    <w:rsid w:val="38F31085"/>
    <w:rsid w:val="38F51C6A"/>
    <w:rsid w:val="38F9283E"/>
    <w:rsid w:val="38FB618B"/>
    <w:rsid w:val="38FC3E40"/>
    <w:rsid w:val="38FE486E"/>
    <w:rsid w:val="390115DC"/>
    <w:rsid w:val="390908A8"/>
    <w:rsid w:val="39111C5F"/>
    <w:rsid w:val="39142431"/>
    <w:rsid w:val="3914549F"/>
    <w:rsid w:val="3917344C"/>
    <w:rsid w:val="39186D3D"/>
    <w:rsid w:val="39204A69"/>
    <w:rsid w:val="39204F54"/>
    <w:rsid w:val="39227BBC"/>
    <w:rsid w:val="39286FE1"/>
    <w:rsid w:val="392C7748"/>
    <w:rsid w:val="392F4087"/>
    <w:rsid w:val="39317DFF"/>
    <w:rsid w:val="393370DB"/>
    <w:rsid w:val="39391637"/>
    <w:rsid w:val="393A67E2"/>
    <w:rsid w:val="39493E41"/>
    <w:rsid w:val="394B5125"/>
    <w:rsid w:val="394F0BA3"/>
    <w:rsid w:val="39504729"/>
    <w:rsid w:val="39535396"/>
    <w:rsid w:val="3961677A"/>
    <w:rsid w:val="39640917"/>
    <w:rsid w:val="39651C68"/>
    <w:rsid w:val="396C6F56"/>
    <w:rsid w:val="397A17A6"/>
    <w:rsid w:val="39812B34"/>
    <w:rsid w:val="398517FC"/>
    <w:rsid w:val="39860B3F"/>
    <w:rsid w:val="398828FC"/>
    <w:rsid w:val="39985DC1"/>
    <w:rsid w:val="399E7355"/>
    <w:rsid w:val="39B12CEE"/>
    <w:rsid w:val="39B13948"/>
    <w:rsid w:val="39B8407C"/>
    <w:rsid w:val="39BA4298"/>
    <w:rsid w:val="39BD24A1"/>
    <w:rsid w:val="39C42A21"/>
    <w:rsid w:val="39C64E20"/>
    <w:rsid w:val="39C84BD3"/>
    <w:rsid w:val="39CD7B28"/>
    <w:rsid w:val="39D23088"/>
    <w:rsid w:val="39D23C11"/>
    <w:rsid w:val="39D63BC2"/>
    <w:rsid w:val="39E46651"/>
    <w:rsid w:val="39E5079E"/>
    <w:rsid w:val="39E92488"/>
    <w:rsid w:val="39EC3D26"/>
    <w:rsid w:val="39EC537B"/>
    <w:rsid w:val="39ED1F78"/>
    <w:rsid w:val="39F03816"/>
    <w:rsid w:val="39F24786"/>
    <w:rsid w:val="39F359D1"/>
    <w:rsid w:val="39F868C9"/>
    <w:rsid w:val="39FD5F33"/>
    <w:rsid w:val="3A0215EB"/>
    <w:rsid w:val="3A046706"/>
    <w:rsid w:val="3A0B4AF4"/>
    <w:rsid w:val="3A0D1341"/>
    <w:rsid w:val="3A190FBF"/>
    <w:rsid w:val="3A19697C"/>
    <w:rsid w:val="3A221A8C"/>
    <w:rsid w:val="3A241712"/>
    <w:rsid w:val="3A275664"/>
    <w:rsid w:val="3A296A5E"/>
    <w:rsid w:val="3A2F57A2"/>
    <w:rsid w:val="3A396F6B"/>
    <w:rsid w:val="3A483652"/>
    <w:rsid w:val="3A4B6EC2"/>
    <w:rsid w:val="3A4D6EBA"/>
    <w:rsid w:val="3A555D6F"/>
    <w:rsid w:val="3A5B53BB"/>
    <w:rsid w:val="3A672285"/>
    <w:rsid w:val="3A683B78"/>
    <w:rsid w:val="3A72247D"/>
    <w:rsid w:val="3A73258B"/>
    <w:rsid w:val="3A740FA3"/>
    <w:rsid w:val="3A744447"/>
    <w:rsid w:val="3A756BB5"/>
    <w:rsid w:val="3A773F37"/>
    <w:rsid w:val="3A94332A"/>
    <w:rsid w:val="3A9A69CA"/>
    <w:rsid w:val="3A9E7428"/>
    <w:rsid w:val="3AAD1707"/>
    <w:rsid w:val="3AB47283"/>
    <w:rsid w:val="3AB605BC"/>
    <w:rsid w:val="3AB65411"/>
    <w:rsid w:val="3AB7338B"/>
    <w:rsid w:val="3ABB4F90"/>
    <w:rsid w:val="3AC54CA3"/>
    <w:rsid w:val="3AD06FC2"/>
    <w:rsid w:val="3ADD1FEC"/>
    <w:rsid w:val="3ADF71D3"/>
    <w:rsid w:val="3AEF5215"/>
    <w:rsid w:val="3AF364B7"/>
    <w:rsid w:val="3AF630AE"/>
    <w:rsid w:val="3AFC1592"/>
    <w:rsid w:val="3B07489A"/>
    <w:rsid w:val="3B0A473E"/>
    <w:rsid w:val="3B0B3494"/>
    <w:rsid w:val="3B0B50DD"/>
    <w:rsid w:val="3B0C4DA2"/>
    <w:rsid w:val="3B0F4170"/>
    <w:rsid w:val="3B174F09"/>
    <w:rsid w:val="3B176016"/>
    <w:rsid w:val="3B1B0541"/>
    <w:rsid w:val="3B2641D4"/>
    <w:rsid w:val="3B2B2AFA"/>
    <w:rsid w:val="3B3132FD"/>
    <w:rsid w:val="3B37322C"/>
    <w:rsid w:val="3B421FAF"/>
    <w:rsid w:val="3B424545"/>
    <w:rsid w:val="3B424B80"/>
    <w:rsid w:val="3B4267A7"/>
    <w:rsid w:val="3B48382E"/>
    <w:rsid w:val="3B491430"/>
    <w:rsid w:val="3B4A221A"/>
    <w:rsid w:val="3B5851E9"/>
    <w:rsid w:val="3B5A1C91"/>
    <w:rsid w:val="3B5C7645"/>
    <w:rsid w:val="3B5D2583"/>
    <w:rsid w:val="3B5E3238"/>
    <w:rsid w:val="3B5F38BE"/>
    <w:rsid w:val="3B620744"/>
    <w:rsid w:val="3B621C43"/>
    <w:rsid w:val="3B707C26"/>
    <w:rsid w:val="3B794422"/>
    <w:rsid w:val="3B8561E0"/>
    <w:rsid w:val="3B892174"/>
    <w:rsid w:val="3B8C756F"/>
    <w:rsid w:val="3BB0360B"/>
    <w:rsid w:val="3BB23E5F"/>
    <w:rsid w:val="3BB56822"/>
    <w:rsid w:val="3BB7024A"/>
    <w:rsid w:val="3BC45EB1"/>
    <w:rsid w:val="3BC7691B"/>
    <w:rsid w:val="3BDA477E"/>
    <w:rsid w:val="3BDA4E51"/>
    <w:rsid w:val="3BDB2906"/>
    <w:rsid w:val="3BDE4D0E"/>
    <w:rsid w:val="3BEC3676"/>
    <w:rsid w:val="3BEE0229"/>
    <w:rsid w:val="3BEF7DD6"/>
    <w:rsid w:val="3BF66E77"/>
    <w:rsid w:val="3BF82EB3"/>
    <w:rsid w:val="3BF910A8"/>
    <w:rsid w:val="3BFA4E20"/>
    <w:rsid w:val="3BFE66BE"/>
    <w:rsid w:val="3C0161AE"/>
    <w:rsid w:val="3C0165D0"/>
    <w:rsid w:val="3C0812EB"/>
    <w:rsid w:val="3C0D1A01"/>
    <w:rsid w:val="3C1832DF"/>
    <w:rsid w:val="3C1C08F2"/>
    <w:rsid w:val="3C1D7D04"/>
    <w:rsid w:val="3C24099A"/>
    <w:rsid w:val="3C291261"/>
    <w:rsid w:val="3C2A788B"/>
    <w:rsid w:val="3C2E6878"/>
    <w:rsid w:val="3C2F4ACA"/>
    <w:rsid w:val="3C335C3C"/>
    <w:rsid w:val="3C353F33"/>
    <w:rsid w:val="3C3737A4"/>
    <w:rsid w:val="3C3A7F27"/>
    <w:rsid w:val="3C40552A"/>
    <w:rsid w:val="3C415D6A"/>
    <w:rsid w:val="3C5B3639"/>
    <w:rsid w:val="3C5B4F70"/>
    <w:rsid w:val="3C5C33E5"/>
    <w:rsid w:val="3C5D3C4F"/>
    <w:rsid w:val="3C5F0E2E"/>
    <w:rsid w:val="3C5F3DC8"/>
    <w:rsid w:val="3C683B38"/>
    <w:rsid w:val="3C687483"/>
    <w:rsid w:val="3C746DFB"/>
    <w:rsid w:val="3C776471"/>
    <w:rsid w:val="3C7F45CB"/>
    <w:rsid w:val="3C8A1D00"/>
    <w:rsid w:val="3C8E046F"/>
    <w:rsid w:val="3C8F5E7B"/>
    <w:rsid w:val="3C944D46"/>
    <w:rsid w:val="3C99235D"/>
    <w:rsid w:val="3C9E65CD"/>
    <w:rsid w:val="3CA31014"/>
    <w:rsid w:val="3CA7031E"/>
    <w:rsid w:val="3CA752B6"/>
    <w:rsid w:val="3CC210F6"/>
    <w:rsid w:val="3CC2593E"/>
    <w:rsid w:val="3CCF005B"/>
    <w:rsid w:val="3CCF0F6E"/>
    <w:rsid w:val="3CDA3B31"/>
    <w:rsid w:val="3CDC7007"/>
    <w:rsid w:val="3CDD5A81"/>
    <w:rsid w:val="3CE55646"/>
    <w:rsid w:val="3CFB2BFE"/>
    <w:rsid w:val="3D015D3A"/>
    <w:rsid w:val="3D040DA5"/>
    <w:rsid w:val="3D073351"/>
    <w:rsid w:val="3D0777F5"/>
    <w:rsid w:val="3D0A4BEF"/>
    <w:rsid w:val="3D1230BD"/>
    <w:rsid w:val="3D136EFB"/>
    <w:rsid w:val="3D154912"/>
    <w:rsid w:val="3D163594"/>
    <w:rsid w:val="3D187093"/>
    <w:rsid w:val="3D1A5448"/>
    <w:rsid w:val="3D1D3E94"/>
    <w:rsid w:val="3D26440A"/>
    <w:rsid w:val="3D2D7B8E"/>
    <w:rsid w:val="3D2F0740"/>
    <w:rsid w:val="3D2F28A7"/>
    <w:rsid w:val="3D346110"/>
    <w:rsid w:val="3D356037"/>
    <w:rsid w:val="3D3659E4"/>
    <w:rsid w:val="3D404AB5"/>
    <w:rsid w:val="3D464B66"/>
    <w:rsid w:val="3D474095"/>
    <w:rsid w:val="3D510A70"/>
    <w:rsid w:val="3D54230E"/>
    <w:rsid w:val="3D581DFE"/>
    <w:rsid w:val="3D5A0B77"/>
    <w:rsid w:val="3D5B544A"/>
    <w:rsid w:val="3D5F13DF"/>
    <w:rsid w:val="3D6213C4"/>
    <w:rsid w:val="3D6267D9"/>
    <w:rsid w:val="3D6975F0"/>
    <w:rsid w:val="3D6A1B31"/>
    <w:rsid w:val="3D72372C"/>
    <w:rsid w:val="3D7442A2"/>
    <w:rsid w:val="3D780746"/>
    <w:rsid w:val="3D7A6218"/>
    <w:rsid w:val="3D7A7FC6"/>
    <w:rsid w:val="3D8438F5"/>
    <w:rsid w:val="3D864BBD"/>
    <w:rsid w:val="3D891FB8"/>
    <w:rsid w:val="3D8C006D"/>
    <w:rsid w:val="3D8E3A72"/>
    <w:rsid w:val="3D954E00"/>
    <w:rsid w:val="3D98044D"/>
    <w:rsid w:val="3D9B3237"/>
    <w:rsid w:val="3DA07301"/>
    <w:rsid w:val="3DA43295"/>
    <w:rsid w:val="3DAE7C70"/>
    <w:rsid w:val="3DB159B2"/>
    <w:rsid w:val="3DB272D8"/>
    <w:rsid w:val="3DB86D41"/>
    <w:rsid w:val="3DBC182E"/>
    <w:rsid w:val="3DBF1E7D"/>
    <w:rsid w:val="3DC2371B"/>
    <w:rsid w:val="3DC56E57"/>
    <w:rsid w:val="3DCE24ED"/>
    <w:rsid w:val="3DD376D7"/>
    <w:rsid w:val="3DDF2B68"/>
    <w:rsid w:val="3DE36705"/>
    <w:rsid w:val="3DE50366"/>
    <w:rsid w:val="3DE97A9E"/>
    <w:rsid w:val="3DEB1C8C"/>
    <w:rsid w:val="3DEB317E"/>
    <w:rsid w:val="3DEC2546"/>
    <w:rsid w:val="3DF15DAF"/>
    <w:rsid w:val="3DF24001"/>
    <w:rsid w:val="3DF35ACC"/>
    <w:rsid w:val="3DFF127E"/>
    <w:rsid w:val="3E014244"/>
    <w:rsid w:val="3E025620"/>
    <w:rsid w:val="3E05072E"/>
    <w:rsid w:val="3E0625A9"/>
    <w:rsid w:val="3E0B2D85"/>
    <w:rsid w:val="3E16206F"/>
    <w:rsid w:val="3E277A87"/>
    <w:rsid w:val="3E2B344C"/>
    <w:rsid w:val="3E2B7513"/>
    <w:rsid w:val="3E2B7626"/>
    <w:rsid w:val="3E300685"/>
    <w:rsid w:val="3E3208A1"/>
    <w:rsid w:val="3E3F2FBE"/>
    <w:rsid w:val="3E3F3167"/>
    <w:rsid w:val="3E406979"/>
    <w:rsid w:val="3E463899"/>
    <w:rsid w:val="3E4D29DB"/>
    <w:rsid w:val="3E4E3206"/>
    <w:rsid w:val="3E506F79"/>
    <w:rsid w:val="3E5838DD"/>
    <w:rsid w:val="3E5C4AA2"/>
    <w:rsid w:val="3E602718"/>
    <w:rsid w:val="3E614CE2"/>
    <w:rsid w:val="3E681F1C"/>
    <w:rsid w:val="3E7012AD"/>
    <w:rsid w:val="3E726EC9"/>
    <w:rsid w:val="3E75078E"/>
    <w:rsid w:val="3E755F09"/>
    <w:rsid w:val="3E831D52"/>
    <w:rsid w:val="3E897B14"/>
    <w:rsid w:val="3E8D6969"/>
    <w:rsid w:val="3E8E326B"/>
    <w:rsid w:val="3E951889"/>
    <w:rsid w:val="3E9629CF"/>
    <w:rsid w:val="3E9A01F4"/>
    <w:rsid w:val="3E9F547E"/>
    <w:rsid w:val="3EA0134A"/>
    <w:rsid w:val="3EA1648C"/>
    <w:rsid w:val="3EA6303D"/>
    <w:rsid w:val="3EAE0324"/>
    <w:rsid w:val="3EB158B4"/>
    <w:rsid w:val="3EB2553E"/>
    <w:rsid w:val="3EB47508"/>
    <w:rsid w:val="3EB72B54"/>
    <w:rsid w:val="3EC11C25"/>
    <w:rsid w:val="3EC3206C"/>
    <w:rsid w:val="3ECC7844"/>
    <w:rsid w:val="3ECD00BE"/>
    <w:rsid w:val="3ECD6BDA"/>
    <w:rsid w:val="3ED5122D"/>
    <w:rsid w:val="3ED7017A"/>
    <w:rsid w:val="3ED96C16"/>
    <w:rsid w:val="3EDF07E5"/>
    <w:rsid w:val="3EDF3E59"/>
    <w:rsid w:val="3EE91D44"/>
    <w:rsid w:val="3EED1E62"/>
    <w:rsid w:val="3EEE2F1C"/>
    <w:rsid w:val="3EF23B8C"/>
    <w:rsid w:val="3EF45B57"/>
    <w:rsid w:val="3EF8449E"/>
    <w:rsid w:val="3EFC641C"/>
    <w:rsid w:val="3EFC7DAE"/>
    <w:rsid w:val="3F010273"/>
    <w:rsid w:val="3F0538C0"/>
    <w:rsid w:val="3F096D0B"/>
    <w:rsid w:val="3F0B7179"/>
    <w:rsid w:val="3F151574"/>
    <w:rsid w:val="3F163D1F"/>
    <w:rsid w:val="3F1E4289"/>
    <w:rsid w:val="3F251D7D"/>
    <w:rsid w:val="3F2E1312"/>
    <w:rsid w:val="3F3225D2"/>
    <w:rsid w:val="3F42218F"/>
    <w:rsid w:val="3F4A628E"/>
    <w:rsid w:val="3F514B2D"/>
    <w:rsid w:val="3F557260"/>
    <w:rsid w:val="3F5D1B7A"/>
    <w:rsid w:val="3F60523E"/>
    <w:rsid w:val="3F667372"/>
    <w:rsid w:val="3F6727CC"/>
    <w:rsid w:val="3F6759F5"/>
    <w:rsid w:val="3F6D115F"/>
    <w:rsid w:val="3F6F507E"/>
    <w:rsid w:val="3F7153F9"/>
    <w:rsid w:val="3F724CCD"/>
    <w:rsid w:val="3F7377B0"/>
    <w:rsid w:val="3F7C5873"/>
    <w:rsid w:val="3F7F1678"/>
    <w:rsid w:val="3F836EDA"/>
    <w:rsid w:val="3F8B74A4"/>
    <w:rsid w:val="3F921F5B"/>
    <w:rsid w:val="3F93128E"/>
    <w:rsid w:val="3F9335C1"/>
    <w:rsid w:val="3F984120"/>
    <w:rsid w:val="3FA540B0"/>
    <w:rsid w:val="3FA541A9"/>
    <w:rsid w:val="3FAF7FE3"/>
    <w:rsid w:val="3FB46C30"/>
    <w:rsid w:val="3FB53538"/>
    <w:rsid w:val="3FB672B0"/>
    <w:rsid w:val="3FB776F5"/>
    <w:rsid w:val="3FCF7DC2"/>
    <w:rsid w:val="3FEE76F8"/>
    <w:rsid w:val="3FEF5AE6"/>
    <w:rsid w:val="3FFD6733"/>
    <w:rsid w:val="400310D8"/>
    <w:rsid w:val="40041DC9"/>
    <w:rsid w:val="40057F2D"/>
    <w:rsid w:val="40086AA5"/>
    <w:rsid w:val="400B22C6"/>
    <w:rsid w:val="400B2990"/>
    <w:rsid w:val="400E0E9A"/>
    <w:rsid w:val="400E2C48"/>
    <w:rsid w:val="4014562F"/>
    <w:rsid w:val="401D24AF"/>
    <w:rsid w:val="402043E9"/>
    <w:rsid w:val="402C78D5"/>
    <w:rsid w:val="402E6E46"/>
    <w:rsid w:val="40307BC9"/>
    <w:rsid w:val="40356427"/>
    <w:rsid w:val="403A0A27"/>
    <w:rsid w:val="403D28E3"/>
    <w:rsid w:val="403F5E49"/>
    <w:rsid w:val="404062C3"/>
    <w:rsid w:val="40430493"/>
    <w:rsid w:val="40463E1D"/>
    <w:rsid w:val="4048768D"/>
    <w:rsid w:val="404B17A6"/>
    <w:rsid w:val="404D19C2"/>
    <w:rsid w:val="40545417"/>
    <w:rsid w:val="40564EE7"/>
    <w:rsid w:val="405A0CFC"/>
    <w:rsid w:val="405B099C"/>
    <w:rsid w:val="405E5CCB"/>
    <w:rsid w:val="4067516C"/>
    <w:rsid w:val="4068042A"/>
    <w:rsid w:val="406E3D2B"/>
    <w:rsid w:val="40714172"/>
    <w:rsid w:val="407F661D"/>
    <w:rsid w:val="408245ED"/>
    <w:rsid w:val="40864295"/>
    <w:rsid w:val="408B6047"/>
    <w:rsid w:val="409128D4"/>
    <w:rsid w:val="40926379"/>
    <w:rsid w:val="409F45CB"/>
    <w:rsid w:val="40AC7A1C"/>
    <w:rsid w:val="40B557B9"/>
    <w:rsid w:val="40B86E7B"/>
    <w:rsid w:val="40B90E06"/>
    <w:rsid w:val="40B94B83"/>
    <w:rsid w:val="40BE466E"/>
    <w:rsid w:val="40C319E2"/>
    <w:rsid w:val="40CD00BD"/>
    <w:rsid w:val="40CD4ED1"/>
    <w:rsid w:val="40D12495"/>
    <w:rsid w:val="40D5070B"/>
    <w:rsid w:val="40D62817"/>
    <w:rsid w:val="40DC0019"/>
    <w:rsid w:val="40DD195E"/>
    <w:rsid w:val="40E31DD5"/>
    <w:rsid w:val="40E50C8C"/>
    <w:rsid w:val="40E65224"/>
    <w:rsid w:val="40E65973"/>
    <w:rsid w:val="40E85247"/>
    <w:rsid w:val="40EC27D7"/>
    <w:rsid w:val="40EF2A79"/>
    <w:rsid w:val="40FC0CF2"/>
    <w:rsid w:val="41031CC7"/>
    <w:rsid w:val="41053EE9"/>
    <w:rsid w:val="410C127B"/>
    <w:rsid w:val="410C5573"/>
    <w:rsid w:val="410D73A4"/>
    <w:rsid w:val="4114603C"/>
    <w:rsid w:val="41196606"/>
    <w:rsid w:val="411E6EBB"/>
    <w:rsid w:val="41242B9C"/>
    <w:rsid w:val="412A1D04"/>
    <w:rsid w:val="413466DE"/>
    <w:rsid w:val="41474664"/>
    <w:rsid w:val="41523008"/>
    <w:rsid w:val="415437EE"/>
    <w:rsid w:val="41546B10"/>
    <w:rsid w:val="41562AF9"/>
    <w:rsid w:val="41584A20"/>
    <w:rsid w:val="4159263F"/>
    <w:rsid w:val="415D2EBF"/>
    <w:rsid w:val="41616C71"/>
    <w:rsid w:val="41676221"/>
    <w:rsid w:val="416C40CA"/>
    <w:rsid w:val="417967E7"/>
    <w:rsid w:val="417B1ADC"/>
    <w:rsid w:val="4180784A"/>
    <w:rsid w:val="418238EE"/>
    <w:rsid w:val="41831414"/>
    <w:rsid w:val="418365EE"/>
    <w:rsid w:val="418401AA"/>
    <w:rsid w:val="418C2076"/>
    <w:rsid w:val="418D20C9"/>
    <w:rsid w:val="419867DB"/>
    <w:rsid w:val="419D4283"/>
    <w:rsid w:val="41A51BAC"/>
    <w:rsid w:val="41A53138"/>
    <w:rsid w:val="41A83096"/>
    <w:rsid w:val="41B17F29"/>
    <w:rsid w:val="41B3338B"/>
    <w:rsid w:val="41B501A4"/>
    <w:rsid w:val="41B8730F"/>
    <w:rsid w:val="41BF3BD9"/>
    <w:rsid w:val="41BF4A91"/>
    <w:rsid w:val="41CB3D94"/>
    <w:rsid w:val="41CF4659"/>
    <w:rsid w:val="41D614EA"/>
    <w:rsid w:val="41DC36BB"/>
    <w:rsid w:val="41F51BC5"/>
    <w:rsid w:val="41FA3484"/>
    <w:rsid w:val="41FB0356"/>
    <w:rsid w:val="42022339"/>
    <w:rsid w:val="42132FE7"/>
    <w:rsid w:val="42154A5B"/>
    <w:rsid w:val="421729DE"/>
    <w:rsid w:val="421A7082"/>
    <w:rsid w:val="421B33FA"/>
    <w:rsid w:val="421B648D"/>
    <w:rsid w:val="4220623E"/>
    <w:rsid w:val="4226071D"/>
    <w:rsid w:val="42274495"/>
    <w:rsid w:val="42330CE7"/>
    <w:rsid w:val="423516E4"/>
    <w:rsid w:val="423821FE"/>
    <w:rsid w:val="423A301B"/>
    <w:rsid w:val="424C4C09"/>
    <w:rsid w:val="42537038"/>
    <w:rsid w:val="4254392F"/>
    <w:rsid w:val="425B768F"/>
    <w:rsid w:val="426B720D"/>
    <w:rsid w:val="42701998"/>
    <w:rsid w:val="42751C90"/>
    <w:rsid w:val="42823479"/>
    <w:rsid w:val="42864D18"/>
    <w:rsid w:val="4286740D"/>
    <w:rsid w:val="42891207"/>
    <w:rsid w:val="42892644"/>
    <w:rsid w:val="428A7B32"/>
    <w:rsid w:val="428E1979"/>
    <w:rsid w:val="429338D8"/>
    <w:rsid w:val="42935686"/>
    <w:rsid w:val="429531AD"/>
    <w:rsid w:val="429A7093"/>
    <w:rsid w:val="429F5DD9"/>
    <w:rsid w:val="42A11B51"/>
    <w:rsid w:val="42A65A79"/>
    <w:rsid w:val="42A76B06"/>
    <w:rsid w:val="42A93909"/>
    <w:rsid w:val="42AD52B2"/>
    <w:rsid w:val="42B32AAD"/>
    <w:rsid w:val="42B71734"/>
    <w:rsid w:val="42B86941"/>
    <w:rsid w:val="42BC698B"/>
    <w:rsid w:val="42BF195C"/>
    <w:rsid w:val="42C10446"/>
    <w:rsid w:val="42CC3DFF"/>
    <w:rsid w:val="42D02437"/>
    <w:rsid w:val="42D24CA4"/>
    <w:rsid w:val="42D33CD5"/>
    <w:rsid w:val="42D40179"/>
    <w:rsid w:val="42D737C5"/>
    <w:rsid w:val="42DC7863"/>
    <w:rsid w:val="42DF0455"/>
    <w:rsid w:val="42E42D48"/>
    <w:rsid w:val="42E83C24"/>
    <w:rsid w:val="42F425C9"/>
    <w:rsid w:val="42F6111C"/>
    <w:rsid w:val="42F93A27"/>
    <w:rsid w:val="4300375D"/>
    <w:rsid w:val="43036368"/>
    <w:rsid w:val="43043D8C"/>
    <w:rsid w:val="43065E58"/>
    <w:rsid w:val="430A7047"/>
    <w:rsid w:val="431920F3"/>
    <w:rsid w:val="431A3863"/>
    <w:rsid w:val="431B2271"/>
    <w:rsid w:val="43223EC8"/>
    <w:rsid w:val="4329362C"/>
    <w:rsid w:val="433160C7"/>
    <w:rsid w:val="43317379"/>
    <w:rsid w:val="43410F50"/>
    <w:rsid w:val="4341198E"/>
    <w:rsid w:val="43452E25"/>
    <w:rsid w:val="434E1DB1"/>
    <w:rsid w:val="43536554"/>
    <w:rsid w:val="43537B5E"/>
    <w:rsid w:val="4354411F"/>
    <w:rsid w:val="43556CA5"/>
    <w:rsid w:val="4356618F"/>
    <w:rsid w:val="4359242C"/>
    <w:rsid w:val="43627A3F"/>
    <w:rsid w:val="436C76AE"/>
    <w:rsid w:val="43710B5F"/>
    <w:rsid w:val="437F411E"/>
    <w:rsid w:val="43853221"/>
    <w:rsid w:val="43864C8C"/>
    <w:rsid w:val="438A541B"/>
    <w:rsid w:val="438F7452"/>
    <w:rsid w:val="43903286"/>
    <w:rsid w:val="439711A6"/>
    <w:rsid w:val="43972F54"/>
    <w:rsid w:val="43A32A80"/>
    <w:rsid w:val="43AA2D86"/>
    <w:rsid w:val="43AD1BA2"/>
    <w:rsid w:val="43B03AF0"/>
    <w:rsid w:val="43BA62BC"/>
    <w:rsid w:val="43BC6EE6"/>
    <w:rsid w:val="43BD26D0"/>
    <w:rsid w:val="43C43746"/>
    <w:rsid w:val="43CF7D82"/>
    <w:rsid w:val="43D16C6D"/>
    <w:rsid w:val="43E13568"/>
    <w:rsid w:val="43E85F2B"/>
    <w:rsid w:val="43F30C80"/>
    <w:rsid w:val="43F3462F"/>
    <w:rsid w:val="43F45810"/>
    <w:rsid w:val="43F477B8"/>
    <w:rsid w:val="43F6778C"/>
    <w:rsid w:val="43F955DA"/>
    <w:rsid w:val="440452E5"/>
    <w:rsid w:val="440933B5"/>
    <w:rsid w:val="44187DD8"/>
    <w:rsid w:val="441F3676"/>
    <w:rsid w:val="44231FA6"/>
    <w:rsid w:val="442C6474"/>
    <w:rsid w:val="4439400C"/>
    <w:rsid w:val="443F79A1"/>
    <w:rsid w:val="44410337"/>
    <w:rsid w:val="444C0775"/>
    <w:rsid w:val="444E7AE4"/>
    <w:rsid w:val="4464528A"/>
    <w:rsid w:val="446B0669"/>
    <w:rsid w:val="44727C49"/>
    <w:rsid w:val="447339C1"/>
    <w:rsid w:val="44753B35"/>
    <w:rsid w:val="44776BD6"/>
    <w:rsid w:val="447A5F85"/>
    <w:rsid w:val="44801914"/>
    <w:rsid w:val="44855C27"/>
    <w:rsid w:val="44890AEF"/>
    <w:rsid w:val="448B2AB9"/>
    <w:rsid w:val="448E6105"/>
    <w:rsid w:val="4491249F"/>
    <w:rsid w:val="44917E58"/>
    <w:rsid w:val="449A7A08"/>
    <w:rsid w:val="44A26055"/>
    <w:rsid w:val="44B00772"/>
    <w:rsid w:val="44B232FF"/>
    <w:rsid w:val="44B71B00"/>
    <w:rsid w:val="44B94074"/>
    <w:rsid w:val="44CC3666"/>
    <w:rsid w:val="44CE6E4A"/>
    <w:rsid w:val="44DF2E05"/>
    <w:rsid w:val="44EB114B"/>
    <w:rsid w:val="44EB7ADD"/>
    <w:rsid w:val="44EB7E8E"/>
    <w:rsid w:val="44EF1A75"/>
    <w:rsid w:val="44F10492"/>
    <w:rsid w:val="44F370A9"/>
    <w:rsid w:val="44F468B0"/>
    <w:rsid w:val="44F6398F"/>
    <w:rsid w:val="44FC7513"/>
    <w:rsid w:val="44FD328B"/>
    <w:rsid w:val="4508410A"/>
    <w:rsid w:val="45091B37"/>
    <w:rsid w:val="450B1B4F"/>
    <w:rsid w:val="45101210"/>
    <w:rsid w:val="45121B01"/>
    <w:rsid w:val="45144E13"/>
    <w:rsid w:val="45154A79"/>
    <w:rsid w:val="451A18E2"/>
    <w:rsid w:val="451A377B"/>
    <w:rsid w:val="451E1B7F"/>
    <w:rsid w:val="451F4814"/>
    <w:rsid w:val="45260A34"/>
    <w:rsid w:val="452C104B"/>
    <w:rsid w:val="452D3B70"/>
    <w:rsid w:val="452D4692"/>
    <w:rsid w:val="45322415"/>
    <w:rsid w:val="45343151"/>
    <w:rsid w:val="453D27DA"/>
    <w:rsid w:val="453E7AC9"/>
    <w:rsid w:val="453F6E28"/>
    <w:rsid w:val="4543109C"/>
    <w:rsid w:val="454F3AE7"/>
    <w:rsid w:val="45565EE6"/>
    <w:rsid w:val="45566CB6"/>
    <w:rsid w:val="45575091"/>
    <w:rsid w:val="45612761"/>
    <w:rsid w:val="456926CF"/>
    <w:rsid w:val="456B6447"/>
    <w:rsid w:val="456D298D"/>
    <w:rsid w:val="456F4189"/>
    <w:rsid w:val="456F5F37"/>
    <w:rsid w:val="45715A81"/>
    <w:rsid w:val="457479F1"/>
    <w:rsid w:val="458614D2"/>
    <w:rsid w:val="458F0387"/>
    <w:rsid w:val="458F3DA1"/>
    <w:rsid w:val="45912351"/>
    <w:rsid w:val="45943BEF"/>
    <w:rsid w:val="45957044"/>
    <w:rsid w:val="45962409"/>
    <w:rsid w:val="45965BB9"/>
    <w:rsid w:val="45981F3C"/>
    <w:rsid w:val="45991206"/>
    <w:rsid w:val="45997458"/>
    <w:rsid w:val="459B5059"/>
    <w:rsid w:val="45A03F59"/>
    <w:rsid w:val="45A831F7"/>
    <w:rsid w:val="45AF7010"/>
    <w:rsid w:val="45B34405"/>
    <w:rsid w:val="45C07A37"/>
    <w:rsid w:val="45C85647"/>
    <w:rsid w:val="45CD7101"/>
    <w:rsid w:val="45D160A9"/>
    <w:rsid w:val="45D87924"/>
    <w:rsid w:val="45E32481"/>
    <w:rsid w:val="45EC6CE6"/>
    <w:rsid w:val="45EE1552"/>
    <w:rsid w:val="45EE30CE"/>
    <w:rsid w:val="45EF52CA"/>
    <w:rsid w:val="461D64FB"/>
    <w:rsid w:val="46242373"/>
    <w:rsid w:val="46274A64"/>
    <w:rsid w:val="463648E9"/>
    <w:rsid w:val="464253F9"/>
    <w:rsid w:val="46491939"/>
    <w:rsid w:val="46535859"/>
    <w:rsid w:val="465F78E8"/>
    <w:rsid w:val="46607F75"/>
    <w:rsid w:val="466247F2"/>
    <w:rsid w:val="466423CC"/>
    <w:rsid w:val="46696E2A"/>
    <w:rsid w:val="4678706D"/>
    <w:rsid w:val="46790ADF"/>
    <w:rsid w:val="46827EEC"/>
    <w:rsid w:val="468477C0"/>
    <w:rsid w:val="46873754"/>
    <w:rsid w:val="468A6DA0"/>
    <w:rsid w:val="468C2B19"/>
    <w:rsid w:val="468D5489"/>
    <w:rsid w:val="469203F9"/>
    <w:rsid w:val="469C7200"/>
    <w:rsid w:val="46A51334"/>
    <w:rsid w:val="46A64B76"/>
    <w:rsid w:val="46A9225B"/>
    <w:rsid w:val="46AA2F9F"/>
    <w:rsid w:val="46AC4F69"/>
    <w:rsid w:val="46B67B95"/>
    <w:rsid w:val="46BC781A"/>
    <w:rsid w:val="46C334FA"/>
    <w:rsid w:val="46C40504"/>
    <w:rsid w:val="46C77B24"/>
    <w:rsid w:val="46C92EF6"/>
    <w:rsid w:val="46CA5F1E"/>
    <w:rsid w:val="46CE23DF"/>
    <w:rsid w:val="46D1661C"/>
    <w:rsid w:val="46D67F50"/>
    <w:rsid w:val="46E62384"/>
    <w:rsid w:val="46E7395C"/>
    <w:rsid w:val="46F16FC5"/>
    <w:rsid w:val="46F93FAB"/>
    <w:rsid w:val="47037071"/>
    <w:rsid w:val="4707219F"/>
    <w:rsid w:val="47081233"/>
    <w:rsid w:val="470E1780"/>
    <w:rsid w:val="47166879"/>
    <w:rsid w:val="471741F3"/>
    <w:rsid w:val="4717516D"/>
    <w:rsid w:val="471825FE"/>
    <w:rsid w:val="47186BFB"/>
    <w:rsid w:val="471A3BA2"/>
    <w:rsid w:val="47207C7B"/>
    <w:rsid w:val="472E6063"/>
    <w:rsid w:val="472F533E"/>
    <w:rsid w:val="4732546E"/>
    <w:rsid w:val="473731F8"/>
    <w:rsid w:val="473A65CE"/>
    <w:rsid w:val="47482EE3"/>
    <w:rsid w:val="474B29D4"/>
    <w:rsid w:val="474B7CA4"/>
    <w:rsid w:val="474E5743"/>
    <w:rsid w:val="47585F54"/>
    <w:rsid w:val="475950F1"/>
    <w:rsid w:val="47595427"/>
    <w:rsid w:val="475A0F43"/>
    <w:rsid w:val="475E6263"/>
    <w:rsid w:val="47685B93"/>
    <w:rsid w:val="476D294A"/>
    <w:rsid w:val="476E08C4"/>
    <w:rsid w:val="477041E8"/>
    <w:rsid w:val="477261B2"/>
    <w:rsid w:val="47735F65"/>
    <w:rsid w:val="47762884"/>
    <w:rsid w:val="478B1B1F"/>
    <w:rsid w:val="478F6524"/>
    <w:rsid w:val="47906312"/>
    <w:rsid w:val="479255D2"/>
    <w:rsid w:val="479502F0"/>
    <w:rsid w:val="47A12458"/>
    <w:rsid w:val="47AE7E19"/>
    <w:rsid w:val="47AF4D11"/>
    <w:rsid w:val="47AF6ABF"/>
    <w:rsid w:val="47B10B40"/>
    <w:rsid w:val="47B17848"/>
    <w:rsid w:val="47C004A0"/>
    <w:rsid w:val="47C36942"/>
    <w:rsid w:val="47C46F79"/>
    <w:rsid w:val="47C63F1B"/>
    <w:rsid w:val="47CE2D53"/>
    <w:rsid w:val="47D1249A"/>
    <w:rsid w:val="47D14E3C"/>
    <w:rsid w:val="47DD7AD0"/>
    <w:rsid w:val="47DE73A4"/>
    <w:rsid w:val="47DF10B6"/>
    <w:rsid w:val="47E26A4A"/>
    <w:rsid w:val="47E30228"/>
    <w:rsid w:val="47E8201B"/>
    <w:rsid w:val="47FE35A2"/>
    <w:rsid w:val="480169F8"/>
    <w:rsid w:val="4803794D"/>
    <w:rsid w:val="480F17F3"/>
    <w:rsid w:val="480F59EB"/>
    <w:rsid w:val="481132D5"/>
    <w:rsid w:val="48151DFF"/>
    <w:rsid w:val="48177D5A"/>
    <w:rsid w:val="481A3A9E"/>
    <w:rsid w:val="481E3C44"/>
    <w:rsid w:val="48230E62"/>
    <w:rsid w:val="48240F71"/>
    <w:rsid w:val="482539A8"/>
    <w:rsid w:val="48254FD3"/>
    <w:rsid w:val="48272115"/>
    <w:rsid w:val="482A25E9"/>
    <w:rsid w:val="482E20D9"/>
    <w:rsid w:val="4831773D"/>
    <w:rsid w:val="4832149E"/>
    <w:rsid w:val="48383643"/>
    <w:rsid w:val="483B2A48"/>
    <w:rsid w:val="483D40CA"/>
    <w:rsid w:val="483E7E42"/>
    <w:rsid w:val="484359E3"/>
    <w:rsid w:val="48457423"/>
    <w:rsid w:val="48463DC2"/>
    <w:rsid w:val="48482514"/>
    <w:rsid w:val="484A1B4B"/>
    <w:rsid w:val="484C255F"/>
    <w:rsid w:val="485737AE"/>
    <w:rsid w:val="48604DA3"/>
    <w:rsid w:val="486050DE"/>
    <w:rsid w:val="486176F0"/>
    <w:rsid w:val="48627FD5"/>
    <w:rsid w:val="48691363"/>
    <w:rsid w:val="486E36B0"/>
    <w:rsid w:val="48701EA5"/>
    <w:rsid w:val="487A6E4A"/>
    <w:rsid w:val="487E79A8"/>
    <w:rsid w:val="487F0430"/>
    <w:rsid w:val="487F6A9B"/>
    <w:rsid w:val="4888027D"/>
    <w:rsid w:val="488C5501"/>
    <w:rsid w:val="48947BBD"/>
    <w:rsid w:val="489850F6"/>
    <w:rsid w:val="489B27C5"/>
    <w:rsid w:val="489B34E7"/>
    <w:rsid w:val="48A25E13"/>
    <w:rsid w:val="48A71E8C"/>
    <w:rsid w:val="48AA0A8A"/>
    <w:rsid w:val="48AC6670"/>
    <w:rsid w:val="48AE6D76"/>
    <w:rsid w:val="48AF018B"/>
    <w:rsid w:val="48B30077"/>
    <w:rsid w:val="48B523EF"/>
    <w:rsid w:val="48B56F6C"/>
    <w:rsid w:val="48B87AB8"/>
    <w:rsid w:val="48BB132D"/>
    <w:rsid w:val="48BC31D4"/>
    <w:rsid w:val="48BF3E0A"/>
    <w:rsid w:val="48BF5427"/>
    <w:rsid w:val="48C2431F"/>
    <w:rsid w:val="48C558F7"/>
    <w:rsid w:val="48C742DC"/>
    <w:rsid w:val="48C778C8"/>
    <w:rsid w:val="48CA52B0"/>
    <w:rsid w:val="48CB4577"/>
    <w:rsid w:val="48CD641C"/>
    <w:rsid w:val="48CD674E"/>
    <w:rsid w:val="48DA5DBD"/>
    <w:rsid w:val="48DD3AFF"/>
    <w:rsid w:val="48DD765B"/>
    <w:rsid w:val="48DD7B03"/>
    <w:rsid w:val="48E42798"/>
    <w:rsid w:val="48E62612"/>
    <w:rsid w:val="48E629B4"/>
    <w:rsid w:val="48E828E7"/>
    <w:rsid w:val="48EA5BC1"/>
    <w:rsid w:val="48F006D9"/>
    <w:rsid w:val="48F212BE"/>
    <w:rsid w:val="48F22724"/>
    <w:rsid w:val="48F42E29"/>
    <w:rsid w:val="48F6071D"/>
    <w:rsid w:val="48FF3FE4"/>
    <w:rsid w:val="4900334A"/>
    <w:rsid w:val="4905068C"/>
    <w:rsid w:val="490648C8"/>
    <w:rsid w:val="49080B7C"/>
    <w:rsid w:val="490F1EEF"/>
    <w:rsid w:val="491646DC"/>
    <w:rsid w:val="49180A9B"/>
    <w:rsid w:val="491C2C2F"/>
    <w:rsid w:val="491C3609"/>
    <w:rsid w:val="49276855"/>
    <w:rsid w:val="492E7EB7"/>
    <w:rsid w:val="492F16F6"/>
    <w:rsid w:val="493556E9"/>
    <w:rsid w:val="49373210"/>
    <w:rsid w:val="49382AE4"/>
    <w:rsid w:val="4941408E"/>
    <w:rsid w:val="49423962"/>
    <w:rsid w:val="49482783"/>
    <w:rsid w:val="494F3168"/>
    <w:rsid w:val="49510508"/>
    <w:rsid w:val="49554BE1"/>
    <w:rsid w:val="49580552"/>
    <w:rsid w:val="496A6BED"/>
    <w:rsid w:val="49710949"/>
    <w:rsid w:val="49731BCB"/>
    <w:rsid w:val="497467A8"/>
    <w:rsid w:val="49793828"/>
    <w:rsid w:val="49811526"/>
    <w:rsid w:val="498209CF"/>
    <w:rsid w:val="49843E14"/>
    <w:rsid w:val="499A05E2"/>
    <w:rsid w:val="49A870A3"/>
    <w:rsid w:val="49AA0075"/>
    <w:rsid w:val="49B37092"/>
    <w:rsid w:val="49B65E46"/>
    <w:rsid w:val="49C65640"/>
    <w:rsid w:val="49CD76D0"/>
    <w:rsid w:val="49D00DC5"/>
    <w:rsid w:val="49D97E23"/>
    <w:rsid w:val="49E30CA1"/>
    <w:rsid w:val="49E52C6C"/>
    <w:rsid w:val="49E62540"/>
    <w:rsid w:val="49E82DBC"/>
    <w:rsid w:val="49EC7A1D"/>
    <w:rsid w:val="49ED1B20"/>
    <w:rsid w:val="49ED1EC6"/>
    <w:rsid w:val="49EE6966"/>
    <w:rsid w:val="49F01583"/>
    <w:rsid w:val="49F27137"/>
    <w:rsid w:val="49F570D9"/>
    <w:rsid w:val="49F66C27"/>
    <w:rsid w:val="4A0062BB"/>
    <w:rsid w:val="4A037596"/>
    <w:rsid w:val="4A050C18"/>
    <w:rsid w:val="4A116FD8"/>
    <w:rsid w:val="4A117D9D"/>
    <w:rsid w:val="4A121587"/>
    <w:rsid w:val="4A162E25"/>
    <w:rsid w:val="4A196E79"/>
    <w:rsid w:val="4A1E5261"/>
    <w:rsid w:val="4A2329A2"/>
    <w:rsid w:val="4A235A4E"/>
    <w:rsid w:val="4A24383D"/>
    <w:rsid w:val="4A2F038B"/>
    <w:rsid w:val="4A3140D8"/>
    <w:rsid w:val="4A3459D1"/>
    <w:rsid w:val="4A34683F"/>
    <w:rsid w:val="4A4200BE"/>
    <w:rsid w:val="4A421E6C"/>
    <w:rsid w:val="4A482FDB"/>
    <w:rsid w:val="4A4A0D22"/>
    <w:rsid w:val="4A527BD5"/>
    <w:rsid w:val="4A535A86"/>
    <w:rsid w:val="4A54703F"/>
    <w:rsid w:val="4A5804B6"/>
    <w:rsid w:val="4A5B3A9F"/>
    <w:rsid w:val="4A5E2A1E"/>
    <w:rsid w:val="4A5F084F"/>
    <w:rsid w:val="4A621B5A"/>
    <w:rsid w:val="4A677F4D"/>
    <w:rsid w:val="4A6D7FA4"/>
    <w:rsid w:val="4A7626C7"/>
    <w:rsid w:val="4A7C1915"/>
    <w:rsid w:val="4A851990"/>
    <w:rsid w:val="4A866EF2"/>
    <w:rsid w:val="4A8C219C"/>
    <w:rsid w:val="4A9449E8"/>
    <w:rsid w:val="4A954692"/>
    <w:rsid w:val="4AA448D5"/>
    <w:rsid w:val="4AB34B18"/>
    <w:rsid w:val="4AB43BD7"/>
    <w:rsid w:val="4AB44216"/>
    <w:rsid w:val="4AB84FEA"/>
    <w:rsid w:val="4ABA448F"/>
    <w:rsid w:val="4ABC61FC"/>
    <w:rsid w:val="4ABF0DB5"/>
    <w:rsid w:val="4AC34A65"/>
    <w:rsid w:val="4AC565F9"/>
    <w:rsid w:val="4AC7114E"/>
    <w:rsid w:val="4ACA61C7"/>
    <w:rsid w:val="4ACE1952"/>
    <w:rsid w:val="4AD07993"/>
    <w:rsid w:val="4AD11442"/>
    <w:rsid w:val="4AD55B10"/>
    <w:rsid w:val="4AD64873"/>
    <w:rsid w:val="4ADA02F6"/>
    <w:rsid w:val="4ADB3E33"/>
    <w:rsid w:val="4AE567C4"/>
    <w:rsid w:val="4AEF09B8"/>
    <w:rsid w:val="4AF74ADD"/>
    <w:rsid w:val="4B0F492C"/>
    <w:rsid w:val="4B0F6F4D"/>
    <w:rsid w:val="4B1747FF"/>
    <w:rsid w:val="4B1923E5"/>
    <w:rsid w:val="4B1B7074"/>
    <w:rsid w:val="4B203D02"/>
    <w:rsid w:val="4B2B08B4"/>
    <w:rsid w:val="4B3454E4"/>
    <w:rsid w:val="4B35377F"/>
    <w:rsid w:val="4B373818"/>
    <w:rsid w:val="4B377676"/>
    <w:rsid w:val="4B3C29B6"/>
    <w:rsid w:val="4B3F63AB"/>
    <w:rsid w:val="4B3F79B7"/>
    <w:rsid w:val="4B423440"/>
    <w:rsid w:val="4B46773A"/>
    <w:rsid w:val="4B49547C"/>
    <w:rsid w:val="4B4A0320"/>
    <w:rsid w:val="4B555C31"/>
    <w:rsid w:val="4B5861CE"/>
    <w:rsid w:val="4B5A31E5"/>
    <w:rsid w:val="4B5C51AF"/>
    <w:rsid w:val="4B5F54B0"/>
    <w:rsid w:val="4B6202EC"/>
    <w:rsid w:val="4B682440"/>
    <w:rsid w:val="4B6A1BE3"/>
    <w:rsid w:val="4B7C13AE"/>
    <w:rsid w:val="4B7E7695"/>
    <w:rsid w:val="4B801D5B"/>
    <w:rsid w:val="4B810772"/>
    <w:rsid w:val="4B835265"/>
    <w:rsid w:val="4B882F10"/>
    <w:rsid w:val="4B884E3B"/>
    <w:rsid w:val="4B8926B1"/>
    <w:rsid w:val="4B8D20F8"/>
    <w:rsid w:val="4B903FA6"/>
    <w:rsid w:val="4B90799F"/>
    <w:rsid w:val="4B9C37FE"/>
    <w:rsid w:val="4B9C45C1"/>
    <w:rsid w:val="4B9D5C0C"/>
    <w:rsid w:val="4BA72512"/>
    <w:rsid w:val="4BB31D91"/>
    <w:rsid w:val="4BB5041C"/>
    <w:rsid w:val="4BB943B0"/>
    <w:rsid w:val="4BBC5AC7"/>
    <w:rsid w:val="4BC012FC"/>
    <w:rsid w:val="4BC02140"/>
    <w:rsid w:val="4BC3109F"/>
    <w:rsid w:val="4BC36FDC"/>
    <w:rsid w:val="4BC44E0D"/>
    <w:rsid w:val="4BC66ACD"/>
    <w:rsid w:val="4BC73382"/>
    <w:rsid w:val="4BC82845"/>
    <w:rsid w:val="4BD034A7"/>
    <w:rsid w:val="4BD048BE"/>
    <w:rsid w:val="4BE23A6B"/>
    <w:rsid w:val="4BE74BEC"/>
    <w:rsid w:val="4BE965B6"/>
    <w:rsid w:val="4BEE3EE1"/>
    <w:rsid w:val="4BF03B4A"/>
    <w:rsid w:val="4BF37E67"/>
    <w:rsid w:val="4BF5144B"/>
    <w:rsid w:val="4BFB6776"/>
    <w:rsid w:val="4BFF0BB9"/>
    <w:rsid w:val="4C047AC6"/>
    <w:rsid w:val="4C080E93"/>
    <w:rsid w:val="4C0B2731"/>
    <w:rsid w:val="4C156BCA"/>
    <w:rsid w:val="4C1B7583"/>
    <w:rsid w:val="4C207F8B"/>
    <w:rsid w:val="4C2B3759"/>
    <w:rsid w:val="4C327CBE"/>
    <w:rsid w:val="4C581C45"/>
    <w:rsid w:val="4C5E739F"/>
    <w:rsid w:val="4C623ADB"/>
    <w:rsid w:val="4C6961C6"/>
    <w:rsid w:val="4C6C22FC"/>
    <w:rsid w:val="4C6D5A2A"/>
    <w:rsid w:val="4C767B34"/>
    <w:rsid w:val="4C7A1154"/>
    <w:rsid w:val="4C7B3413"/>
    <w:rsid w:val="4C7C31EA"/>
    <w:rsid w:val="4C7D362F"/>
    <w:rsid w:val="4C7E1155"/>
    <w:rsid w:val="4C7E73A7"/>
    <w:rsid w:val="4C80459C"/>
    <w:rsid w:val="4C804ECE"/>
    <w:rsid w:val="4C8554DD"/>
    <w:rsid w:val="4C88285A"/>
    <w:rsid w:val="4C8C0F81"/>
    <w:rsid w:val="4C8C6F39"/>
    <w:rsid w:val="4C942475"/>
    <w:rsid w:val="4C96024D"/>
    <w:rsid w:val="4C975AB9"/>
    <w:rsid w:val="4C9B3AB5"/>
    <w:rsid w:val="4C9C159D"/>
    <w:rsid w:val="4C9F576B"/>
    <w:rsid w:val="4CA2142F"/>
    <w:rsid w:val="4CA55175"/>
    <w:rsid w:val="4CB6655C"/>
    <w:rsid w:val="4CB73E4F"/>
    <w:rsid w:val="4CB836A9"/>
    <w:rsid w:val="4CC329A2"/>
    <w:rsid w:val="4CC839BE"/>
    <w:rsid w:val="4CCA7EF7"/>
    <w:rsid w:val="4CE44D9F"/>
    <w:rsid w:val="4CE960BB"/>
    <w:rsid w:val="4CEA5226"/>
    <w:rsid w:val="4CEC60BF"/>
    <w:rsid w:val="4CF0343A"/>
    <w:rsid w:val="4CF17B79"/>
    <w:rsid w:val="4CF51418"/>
    <w:rsid w:val="4D016156"/>
    <w:rsid w:val="4D023B34"/>
    <w:rsid w:val="4D0258E3"/>
    <w:rsid w:val="4D0653CA"/>
    <w:rsid w:val="4D0D0E37"/>
    <w:rsid w:val="4D0D695E"/>
    <w:rsid w:val="4D0E2D3B"/>
    <w:rsid w:val="4D113D78"/>
    <w:rsid w:val="4D14442F"/>
    <w:rsid w:val="4D16603F"/>
    <w:rsid w:val="4D1D16ED"/>
    <w:rsid w:val="4D1F46E6"/>
    <w:rsid w:val="4D331F40"/>
    <w:rsid w:val="4D3437F2"/>
    <w:rsid w:val="4D3637DE"/>
    <w:rsid w:val="4D3F2693"/>
    <w:rsid w:val="4D493511"/>
    <w:rsid w:val="4D4B227E"/>
    <w:rsid w:val="4D4D338A"/>
    <w:rsid w:val="4D4D6F1E"/>
    <w:rsid w:val="4D4E6D7A"/>
    <w:rsid w:val="4D5C1497"/>
    <w:rsid w:val="4D5D0D6B"/>
    <w:rsid w:val="4D5E4583"/>
    <w:rsid w:val="4D6B3488"/>
    <w:rsid w:val="4D721F65"/>
    <w:rsid w:val="4D73771A"/>
    <w:rsid w:val="4D783DF7"/>
    <w:rsid w:val="4D7A21FD"/>
    <w:rsid w:val="4D7C5C78"/>
    <w:rsid w:val="4D82460E"/>
    <w:rsid w:val="4D866514"/>
    <w:rsid w:val="4D8D78A2"/>
    <w:rsid w:val="4D907392"/>
    <w:rsid w:val="4D9146B3"/>
    <w:rsid w:val="4D9549A9"/>
    <w:rsid w:val="4D97249F"/>
    <w:rsid w:val="4DA2555E"/>
    <w:rsid w:val="4DA35BE5"/>
    <w:rsid w:val="4DAB1AD6"/>
    <w:rsid w:val="4DAC62C6"/>
    <w:rsid w:val="4DAD1CF2"/>
    <w:rsid w:val="4DB14700"/>
    <w:rsid w:val="4DB974B5"/>
    <w:rsid w:val="4DBB187B"/>
    <w:rsid w:val="4DC020EA"/>
    <w:rsid w:val="4DC22599"/>
    <w:rsid w:val="4DC41787"/>
    <w:rsid w:val="4DC62DB4"/>
    <w:rsid w:val="4DDD65AE"/>
    <w:rsid w:val="4DDE3611"/>
    <w:rsid w:val="4DDE36D5"/>
    <w:rsid w:val="4DDE46EF"/>
    <w:rsid w:val="4DE44FE8"/>
    <w:rsid w:val="4DF27608"/>
    <w:rsid w:val="4DF73324"/>
    <w:rsid w:val="4DF97EBB"/>
    <w:rsid w:val="4DFE254E"/>
    <w:rsid w:val="4E061D63"/>
    <w:rsid w:val="4E0840B5"/>
    <w:rsid w:val="4E0D27AA"/>
    <w:rsid w:val="4E121D51"/>
    <w:rsid w:val="4E131F3A"/>
    <w:rsid w:val="4E1C4782"/>
    <w:rsid w:val="4E1C7C1C"/>
    <w:rsid w:val="4E1E5397"/>
    <w:rsid w:val="4E241749"/>
    <w:rsid w:val="4E255D2C"/>
    <w:rsid w:val="4E282C46"/>
    <w:rsid w:val="4E2F3073"/>
    <w:rsid w:val="4E320449"/>
    <w:rsid w:val="4E3221F7"/>
    <w:rsid w:val="4E331A18"/>
    <w:rsid w:val="4E35774C"/>
    <w:rsid w:val="4E375A60"/>
    <w:rsid w:val="4E3E6DEE"/>
    <w:rsid w:val="4E4D7031"/>
    <w:rsid w:val="4E4E19C6"/>
    <w:rsid w:val="4E537920"/>
    <w:rsid w:val="4E555954"/>
    <w:rsid w:val="4E721B60"/>
    <w:rsid w:val="4E734F8F"/>
    <w:rsid w:val="4E740A62"/>
    <w:rsid w:val="4E75004D"/>
    <w:rsid w:val="4E772300"/>
    <w:rsid w:val="4E821769"/>
    <w:rsid w:val="4E86609F"/>
    <w:rsid w:val="4E877446"/>
    <w:rsid w:val="4E8929D8"/>
    <w:rsid w:val="4E8B1908"/>
    <w:rsid w:val="4E8B6898"/>
    <w:rsid w:val="4E8D38D2"/>
    <w:rsid w:val="4E931D00"/>
    <w:rsid w:val="4E9327BD"/>
    <w:rsid w:val="4E9F513D"/>
    <w:rsid w:val="4EA222F3"/>
    <w:rsid w:val="4EA63CE8"/>
    <w:rsid w:val="4EA67795"/>
    <w:rsid w:val="4EAF48AA"/>
    <w:rsid w:val="4EB6433D"/>
    <w:rsid w:val="4EBB08E7"/>
    <w:rsid w:val="4EC015B1"/>
    <w:rsid w:val="4EC12182"/>
    <w:rsid w:val="4EC34231"/>
    <w:rsid w:val="4EC55EBD"/>
    <w:rsid w:val="4EDA5E36"/>
    <w:rsid w:val="4EDE3807"/>
    <w:rsid w:val="4EEA0330"/>
    <w:rsid w:val="4EEB685E"/>
    <w:rsid w:val="4EEE723C"/>
    <w:rsid w:val="4EF320A0"/>
    <w:rsid w:val="4F0516BA"/>
    <w:rsid w:val="4F082F58"/>
    <w:rsid w:val="4F087956"/>
    <w:rsid w:val="4F094A9E"/>
    <w:rsid w:val="4F1212A3"/>
    <w:rsid w:val="4F182C0F"/>
    <w:rsid w:val="4F1D57EB"/>
    <w:rsid w:val="4F2A39EC"/>
    <w:rsid w:val="4F311B14"/>
    <w:rsid w:val="4F321354"/>
    <w:rsid w:val="4F327331"/>
    <w:rsid w:val="4F381A8F"/>
    <w:rsid w:val="4F3D2C02"/>
    <w:rsid w:val="4F430632"/>
    <w:rsid w:val="4F5368C9"/>
    <w:rsid w:val="4F5979CB"/>
    <w:rsid w:val="4F5F49C4"/>
    <w:rsid w:val="4F744081"/>
    <w:rsid w:val="4F766114"/>
    <w:rsid w:val="4F7B372A"/>
    <w:rsid w:val="4F7C39A7"/>
    <w:rsid w:val="4F7D74A2"/>
    <w:rsid w:val="4F7E3E6F"/>
    <w:rsid w:val="4F7F76BE"/>
    <w:rsid w:val="4F8E136D"/>
    <w:rsid w:val="4F920444"/>
    <w:rsid w:val="4F950B0E"/>
    <w:rsid w:val="4F9A0054"/>
    <w:rsid w:val="4F9D7B44"/>
    <w:rsid w:val="4F9E4811"/>
    <w:rsid w:val="4F9F4791"/>
    <w:rsid w:val="4F9F6364"/>
    <w:rsid w:val="4FA273C1"/>
    <w:rsid w:val="4FA51312"/>
    <w:rsid w:val="4FA61F18"/>
    <w:rsid w:val="4FA7451F"/>
    <w:rsid w:val="4FB02DDC"/>
    <w:rsid w:val="4FB47FD6"/>
    <w:rsid w:val="4FB62866"/>
    <w:rsid w:val="4FBA5581"/>
    <w:rsid w:val="4FBA60A3"/>
    <w:rsid w:val="4FC17652"/>
    <w:rsid w:val="4FC3320E"/>
    <w:rsid w:val="4FC3725F"/>
    <w:rsid w:val="4FC60E49"/>
    <w:rsid w:val="4FC864A4"/>
    <w:rsid w:val="4FC926E8"/>
    <w:rsid w:val="4FC9420B"/>
    <w:rsid w:val="4FCB0034"/>
    <w:rsid w:val="4FD330CC"/>
    <w:rsid w:val="4FDE13FD"/>
    <w:rsid w:val="4FE13ED5"/>
    <w:rsid w:val="4FE5239D"/>
    <w:rsid w:val="4FE6773D"/>
    <w:rsid w:val="4FEA269F"/>
    <w:rsid w:val="4FEC0E2A"/>
    <w:rsid w:val="4FF0487B"/>
    <w:rsid w:val="4FF25FC4"/>
    <w:rsid w:val="4FF260E2"/>
    <w:rsid w:val="4FF43C08"/>
    <w:rsid w:val="4FFF2A60"/>
    <w:rsid w:val="5004520D"/>
    <w:rsid w:val="500D6A78"/>
    <w:rsid w:val="50100316"/>
    <w:rsid w:val="50130483"/>
    <w:rsid w:val="50157ED0"/>
    <w:rsid w:val="501E3FF7"/>
    <w:rsid w:val="50206009"/>
    <w:rsid w:val="50234336"/>
    <w:rsid w:val="502A714C"/>
    <w:rsid w:val="502B33A2"/>
    <w:rsid w:val="50357D7D"/>
    <w:rsid w:val="50377F99"/>
    <w:rsid w:val="503E3F13"/>
    <w:rsid w:val="503F3AD0"/>
    <w:rsid w:val="50406C68"/>
    <w:rsid w:val="5044508F"/>
    <w:rsid w:val="50521378"/>
    <w:rsid w:val="50534132"/>
    <w:rsid w:val="505722FA"/>
    <w:rsid w:val="50597F0F"/>
    <w:rsid w:val="505A7249"/>
    <w:rsid w:val="505C3E06"/>
    <w:rsid w:val="505E5526"/>
    <w:rsid w:val="50616DC4"/>
    <w:rsid w:val="50665C75"/>
    <w:rsid w:val="50700DB5"/>
    <w:rsid w:val="50707269"/>
    <w:rsid w:val="50800883"/>
    <w:rsid w:val="50811214"/>
    <w:rsid w:val="50852AB2"/>
    <w:rsid w:val="508710FB"/>
    <w:rsid w:val="508740E5"/>
    <w:rsid w:val="50A02428"/>
    <w:rsid w:val="50A218B6"/>
    <w:rsid w:val="50A310A9"/>
    <w:rsid w:val="50A373DC"/>
    <w:rsid w:val="50A62359"/>
    <w:rsid w:val="50A76ECD"/>
    <w:rsid w:val="50AC149B"/>
    <w:rsid w:val="50AC3A2A"/>
    <w:rsid w:val="50B84A9A"/>
    <w:rsid w:val="50BA3EFD"/>
    <w:rsid w:val="50BA5154"/>
    <w:rsid w:val="50C80BF1"/>
    <w:rsid w:val="50CC3A85"/>
    <w:rsid w:val="50CC6933"/>
    <w:rsid w:val="50CF3D2E"/>
    <w:rsid w:val="50D15CF8"/>
    <w:rsid w:val="50D457E8"/>
    <w:rsid w:val="50DE21C3"/>
    <w:rsid w:val="50E82ABB"/>
    <w:rsid w:val="50F051B9"/>
    <w:rsid w:val="50F33EC0"/>
    <w:rsid w:val="50F43794"/>
    <w:rsid w:val="50FF48D0"/>
    <w:rsid w:val="5116195C"/>
    <w:rsid w:val="51183927"/>
    <w:rsid w:val="511C58BD"/>
    <w:rsid w:val="511F5F83"/>
    <w:rsid w:val="51260B6A"/>
    <w:rsid w:val="512D6CA6"/>
    <w:rsid w:val="51350844"/>
    <w:rsid w:val="513723D1"/>
    <w:rsid w:val="51422751"/>
    <w:rsid w:val="514B3F6A"/>
    <w:rsid w:val="5150517C"/>
    <w:rsid w:val="51512578"/>
    <w:rsid w:val="515626A1"/>
    <w:rsid w:val="5156444F"/>
    <w:rsid w:val="515669E7"/>
    <w:rsid w:val="515A5923"/>
    <w:rsid w:val="5160707C"/>
    <w:rsid w:val="516656DF"/>
    <w:rsid w:val="5167040A"/>
    <w:rsid w:val="516A4ADC"/>
    <w:rsid w:val="516B3C94"/>
    <w:rsid w:val="516E79EA"/>
    <w:rsid w:val="5172656E"/>
    <w:rsid w:val="51810005"/>
    <w:rsid w:val="51825244"/>
    <w:rsid w:val="51880507"/>
    <w:rsid w:val="518813FC"/>
    <w:rsid w:val="51886869"/>
    <w:rsid w:val="518B0E1A"/>
    <w:rsid w:val="519061B9"/>
    <w:rsid w:val="519A07DF"/>
    <w:rsid w:val="519F2884"/>
    <w:rsid w:val="51A53C9E"/>
    <w:rsid w:val="51A62D85"/>
    <w:rsid w:val="51A72EFC"/>
    <w:rsid w:val="51AA5240"/>
    <w:rsid w:val="51AB3D3B"/>
    <w:rsid w:val="51AC0513"/>
    <w:rsid w:val="51B855E6"/>
    <w:rsid w:val="51B92CCF"/>
    <w:rsid w:val="51BA263B"/>
    <w:rsid w:val="51BA49DE"/>
    <w:rsid w:val="51BD44CE"/>
    <w:rsid w:val="51C23892"/>
    <w:rsid w:val="51C404BD"/>
    <w:rsid w:val="51C4447B"/>
    <w:rsid w:val="51C63383"/>
    <w:rsid w:val="51C92E73"/>
    <w:rsid w:val="51CC64BF"/>
    <w:rsid w:val="51D2147E"/>
    <w:rsid w:val="51D66F50"/>
    <w:rsid w:val="51DA64ED"/>
    <w:rsid w:val="51DB7F4F"/>
    <w:rsid w:val="51DD247A"/>
    <w:rsid w:val="51DE160C"/>
    <w:rsid w:val="51E8486B"/>
    <w:rsid w:val="51EC090F"/>
    <w:rsid w:val="51ED683E"/>
    <w:rsid w:val="51EF6702"/>
    <w:rsid w:val="51F135E2"/>
    <w:rsid w:val="51F21DCD"/>
    <w:rsid w:val="51F317C9"/>
    <w:rsid w:val="51F67DA1"/>
    <w:rsid w:val="51FD0BB6"/>
    <w:rsid w:val="520818B6"/>
    <w:rsid w:val="520A6C76"/>
    <w:rsid w:val="520C5713"/>
    <w:rsid w:val="520E4D2A"/>
    <w:rsid w:val="521A6BBB"/>
    <w:rsid w:val="521F0CE5"/>
    <w:rsid w:val="5224454D"/>
    <w:rsid w:val="522634B6"/>
    <w:rsid w:val="5227192A"/>
    <w:rsid w:val="522D3402"/>
    <w:rsid w:val="522D7B75"/>
    <w:rsid w:val="52320A18"/>
    <w:rsid w:val="52391DB4"/>
    <w:rsid w:val="523B6EAF"/>
    <w:rsid w:val="523B771C"/>
    <w:rsid w:val="523F4EE3"/>
    <w:rsid w:val="52410C5B"/>
    <w:rsid w:val="524546A2"/>
    <w:rsid w:val="52454E4A"/>
    <w:rsid w:val="5247354A"/>
    <w:rsid w:val="525A7F6F"/>
    <w:rsid w:val="526A11AC"/>
    <w:rsid w:val="526B7928"/>
    <w:rsid w:val="526D6907"/>
    <w:rsid w:val="527C6137"/>
    <w:rsid w:val="527C758B"/>
    <w:rsid w:val="527E556C"/>
    <w:rsid w:val="529C0587"/>
    <w:rsid w:val="52A15B9E"/>
    <w:rsid w:val="52A94F25"/>
    <w:rsid w:val="52AA6800"/>
    <w:rsid w:val="52AD561D"/>
    <w:rsid w:val="52AD718C"/>
    <w:rsid w:val="52AE78A0"/>
    <w:rsid w:val="52B96A43"/>
    <w:rsid w:val="52C02D79"/>
    <w:rsid w:val="52C6234B"/>
    <w:rsid w:val="52C91507"/>
    <w:rsid w:val="52CA50F4"/>
    <w:rsid w:val="52CE17AF"/>
    <w:rsid w:val="52D41ACF"/>
    <w:rsid w:val="52DB29CF"/>
    <w:rsid w:val="52E431D7"/>
    <w:rsid w:val="52E502A3"/>
    <w:rsid w:val="52E54948"/>
    <w:rsid w:val="52E63A37"/>
    <w:rsid w:val="52EB05A3"/>
    <w:rsid w:val="52EB483D"/>
    <w:rsid w:val="52ED6537"/>
    <w:rsid w:val="52EF3D6F"/>
    <w:rsid w:val="52F11DEE"/>
    <w:rsid w:val="52F537F4"/>
    <w:rsid w:val="52F87468"/>
    <w:rsid w:val="52F932E4"/>
    <w:rsid w:val="52FA615D"/>
    <w:rsid w:val="52FE35FA"/>
    <w:rsid w:val="5300759F"/>
    <w:rsid w:val="530321A3"/>
    <w:rsid w:val="53086C68"/>
    <w:rsid w:val="530A48DD"/>
    <w:rsid w:val="53112A36"/>
    <w:rsid w:val="53116579"/>
    <w:rsid w:val="53185E60"/>
    <w:rsid w:val="531A55EE"/>
    <w:rsid w:val="531B14AC"/>
    <w:rsid w:val="531C00D0"/>
    <w:rsid w:val="53206076"/>
    <w:rsid w:val="53226CDE"/>
    <w:rsid w:val="53230361"/>
    <w:rsid w:val="532365B3"/>
    <w:rsid w:val="53271025"/>
    <w:rsid w:val="532A16EF"/>
    <w:rsid w:val="53332C9A"/>
    <w:rsid w:val="53353F57"/>
    <w:rsid w:val="53364538"/>
    <w:rsid w:val="53380FA9"/>
    <w:rsid w:val="533A4B08"/>
    <w:rsid w:val="533C1422"/>
    <w:rsid w:val="533E1EFB"/>
    <w:rsid w:val="533E33EC"/>
    <w:rsid w:val="53420DB4"/>
    <w:rsid w:val="53423A67"/>
    <w:rsid w:val="534529CD"/>
    <w:rsid w:val="53486019"/>
    <w:rsid w:val="534F57A0"/>
    <w:rsid w:val="535022B4"/>
    <w:rsid w:val="535075B2"/>
    <w:rsid w:val="53530C46"/>
    <w:rsid w:val="53536636"/>
    <w:rsid w:val="53571FDB"/>
    <w:rsid w:val="535A55E1"/>
    <w:rsid w:val="535C1828"/>
    <w:rsid w:val="53603363"/>
    <w:rsid w:val="536268F2"/>
    <w:rsid w:val="53633003"/>
    <w:rsid w:val="536513A4"/>
    <w:rsid w:val="536A41E2"/>
    <w:rsid w:val="536C0605"/>
    <w:rsid w:val="536C7F5A"/>
    <w:rsid w:val="536E5A80"/>
    <w:rsid w:val="536E636E"/>
    <w:rsid w:val="536F35A6"/>
    <w:rsid w:val="53794684"/>
    <w:rsid w:val="537B019D"/>
    <w:rsid w:val="537C1E10"/>
    <w:rsid w:val="537D1A12"/>
    <w:rsid w:val="53837051"/>
    <w:rsid w:val="53913AFC"/>
    <w:rsid w:val="539354E6"/>
    <w:rsid w:val="53B13BBE"/>
    <w:rsid w:val="53B316E5"/>
    <w:rsid w:val="53B631FA"/>
    <w:rsid w:val="53C11F3C"/>
    <w:rsid w:val="53C438F2"/>
    <w:rsid w:val="53C75237"/>
    <w:rsid w:val="53C77352"/>
    <w:rsid w:val="53D33222"/>
    <w:rsid w:val="53D37FD9"/>
    <w:rsid w:val="53D57105"/>
    <w:rsid w:val="53D77DB9"/>
    <w:rsid w:val="53DA3E26"/>
    <w:rsid w:val="53E2599D"/>
    <w:rsid w:val="53EB3ACC"/>
    <w:rsid w:val="53EB7D0C"/>
    <w:rsid w:val="53ED049E"/>
    <w:rsid w:val="53F51C55"/>
    <w:rsid w:val="53F549F0"/>
    <w:rsid w:val="53F8359B"/>
    <w:rsid w:val="53FA5565"/>
    <w:rsid w:val="54103A28"/>
    <w:rsid w:val="5410792C"/>
    <w:rsid w:val="541C1A6F"/>
    <w:rsid w:val="541D1254"/>
    <w:rsid w:val="541F6672"/>
    <w:rsid w:val="54206BAB"/>
    <w:rsid w:val="54222492"/>
    <w:rsid w:val="542425E2"/>
    <w:rsid w:val="542757CF"/>
    <w:rsid w:val="54284497"/>
    <w:rsid w:val="542B0725"/>
    <w:rsid w:val="542B571F"/>
    <w:rsid w:val="542C6F5C"/>
    <w:rsid w:val="542D3B70"/>
    <w:rsid w:val="543433F6"/>
    <w:rsid w:val="5439467A"/>
    <w:rsid w:val="543A32AD"/>
    <w:rsid w:val="543C16DA"/>
    <w:rsid w:val="544113E6"/>
    <w:rsid w:val="544136FE"/>
    <w:rsid w:val="5445347D"/>
    <w:rsid w:val="5445601B"/>
    <w:rsid w:val="54525277"/>
    <w:rsid w:val="54532EC8"/>
    <w:rsid w:val="545709BF"/>
    <w:rsid w:val="545D548A"/>
    <w:rsid w:val="54624EB9"/>
    <w:rsid w:val="54661FA6"/>
    <w:rsid w:val="54692B85"/>
    <w:rsid w:val="546B4888"/>
    <w:rsid w:val="546C31A2"/>
    <w:rsid w:val="5471215C"/>
    <w:rsid w:val="54780C2F"/>
    <w:rsid w:val="548573BB"/>
    <w:rsid w:val="54877909"/>
    <w:rsid w:val="548E627B"/>
    <w:rsid w:val="549332C4"/>
    <w:rsid w:val="5494420A"/>
    <w:rsid w:val="549500A2"/>
    <w:rsid w:val="54957CEE"/>
    <w:rsid w:val="54971006"/>
    <w:rsid w:val="5499550F"/>
    <w:rsid w:val="549C03CB"/>
    <w:rsid w:val="54A454D1"/>
    <w:rsid w:val="54A53D7C"/>
    <w:rsid w:val="54A86D6F"/>
    <w:rsid w:val="54B00F9C"/>
    <w:rsid w:val="54C0055D"/>
    <w:rsid w:val="54C14E3F"/>
    <w:rsid w:val="54C36370"/>
    <w:rsid w:val="54C806BA"/>
    <w:rsid w:val="54C83DC9"/>
    <w:rsid w:val="54CC7AC8"/>
    <w:rsid w:val="54CE7270"/>
    <w:rsid w:val="54D827E0"/>
    <w:rsid w:val="54DA272A"/>
    <w:rsid w:val="54DB06F3"/>
    <w:rsid w:val="54DC1124"/>
    <w:rsid w:val="54DE0231"/>
    <w:rsid w:val="54E104D3"/>
    <w:rsid w:val="54EA7EC3"/>
    <w:rsid w:val="54EB1352"/>
    <w:rsid w:val="54EF2BF0"/>
    <w:rsid w:val="54F1026B"/>
    <w:rsid w:val="54F1103D"/>
    <w:rsid w:val="54F25C8B"/>
    <w:rsid w:val="54F41075"/>
    <w:rsid w:val="54F6776A"/>
    <w:rsid w:val="54FE4633"/>
    <w:rsid w:val="55045144"/>
    <w:rsid w:val="55055F70"/>
    <w:rsid w:val="55166762"/>
    <w:rsid w:val="55180399"/>
    <w:rsid w:val="552F56E3"/>
    <w:rsid w:val="55320D2F"/>
    <w:rsid w:val="5532240D"/>
    <w:rsid w:val="55346855"/>
    <w:rsid w:val="553739C0"/>
    <w:rsid w:val="55421934"/>
    <w:rsid w:val="55450A62"/>
    <w:rsid w:val="554A0C9E"/>
    <w:rsid w:val="554C3B9F"/>
    <w:rsid w:val="554F1507"/>
    <w:rsid w:val="554F1BF3"/>
    <w:rsid w:val="55582538"/>
    <w:rsid w:val="555F65A5"/>
    <w:rsid w:val="55613876"/>
    <w:rsid w:val="5564034E"/>
    <w:rsid w:val="5565489D"/>
    <w:rsid w:val="556A56B6"/>
    <w:rsid w:val="556E5844"/>
    <w:rsid w:val="556E5D90"/>
    <w:rsid w:val="556F1F83"/>
    <w:rsid w:val="557138C8"/>
    <w:rsid w:val="557D7318"/>
    <w:rsid w:val="557E6181"/>
    <w:rsid w:val="557F21C6"/>
    <w:rsid w:val="55823DD2"/>
    <w:rsid w:val="55840B56"/>
    <w:rsid w:val="5588094F"/>
    <w:rsid w:val="55A02195"/>
    <w:rsid w:val="55A41C2D"/>
    <w:rsid w:val="55A75279"/>
    <w:rsid w:val="55A81B76"/>
    <w:rsid w:val="55B00195"/>
    <w:rsid w:val="55B23C34"/>
    <w:rsid w:val="55B31E70"/>
    <w:rsid w:val="55B94FAC"/>
    <w:rsid w:val="55BB6E17"/>
    <w:rsid w:val="55BF3799"/>
    <w:rsid w:val="55C36183"/>
    <w:rsid w:val="55C73193"/>
    <w:rsid w:val="55C76818"/>
    <w:rsid w:val="55C961B4"/>
    <w:rsid w:val="55D00226"/>
    <w:rsid w:val="55D0369C"/>
    <w:rsid w:val="55D2625E"/>
    <w:rsid w:val="55DA38A0"/>
    <w:rsid w:val="55DB13C7"/>
    <w:rsid w:val="55EA33B8"/>
    <w:rsid w:val="55ED580D"/>
    <w:rsid w:val="55F11AB4"/>
    <w:rsid w:val="55F14746"/>
    <w:rsid w:val="55F221C8"/>
    <w:rsid w:val="55F2604B"/>
    <w:rsid w:val="55F52488"/>
    <w:rsid w:val="55F7482D"/>
    <w:rsid w:val="55F74830"/>
    <w:rsid w:val="55FD24BD"/>
    <w:rsid w:val="56026953"/>
    <w:rsid w:val="560426CB"/>
    <w:rsid w:val="560468F6"/>
    <w:rsid w:val="56113843"/>
    <w:rsid w:val="56144780"/>
    <w:rsid w:val="561F15E3"/>
    <w:rsid w:val="5622420A"/>
    <w:rsid w:val="562D6668"/>
    <w:rsid w:val="56312D95"/>
    <w:rsid w:val="5637264E"/>
    <w:rsid w:val="563945B3"/>
    <w:rsid w:val="563F0D72"/>
    <w:rsid w:val="56440687"/>
    <w:rsid w:val="56444AB4"/>
    <w:rsid w:val="56446B46"/>
    <w:rsid w:val="56452BCB"/>
    <w:rsid w:val="564C6FD3"/>
    <w:rsid w:val="566025B8"/>
    <w:rsid w:val="56603417"/>
    <w:rsid w:val="56644F18"/>
    <w:rsid w:val="566748DD"/>
    <w:rsid w:val="566C007F"/>
    <w:rsid w:val="56785D5C"/>
    <w:rsid w:val="56837A94"/>
    <w:rsid w:val="568836AC"/>
    <w:rsid w:val="56890E23"/>
    <w:rsid w:val="56921A85"/>
    <w:rsid w:val="569C0B56"/>
    <w:rsid w:val="569C2AFB"/>
    <w:rsid w:val="56A63783"/>
    <w:rsid w:val="56AB6D07"/>
    <w:rsid w:val="56AD2D63"/>
    <w:rsid w:val="56B93E41"/>
    <w:rsid w:val="56D227CA"/>
    <w:rsid w:val="56D402F0"/>
    <w:rsid w:val="56D94391"/>
    <w:rsid w:val="56E01FD3"/>
    <w:rsid w:val="56F72ACE"/>
    <w:rsid w:val="56F83D23"/>
    <w:rsid w:val="56FB1D20"/>
    <w:rsid w:val="57041072"/>
    <w:rsid w:val="570C4656"/>
    <w:rsid w:val="57154464"/>
    <w:rsid w:val="57166778"/>
    <w:rsid w:val="57174680"/>
    <w:rsid w:val="571F7091"/>
    <w:rsid w:val="57347A2F"/>
    <w:rsid w:val="5735698D"/>
    <w:rsid w:val="573F088A"/>
    <w:rsid w:val="573F1A51"/>
    <w:rsid w:val="57481DED"/>
    <w:rsid w:val="574E4D83"/>
    <w:rsid w:val="575718DC"/>
    <w:rsid w:val="575907F5"/>
    <w:rsid w:val="5767130A"/>
    <w:rsid w:val="57694C35"/>
    <w:rsid w:val="577259A1"/>
    <w:rsid w:val="5774402B"/>
    <w:rsid w:val="5776562B"/>
    <w:rsid w:val="577F4CE4"/>
    <w:rsid w:val="57805DDE"/>
    <w:rsid w:val="57814294"/>
    <w:rsid w:val="57945CD1"/>
    <w:rsid w:val="579542E2"/>
    <w:rsid w:val="57A05711"/>
    <w:rsid w:val="57A16CEB"/>
    <w:rsid w:val="57A44166"/>
    <w:rsid w:val="57A5279E"/>
    <w:rsid w:val="57A9177C"/>
    <w:rsid w:val="57AA2DFF"/>
    <w:rsid w:val="57AB105E"/>
    <w:rsid w:val="57B032CB"/>
    <w:rsid w:val="57B65C47"/>
    <w:rsid w:val="57B679F5"/>
    <w:rsid w:val="57B87ECB"/>
    <w:rsid w:val="57C00175"/>
    <w:rsid w:val="57C33EC0"/>
    <w:rsid w:val="57C40364"/>
    <w:rsid w:val="57D224A1"/>
    <w:rsid w:val="57D8796C"/>
    <w:rsid w:val="57DB5B54"/>
    <w:rsid w:val="57E15E8A"/>
    <w:rsid w:val="57E5652D"/>
    <w:rsid w:val="57EF14B5"/>
    <w:rsid w:val="57F92010"/>
    <w:rsid w:val="58005114"/>
    <w:rsid w:val="58023023"/>
    <w:rsid w:val="58055B26"/>
    <w:rsid w:val="580A58C6"/>
    <w:rsid w:val="580A7D41"/>
    <w:rsid w:val="580C3AB9"/>
    <w:rsid w:val="580F33D0"/>
    <w:rsid w:val="58170A85"/>
    <w:rsid w:val="581D5CC6"/>
    <w:rsid w:val="582818A8"/>
    <w:rsid w:val="5830221D"/>
    <w:rsid w:val="583161A3"/>
    <w:rsid w:val="58337D56"/>
    <w:rsid w:val="583848AE"/>
    <w:rsid w:val="583B614D"/>
    <w:rsid w:val="583E2172"/>
    <w:rsid w:val="583F3E8F"/>
    <w:rsid w:val="584A3CB1"/>
    <w:rsid w:val="5853793A"/>
    <w:rsid w:val="585A69C8"/>
    <w:rsid w:val="586466E1"/>
    <w:rsid w:val="586618D3"/>
    <w:rsid w:val="58675193"/>
    <w:rsid w:val="586B4C84"/>
    <w:rsid w:val="58705DF6"/>
    <w:rsid w:val="58746BD9"/>
    <w:rsid w:val="587A43A9"/>
    <w:rsid w:val="587F24DD"/>
    <w:rsid w:val="58805834"/>
    <w:rsid w:val="58841452"/>
    <w:rsid w:val="588E2720"/>
    <w:rsid w:val="58920462"/>
    <w:rsid w:val="58943266"/>
    <w:rsid w:val="58977827"/>
    <w:rsid w:val="589B4229"/>
    <w:rsid w:val="58A27E95"/>
    <w:rsid w:val="58AD53C5"/>
    <w:rsid w:val="58B531C5"/>
    <w:rsid w:val="58BC5126"/>
    <w:rsid w:val="58BD6086"/>
    <w:rsid w:val="58D726E2"/>
    <w:rsid w:val="58DB6D15"/>
    <w:rsid w:val="58E27228"/>
    <w:rsid w:val="58E659D8"/>
    <w:rsid w:val="58E81E30"/>
    <w:rsid w:val="58F479E3"/>
    <w:rsid w:val="58F90288"/>
    <w:rsid w:val="58FC3B2E"/>
    <w:rsid w:val="58FF22DB"/>
    <w:rsid w:val="590824D3"/>
    <w:rsid w:val="590A2C81"/>
    <w:rsid w:val="590B7C9C"/>
    <w:rsid w:val="59103135"/>
    <w:rsid w:val="5915074C"/>
    <w:rsid w:val="59195665"/>
    <w:rsid w:val="591A49CA"/>
    <w:rsid w:val="59215342"/>
    <w:rsid w:val="59257140"/>
    <w:rsid w:val="59267244"/>
    <w:rsid w:val="592738E1"/>
    <w:rsid w:val="59305585"/>
    <w:rsid w:val="59361550"/>
    <w:rsid w:val="5947124D"/>
    <w:rsid w:val="594D25DB"/>
    <w:rsid w:val="59545718"/>
    <w:rsid w:val="595474C6"/>
    <w:rsid w:val="595958C3"/>
    <w:rsid w:val="595B0854"/>
    <w:rsid w:val="595C637A"/>
    <w:rsid w:val="59653481"/>
    <w:rsid w:val="59657925"/>
    <w:rsid w:val="59674AFC"/>
    <w:rsid w:val="59693390"/>
    <w:rsid w:val="5973527B"/>
    <w:rsid w:val="59753252"/>
    <w:rsid w:val="59786A09"/>
    <w:rsid w:val="597914B4"/>
    <w:rsid w:val="597B486E"/>
    <w:rsid w:val="5980290A"/>
    <w:rsid w:val="59835D74"/>
    <w:rsid w:val="598729A5"/>
    <w:rsid w:val="59875AED"/>
    <w:rsid w:val="5988716F"/>
    <w:rsid w:val="598A113A"/>
    <w:rsid w:val="598A2EE8"/>
    <w:rsid w:val="598A35B0"/>
    <w:rsid w:val="598D5E93"/>
    <w:rsid w:val="599124C8"/>
    <w:rsid w:val="599975CF"/>
    <w:rsid w:val="599B3347"/>
    <w:rsid w:val="599F2983"/>
    <w:rsid w:val="59A01D23"/>
    <w:rsid w:val="59A12B57"/>
    <w:rsid w:val="59A87D08"/>
    <w:rsid w:val="59B17140"/>
    <w:rsid w:val="59B43525"/>
    <w:rsid w:val="59B611D6"/>
    <w:rsid w:val="59B678AD"/>
    <w:rsid w:val="59BA0642"/>
    <w:rsid w:val="59BA4AC3"/>
    <w:rsid w:val="59BA76B2"/>
    <w:rsid w:val="59BE19FA"/>
    <w:rsid w:val="59C01EF2"/>
    <w:rsid w:val="59C33FA5"/>
    <w:rsid w:val="59C356A8"/>
    <w:rsid w:val="59C61D34"/>
    <w:rsid w:val="59CE4540"/>
    <w:rsid w:val="59CF1242"/>
    <w:rsid w:val="59D4243C"/>
    <w:rsid w:val="59E91753"/>
    <w:rsid w:val="59EA3F4D"/>
    <w:rsid w:val="59F34F31"/>
    <w:rsid w:val="59F94AC0"/>
    <w:rsid w:val="59FB2037"/>
    <w:rsid w:val="59FE6DC7"/>
    <w:rsid w:val="5A002EB1"/>
    <w:rsid w:val="5A011713"/>
    <w:rsid w:val="5A013D74"/>
    <w:rsid w:val="5A0802B0"/>
    <w:rsid w:val="5A0C1B4F"/>
    <w:rsid w:val="5A0F6902"/>
    <w:rsid w:val="5A0F707A"/>
    <w:rsid w:val="5A137B38"/>
    <w:rsid w:val="5A1B4488"/>
    <w:rsid w:val="5A1E1882"/>
    <w:rsid w:val="5A21172C"/>
    <w:rsid w:val="5A221372"/>
    <w:rsid w:val="5A3022F6"/>
    <w:rsid w:val="5A35111C"/>
    <w:rsid w:val="5A357F97"/>
    <w:rsid w:val="5A3B5FA0"/>
    <w:rsid w:val="5A427B73"/>
    <w:rsid w:val="5A453E93"/>
    <w:rsid w:val="5A47702B"/>
    <w:rsid w:val="5A4F5EDF"/>
    <w:rsid w:val="5A5217AD"/>
    <w:rsid w:val="5A580031"/>
    <w:rsid w:val="5A5D0617"/>
    <w:rsid w:val="5A657737"/>
    <w:rsid w:val="5A6B0F6B"/>
    <w:rsid w:val="5A7029DE"/>
    <w:rsid w:val="5A764DB1"/>
    <w:rsid w:val="5A79768C"/>
    <w:rsid w:val="5A7B22CE"/>
    <w:rsid w:val="5A7D778E"/>
    <w:rsid w:val="5A7F2242"/>
    <w:rsid w:val="5A820063"/>
    <w:rsid w:val="5A830771"/>
    <w:rsid w:val="5A871B1D"/>
    <w:rsid w:val="5A8A4D39"/>
    <w:rsid w:val="5A8D5B3C"/>
    <w:rsid w:val="5A8D7133"/>
    <w:rsid w:val="5A900A91"/>
    <w:rsid w:val="5A911684"/>
    <w:rsid w:val="5A955FE8"/>
    <w:rsid w:val="5A971D60"/>
    <w:rsid w:val="5A987886"/>
    <w:rsid w:val="5AA004E9"/>
    <w:rsid w:val="5AA71877"/>
    <w:rsid w:val="5AAA42D2"/>
    <w:rsid w:val="5AAB2214"/>
    <w:rsid w:val="5AAC5656"/>
    <w:rsid w:val="5AAC58EC"/>
    <w:rsid w:val="5AAE0E58"/>
    <w:rsid w:val="5AAE2C06"/>
    <w:rsid w:val="5AB61502"/>
    <w:rsid w:val="5AB660D5"/>
    <w:rsid w:val="5ABD553F"/>
    <w:rsid w:val="5AD02E77"/>
    <w:rsid w:val="5AD30CEA"/>
    <w:rsid w:val="5AD572B3"/>
    <w:rsid w:val="5ADC59C5"/>
    <w:rsid w:val="5AE06697"/>
    <w:rsid w:val="5AE5515F"/>
    <w:rsid w:val="5AE76118"/>
    <w:rsid w:val="5AEB18AD"/>
    <w:rsid w:val="5AEB6539"/>
    <w:rsid w:val="5AED7BD2"/>
    <w:rsid w:val="5AF2343A"/>
    <w:rsid w:val="5AF341FE"/>
    <w:rsid w:val="5AF34ABD"/>
    <w:rsid w:val="5AF56B7C"/>
    <w:rsid w:val="5AF73FD1"/>
    <w:rsid w:val="5B026770"/>
    <w:rsid w:val="5B0E7B10"/>
    <w:rsid w:val="5B101A24"/>
    <w:rsid w:val="5B1213E7"/>
    <w:rsid w:val="5B12588A"/>
    <w:rsid w:val="5B141BEC"/>
    <w:rsid w:val="5B14445E"/>
    <w:rsid w:val="5B162D21"/>
    <w:rsid w:val="5B2F6B51"/>
    <w:rsid w:val="5B370E4D"/>
    <w:rsid w:val="5B3A26EB"/>
    <w:rsid w:val="5B3A6B8F"/>
    <w:rsid w:val="5B402FBF"/>
    <w:rsid w:val="5B4041A6"/>
    <w:rsid w:val="5B466CB4"/>
    <w:rsid w:val="5B4D3689"/>
    <w:rsid w:val="5B52424E"/>
    <w:rsid w:val="5B547C51"/>
    <w:rsid w:val="5B5A2D8E"/>
    <w:rsid w:val="5B607464"/>
    <w:rsid w:val="5B6836FC"/>
    <w:rsid w:val="5B8425A9"/>
    <w:rsid w:val="5B8B5DF2"/>
    <w:rsid w:val="5B935248"/>
    <w:rsid w:val="5B94004E"/>
    <w:rsid w:val="5B962018"/>
    <w:rsid w:val="5B9938B6"/>
    <w:rsid w:val="5B9B5880"/>
    <w:rsid w:val="5BAE0243"/>
    <w:rsid w:val="5BBB1A7E"/>
    <w:rsid w:val="5BC20A0D"/>
    <w:rsid w:val="5BC545DE"/>
    <w:rsid w:val="5BC64B2D"/>
    <w:rsid w:val="5BC87CF7"/>
    <w:rsid w:val="5BCD355F"/>
    <w:rsid w:val="5BD3501A"/>
    <w:rsid w:val="5BDE5E3D"/>
    <w:rsid w:val="5BE32D83"/>
    <w:rsid w:val="5BEA7864"/>
    <w:rsid w:val="5BEC7E8A"/>
    <w:rsid w:val="5BED775E"/>
    <w:rsid w:val="5BF127C1"/>
    <w:rsid w:val="5BF12EF0"/>
    <w:rsid w:val="5BF5277C"/>
    <w:rsid w:val="5BFA12D2"/>
    <w:rsid w:val="5BFB4EAD"/>
    <w:rsid w:val="5BFE196B"/>
    <w:rsid w:val="5C0351D3"/>
    <w:rsid w:val="5C036F81"/>
    <w:rsid w:val="5C050F4B"/>
    <w:rsid w:val="5C05719D"/>
    <w:rsid w:val="5C0E0F8B"/>
    <w:rsid w:val="5C0E6052"/>
    <w:rsid w:val="5C1318BA"/>
    <w:rsid w:val="5C1B6DE9"/>
    <w:rsid w:val="5C2102D0"/>
    <w:rsid w:val="5C2E04A2"/>
    <w:rsid w:val="5C304591"/>
    <w:rsid w:val="5C356C4B"/>
    <w:rsid w:val="5C3706D2"/>
    <w:rsid w:val="5C384E7D"/>
    <w:rsid w:val="5C3977B6"/>
    <w:rsid w:val="5C3A119E"/>
    <w:rsid w:val="5C3F2150"/>
    <w:rsid w:val="5C3F2A72"/>
    <w:rsid w:val="5C42409E"/>
    <w:rsid w:val="5C4952DC"/>
    <w:rsid w:val="5C4D1DB3"/>
    <w:rsid w:val="5C4F2412"/>
    <w:rsid w:val="5C525071"/>
    <w:rsid w:val="5C576B2E"/>
    <w:rsid w:val="5C583771"/>
    <w:rsid w:val="5C593AC2"/>
    <w:rsid w:val="5C642116"/>
    <w:rsid w:val="5C685E55"/>
    <w:rsid w:val="5C6A7000"/>
    <w:rsid w:val="5C704E57"/>
    <w:rsid w:val="5C71038F"/>
    <w:rsid w:val="5C7834CB"/>
    <w:rsid w:val="5C7D454D"/>
    <w:rsid w:val="5C7F2AAC"/>
    <w:rsid w:val="5C82259C"/>
    <w:rsid w:val="5C8A31FF"/>
    <w:rsid w:val="5C98714B"/>
    <w:rsid w:val="5C9B540C"/>
    <w:rsid w:val="5C9C1945"/>
    <w:rsid w:val="5C9D2289"/>
    <w:rsid w:val="5CA415FB"/>
    <w:rsid w:val="5CA83399"/>
    <w:rsid w:val="5CAF2C65"/>
    <w:rsid w:val="5CB62246"/>
    <w:rsid w:val="5CBC7642"/>
    <w:rsid w:val="5CC23BA2"/>
    <w:rsid w:val="5CC5181A"/>
    <w:rsid w:val="5CD0702B"/>
    <w:rsid w:val="5CD252D1"/>
    <w:rsid w:val="5CD503DD"/>
    <w:rsid w:val="5CD64696"/>
    <w:rsid w:val="5CDF3213"/>
    <w:rsid w:val="5CE01AB4"/>
    <w:rsid w:val="5CE1177F"/>
    <w:rsid w:val="5CE15956"/>
    <w:rsid w:val="5CE17B0A"/>
    <w:rsid w:val="5CEB6393"/>
    <w:rsid w:val="5CEC3A93"/>
    <w:rsid w:val="5CF3349A"/>
    <w:rsid w:val="5CF44AE0"/>
    <w:rsid w:val="5CFA0384"/>
    <w:rsid w:val="5CFB3B8D"/>
    <w:rsid w:val="5D062AC6"/>
    <w:rsid w:val="5D0631CD"/>
    <w:rsid w:val="5D0D6309"/>
    <w:rsid w:val="5D0E3E30"/>
    <w:rsid w:val="5D1458EA"/>
    <w:rsid w:val="5D235B2D"/>
    <w:rsid w:val="5D2672BC"/>
    <w:rsid w:val="5D27532B"/>
    <w:rsid w:val="5D2D075A"/>
    <w:rsid w:val="5D301260"/>
    <w:rsid w:val="5D327B1E"/>
    <w:rsid w:val="5D3347F4"/>
    <w:rsid w:val="5D340697"/>
    <w:rsid w:val="5D3B0079"/>
    <w:rsid w:val="5D3B6F2A"/>
    <w:rsid w:val="5D3E051F"/>
    <w:rsid w:val="5D441E39"/>
    <w:rsid w:val="5D493A6B"/>
    <w:rsid w:val="5D515259"/>
    <w:rsid w:val="5D584A99"/>
    <w:rsid w:val="5D5C4B9B"/>
    <w:rsid w:val="5D5F6981"/>
    <w:rsid w:val="5D613BCB"/>
    <w:rsid w:val="5D6250B4"/>
    <w:rsid w:val="5D631084"/>
    <w:rsid w:val="5D65665F"/>
    <w:rsid w:val="5D6D4DF4"/>
    <w:rsid w:val="5D7253C7"/>
    <w:rsid w:val="5D7E0E10"/>
    <w:rsid w:val="5D7F34E2"/>
    <w:rsid w:val="5D814309"/>
    <w:rsid w:val="5D820D7F"/>
    <w:rsid w:val="5D876A04"/>
    <w:rsid w:val="5D884E5F"/>
    <w:rsid w:val="5D8F289A"/>
    <w:rsid w:val="5D9216EA"/>
    <w:rsid w:val="5D943DC1"/>
    <w:rsid w:val="5DA34FE8"/>
    <w:rsid w:val="5DA54CC3"/>
    <w:rsid w:val="5DA87DE0"/>
    <w:rsid w:val="5DAC0B1E"/>
    <w:rsid w:val="5DAF3EB2"/>
    <w:rsid w:val="5DB4354B"/>
    <w:rsid w:val="5DBE13B2"/>
    <w:rsid w:val="5DC15346"/>
    <w:rsid w:val="5DC170F4"/>
    <w:rsid w:val="5DC7223B"/>
    <w:rsid w:val="5DD24E5D"/>
    <w:rsid w:val="5DDC146F"/>
    <w:rsid w:val="5DE84681"/>
    <w:rsid w:val="5DF03535"/>
    <w:rsid w:val="5DF23751"/>
    <w:rsid w:val="5DF272AD"/>
    <w:rsid w:val="5DF63DDB"/>
    <w:rsid w:val="5DF94400"/>
    <w:rsid w:val="5DFD07C0"/>
    <w:rsid w:val="5E041FD8"/>
    <w:rsid w:val="5E046318"/>
    <w:rsid w:val="5E0764B7"/>
    <w:rsid w:val="5E104167"/>
    <w:rsid w:val="5E127071"/>
    <w:rsid w:val="5E1611EE"/>
    <w:rsid w:val="5E1704AA"/>
    <w:rsid w:val="5E1805EF"/>
    <w:rsid w:val="5E18474A"/>
    <w:rsid w:val="5E1A3C60"/>
    <w:rsid w:val="5E1E3878"/>
    <w:rsid w:val="5E254020"/>
    <w:rsid w:val="5E2A6A47"/>
    <w:rsid w:val="5E2F35DF"/>
    <w:rsid w:val="5E345B18"/>
    <w:rsid w:val="5E3A3C5F"/>
    <w:rsid w:val="5E3B2A02"/>
    <w:rsid w:val="5E413D91"/>
    <w:rsid w:val="5E427006"/>
    <w:rsid w:val="5E4A3516"/>
    <w:rsid w:val="5E4C4C10"/>
    <w:rsid w:val="5E4C6BBC"/>
    <w:rsid w:val="5E4F1CDA"/>
    <w:rsid w:val="5E5166CA"/>
    <w:rsid w:val="5E536942"/>
    <w:rsid w:val="5E545207"/>
    <w:rsid w:val="5E5810F8"/>
    <w:rsid w:val="5E581806"/>
    <w:rsid w:val="5E5E2B95"/>
    <w:rsid w:val="5E60047B"/>
    <w:rsid w:val="5E614550"/>
    <w:rsid w:val="5E6155FE"/>
    <w:rsid w:val="5E6261E1"/>
    <w:rsid w:val="5E6F049E"/>
    <w:rsid w:val="5E770717"/>
    <w:rsid w:val="5E79352B"/>
    <w:rsid w:val="5E7C38CA"/>
    <w:rsid w:val="5E807125"/>
    <w:rsid w:val="5E8124A0"/>
    <w:rsid w:val="5E822A4A"/>
    <w:rsid w:val="5E8E26A4"/>
    <w:rsid w:val="5E9F11E3"/>
    <w:rsid w:val="5EAB402C"/>
    <w:rsid w:val="5EAE7678"/>
    <w:rsid w:val="5EAF6076"/>
    <w:rsid w:val="5EB13934"/>
    <w:rsid w:val="5EB2314A"/>
    <w:rsid w:val="5EB56C59"/>
    <w:rsid w:val="5EC01FCE"/>
    <w:rsid w:val="5EC21376"/>
    <w:rsid w:val="5EC450EE"/>
    <w:rsid w:val="5EC648CD"/>
    <w:rsid w:val="5EC809F4"/>
    <w:rsid w:val="5ECA1FD8"/>
    <w:rsid w:val="5EE20946"/>
    <w:rsid w:val="5EF1551B"/>
    <w:rsid w:val="5EFA18BB"/>
    <w:rsid w:val="5EFF1C82"/>
    <w:rsid w:val="5F014F67"/>
    <w:rsid w:val="5F03515E"/>
    <w:rsid w:val="5F065014"/>
    <w:rsid w:val="5F0D1098"/>
    <w:rsid w:val="5F0F19B8"/>
    <w:rsid w:val="5F1860F8"/>
    <w:rsid w:val="5F186BE1"/>
    <w:rsid w:val="5F20181C"/>
    <w:rsid w:val="5F245B8C"/>
    <w:rsid w:val="5F27521E"/>
    <w:rsid w:val="5F2E60FA"/>
    <w:rsid w:val="5F3608F5"/>
    <w:rsid w:val="5F3D00E1"/>
    <w:rsid w:val="5F3D3985"/>
    <w:rsid w:val="5F3F29C6"/>
    <w:rsid w:val="5F477C2A"/>
    <w:rsid w:val="5F49114F"/>
    <w:rsid w:val="5F561124"/>
    <w:rsid w:val="5F57386C"/>
    <w:rsid w:val="5F5E28DD"/>
    <w:rsid w:val="5F6076AF"/>
    <w:rsid w:val="5F617384"/>
    <w:rsid w:val="5F6E5059"/>
    <w:rsid w:val="5F706AA2"/>
    <w:rsid w:val="5F795F2D"/>
    <w:rsid w:val="5F7F7F09"/>
    <w:rsid w:val="5F812DA9"/>
    <w:rsid w:val="5F814D8D"/>
    <w:rsid w:val="5F8613F6"/>
    <w:rsid w:val="5F8B1768"/>
    <w:rsid w:val="5F8D2554"/>
    <w:rsid w:val="5F922535"/>
    <w:rsid w:val="5F973A30"/>
    <w:rsid w:val="5F9F7905"/>
    <w:rsid w:val="5FA01B9B"/>
    <w:rsid w:val="5FA47A9A"/>
    <w:rsid w:val="5FA62A45"/>
    <w:rsid w:val="5FA865BC"/>
    <w:rsid w:val="5FAF52EE"/>
    <w:rsid w:val="5FB4701C"/>
    <w:rsid w:val="5FB54A36"/>
    <w:rsid w:val="5FB707AE"/>
    <w:rsid w:val="5FC34143"/>
    <w:rsid w:val="5FC74EF1"/>
    <w:rsid w:val="5FCB4CE9"/>
    <w:rsid w:val="5FD4310E"/>
    <w:rsid w:val="5FD816F1"/>
    <w:rsid w:val="5FD924D3"/>
    <w:rsid w:val="5FDE1997"/>
    <w:rsid w:val="5FED5F7E"/>
    <w:rsid w:val="5FEE5D95"/>
    <w:rsid w:val="5FEF48C7"/>
    <w:rsid w:val="5FF078FF"/>
    <w:rsid w:val="5FF13CC0"/>
    <w:rsid w:val="5FF4555F"/>
    <w:rsid w:val="5FF64EB3"/>
    <w:rsid w:val="5FF6646E"/>
    <w:rsid w:val="5FF92B75"/>
    <w:rsid w:val="60067040"/>
    <w:rsid w:val="600F4147"/>
    <w:rsid w:val="6011625E"/>
    <w:rsid w:val="60136F65"/>
    <w:rsid w:val="601B0B11"/>
    <w:rsid w:val="601F4A3C"/>
    <w:rsid w:val="6025396A"/>
    <w:rsid w:val="602776E2"/>
    <w:rsid w:val="602A5424"/>
    <w:rsid w:val="602B3912"/>
    <w:rsid w:val="602C265E"/>
    <w:rsid w:val="60341DFF"/>
    <w:rsid w:val="60352AAC"/>
    <w:rsid w:val="603B13E0"/>
    <w:rsid w:val="60402552"/>
    <w:rsid w:val="60411AA3"/>
    <w:rsid w:val="60430F56"/>
    <w:rsid w:val="60491A92"/>
    <w:rsid w:val="60494C8A"/>
    <w:rsid w:val="604E3D9C"/>
    <w:rsid w:val="60580360"/>
    <w:rsid w:val="60597AB8"/>
    <w:rsid w:val="60604DC0"/>
    <w:rsid w:val="60624553"/>
    <w:rsid w:val="60633696"/>
    <w:rsid w:val="606359E6"/>
    <w:rsid w:val="60636240"/>
    <w:rsid w:val="606964C9"/>
    <w:rsid w:val="606E745A"/>
    <w:rsid w:val="606F122A"/>
    <w:rsid w:val="607526B4"/>
    <w:rsid w:val="608021F1"/>
    <w:rsid w:val="6084377A"/>
    <w:rsid w:val="60A13198"/>
    <w:rsid w:val="60A24FBB"/>
    <w:rsid w:val="60A521A0"/>
    <w:rsid w:val="60B67A0D"/>
    <w:rsid w:val="60BB348D"/>
    <w:rsid w:val="60BB7E2A"/>
    <w:rsid w:val="60BD2AB5"/>
    <w:rsid w:val="60BD58AC"/>
    <w:rsid w:val="60C03693"/>
    <w:rsid w:val="60C2740B"/>
    <w:rsid w:val="60C33FC4"/>
    <w:rsid w:val="60C43183"/>
    <w:rsid w:val="60C72C73"/>
    <w:rsid w:val="60D63B2E"/>
    <w:rsid w:val="60D809DC"/>
    <w:rsid w:val="60DF1D6B"/>
    <w:rsid w:val="60E277A8"/>
    <w:rsid w:val="60E65FC9"/>
    <w:rsid w:val="60EA66DE"/>
    <w:rsid w:val="60FE666C"/>
    <w:rsid w:val="610101F7"/>
    <w:rsid w:val="61037A48"/>
    <w:rsid w:val="61050A04"/>
    <w:rsid w:val="61066AA3"/>
    <w:rsid w:val="611073ED"/>
    <w:rsid w:val="61113EEE"/>
    <w:rsid w:val="61177312"/>
    <w:rsid w:val="612D484A"/>
    <w:rsid w:val="61306A6A"/>
    <w:rsid w:val="61345119"/>
    <w:rsid w:val="61377DF9"/>
    <w:rsid w:val="61380167"/>
    <w:rsid w:val="613A3445"/>
    <w:rsid w:val="614147D4"/>
    <w:rsid w:val="61442516"/>
    <w:rsid w:val="6145155F"/>
    <w:rsid w:val="61480BD9"/>
    <w:rsid w:val="6149117D"/>
    <w:rsid w:val="614B7400"/>
    <w:rsid w:val="614E0C9F"/>
    <w:rsid w:val="61517141"/>
    <w:rsid w:val="61520175"/>
    <w:rsid w:val="615414D9"/>
    <w:rsid w:val="61614E76"/>
    <w:rsid w:val="61627EF2"/>
    <w:rsid w:val="616404C2"/>
    <w:rsid w:val="61690897"/>
    <w:rsid w:val="61694115"/>
    <w:rsid w:val="61696F28"/>
    <w:rsid w:val="616B1851"/>
    <w:rsid w:val="617509D3"/>
    <w:rsid w:val="61795704"/>
    <w:rsid w:val="617B5F04"/>
    <w:rsid w:val="61804639"/>
    <w:rsid w:val="61840B64"/>
    <w:rsid w:val="618741B1"/>
    <w:rsid w:val="619F1CE0"/>
    <w:rsid w:val="619F774C"/>
    <w:rsid w:val="61A30A46"/>
    <w:rsid w:val="61A37FBF"/>
    <w:rsid w:val="61AD67D9"/>
    <w:rsid w:val="61B77AEA"/>
    <w:rsid w:val="61BA27D8"/>
    <w:rsid w:val="61BC3E5D"/>
    <w:rsid w:val="61BE00C7"/>
    <w:rsid w:val="61C06A92"/>
    <w:rsid w:val="61C667E4"/>
    <w:rsid w:val="61D05715"/>
    <w:rsid w:val="61D2297E"/>
    <w:rsid w:val="61D30A56"/>
    <w:rsid w:val="61DB43ED"/>
    <w:rsid w:val="61E1276F"/>
    <w:rsid w:val="61E37639"/>
    <w:rsid w:val="61E737AA"/>
    <w:rsid w:val="61E82BB3"/>
    <w:rsid w:val="61E84C4F"/>
    <w:rsid w:val="61F24E65"/>
    <w:rsid w:val="61FB07F8"/>
    <w:rsid w:val="61FC6B54"/>
    <w:rsid w:val="6208709F"/>
    <w:rsid w:val="62132AC5"/>
    <w:rsid w:val="62143C96"/>
    <w:rsid w:val="621E4B15"/>
    <w:rsid w:val="622112F5"/>
    <w:rsid w:val="622641F6"/>
    <w:rsid w:val="622A102E"/>
    <w:rsid w:val="622D7B47"/>
    <w:rsid w:val="623916BE"/>
    <w:rsid w:val="623C2299"/>
    <w:rsid w:val="62402A42"/>
    <w:rsid w:val="624452BB"/>
    <w:rsid w:val="62487ABA"/>
    <w:rsid w:val="624E486D"/>
    <w:rsid w:val="62504CF8"/>
    <w:rsid w:val="625247BE"/>
    <w:rsid w:val="62527661"/>
    <w:rsid w:val="62652744"/>
    <w:rsid w:val="62654422"/>
    <w:rsid w:val="62686413"/>
    <w:rsid w:val="626B289A"/>
    <w:rsid w:val="627D7A8D"/>
    <w:rsid w:val="6280111D"/>
    <w:rsid w:val="62844CBB"/>
    <w:rsid w:val="62870D02"/>
    <w:rsid w:val="628D57F7"/>
    <w:rsid w:val="6291178B"/>
    <w:rsid w:val="62937F82"/>
    <w:rsid w:val="629503BF"/>
    <w:rsid w:val="6295776A"/>
    <w:rsid w:val="629B323B"/>
    <w:rsid w:val="629E37E6"/>
    <w:rsid w:val="62A57D4F"/>
    <w:rsid w:val="62AE1CFD"/>
    <w:rsid w:val="62B00A61"/>
    <w:rsid w:val="62B02E9C"/>
    <w:rsid w:val="62BC7E8A"/>
    <w:rsid w:val="62C21463"/>
    <w:rsid w:val="62C25C0C"/>
    <w:rsid w:val="62C323CC"/>
    <w:rsid w:val="62C84A81"/>
    <w:rsid w:val="62CB7411"/>
    <w:rsid w:val="62CD5509"/>
    <w:rsid w:val="62CF1196"/>
    <w:rsid w:val="62DF0794"/>
    <w:rsid w:val="62E03282"/>
    <w:rsid w:val="62E0626E"/>
    <w:rsid w:val="62E15AE5"/>
    <w:rsid w:val="62EA2C49"/>
    <w:rsid w:val="62ED7B55"/>
    <w:rsid w:val="62FB05C2"/>
    <w:rsid w:val="630256F2"/>
    <w:rsid w:val="63077F65"/>
    <w:rsid w:val="630930CF"/>
    <w:rsid w:val="630F445E"/>
    <w:rsid w:val="63232C71"/>
    <w:rsid w:val="6329064A"/>
    <w:rsid w:val="63291928"/>
    <w:rsid w:val="63301343"/>
    <w:rsid w:val="63332842"/>
    <w:rsid w:val="63335164"/>
    <w:rsid w:val="633914DA"/>
    <w:rsid w:val="633B5253"/>
    <w:rsid w:val="633C694F"/>
    <w:rsid w:val="633D721D"/>
    <w:rsid w:val="633E4E82"/>
    <w:rsid w:val="633F11E7"/>
    <w:rsid w:val="6347009B"/>
    <w:rsid w:val="634A0400"/>
    <w:rsid w:val="635025C8"/>
    <w:rsid w:val="63520F1A"/>
    <w:rsid w:val="6352254F"/>
    <w:rsid w:val="63552E8A"/>
    <w:rsid w:val="635B4CC7"/>
    <w:rsid w:val="636130E0"/>
    <w:rsid w:val="63666773"/>
    <w:rsid w:val="636A6886"/>
    <w:rsid w:val="636E564F"/>
    <w:rsid w:val="637349EC"/>
    <w:rsid w:val="637372C1"/>
    <w:rsid w:val="637D075E"/>
    <w:rsid w:val="637D18D6"/>
    <w:rsid w:val="63891F1F"/>
    <w:rsid w:val="638C2959"/>
    <w:rsid w:val="638D1F52"/>
    <w:rsid w:val="638E5891"/>
    <w:rsid w:val="63950C34"/>
    <w:rsid w:val="63A45B72"/>
    <w:rsid w:val="63A460E4"/>
    <w:rsid w:val="63A53508"/>
    <w:rsid w:val="63AA1BCD"/>
    <w:rsid w:val="63AE1B9F"/>
    <w:rsid w:val="63B06793"/>
    <w:rsid w:val="63B079EF"/>
    <w:rsid w:val="63B35731"/>
    <w:rsid w:val="63B7375E"/>
    <w:rsid w:val="63B82D47"/>
    <w:rsid w:val="63BA261B"/>
    <w:rsid w:val="63C0668C"/>
    <w:rsid w:val="63C51931"/>
    <w:rsid w:val="63C56EA9"/>
    <w:rsid w:val="63CC656D"/>
    <w:rsid w:val="63CD4CE2"/>
    <w:rsid w:val="63D00091"/>
    <w:rsid w:val="63D26CD5"/>
    <w:rsid w:val="63D62269"/>
    <w:rsid w:val="63DA4A6C"/>
    <w:rsid w:val="63DB4576"/>
    <w:rsid w:val="63E034FC"/>
    <w:rsid w:val="63E46CB3"/>
    <w:rsid w:val="63E86948"/>
    <w:rsid w:val="63F27828"/>
    <w:rsid w:val="63FB5C60"/>
    <w:rsid w:val="64037F24"/>
    <w:rsid w:val="64046278"/>
    <w:rsid w:val="6406400A"/>
    <w:rsid w:val="64065861"/>
    <w:rsid w:val="640E2967"/>
    <w:rsid w:val="64142999"/>
    <w:rsid w:val="64281C7B"/>
    <w:rsid w:val="642C3EEA"/>
    <w:rsid w:val="642C54C7"/>
    <w:rsid w:val="642E7A37"/>
    <w:rsid w:val="643237A5"/>
    <w:rsid w:val="64346872"/>
    <w:rsid w:val="643539DD"/>
    <w:rsid w:val="6436623C"/>
    <w:rsid w:val="643855FF"/>
    <w:rsid w:val="643A21BF"/>
    <w:rsid w:val="643E06DB"/>
    <w:rsid w:val="64414AEB"/>
    <w:rsid w:val="64484B87"/>
    <w:rsid w:val="644B7576"/>
    <w:rsid w:val="644D7933"/>
    <w:rsid w:val="64607667"/>
    <w:rsid w:val="646144B1"/>
    <w:rsid w:val="64626A30"/>
    <w:rsid w:val="64635ED5"/>
    <w:rsid w:val="646F3406"/>
    <w:rsid w:val="64805613"/>
    <w:rsid w:val="64886EB0"/>
    <w:rsid w:val="648D7D30"/>
    <w:rsid w:val="649E1F3D"/>
    <w:rsid w:val="64AB37B1"/>
    <w:rsid w:val="64B04BF4"/>
    <w:rsid w:val="64B4350F"/>
    <w:rsid w:val="64B976B2"/>
    <w:rsid w:val="64BC50A8"/>
    <w:rsid w:val="64C70181"/>
    <w:rsid w:val="64D704F4"/>
    <w:rsid w:val="64D771FD"/>
    <w:rsid w:val="64DC2070"/>
    <w:rsid w:val="64DC78B8"/>
    <w:rsid w:val="64DD6316"/>
    <w:rsid w:val="64DF6B47"/>
    <w:rsid w:val="64E030DF"/>
    <w:rsid w:val="64E1336B"/>
    <w:rsid w:val="64E23FC0"/>
    <w:rsid w:val="64E317A8"/>
    <w:rsid w:val="64E40E6A"/>
    <w:rsid w:val="64E42046"/>
    <w:rsid w:val="64EA5A43"/>
    <w:rsid w:val="64EB4CCD"/>
    <w:rsid w:val="64F54AB1"/>
    <w:rsid w:val="64F664FA"/>
    <w:rsid w:val="64FE4ED3"/>
    <w:rsid w:val="65002528"/>
    <w:rsid w:val="65064C01"/>
    <w:rsid w:val="65065370"/>
    <w:rsid w:val="6509385A"/>
    <w:rsid w:val="6511270F"/>
    <w:rsid w:val="651135B3"/>
    <w:rsid w:val="651816BB"/>
    <w:rsid w:val="651A0578"/>
    <w:rsid w:val="651B358E"/>
    <w:rsid w:val="6521758C"/>
    <w:rsid w:val="6522491C"/>
    <w:rsid w:val="6525440C"/>
    <w:rsid w:val="652B0517"/>
    <w:rsid w:val="652B4D81"/>
    <w:rsid w:val="652C2DFC"/>
    <w:rsid w:val="652E32C1"/>
    <w:rsid w:val="652F1043"/>
    <w:rsid w:val="6531690D"/>
    <w:rsid w:val="6534131C"/>
    <w:rsid w:val="65341687"/>
    <w:rsid w:val="653D0230"/>
    <w:rsid w:val="653F294D"/>
    <w:rsid w:val="654932BE"/>
    <w:rsid w:val="654C2076"/>
    <w:rsid w:val="654C747E"/>
    <w:rsid w:val="6552134C"/>
    <w:rsid w:val="6553078D"/>
    <w:rsid w:val="655D5387"/>
    <w:rsid w:val="656A42D9"/>
    <w:rsid w:val="656F3DC7"/>
    <w:rsid w:val="6573240E"/>
    <w:rsid w:val="65764C68"/>
    <w:rsid w:val="6579736B"/>
    <w:rsid w:val="657D1B52"/>
    <w:rsid w:val="65841133"/>
    <w:rsid w:val="658730AF"/>
    <w:rsid w:val="65876E75"/>
    <w:rsid w:val="65882D0B"/>
    <w:rsid w:val="65892A2A"/>
    <w:rsid w:val="659059BC"/>
    <w:rsid w:val="65943D2E"/>
    <w:rsid w:val="65994698"/>
    <w:rsid w:val="659D3FA3"/>
    <w:rsid w:val="65AA24B1"/>
    <w:rsid w:val="65AE4402"/>
    <w:rsid w:val="65B141EA"/>
    <w:rsid w:val="65B337C6"/>
    <w:rsid w:val="65B35574"/>
    <w:rsid w:val="65B923E3"/>
    <w:rsid w:val="65C32A3D"/>
    <w:rsid w:val="65C50D1A"/>
    <w:rsid w:val="65C634F9"/>
    <w:rsid w:val="65C77271"/>
    <w:rsid w:val="65C85296"/>
    <w:rsid w:val="65D21DE8"/>
    <w:rsid w:val="65D315FF"/>
    <w:rsid w:val="65D5605E"/>
    <w:rsid w:val="65DA51F7"/>
    <w:rsid w:val="65E54DD5"/>
    <w:rsid w:val="65E6594A"/>
    <w:rsid w:val="65E76CC4"/>
    <w:rsid w:val="65F14EBD"/>
    <w:rsid w:val="65F917A1"/>
    <w:rsid w:val="66012ED5"/>
    <w:rsid w:val="660A6122"/>
    <w:rsid w:val="660C3AF8"/>
    <w:rsid w:val="660D2ED6"/>
    <w:rsid w:val="660D7B9C"/>
    <w:rsid w:val="660F50CF"/>
    <w:rsid w:val="66117C9C"/>
    <w:rsid w:val="66141D57"/>
    <w:rsid w:val="66187ACD"/>
    <w:rsid w:val="661F70AE"/>
    <w:rsid w:val="6620359F"/>
    <w:rsid w:val="662D11E6"/>
    <w:rsid w:val="662E7273"/>
    <w:rsid w:val="66306C8F"/>
    <w:rsid w:val="663568D1"/>
    <w:rsid w:val="66365D84"/>
    <w:rsid w:val="66391F1D"/>
    <w:rsid w:val="663C7C5F"/>
    <w:rsid w:val="663D7E90"/>
    <w:rsid w:val="66527571"/>
    <w:rsid w:val="66540B05"/>
    <w:rsid w:val="665603F0"/>
    <w:rsid w:val="6659436D"/>
    <w:rsid w:val="665D3D8F"/>
    <w:rsid w:val="66602BC7"/>
    <w:rsid w:val="6672542F"/>
    <w:rsid w:val="667A512E"/>
    <w:rsid w:val="667E42FD"/>
    <w:rsid w:val="66876081"/>
    <w:rsid w:val="668A4527"/>
    <w:rsid w:val="668E78CD"/>
    <w:rsid w:val="66925AD1"/>
    <w:rsid w:val="66934570"/>
    <w:rsid w:val="6694184A"/>
    <w:rsid w:val="66981404"/>
    <w:rsid w:val="669B5028"/>
    <w:rsid w:val="669C06FE"/>
    <w:rsid w:val="669C293B"/>
    <w:rsid w:val="669E4476"/>
    <w:rsid w:val="66A7076B"/>
    <w:rsid w:val="66AC29D5"/>
    <w:rsid w:val="66AD46B9"/>
    <w:rsid w:val="66AE6350"/>
    <w:rsid w:val="66B6517E"/>
    <w:rsid w:val="66C33534"/>
    <w:rsid w:val="66CD08B8"/>
    <w:rsid w:val="66D33235"/>
    <w:rsid w:val="66DB485A"/>
    <w:rsid w:val="66DC3E2C"/>
    <w:rsid w:val="66DE592A"/>
    <w:rsid w:val="66E0352A"/>
    <w:rsid w:val="66ED7FC0"/>
    <w:rsid w:val="66EF6D88"/>
    <w:rsid w:val="66F26570"/>
    <w:rsid w:val="66F6264B"/>
    <w:rsid w:val="66F756B2"/>
    <w:rsid w:val="66FD119D"/>
    <w:rsid w:val="67030A4B"/>
    <w:rsid w:val="6703521B"/>
    <w:rsid w:val="6705639B"/>
    <w:rsid w:val="670C780B"/>
    <w:rsid w:val="6712451C"/>
    <w:rsid w:val="671B6383"/>
    <w:rsid w:val="671C6AEB"/>
    <w:rsid w:val="672030DD"/>
    <w:rsid w:val="67204E8B"/>
    <w:rsid w:val="67244BBD"/>
    <w:rsid w:val="67300A7E"/>
    <w:rsid w:val="673B1CC5"/>
    <w:rsid w:val="674509F6"/>
    <w:rsid w:val="674F0CAD"/>
    <w:rsid w:val="67582877"/>
    <w:rsid w:val="675843DE"/>
    <w:rsid w:val="67595090"/>
    <w:rsid w:val="675C40F8"/>
    <w:rsid w:val="676077D1"/>
    <w:rsid w:val="676147DC"/>
    <w:rsid w:val="676254A4"/>
    <w:rsid w:val="67627252"/>
    <w:rsid w:val="6764746E"/>
    <w:rsid w:val="67672ABA"/>
    <w:rsid w:val="67676273"/>
    <w:rsid w:val="676B171D"/>
    <w:rsid w:val="676C5483"/>
    <w:rsid w:val="67746F85"/>
    <w:rsid w:val="6778101E"/>
    <w:rsid w:val="677A0A3F"/>
    <w:rsid w:val="677D22DE"/>
    <w:rsid w:val="677D408C"/>
    <w:rsid w:val="678371C8"/>
    <w:rsid w:val="67896ED4"/>
    <w:rsid w:val="679061BB"/>
    <w:rsid w:val="67916DB0"/>
    <w:rsid w:val="679B09B6"/>
    <w:rsid w:val="679C00E7"/>
    <w:rsid w:val="67AF051E"/>
    <w:rsid w:val="67B0620F"/>
    <w:rsid w:val="67B54917"/>
    <w:rsid w:val="67B81568"/>
    <w:rsid w:val="67BD76E1"/>
    <w:rsid w:val="67CD5371"/>
    <w:rsid w:val="67D57A24"/>
    <w:rsid w:val="67E47BAF"/>
    <w:rsid w:val="67E72967"/>
    <w:rsid w:val="67E97973"/>
    <w:rsid w:val="67EB6B8F"/>
    <w:rsid w:val="67EC1211"/>
    <w:rsid w:val="67F21EBE"/>
    <w:rsid w:val="67F3434E"/>
    <w:rsid w:val="67FC60B7"/>
    <w:rsid w:val="67FF0F45"/>
    <w:rsid w:val="681A18DB"/>
    <w:rsid w:val="681C56E8"/>
    <w:rsid w:val="681F3395"/>
    <w:rsid w:val="68232E85"/>
    <w:rsid w:val="68297D70"/>
    <w:rsid w:val="68334662"/>
    <w:rsid w:val="68336E40"/>
    <w:rsid w:val="68403AFD"/>
    <w:rsid w:val="68541290"/>
    <w:rsid w:val="686113BA"/>
    <w:rsid w:val="68620649"/>
    <w:rsid w:val="686231BA"/>
    <w:rsid w:val="68630D3F"/>
    <w:rsid w:val="6864515E"/>
    <w:rsid w:val="68690E30"/>
    <w:rsid w:val="686F5562"/>
    <w:rsid w:val="6870599E"/>
    <w:rsid w:val="68721DB3"/>
    <w:rsid w:val="68727968"/>
    <w:rsid w:val="687D5A18"/>
    <w:rsid w:val="6884144A"/>
    <w:rsid w:val="688731D3"/>
    <w:rsid w:val="68980099"/>
    <w:rsid w:val="689D3FFD"/>
    <w:rsid w:val="68AE7647"/>
    <w:rsid w:val="68B27FE5"/>
    <w:rsid w:val="68B33CBC"/>
    <w:rsid w:val="68BB130F"/>
    <w:rsid w:val="68BC404D"/>
    <w:rsid w:val="68C05073"/>
    <w:rsid w:val="68CC0D03"/>
    <w:rsid w:val="68D423D1"/>
    <w:rsid w:val="68D66149"/>
    <w:rsid w:val="68D80314"/>
    <w:rsid w:val="68E17C89"/>
    <w:rsid w:val="68E52BC5"/>
    <w:rsid w:val="68E71B98"/>
    <w:rsid w:val="68ED3493"/>
    <w:rsid w:val="68F14D31"/>
    <w:rsid w:val="68F63FD0"/>
    <w:rsid w:val="68F951EB"/>
    <w:rsid w:val="68F97850"/>
    <w:rsid w:val="68FA0D09"/>
    <w:rsid w:val="69020CEC"/>
    <w:rsid w:val="690507DD"/>
    <w:rsid w:val="690518E3"/>
    <w:rsid w:val="69074555"/>
    <w:rsid w:val="69090935"/>
    <w:rsid w:val="6913778D"/>
    <w:rsid w:val="69166546"/>
    <w:rsid w:val="6921252B"/>
    <w:rsid w:val="692216E4"/>
    <w:rsid w:val="692349A9"/>
    <w:rsid w:val="6927100D"/>
    <w:rsid w:val="692844CB"/>
    <w:rsid w:val="69333419"/>
    <w:rsid w:val="693370F8"/>
    <w:rsid w:val="693524A3"/>
    <w:rsid w:val="6935729D"/>
    <w:rsid w:val="6942558D"/>
    <w:rsid w:val="69433CAC"/>
    <w:rsid w:val="69434E61"/>
    <w:rsid w:val="69456CBE"/>
    <w:rsid w:val="694A2693"/>
    <w:rsid w:val="694F7CAA"/>
    <w:rsid w:val="69557280"/>
    <w:rsid w:val="695D5794"/>
    <w:rsid w:val="69647910"/>
    <w:rsid w:val="696D67DF"/>
    <w:rsid w:val="69760E36"/>
    <w:rsid w:val="69796AD5"/>
    <w:rsid w:val="697E2410"/>
    <w:rsid w:val="69807E63"/>
    <w:rsid w:val="69852A6B"/>
    <w:rsid w:val="698612A5"/>
    <w:rsid w:val="69872CF3"/>
    <w:rsid w:val="69877444"/>
    <w:rsid w:val="698C2CAC"/>
    <w:rsid w:val="698E432E"/>
    <w:rsid w:val="699157A6"/>
    <w:rsid w:val="69A82381"/>
    <w:rsid w:val="69AC2A06"/>
    <w:rsid w:val="69AE43A7"/>
    <w:rsid w:val="69AE7BC5"/>
    <w:rsid w:val="69AF0748"/>
    <w:rsid w:val="69B67D29"/>
    <w:rsid w:val="69D11FEA"/>
    <w:rsid w:val="69D81A4D"/>
    <w:rsid w:val="69DE2152"/>
    <w:rsid w:val="69DF2DDC"/>
    <w:rsid w:val="69E421A0"/>
    <w:rsid w:val="69E42DF0"/>
    <w:rsid w:val="69E71C2E"/>
    <w:rsid w:val="69EC72A7"/>
    <w:rsid w:val="69F94E90"/>
    <w:rsid w:val="6A002573"/>
    <w:rsid w:val="6A0202FD"/>
    <w:rsid w:val="6A0518F8"/>
    <w:rsid w:val="6A107439"/>
    <w:rsid w:val="6A2627B9"/>
    <w:rsid w:val="6A366774"/>
    <w:rsid w:val="6A384D27"/>
    <w:rsid w:val="6A3C4A7A"/>
    <w:rsid w:val="6A3F709E"/>
    <w:rsid w:val="6A4B66C3"/>
    <w:rsid w:val="6A4C6CBB"/>
    <w:rsid w:val="6A5E0111"/>
    <w:rsid w:val="6A68229C"/>
    <w:rsid w:val="6A6F316D"/>
    <w:rsid w:val="6A791B2C"/>
    <w:rsid w:val="6A912DE0"/>
    <w:rsid w:val="6A943F85"/>
    <w:rsid w:val="6A9B5332"/>
    <w:rsid w:val="6A9E2C97"/>
    <w:rsid w:val="6AAC487C"/>
    <w:rsid w:val="6AAD3143"/>
    <w:rsid w:val="6AAF3E38"/>
    <w:rsid w:val="6AB029CA"/>
    <w:rsid w:val="6ABA55F7"/>
    <w:rsid w:val="6ABC4ECB"/>
    <w:rsid w:val="6ABE0C43"/>
    <w:rsid w:val="6AC2152D"/>
    <w:rsid w:val="6AD26F50"/>
    <w:rsid w:val="6AD466B8"/>
    <w:rsid w:val="6AD54350"/>
    <w:rsid w:val="6AE605AD"/>
    <w:rsid w:val="6AE61B76"/>
    <w:rsid w:val="6AE83F12"/>
    <w:rsid w:val="6AE85CC0"/>
    <w:rsid w:val="6AF96F3D"/>
    <w:rsid w:val="6B0331A8"/>
    <w:rsid w:val="6B043F03"/>
    <w:rsid w:val="6B080100"/>
    <w:rsid w:val="6B1017A5"/>
    <w:rsid w:val="6B1C57E8"/>
    <w:rsid w:val="6B222A27"/>
    <w:rsid w:val="6B28418D"/>
    <w:rsid w:val="6B2B30F7"/>
    <w:rsid w:val="6B2E35BA"/>
    <w:rsid w:val="6B3233DF"/>
    <w:rsid w:val="6B354859"/>
    <w:rsid w:val="6B373B4B"/>
    <w:rsid w:val="6B3A6E3B"/>
    <w:rsid w:val="6B3D34FE"/>
    <w:rsid w:val="6B453112"/>
    <w:rsid w:val="6B4819EC"/>
    <w:rsid w:val="6B4E448C"/>
    <w:rsid w:val="6B557938"/>
    <w:rsid w:val="6B5642E1"/>
    <w:rsid w:val="6B5A3C35"/>
    <w:rsid w:val="6B5F08FA"/>
    <w:rsid w:val="6B66741E"/>
    <w:rsid w:val="6B671EB9"/>
    <w:rsid w:val="6B67752D"/>
    <w:rsid w:val="6B713F07"/>
    <w:rsid w:val="6B830F0D"/>
    <w:rsid w:val="6B87372B"/>
    <w:rsid w:val="6B8E29C0"/>
    <w:rsid w:val="6B900117"/>
    <w:rsid w:val="6B9151DB"/>
    <w:rsid w:val="6B96396E"/>
    <w:rsid w:val="6BA37E39"/>
    <w:rsid w:val="6BA72B30"/>
    <w:rsid w:val="6BA84B31"/>
    <w:rsid w:val="6BA86101"/>
    <w:rsid w:val="6BAD2A21"/>
    <w:rsid w:val="6BB57E47"/>
    <w:rsid w:val="6BB77B3F"/>
    <w:rsid w:val="6BBD714D"/>
    <w:rsid w:val="6BC03782"/>
    <w:rsid w:val="6BC229B5"/>
    <w:rsid w:val="6BCB40EA"/>
    <w:rsid w:val="6BD149A6"/>
    <w:rsid w:val="6BD44EF8"/>
    <w:rsid w:val="6BD57763"/>
    <w:rsid w:val="6BDC2D4F"/>
    <w:rsid w:val="6BDF1392"/>
    <w:rsid w:val="6BE50451"/>
    <w:rsid w:val="6BE62AFE"/>
    <w:rsid w:val="6BE7241B"/>
    <w:rsid w:val="6BE749C8"/>
    <w:rsid w:val="6BEB3756"/>
    <w:rsid w:val="6BEF2B0E"/>
    <w:rsid w:val="6BFA3D38"/>
    <w:rsid w:val="6BFD25B3"/>
    <w:rsid w:val="6C00528B"/>
    <w:rsid w:val="6C040115"/>
    <w:rsid w:val="6C045CF7"/>
    <w:rsid w:val="6C060AF4"/>
    <w:rsid w:val="6C0A5CC2"/>
    <w:rsid w:val="6C0D4ACE"/>
    <w:rsid w:val="6C0E7C52"/>
    <w:rsid w:val="6C16279B"/>
    <w:rsid w:val="6C1929E0"/>
    <w:rsid w:val="6C1A634D"/>
    <w:rsid w:val="6C225202"/>
    <w:rsid w:val="6C292BE1"/>
    <w:rsid w:val="6C312EFE"/>
    <w:rsid w:val="6C346A47"/>
    <w:rsid w:val="6C393583"/>
    <w:rsid w:val="6C3B762A"/>
    <w:rsid w:val="6C4038DA"/>
    <w:rsid w:val="6C430EC6"/>
    <w:rsid w:val="6C450EF0"/>
    <w:rsid w:val="6C460B8D"/>
    <w:rsid w:val="6C4C4B88"/>
    <w:rsid w:val="6C5238F7"/>
    <w:rsid w:val="6C60203D"/>
    <w:rsid w:val="6C604856"/>
    <w:rsid w:val="6C6217A7"/>
    <w:rsid w:val="6C740C4D"/>
    <w:rsid w:val="6C747D90"/>
    <w:rsid w:val="6C7A6DEC"/>
    <w:rsid w:val="6C820578"/>
    <w:rsid w:val="6C860A2C"/>
    <w:rsid w:val="6C8639E2"/>
    <w:rsid w:val="6C88775B"/>
    <w:rsid w:val="6C895962"/>
    <w:rsid w:val="6C8E0AE9"/>
    <w:rsid w:val="6C9360FF"/>
    <w:rsid w:val="6C961BE6"/>
    <w:rsid w:val="6CA02C98"/>
    <w:rsid w:val="6CA127B4"/>
    <w:rsid w:val="6CA27B74"/>
    <w:rsid w:val="6CA34594"/>
    <w:rsid w:val="6CA67BE1"/>
    <w:rsid w:val="6CAD71C1"/>
    <w:rsid w:val="6CAE2F39"/>
    <w:rsid w:val="6CAE382B"/>
    <w:rsid w:val="6CB00A5F"/>
    <w:rsid w:val="6CB55D42"/>
    <w:rsid w:val="6CB8671C"/>
    <w:rsid w:val="6CB90EA6"/>
    <w:rsid w:val="6CBA6427"/>
    <w:rsid w:val="6CBA7A7E"/>
    <w:rsid w:val="6CBA7B30"/>
    <w:rsid w:val="6CC83FFB"/>
    <w:rsid w:val="6CCB5481"/>
    <w:rsid w:val="6CCE5B95"/>
    <w:rsid w:val="6CCE7137"/>
    <w:rsid w:val="6CD01102"/>
    <w:rsid w:val="6CD52274"/>
    <w:rsid w:val="6CD96208"/>
    <w:rsid w:val="6CDB5E4B"/>
    <w:rsid w:val="6CF20041"/>
    <w:rsid w:val="6CF43042"/>
    <w:rsid w:val="6CFA0560"/>
    <w:rsid w:val="6CFC7C54"/>
    <w:rsid w:val="6CFD1C68"/>
    <w:rsid w:val="6CFF09DC"/>
    <w:rsid w:val="6D091F16"/>
    <w:rsid w:val="6D0D4104"/>
    <w:rsid w:val="6D1347EA"/>
    <w:rsid w:val="6D1B2C9B"/>
    <w:rsid w:val="6D210F22"/>
    <w:rsid w:val="6D2471EB"/>
    <w:rsid w:val="6D2862D3"/>
    <w:rsid w:val="6D321474"/>
    <w:rsid w:val="6D36185D"/>
    <w:rsid w:val="6D3A50DF"/>
    <w:rsid w:val="6D503BE3"/>
    <w:rsid w:val="6D5164B6"/>
    <w:rsid w:val="6D5D661A"/>
    <w:rsid w:val="6D5F318C"/>
    <w:rsid w:val="6D614FFE"/>
    <w:rsid w:val="6D6840E5"/>
    <w:rsid w:val="6D6A21E0"/>
    <w:rsid w:val="6D7427C5"/>
    <w:rsid w:val="6D8223FC"/>
    <w:rsid w:val="6D82489F"/>
    <w:rsid w:val="6D8E6FF3"/>
    <w:rsid w:val="6D910EB2"/>
    <w:rsid w:val="6D924237"/>
    <w:rsid w:val="6D940381"/>
    <w:rsid w:val="6D960444"/>
    <w:rsid w:val="6D963072"/>
    <w:rsid w:val="6DA118E1"/>
    <w:rsid w:val="6DA33AB1"/>
    <w:rsid w:val="6DA34120"/>
    <w:rsid w:val="6DA61D89"/>
    <w:rsid w:val="6DAB1855"/>
    <w:rsid w:val="6DAF13EC"/>
    <w:rsid w:val="6DB00E73"/>
    <w:rsid w:val="6DB12CE1"/>
    <w:rsid w:val="6DCC01D6"/>
    <w:rsid w:val="6DD841D1"/>
    <w:rsid w:val="6DE1112A"/>
    <w:rsid w:val="6DE62234"/>
    <w:rsid w:val="6DED00C5"/>
    <w:rsid w:val="6DEE1DA5"/>
    <w:rsid w:val="6DEE5CE3"/>
    <w:rsid w:val="6DF131D9"/>
    <w:rsid w:val="6DF362F1"/>
    <w:rsid w:val="6DFB5D0A"/>
    <w:rsid w:val="6DFC0A94"/>
    <w:rsid w:val="6DFC0F09"/>
    <w:rsid w:val="6E0A23F1"/>
    <w:rsid w:val="6E0A419F"/>
    <w:rsid w:val="6E0E7E73"/>
    <w:rsid w:val="6E163B54"/>
    <w:rsid w:val="6E166FE8"/>
    <w:rsid w:val="6E1F3AB9"/>
    <w:rsid w:val="6E1F7C4B"/>
    <w:rsid w:val="6E22598D"/>
    <w:rsid w:val="6E235512"/>
    <w:rsid w:val="6E273436"/>
    <w:rsid w:val="6E291B51"/>
    <w:rsid w:val="6E2B0D75"/>
    <w:rsid w:val="6E2B5B70"/>
    <w:rsid w:val="6E2E2225"/>
    <w:rsid w:val="6E313007"/>
    <w:rsid w:val="6E3260E0"/>
    <w:rsid w:val="6E391146"/>
    <w:rsid w:val="6E396833"/>
    <w:rsid w:val="6E3C30EB"/>
    <w:rsid w:val="6E3D27C7"/>
    <w:rsid w:val="6E3F02ED"/>
    <w:rsid w:val="6E46026B"/>
    <w:rsid w:val="6E5673E4"/>
    <w:rsid w:val="6E5A73D7"/>
    <w:rsid w:val="6E5B2C4D"/>
    <w:rsid w:val="6E663B0E"/>
    <w:rsid w:val="6E672517"/>
    <w:rsid w:val="6E6F1069"/>
    <w:rsid w:val="6E7062A4"/>
    <w:rsid w:val="6E711FBB"/>
    <w:rsid w:val="6E7A1325"/>
    <w:rsid w:val="6E7A4290"/>
    <w:rsid w:val="6E82467D"/>
    <w:rsid w:val="6E8D0A23"/>
    <w:rsid w:val="6E917D94"/>
    <w:rsid w:val="6E93669D"/>
    <w:rsid w:val="6E95615F"/>
    <w:rsid w:val="6E98530F"/>
    <w:rsid w:val="6E9879FD"/>
    <w:rsid w:val="6E9D67AE"/>
    <w:rsid w:val="6EAB14DE"/>
    <w:rsid w:val="6EAD34A8"/>
    <w:rsid w:val="6EB4221B"/>
    <w:rsid w:val="6EB97C9A"/>
    <w:rsid w:val="6EBA3EC2"/>
    <w:rsid w:val="6EBF3EC0"/>
    <w:rsid w:val="6EC425A0"/>
    <w:rsid w:val="6ED547AD"/>
    <w:rsid w:val="6ED8429D"/>
    <w:rsid w:val="6ED973FC"/>
    <w:rsid w:val="6EDE5E24"/>
    <w:rsid w:val="6EDF38B4"/>
    <w:rsid w:val="6EE24785"/>
    <w:rsid w:val="6EEA13B3"/>
    <w:rsid w:val="6EED1AF7"/>
    <w:rsid w:val="6EED5F9B"/>
    <w:rsid w:val="6EEF3C2A"/>
    <w:rsid w:val="6EF2535F"/>
    <w:rsid w:val="6F0C365F"/>
    <w:rsid w:val="6F0E4B35"/>
    <w:rsid w:val="6F174DC6"/>
    <w:rsid w:val="6F1B7BF4"/>
    <w:rsid w:val="6F1E1894"/>
    <w:rsid w:val="6F23376B"/>
    <w:rsid w:val="6F265009"/>
    <w:rsid w:val="6F282F31"/>
    <w:rsid w:val="6F2D6397"/>
    <w:rsid w:val="6F341033"/>
    <w:rsid w:val="6F34735B"/>
    <w:rsid w:val="6F484F7F"/>
    <w:rsid w:val="6F4A54E3"/>
    <w:rsid w:val="6F4E6A14"/>
    <w:rsid w:val="6F5C0A2B"/>
    <w:rsid w:val="6F5C4ECE"/>
    <w:rsid w:val="6F60051B"/>
    <w:rsid w:val="6F6135D9"/>
    <w:rsid w:val="6F6447C8"/>
    <w:rsid w:val="6F693749"/>
    <w:rsid w:val="6F6A3147"/>
    <w:rsid w:val="6F71097A"/>
    <w:rsid w:val="6F7264A0"/>
    <w:rsid w:val="6F7458D1"/>
    <w:rsid w:val="6F7C731F"/>
    <w:rsid w:val="6F7F57D3"/>
    <w:rsid w:val="6F8166E3"/>
    <w:rsid w:val="6F8416CF"/>
    <w:rsid w:val="6F857F81"/>
    <w:rsid w:val="6F8F7052"/>
    <w:rsid w:val="6F917E00"/>
    <w:rsid w:val="6F9D7BE5"/>
    <w:rsid w:val="6F9E7295"/>
    <w:rsid w:val="6F9F2AB4"/>
    <w:rsid w:val="6FAB077D"/>
    <w:rsid w:val="6FAD1286"/>
    <w:rsid w:val="6FAD4CF3"/>
    <w:rsid w:val="6FAE28B9"/>
    <w:rsid w:val="6FAE5F27"/>
    <w:rsid w:val="6FB62831"/>
    <w:rsid w:val="6FB645DF"/>
    <w:rsid w:val="6FB77864"/>
    <w:rsid w:val="6FC07FB0"/>
    <w:rsid w:val="6FC17269"/>
    <w:rsid w:val="6FC30AAA"/>
    <w:rsid w:val="6FC85B66"/>
    <w:rsid w:val="6FCA1E38"/>
    <w:rsid w:val="6FCC75D9"/>
    <w:rsid w:val="6FD269A1"/>
    <w:rsid w:val="6FDD0023"/>
    <w:rsid w:val="6FE078AE"/>
    <w:rsid w:val="6FF173C5"/>
    <w:rsid w:val="6FF62C2D"/>
    <w:rsid w:val="700510C2"/>
    <w:rsid w:val="70115BD2"/>
    <w:rsid w:val="70125456"/>
    <w:rsid w:val="701909CE"/>
    <w:rsid w:val="701B2E02"/>
    <w:rsid w:val="701D3990"/>
    <w:rsid w:val="70236185"/>
    <w:rsid w:val="70310247"/>
    <w:rsid w:val="70311EB7"/>
    <w:rsid w:val="70315562"/>
    <w:rsid w:val="70330D5C"/>
    <w:rsid w:val="703620CB"/>
    <w:rsid w:val="703776A5"/>
    <w:rsid w:val="703823E9"/>
    <w:rsid w:val="70394100"/>
    <w:rsid w:val="703B3AFF"/>
    <w:rsid w:val="703D260A"/>
    <w:rsid w:val="704240C4"/>
    <w:rsid w:val="7046362A"/>
    <w:rsid w:val="705067E1"/>
    <w:rsid w:val="70511328"/>
    <w:rsid w:val="705A19BC"/>
    <w:rsid w:val="705A27F4"/>
    <w:rsid w:val="705C4791"/>
    <w:rsid w:val="7060062E"/>
    <w:rsid w:val="706202C3"/>
    <w:rsid w:val="706338B4"/>
    <w:rsid w:val="70666005"/>
    <w:rsid w:val="707C16C6"/>
    <w:rsid w:val="70807928"/>
    <w:rsid w:val="70875F7B"/>
    <w:rsid w:val="70904E30"/>
    <w:rsid w:val="709F1517"/>
    <w:rsid w:val="70A00DEB"/>
    <w:rsid w:val="70A61135"/>
    <w:rsid w:val="70A7675A"/>
    <w:rsid w:val="70B2124A"/>
    <w:rsid w:val="70B477CF"/>
    <w:rsid w:val="70B50ECF"/>
    <w:rsid w:val="70B623BC"/>
    <w:rsid w:val="70B65F8C"/>
    <w:rsid w:val="70B66341"/>
    <w:rsid w:val="70B81788"/>
    <w:rsid w:val="70BA00FF"/>
    <w:rsid w:val="70BE62B2"/>
    <w:rsid w:val="70C25205"/>
    <w:rsid w:val="70C456BC"/>
    <w:rsid w:val="70CE7706"/>
    <w:rsid w:val="70D32F6E"/>
    <w:rsid w:val="70D56CE6"/>
    <w:rsid w:val="70D7170B"/>
    <w:rsid w:val="70DB7FCB"/>
    <w:rsid w:val="70DF3B22"/>
    <w:rsid w:val="70E233A7"/>
    <w:rsid w:val="70E92792"/>
    <w:rsid w:val="70EB1D07"/>
    <w:rsid w:val="70ED4030"/>
    <w:rsid w:val="70EF6AC6"/>
    <w:rsid w:val="70FC24C5"/>
    <w:rsid w:val="70FF26CB"/>
    <w:rsid w:val="71047056"/>
    <w:rsid w:val="71080E6A"/>
    <w:rsid w:val="711315BD"/>
    <w:rsid w:val="7113780F"/>
    <w:rsid w:val="711E3CE1"/>
    <w:rsid w:val="71283BE3"/>
    <w:rsid w:val="712E4649"/>
    <w:rsid w:val="71325EE7"/>
    <w:rsid w:val="713438AD"/>
    <w:rsid w:val="713A123F"/>
    <w:rsid w:val="713D0F19"/>
    <w:rsid w:val="714C1194"/>
    <w:rsid w:val="714C1A59"/>
    <w:rsid w:val="714C59B7"/>
    <w:rsid w:val="71551766"/>
    <w:rsid w:val="71557E27"/>
    <w:rsid w:val="7163703D"/>
    <w:rsid w:val="716F2021"/>
    <w:rsid w:val="716F713B"/>
    <w:rsid w:val="717304A3"/>
    <w:rsid w:val="7175660B"/>
    <w:rsid w:val="717750A4"/>
    <w:rsid w:val="717A163C"/>
    <w:rsid w:val="71843927"/>
    <w:rsid w:val="71856665"/>
    <w:rsid w:val="718A7A50"/>
    <w:rsid w:val="719E4941"/>
    <w:rsid w:val="71A83AF7"/>
    <w:rsid w:val="71A843FB"/>
    <w:rsid w:val="71AD13D4"/>
    <w:rsid w:val="71BB412E"/>
    <w:rsid w:val="71BD3A7A"/>
    <w:rsid w:val="71C56D5B"/>
    <w:rsid w:val="71C64881"/>
    <w:rsid w:val="71C77AE4"/>
    <w:rsid w:val="71D376CA"/>
    <w:rsid w:val="71D47A7F"/>
    <w:rsid w:val="71D85B59"/>
    <w:rsid w:val="71DA06AB"/>
    <w:rsid w:val="71DD0CA3"/>
    <w:rsid w:val="71DE606F"/>
    <w:rsid w:val="71E4203D"/>
    <w:rsid w:val="71E82A49"/>
    <w:rsid w:val="71E926CD"/>
    <w:rsid w:val="71ED62B2"/>
    <w:rsid w:val="71F509A5"/>
    <w:rsid w:val="71F950A9"/>
    <w:rsid w:val="72007D93"/>
    <w:rsid w:val="720656CC"/>
    <w:rsid w:val="72083B33"/>
    <w:rsid w:val="720B57FE"/>
    <w:rsid w:val="720B62BF"/>
    <w:rsid w:val="720D24B0"/>
    <w:rsid w:val="720D3D20"/>
    <w:rsid w:val="72153DD4"/>
    <w:rsid w:val="721F3990"/>
    <w:rsid w:val="72203F91"/>
    <w:rsid w:val="72216562"/>
    <w:rsid w:val="722214FB"/>
    <w:rsid w:val="72221B4A"/>
    <w:rsid w:val="72247F25"/>
    <w:rsid w:val="72277008"/>
    <w:rsid w:val="7229261B"/>
    <w:rsid w:val="722C01C9"/>
    <w:rsid w:val="72304722"/>
    <w:rsid w:val="7238577F"/>
    <w:rsid w:val="723D0FE7"/>
    <w:rsid w:val="724203AC"/>
    <w:rsid w:val="7242215A"/>
    <w:rsid w:val="724A3704"/>
    <w:rsid w:val="724E3E15"/>
    <w:rsid w:val="724F5E6C"/>
    <w:rsid w:val="725D1AA0"/>
    <w:rsid w:val="72641BC3"/>
    <w:rsid w:val="72657495"/>
    <w:rsid w:val="72692740"/>
    <w:rsid w:val="72693B8A"/>
    <w:rsid w:val="726C71D7"/>
    <w:rsid w:val="726E117A"/>
    <w:rsid w:val="726F7E98"/>
    <w:rsid w:val="72764326"/>
    <w:rsid w:val="72781F16"/>
    <w:rsid w:val="727918F3"/>
    <w:rsid w:val="72793834"/>
    <w:rsid w:val="728032BA"/>
    <w:rsid w:val="72883E64"/>
    <w:rsid w:val="728D4FDC"/>
    <w:rsid w:val="728E0741"/>
    <w:rsid w:val="72914E8F"/>
    <w:rsid w:val="729624A5"/>
    <w:rsid w:val="729A209E"/>
    <w:rsid w:val="729D3834"/>
    <w:rsid w:val="729E390D"/>
    <w:rsid w:val="729F135A"/>
    <w:rsid w:val="72A41241"/>
    <w:rsid w:val="72A66B8C"/>
    <w:rsid w:val="72AA78B4"/>
    <w:rsid w:val="72B868C0"/>
    <w:rsid w:val="72BC3359"/>
    <w:rsid w:val="72C40186"/>
    <w:rsid w:val="72C40DC1"/>
    <w:rsid w:val="72C63A44"/>
    <w:rsid w:val="72C730FE"/>
    <w:rsid w:val="72DD00D4"/>
    <w:rsid w:val="72E32DBD"/>
    <w:rsid w:val="72E34342"/>
    <w:rsid w:val="72E613A6"/>
    <w:rsid w:val="72E8337C"/>
    <w:rsid w:val="72E90827"/>
    <w:rsid w:val="72F21DD2"/>
    <w:rsid w:val="72F434FA"/>
    <w:rsid w:val="72FA0C86"/>
    <w:rsid w:val="72FA2A34"/>
    <w:rsid w:val="72FE5E6C"/>
    <w:rsid w:val="730B2421"/>
    <w:rsid w:val="730B2A5D"/>
    <w:rsid w:val="730B5700"/>
    <w:rsid w:val="730D1C62"/>
    <w:rsid w:val="730E028E"/>
    <w:rsid w:val="731356C2"/>
    <w:rsid w:val="73151916"/>
    <w:rsid w:val="73184198"/>
    <w:rsid w:val="731B4281"/>
    <w:rsid w:val="732037D0"/>
    <w:rsid w:val="73262E6D"/>
    <w:rsid w:val="73373C05"/>
    <w:rsid w:val="73394622"/>
    <w:rsid w:val="733A5527"/>
    <w:rsid w:val="733C2E6B"/>
    <w:rsid w:val="733F63CB"/>
    <w:rsid w:val="734168B5"/>
    <w:rsid w:val="73433CC2"/>
    <w:rsid w:val="73467A28"/>
    <w:rsid w:val="73490DFC"/>
    <w:rsid w:val="734939BC"/>
    <w:rsid w:val="734A5387"/>
    <w:rsid w:val="7352461E"/>
    <w:rsid w:val="73555688"/>
    <w:rsid w:val="73667ADF"/>
    <w:rsid w:val="736C1BDF"/>
    <w:rsid w:val="736E2B3F"/>
    <w:rsid w:val="7370719A"/>
    <w:rsid w:val="737218FE"/>
    <w:rsid w:val="73754FD7"/>
    <w:rsid w:val="737C7606"/>
    <w:rsid w:val="7386251A"/>
    <w:rsid w:val="738661CC"/>
    <w:rsid w:val="738E4CE0"/>
    <w:rsid w:val="7392120D"/>
    <w:rsid w:val="739A5FC5"/>
    <w:rsid w:val="73A100AF"/>
    <w:rsid w:val="73A26CD8"/>
    <w:rsid w:val="73AA26AC"/>
    <w:rsid w:val="73AE4E58"/>
    <w:rsid w:val="73AF7CC3"/>
    <w:rsid w:val="73B34E42"/>
    <w:rsid w:val="73B83040"/>
    <w:rsid w:val="73BA1DA6"/>
    <w:rsid w:val="73BF2DAF"/>
    <w:rsid w:val="73C17A92"/>
    <w:rsid w:val="73C90A44"/>
    <w:rsid w:val="73CA5289"/>
    <w:rsid w:val="73D2575F"/>
    <w:rsid w:val="73DC038C"/>
    <w:rsid w:val="73E14BDD"/>
    <w:rsid w:val="73E27B77"/>
    <w:rsid w:val="73E35202"/>
    <w:rsid w:val="73E829D8"/>
    <w:rsid w:val="73EC6716"/>
    <w:rsid w:val="73F2112A"/>
    <w:rsid w:val="73F62B37"/>
    <w:rsid w:val="73F94CA3"/>
    <w:rsid w:val="74094E3D"/>
    <w:rsid w:val="740A4EF9"/>
    <w:rsid w:val="740D2C3B"/>
    <w:rsid w:val="740F0761"/>
    <w:rsid w:val="74100036"/>
    <w:rsid w:val="7410198C"/>
    <w:rsid w:val="74121311"/>
    <w:rsid w:val="74136484"/>
    <w:rsid w:val="741409B0"/>
    <w:rsid w:val="74141517"/>
    <w:rsid w:val="7416389E"/>
    <w:rsid w:val="7419338E"/>
    <w:rsid w:val="741F54A2"/>
    <w:rsid w:val="742331AE"/>
    <w:rsid w:val="7428537F"/>
    <w:rsid w:val="742A10F7"/>
    <w:rsid w:val="742C4E6F"/>
    <w:rsid w:val="742F2BB2"/>
    <w:rsid w:val="74336ED8"/>
    <w:rsid w:val="743553DE"/>
    <w:rsid w:val="743D0A2B"/>
    <w:rsid w:val="74406B6D"/>
    <w:rsid w:val="74551EB3"/>
    <w:rsid w:val="745A0FA0"/>
    <w:rsid w:val="74721F92"/>
    <w:rsid w:val="7472484C"/>
    <w:rsid w:val="7476740A"/>
    <w:rsid w:val="74797F6C"/>
    <w:rsid w:val="747A71D1"/>
    <w:rsid w:val="74876A28"/>
    <w:rsid w:val="74884175"/>
    <w:rsid w:val="748922C2"/>
    <w:rsid w:val="749132B1"/>
    <w:rsid w:val="749B2DB5"/>
    <w:rsid w:val="749D15EC"/>
    <w:rsid w:val="749D5D6D"/>
    <w:rsid w:val="74A013B9"/>
    <w:rsid w:val="74A0585D"/>
    <w:rsid w:val="74AC6BC6"/>
    <w:rsid w:val="74BD1F6B"/>
    <w:rsid w:val="74D13C69"/>
    <w:rsid w:val="74DB6895"/>
    <w:rsid w:val="74DF3CDB"/>
    <w:rsid w:val="74E04982"/>
    <w:rsid w:val="74E314C0"/>
    <w:rsid w:val="74F160B9"/>
    <w:rsid w:val="74F236DC"/>
    <w:rsid w:val="75030FB5"/>
    <w:rsid w:val="750E0A19"/>
    <w:rsid w:val="751002ED"/>
    <w:rsid w:val="75175B20"/>
    <w:rsid w:val="75181898"/>
    <w:rsid w:val="751853F4"/>
    <w:rsid w:val="751A5826"/>
    <w:rsid w:val="751B4EE4"/>
    <w:rsid w:val="751D16F6"/>
    <w:rsid w:val="75205CBA"/>
    <w:rsid w:val="752129D4"/>
    <w:rsid w:val="7521500B"/>
    <w:rsid w:val="75232716"/>
    <w:rsid w:val="752B5127"/>
    <w:rsid w:val="752C6AB2"/>
    <w:rsid w:val="752E1204"/>
    <w:rsid w:val="752E2E69"/>
    <w:rsid w:val="752F3B99"/>
    <w:rsid w:val="7530273D"/>
    <w:rsid w:val="75322959"/>
    <w:rsid w:val="7534397E"/>
    <w:rsid w:val="753540AD"/>
    <w:rsid w:val="75355AB1"/>
    <w:rsid w:val="753B1AF5"/>
    <w:rsid w:val="753C7334"/>
    <w:rsid w:val="7540442C"/>
    <w:rsid w:val="75492994"/>
    <w:rsid w:val="75494AE8"/>
    <w:rsid w:val="754A7ABC"/>
    <w:rsid w:val="754D7793"/>
    <w:rsid w:val="755C1784"/>
    <w:rsid w:val="7566263E"/>
    <w:rsid w:val="75664928"/>
    <w:rsid w:val="756A2C6E"/>
    <w:rsid w:val="756C5695"/>
    <w:rsid w:val="756E1E4E"/>
    <w:rsid w:val="757137F2"/>
    <w:rsid w:val="75720FA8"/>
    <w:rsid w:val="75735A2A"/>
    <w:rsid w:val="75774810"/>
    <w:rsid w:val="757E170D"/>
    <w:rsid w:val="75826D11"/>
    <w:rsid w:val="75836B45"/>
    <w:rsid w:val="75845947"/>
    <w:rsid w:val="75850468"/>
    <w:rsid w:val="75866BE9"/>
    <w:rsid w:val="758E56B6"/>
    <w:rsid w:val="759B6003"/>
    <w:rsid w:val="759C32BC"/>
    <w:rsid w:val="759E7FEF"/>
    <w:rsid w:val="75A04F3B"/>
    <w:rsid w:val="75A26BC4"/>
    <w:rsid w:val="75AE59C7"/>
    <w:rsid w:val="75B61842"/>
    <w:rsid w:val="75B74C0D"/>
    <w:rsid w:val="75BC78AF"/>
    <w:rsid w:val="75C604F3"/>
    <w:rsid w:val="75C97681"/>
    <w:rsid w:val="75CB7BF0"/>
    <w:rsid w:val="75D06B7B"/>
    <w:rsid w:val="75D22390"/>
    <w:rsid w:val="75D62BEE"/>
    <w:rsid w:val="75D74EF8"/>
    <w:rsid w:val="75E20E90"/>
    <w:rsid w:val="75E27AE1"/>
    <w:rsid w:val="75E308FE"/>
    <w:rsid w:val="75FE283B"/>
    <w:rsid w:val="76066358"/>
    <w:rsid w:val="760719A1"/>
    <w:rsid w:val="76086F57"/>
    <w:rsid w:val="760A1DC1"/>
    <w:rsid w:val="760A52CC"/>
    <w:rsid w:val="760C4ED0"/>
    <w:rsid w:val="760D0CD1"/>
    <w:rsid w:val="760D3186"/>
    <w:rsid w:val="760F03D3"/>
    <w:rsid w:val="76196AA0"/>
    <w:rsid w:val="7621477C"/>
    <w:rsid w:val="76261C26"/>
    <w:rsid w:val="76261D92"/>
    <w:rsid w:val="7627284F"/>
    <w:rsid w:val="762A7AD4"/>
    <w:rsid w:val="762F2954"/>
    <w:rsid w:val="76342701"/>
    <w:rsid w:val="76384F46"/>
    <w:rsid w:val="763C15B6"/>
    <w:rsid w:val="76432944"/>
    <w:rsid w:val="7646764A"/>
    <w:rsid w:val="764C17F9"/>
    <w:rsid w:val="764D5571"/>
    <w:rsid w:val="764E1B03"/>
    <w:rsid w:val="76564426"/>
    <w:rsid w:val="76572242"/>
    <w:rsid w:val="76636B42"/>
    <w:rsid w:val="766703E1"/>
    <w:rsid w:val="766A1420"/>
    <w:rsid w:val="76705210"/>
    <w:rsid w:val="76780840"/>
    <w:rsid w:val="767C19B2"/>
    <w:rsid w:val="767C35C1"/>
    <w:rsid w:val="767E66C8"/>
    <w:rsid w:val="7683069C"/>
    <w:rsid w:val="76891A32"/>
    <w:rsid w:val="76945517"/>
    <w:rsid w:val="76A27DD7"/>
    <w:rsid w:val="76A96C4B"/>
    <w:rsid w:val="76AD15F9"/>
    <w:rsid w:val="76B1218E"/>
    <w:rsid w:val="76BE4F30"/>
    <w:rsid w:val="76C70E7F"/>
    <w:rsid w:val="76C96E14"/>
    <w:rsid w:val="76CC293A"/>
    <w:rsid w:val="76CD220E"/>
    <w:rsid w:val="76CD451D"/>
    <w:rsid w:val="76D161A2"/>
    <w:rsid w:val="76D22E2E"/>
    <w:rsid w:val="76D92489"/>
    <w:rsid w:val="76DF08BF"/>
    <w:rsid w:val="76DF2F23"/>
    <w:rsid w:val="76EC4D8A"/>
    <w:rsid w:val="76EE2591"/>
    <w:rsid w:val="76EF7D2C"/>
    <w:rsid w:val="76F0798D"/>
    <w:rsid w:val="76F5343E"/>
    <w:rsid w:val="76F53C3E"/>
    <w:rsid w:val="76F96011"/>
    <w:rsid w:val="76FE514F"/>
    <w:rsid w:val="77004391"/>
    <w:rsid w:val="770318FD"/>
    <w:rsid w:val="7711659E"/>
    <w:rsid w:val="77146E97"/>
    <w:rsid w:val="771766AF"/>
    <w:rsid w:val="771816DB"/>
    <w:rsid w:val="771D558A"/>
    <w:rsid w:val="772A140E"/>
    <w:rsid w:val="773E26D2"/>
    <w:rsid w:val="77403575"/>
    <w:rsid w:val="77435226"/>
    <w:rsid w:val="7748368E"/>
    <w:rsid w:val="774E15A1"/>
    <w:rsid w:val="774F6700"/>
    <w:rsid w:val="77533F2B"/>
    <w:rsid w:val="775415A9"/>
    <w:rsid w:val="77543014"/>
    <w:rsid w:val="775517FF"/>
    <w:rsid w:val="775C564B"/>
    <w:rsid w:val="77617526"/>
    <w:rsid w:val="776C6C6C"/>
    <w:rsid w:val="77773940"/>
    <w:rsid w:val="777860D8"/>
    <w:rsid w:val="778356EE"/>
    <w:rsid w:val="77866F8C"/>
    <w:rsid w:val="778E7BEF"/>
    <w:rsid w:val="7792252C"/>
    <w:rsid w:val="77991C3E"/>
    <w:rsid w:val="779A6594"/>
    <w:rsid w:val="779E42D6"/>
    <w:rsid w:val="77A83CB3"/>
    <w:rsid w:val="77AE0291"/>
    <w:rsid w:val="77AE7402"/>
    <w:rsid w:val="77B238DE"/>
    <w:rsid w:val="77B533CE"/>
    <w:rsid w:val="77B70EF4"/>
    <w:rsid w:val="77B92EBE"/>
    <w:rsid w:val="77BF5BB1"/>
    <w:rsid w:val="77C33D3D"/>
    <w:rsid w:val="77C87BF6"/>
    <w:rsid w:val="77C96E79"/>
    <w:rsid w:val="77DF4943"/>
    <w:rsid w:val="77E51F05"/>
    <w:rsid w:val="77E837A3"/>
    <w:rsid w:val="77EF5926"/>
    <w:rsid w:val="77F26063"/>
    <w:rsid w:val="78054355"/>
    <w:rsid w:val="780B4A40"/>
    <w:rsid w:val="780F5C58"/>
    <w:rsid w:val="781B72AA"/>
    <w:rsid w:val="781C169F"/>
    <w:rsid w:val="781C67C3"/>
    <w:rsid w:val="78315590"/>
    <w:rsid w:val="783C2021"/>
    <w:rsid w:val="783F079D"/>
    <w:rsid w:val="78414C61"/>
    <w:rsid w:val="7847671C"/>
    <w:rsid w:val="78533C42"/>
    <w:rsid w:val="78595654"/>
    <w:rsid w:val="785F235F"/>
    <w:rsid w:val="78623A97"/>
    <w:rsid w:val="786A679E"/>
    <w:rsid w:val="786F5C73"/>
    <w:rsid w:val="787943FB"/>
    <w:rsid w:val="787E207D"/>
    <w:rsid w:val="787E7C64"/>
    <w:rsid w:val="78827754"/>
    <w:rsid w:val="788334CC"/>
    <w:rsid w:val="78841D97"/>
    <w:rsid w:val="78872FBC"/>
    <w:rsid w:val="78900078"/>
    <w:rsid w:val="78946D0A"/>
    <w:rsid w:val="789631FF"/>
    <w:rsid w:val="78992CEF"/>
    <w:rsid w:val="789A1ACA"/>
    <w:rsid w:val="78A56AB5"/>
    <w:rsid w:val="78A668CC"/>
    <w:rsid w:val="78B54D01"/>
    <w:rsid w:val="78C22246"/>
    <w:rsid w:val="78C23FF4"/>
    <w:rsid w:val="78C620B9"/>
    <w:rsid w:val="78C966FA"/>
    <w:rsid w:val="78CB1B99"/>
    <w:rsid w:val="78CE2454"/>
    <w:rsid w:val="78D67AA0"/>
    <w:rsid w:val="78D87374"/>
    <w:rsid w:val="78DC1446"/>
    <w:rsid w:val="78DC5A8E"/>
    <w:rsid w:val="78DD498A"/>
    <w:rsid w:val="78E91F32"/>
    <w:rsid w:val="78ED0288"/>
    <w:rsid w:val="78F12B57"/>
    <w:rsid w:val="78F401DD"/>
    <w:rsid w:val="78FA4716"/>
    <w:rsid w:val="78FE2B52"/>
    <w:rsid w:val="78FE5005"/>
    <w:rsid w:val="78FF6FF6"/>
    <w:rsid w:val="790463BB"/>
    <w:rsid w:val="79093888"/>
    <w:rsid w:val="790A315A"/>
    <w:rsid w:val="790D6D3D"/>
    <w:rsid w:val="790E7239"/>
    <w:rsid w:val="791648AD"/>
    <w:rsid w:val="791F1D70"/>
    <w:rsid w:val="79217712"/>
    <w:rsid w:val="792828CC"/>
    <w:rsid w:val="792C06CA"/>
    <w:rsid w:val="79311193"/>
    <w:rsid w:val="79360258"/>
    <w:rsid w:val="7937681E"/>
    <w:rsid w:val="793F5645"/>
    <w:rsid w:val="794331C4"/>
    <w:rsid w:val="79440AEE"/>
    <w:rsid w:val="794A1A4C"/>
    <w:rsid w:val="79646E59"/>
    <w:rsid w:val="79654980"/>
    <w:rsid w:val="79660E24"/>
    <w:rsid w:val="796C31B8"/>
    <w:rsid w:val="79711576"/>
    <w:rsid w:val="797855A3"/>
    <w:rsid w:val="797967FE"/>
    <w:rsid w:val="797A667D"/>
    <w:rsid w:val="797A6C80"/>
    <w:rsid w:val="797B75B8"/>
    <w:rsid w:val="797F1EE5"/>
    <w:rsid w:val="79865022"/>
    <w:rsid w:val="79872276"/>
    <w:rsid w:val="79890FF4"/>
    <w:rsid w:val="7989257D"/>
    <w:rsid w:val="79907C4E"/>
    <w:rsid w:val="79922D97"/>
    <w:rsid w:val="79927E6B"/>
    <w:rsid w:val="79986240"/>
    <w:rsid w:val="79A454A8"/>
    <w:rsid w:val="79AA26DF"/>
    <w:rsid w:val="79AE6327"/>
    <w:rsid w:val="79B70EF8"/>
    <w:rsid w:val="79B7167F"/>
    <w:rsid w:val="79C15542"/>
    <w:rsid w:val="79C75326"/>
    <w:rsid w:val="79CD0EA3"/>
    <w:rsid w:val="79D45F80"/>
    <w:rsid w:val="79E166FC"/>
    <w:rsid w:val="79E47F9A"/>
    <w:rsid w:val="79EB497D"/>
    <w:rsid w:val="79F6754E"/>
    <w:rsid w:val="79FA156C"/>
    <w:rsid w:val="79FB0261"/>
    <w:rsid w:val="79FB2DAF"/>
    <w:rsid w:val="7A014E87"/>
    <w:rsid w:val="7A037EEE"/>
    <w:rsid w:val="7A087BDF"/>
    <w:rsid w:val="7A0B5527"/>
    <w:rsid w:val="7A0C565C"/>
    <w:rsid w:val="7A1C14E2"/>
    <w:rsid w:val="7A1C2352"/>
    <w:rsid w:val="7A1C61A9"/>
    <w:rsid w:val="7A2469F0"/>
    <w:rsid w:val="7A2B7977"/>
    <w:rsid w:val="7A41719B"/>
    <w:rsid w:val="7A484CAA"/>
    <w:rsid w:val="7A4A24F3"/>
    <w:rsid w:val="7A4A7E22"/>
    <w:rsid w:val="7A5001CD"/>
    <w:rsid w:val="7A5073DE"/>
    <w:rsid w:val="7A540C7C"/>
    <w:rsid w:val="7A57076C"/>
    <w:rsid w:val="7A5E7D4D"/>
    <w:rsid w:val="7A5F3524"/>
    <w:rsid w:val="7A62317A"/>
    <w:rsid w:val="7A6510DB"/>
    <w:rsid w:val="7A6D1D3E"/>
    <w:rsid w:val="7A7C6425"/>
    <w:rsid w:val="7A807CC3"/>
    <w:rsid w:val="7A813A3B"/>
    <w:rsid w:val="7A817172"/>
    <w:rsid w:val="7A885FEA"/>
    <w:rsid w:val="7A890F22"/>
    <w:rsid w:val="7A8B6668"/>
    <w:rsid w:val="7A916DEC"/>
    <w:rsid w:val="7A94551C"/>
    <w:rsid w:val="7A955A03"/>
    <w:rsid w:val="7A9B0384"/>
    <w:rsid w:val="7A9F2CF5"/>
    <w:rsid w:val="7AA23342"/>
    <w:rsid w:val="7AA53BCD"/>
    <w:rsid w:val="7AA60701"/>
    <w:rsid w:val="7AAC0AB8"/>
    <w:rsid w:val="7AAE0972"/>
    <w:rsid w:val="7AAE5C60"/>
    <w:rsid w:val="7ABE4C8F"/>
    <w:rsid w:val="7AC0465B"/>
    <w:rsid w:val="7AC322A6"/>
    <w:rsid w:val="7AC926EB"/>
    <w:rsid w:val="7ACE2AB8"/>
    <w:rsid w:val="7AD128A9"/>
    <w:rsid w:val="7AD2187C"/>
    <w:rsid w:val="7AD7543E"/>
    <w:rsid w:val="7ADB139D"/>
    <w:rsid w:val="7ADC456B"/>
    <w:rsid w:val="7AE45DA6"/>
    <w:rsid w:val="7AE46F51"/>
    <w:rsid w:val="7AEA0DF1"/>
    <w:rsid w:val="7AEA7832"/>
    <w:rsid w:val="7AED2E7F"/>
    <w:rsid w:val="7AEF309B"/>
    <w:rsid w:val="7AF67F85"/>
    <w:rsid w:val="7AF95CC7"/>
    <w:rsid w:val="7B05488D"/>
    <w:rsid w:val="7B073F40"/>
    <w:rsid w:val="7B095F0A"/>
    <w:rsid w:val="7B0A06CB"/>
    <w:rsid w:val="7B0B76CA"/>
    <w:rsid w:val="7B0D17BE"/>
    <w:rsid w:val="7B0F7299"/>
    <w:rsid w:val="7B1204FB"/>
    <w:rsid w:val="7B127FDA"/>
    <w:rsid w:val="7B18614D"/>
    <w:rsid w:val="7B1B6914"/>
    <w:rsid w:val="7B1D19B6"/>
    <w:rsid w:val="7B1F0B72"/>
    <w:rsid w:val="7B1F52FB"/>
    <w:rsid w:val="7B1F572E"/>
    <w:rsid w:val="7B284E41"/>
    <w:rsid w:val="7B345352"/>
    <w:rsid w:val="7B354232"/>
    <w:rsid w:val="7B3B26C3"/>
    <w:rsid w:val="7B430CF1"/>
    <w:rsid w:val="7B44150E"/>
    <w:rsid w:val="7B4754DF"/>
    <w:rsid w:val="7B4E3BEA"/>
    <w:rsid w:val="7B4F7695"/>
    <w:rsid w:val="7B532E03"/>
    <w:rsid w:val="7B5B603A"/>
    <w:rsid w:val="7B626231"/>
    <w:rsid w:val="7B6301F4"/>
    <w:rsid w:val="7B656EB9"/>
    <w:rsid w:val="7B6770D5"/>
    <w:rsid w:val="7B6F568B"/>
    <w:rsid w:val="7B776EB0"/>
    <w:rsid w:val="7B813614"/>
    <w:rsid w:val="7B8639A2"/>
    <w:rsid w:val="7B8706E0"/>
    <w:rsid w:val="7B896661"/>
    <w:rsid w:val="7B8B4B71"/>
    <w:rsid w:val="7B914152"/>
    <w:rsid w:val="7B931C78"/>
    <w:rsid w:val="7B9652C4"/>
    <w:rsid w:val="7B98728E"/>
    <w:rsid w:val="7B9A6B62"/>
    <w:rsid w:val="7B9E4FF6"/>
    <w:rsid w:val="7BA07EF1"/>
    <w:rsid w:val="7BAA2A01"/>
    <w:rsid w:val="7BAD0F8C"/>
    <w:rsid w:val="7BB51BEE"/>
    <w:rsid w:val="7BB526B3"/>
    <w:rsid w:val="7BB5399C"/>
    <w:rsid w:val="7BB75847"/>
    <w:rsid w:val="7BB75966"/>
    <w:rsid w:val="7BBE65BF"/>
    <w:rsid w:val="7BBF2A6D"/>
    <w:rsid w:val="7BC6204D"/>
    <w:rsid w:val="7BC912FA"/>
    <w:rsid w:val="7BD10038"/>
    <w:rsid w:val="7BD302C6"/>
    <w:rsid w:val="7BD71211"/>
    <w:rsid w:val="7BD858DD"/>
    <w:rsid w:val="7BE06574"/>
    <w:rsid w:val="7BE50268"/>
    <w:rsid w:val="7BF07FCB"/>
    <w:rsid w:val="7BF41733"/>
    <w:rsid w:val="7BF86303"/>
    <w:rsid w:val="7BFB7AE0"/>
    <w:rsid w:val="7BFF730D"/>
    <w:rsid w:val="7C01327F"/>
    <w:rsid w:val="7C014FB3"/>
    <w:rsid w:val="7C0244F2"/>
    <w:rsid w:val="7C181EB2"/>
    <w:rsid w:val="7C1A2FEF"/>
    <w:rsid w:val="7C262AEC"/>
    <w:rsid w:val="7C2B4424"/>
    <w:rsid w:val="7C2C5002"/>
    <w:rsid w:val="7C2D1BDD"/>
    <w:rsid w:val="7C304F8E"/>
    <w:rsid w:val="7C336FB7"/>
    <w:rsid w:val="7C39281F"/>
    <w:rsid w:val="7C4371FA"/>
    <w:rsid w:val="7C4C370C"/>
    <w:rsid w:val="7C4D3302"/>
    <w:rsid w:val="7C4F089D"/>
    <w:rsid w:val="7C5238E1"/>
    <w:rsid w:val="7C5D7BDC"/>
    <w:rsid w:val="7C5D7E4F"/>
    <w:rsid w:val="7C605B0C"/>
    <w:rsid w:val="7C614FC8"/>
    <w:rsid w:val="7C630C65"/>
    <w:rsid w:val="7C636972"/>
    <w:rsid w:val="7C740D99"/>
    <w:rsid w:val="7C75312C"/>
    <w:rsid w:val="7C760599"/>
    <w:rsid w:val="7C7809F1"/>
    <w:rsid w:val="7C7C5114"/>
    <w:rsid w:val="7C88789A"/>
    <w:rsid w:val="7C935AB5"/>
    <w:rsid w:val="7C9E6B26"/>
    <w:rsid w:val="7CA10234"/>
    <w:rsid w:val="7CA87E11"/>
    <w:rsid w:val="7CB4634A"/>
    <w:rsid w:val="7CC117DF"/>
    <w:rsid w:val="7CC62D8B"/>
    <w:rsid w:val="7CCA4662"/>
    <w:rsid w:val="7CCF762A"/>
    <w:rsid w:val="7CD50224"/>
    <w:rsid w:val="7CDD2818"/>
    <w:rsid w:val="7CE04A49"/>
    <w:rsid w:val="7CE64029"/>
    <w:rsid w:val="7CF60710"/>
    <w:rsid w:val="7D00333D"/>
    <w:rsid w:val="7D040449"/>
    <w:rsid w:val="7D084A77"/>
    <w:rsid w:val="7D0A5491"/>
    <w:rsid w:val="7D121F07"/>
    <w:rsid w:val="7D140B97"/>
    <w:rsid w:val="7D1D2D01"/>
    <w:rsid w:val="7D1D5170"/>
    <w:rsid w:val="7D231188"/>
    <w:rsid w:val="7D2F3C22"/>
    <w:rsid w:val="7D311748"/>
    <w:rsid w:val="7D357EBC"/>
    <w:rsid w:val="7D37400B"/>
    <w:rsid w:val="7D380D29"/>
    <w:rsid w:val="7D3A1533"/>
    <w:rsid w:val="7D435848"/>
    <w:rsid w:val="7D4D311D"/>
    <w:rsid w:val="7D582BD3"/>
    <w:rsid w:val="7D5E7435"/>
    <w:rsid w:val="7D633A67"/>
    <w:rsid w:val="7D634331"/>
    <w:rsid w:val="7D646F30"/>
    <w:rsid w:val="7D690EE2"/>
    <w:rsid w:val="7D6E474B"/>
    <w:rsid w:val="7D6F29AF"/>
    <w:rsid w:val="7D705CBB"/>
    <w:rsid w:val="7D725640"/>
    <w:rsid w:val="7D733B0F"/>
    <w:rsid w:val="7D7E3B4B"/>
    <w:rsid w:val="7D80447E"/>
    <w:rsid w:val="7D8103DB"/>
    <w:rsid w:val="7D817656"/>
    <w:rsid w:val="7D845D1C"/>
    <w:rsid w:val="7D8862B7"/>
    <w:rsid w:val="7D8C71F3"/>
    <w:rsid w:val="7D8F021D"/>
    <w:rsid w:val="7D935E67"/>
    <w:rsid w:val="7D99109C"/>
    <w:rsid w:val="7D9B184A"/>
    <w:rsid w:val="7D9F519D"/>
    <w:rsid w:val="7DA3023D"/>
    <w:rsid w:val="7DA43CC8"/>
    <w:rsid w:val="7DAE0FEB"/>
    <w:rsid w:val="7DB30F95"/>
    <w:rsid w:val="7DB61C4E"/>
    <w:rsid w:val="7DB71C83"/>
    <w:rsid w:val="7DB84577"/>
    <w:rsid w:val="7DBC0DA1"/>
    <w:rsid w:val="7DBF5565"/>
    <w:rsid w:val="7DC9372F"/>
    <w:rsid w:val="7DD303DA"/>
    <w:rsid w:val="7DD9273F"/>
    <w:rsid w:val="7DE20C95"/>
    <w:rsid w:val="7DE40F78"/>
    <w:rsid w:val="7DE871B4"/>
    <w:rsid w:val="7DEA0341"/>
    <w:rsid w:val="7DEB37E9"/>
    <w:rsid w:val="7DF82266"/>
    <w:rsid w:val="7DF87373"/>
    <w:rsid w:val="7DFC3B04"/>
    <w:rsid w:val="7E0751A3"/>
    <w:rsid w:val="7E0E27B1"/>
    <w:rsid w:val="7E1150D6"/>
    <w:rsid w:val="7E125F60"/>
    <w:rsid w:val="7E176B90"/>
    <w:rsid w:val="7E197282"/>
    <w:rsid w:val="7E1A5C35"/>
    <w:rsid w:val="7E1D3A7B"/>
    <w:rsid w:val="7E221091"/>
    <w:rsid w:val="7E22520A"/>
    <w:rsid w:val="7E235DDE"/>
    <w:rsid w:val="7E2766A8"/>
    <w:rsid w:val="7E297621"/>
    <w:rsid w:val="7E2C4707"/>
    <w:rsid w:val="7E35325C"/>
    <w:rsid w:val="7E393919"/>
    <w:rsid w:val="7E395B7B"/>
    <w:rsid w:val="7E397153"/>
    <w:rsid w:val="7E4A6504"/>
    <w:rsid w:val="7E4D4360"/>
    <w:rsid w:val="7E4E1E86"/>
    <w:rsid w:val="7E5D7A10"/>
    <w:rsid w:val="7E6E2528"/>
    <w:rsid w:val="7E6F077A"/>
    <w:rsid w:val="7E706C95"/>
    <w:rsid w:val="7E7434D8"/>
    <w:rsid w:val="7E786F03"/>
    <w:rsid w:val="7E795086"/>
    <w:rsid w:val="7E7E09BD"/>
    <w:rsid w:val="7E845D81"/>
    <w:rsid w:val="7E8813E9"/>
    <w:rsid w:val="7E8B4DC2"/>
    <w:rsid w:val="7E9700A4"/>
    <w:rsid w:val="7E9A6B5E"/>
    <w:rsid w:val="7E9C305C"/>
    <w:rsid w:val="7E9E696A"/>
    <w:rsid w:val="7EA96C28"/>
    <w:rsid w:val="7EAB45DB"/>
    <w:rsid w:val="7EAF5267"/>
    <w:rsid w:val="7EB75C7D"/>
    <w:rsid w:val="7EB97C47"/>
    <w:rsid w:val="7EBF64A4"/>
    <w:rsid w:val="7EC27667"/>
    <w:rsid w:val="7EC62364"/>
    <w:rsid w:val="7EC97F4F"/>
    <w:rsid w:val="7ECB606F"/>
    <w:rsid w:val="7EE328E6"/>
    <w:rsid w:val="7EEA3505"/>
    <w:rsid w:val="7EEC6DDC"/>
    <w:rsid w:val="7EF22037"/>
    <w:rsid w:val="7EF649F8"/>
    <w:rsid w:val="7EF71012"/>
    <w:rsid w:val="7EF77AD5"/>
    <w:rsid w:val="7EF953C9"/>
    <w:rsid w:val="7EFA2E85"/>
    <w:rsid w:val="7EFE1AFE"/>
    <w:rsid w:val="7F0C5FC9"/>
    <w:rsid w:val="7F1050B8"/>
    <w:rsid w:val="7F110BE9"/>
    <w:rsid w:val="7F1175B5"/>
    <w:rsid w:val="7F121106"/>
    <w:rsid w:val="7F1B1D7C"/>
    <w:rsid w:val="7F1B445E"/>
    <w:rsid w:val="7F261F6C"/>
    <w:rsid w:val="7F2F74D9"/>
    <w:rsid w:val="7F3217A8"/>
    <w:rsid w:val="7F3D701C"/>
    <w:rsid w:val="7F4B329E"/>
    <w:rsid w:val="7F4B424A"/>
    <w:rsid w:val="7F547970"/>
    <w:rsid w:val="7F6556D9"/>
    <w:rsid w:val="7F691204"/>
    <w:rsid w:val="7F711704"/>
    <w:rsid w:val="7F737DF6"/>
    <w:rsid w:val="7F796BA3"/>
    <w:rsid w:val="7F7A3700"/>
    <w:rsid w:val="7F8738A2"/>
    <w:rsid w:val="7F8F7514"/>
    <w:rsid w:val="7F9014F2"/>
    <w:rsid w:val="7F9020BE"/>
    <w:rsid w:val="7F911291"/>
    <w:rsid w:val="7FB623D9"/>
    <w:rsid w:val="7FBE4DEA"/>
    <w:rsid w:val="7FC015B2"/>
    <w:rsid w:val="7FC33FFE"/>
    <w:rsid w:val="7FC343B6"/>
    <w:rsid w:val="7FC625E9"/>
    <w:rsid w:val="7FCE327F"/>
    <w:rsid w:val="7FCE57F4"/>
    <w:rsid w:val="7FD5285F"/>
    <w:rsid w:val="7FD64829"/>
    <w:rsid w:val="7FDE0B57"/>
    <w:rsid w:val="7FE02050"/>
    <w:rsid w:val="7FE2578F"/>
    <w:rsid w:val="7FEB2083"/>
    <w:rsid w:val="7FF13411"/>
    <w:rsid w:val="7FF408E5"/>
    <w:rsid w:val="7FF60A27"/>
    <w:rsid w:val="7FF672E6"/>
    <w:rsid w:val="7FFF5F4E"/>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8">
    <w:name w:val="heading 2"/>
    <w:basedOn w:val="1"/>
    <w:next w:val="1"/>
    <w:autoRedefine/>
    <w:qFormat/>
    <w:uiPriority w:val="0"/>
    <w:pPr>
      <w:keepNext/>
      <w:keepLines/>
      <w:adjustRightInd w:val="0"/>
      <w:snapToGrid w:val="0"/>
      <w:spacing w:before="156" w:beforeLines="0" w:beforeAutospacing="0" w:line="360" w:lineRule="auto"/>
      <w:outlineLvl w:val="1"/>
    </w:pPr>
    <w:rPr>
      <w:rFonts w:ascii="Times New Roman" w:hAnsi="Times New Roman"/>
      <w:b/>
      <w:sz w:val="24"/>
    </w:rPr>
  </w:style>
  <w:style w:type="paragraph" w:styleId="9">
    <w:name w:val="heading 3"/>
    <w:basedOn w:val="1"/>
    <w:next w:val="1"/>
    <w:qFormat/>
    <w:uiPriority w:val="0"/>
    <w:pPr>
      <w:keepNext/>
      <w:keepLines/>
      <w:spacing w:line="360" w:lineRule="auto"/>
      <w:ind w:left="852"/>
      <w:outlineLvl w:val="2"/>
    </w:pPr>
    <w:rPr>
      <w:rFonts w:ascii="Times New Roman" w:hAnsi="Times New Roman" w:eastAsia="黑体"/>
      <w:b/>
      <w:kern w:val="0"/>
      <w:sz w:val="24"/>
      <w:szCs w:val="24"/>
    </w:rPr>
  </w:style>
  <w:style w:type="paragraph" w:styleId="10">
    <w:name w:val="heading 4"/>
    <w:basedOn w:val="1"/>
    <w:next w:val="1"/>
    <w:qFormat/>
    <w:uiPriority w:val="0"/>
    <w:pPr>
      <w:keepNext/>
      <w:keepLines/>
      <w:spacing w:beforeLines="0" w:beforeAutospacing="0" w:afterLines="0" w:afterAutospacing="0" w:line="360" w:lineRule="auto"/>
      <w:ind w:firstLine="0" w:firstLineChars="0"/>
      <w:outlineLvl w:val="3"/>
    </w:pPr>
    <w:rPr>
      <w:rFonts w:ascii="Times New Roman" w:hAnsi="Times New Roman" w:eastAsia="宋体"/>
      <w:b/>
      <w:sz w:val="24"/>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0"/>
    <w:pPr>
      <w:widowControl w:val="0"/>
      <w:ind w:firstLine="420" w:firstLineChars="200"/>
      <w:jc w:val="both"/>
    </w:pPr>
    <w:rPr>
      <w:kern w:val="2"/>
      <w:sz w:val="21"/>
    </w:rPr>
  </w:style>
  <w:style w:type="paragraph" w:styleId="3">
    <w:name w:val="Body Text Indent"/>
    <w:basedOn w:val="1"/>
    <w:next w:val="4"/>
    <w:autoRedefine/>
    <w:qFormat/>
    <w:uiPriority w:val="0"/>
    <w:pPr>
      <w:widowControl/>
      <w:spacing w:after="120"/>
      <w:ind w:left="420" w:leftChars="200"/>
      <w:jc w:val="left"/>
    </w:pPr>
    <w:rPr>
      <w:kern w:val="0"/>
      <w:sz w:val="24"/>
    </w:rPr>
  </w:style>
  <w:style w:type="paragraph" w:styleId="4">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6"/>
    <w:next w:val="1"/>
    <w:autoRedefine/>
    <w:qFormat/>
    <w:uiPriority w:val="0"/>
    <w:pPr>
      <w:ind w:firstLine="420" w:firstLineChars="100"/>
    </w:pPr>
    <w:rPr>
      <w:sz w:val="24"/>
    </w:rPr>
  </w:style>
  <w:style w:type="paragraph" w:styleId="6">
    <w:name w:val="Body Text"/>
    <w:basedOn w:val="1"/>
    <w:next w:val="1"/>
    <w:autoRedefine/>
    <w:qFormat/>
    <w:uiPriority w:val="0"/>
    <w:pPr>
      <w:spacing w:after="120"/>
    </w:pPr>
  </w:style>
  <w:style w:type="paragraph" w:styleId="11">
    <w:name w:val="Normal Indent"/>
    <w:basedOn w:val="1"/>
    <w:next w:val="1"/>
    <w:autoRedefine/>
    <w:qFormat/>
    <w:uiPriority w:val="0"/>
    <w:pPr>
      <w:ind w:firstLine="420" w:firstLineChars="200"/>
    </w:pPr>
  </w:style>
  <w:style w:type="paragraph" w:styleId="12">
    <w:name w:val="caption"/>
    <w:basedOn w:val="1"/>
    <w:next w:val="1"/>
    <w:autoRedefine/>
    <w:qFormat/>
    <w:uiPriority w:val="0"/>
    <w:rPr>
      <w:rFonts w:ascii="Arial" w:hAnsi="Arial" w:eastAsia="黑体" w:cs="Arial"/>
      <w:sz w:val="20"/>
      <w:szCs w:val="20"/>
    </w:rPr>
  </w:style>
  <w:style w:type="paragraph" w:styleId="13">
    <w:name w:val="toa heading"/>
    <w:basedOn w:val="1"/>
    <w:next w:val="1"/>
    <w:autoRedefine/>
    <w:unhideWhenUsed/>
    <w:qFormat/>
    <w:uiPriority w:val="99"/>
    <w:pPr>
      <w:spacing w:before="120"/>
    </w:pPr>
    <w:rPr>
      <w:rFonts w:ascii="Cambria" w:hAnsi="Cambria" w:eastAsia="宋体" w:cs="Times New Roman"/>
      <w:sz w:val="24"/>
    </w:rPr>
  </w:style>
  <w:style w:type="paragraph" w:styleId="14">
    <w:name w:val="annotation text"/>
    <w:basedOn w:val="1"/>
    <w:autoRedefine/>
    <w:qFormat/>
    <w:uiPriority w:val="0"/>
    <w:pPr>
      <w:jc w:val="left"/>
    </w:pPr>
  </w:style>
  <w:style w:type="paragraph" w:styleId="15">
    <w:name w:val="Salutation"/>
    <w:basedOn w:val="1"/>
    <w:next w:val="1"/>
    <w:autoRedefine/>
    <w:qFormat/>
    <w:uiPriority w:val="0"/>
  </w:style>
  <w:style w:type="paragraph" w:styleId="16">
    <w:name w:val="Block Text"/>
    <w:basedOn w:val="1"/>
    <w:autoRedefine/>
    <w:qFormat/>
    <w:uiPriority w:val="0"/>
    <w:pPr>
      <w:spacing w:after="120"/>
      <w:ind w:left="1440" w:leftChars="700" w:right="1440" w:rightChars="700"/>
    </w:pPr>
  </w:style>
  <w:style w:type="paragraph" w:styleId="17">
    <w:name w:val="Plain Text"/>
    <w:basedOn w:val="1"/>
    <w:next w:val="1"/>
    <w:autoRedefine/>
    <w:qFormat/>
    <w:uiPriority w:val="0"/>
    <w:rPr>
      <w:rFonts w:ascii="宋体" w:hAnsi="Courier New"/>
    </w:rPr>
  </w:style>
  <w:style w:type="paragraph" w:styleId="18">
    <w:name w:val="Date"/>
    <w:basedOn w:val="1"/>
    <w:next w:val="1"/>
    <w:autoRedefine/>
    <w:qFormat/>
    <w:uiPriority w:val="0"/>
    <w:rPr>
      <w:sz w:val="24"/>
      <w:szCs w:val="20"/>
    </w:rPr>
  </w:style>
  <w:style w:type="paragraph" w:styleId="19">
    <w:name w:val="Body Text Indent 2"/>
    <w:basedOn w:val="1"/>
    <w:autoRedefine/>
    <w:qFormat/>
    <w:uiPriority w:val="0"/>
    <w:pPr>
      <w:spacing w:after="120" w:afterLines="0" w:line="480" w:lineRule="auto"/>
      <w:ind w:leftChars="200"/>
    </w:pPr>
    <w:rPr>
      <w:sz w:val="24"/>
    </w:rPr>
  </w:style>
  <w:style w:type="paragraph" w:styleId="20">
    <w:name w:val="footer"/>
    <w:basedOn w:val="1"/>
    <w:autoRedefine/>
    <w:qFormat/>
    <w:uiPriority w:val="99"/>
    <w:pPr>
      <w:tabs>
        <w:tab w:val="center" w:pos="4153"/>
        <w:tab w:val="right" w:pos="8306"/>
      </w:tabs>
      <w:snapToGrid w:val="0"/>
      <w:jc w:val="left"/>
    </w:pPr>
    <w:rPr>
      <w:kern w:val="0"/>
      <w:sz w:val="18"/>
      <w:szCs w:val="20"/>
    </w:rPr>
  </w:style>
  <w:style w:type="paragraph" w:styleId="21">
    <w:name w:val="toc 1"/>
    <w:basedOn w:val="1"/>
    <w:next w:val="1"/>
    <w:autoRedefine/>
    <w:qFormat/>
    <w:uiPriority w:val="0"/>
  </w:style>
  <w:style w:type="paragraph" w:styleId="22">
    <w:name w:val="index heading"/>
    <w:basedOn w:val="1"/>
    <w:next w:val="23"/>
    <w:autoRedefine/>
    <w:qFormat/>
    <w:uiPriority w:val="0"/>
    <w:rPr>
      <w:rFonts w:ascii="Arial" w:hAnsi="Arial"/>
      <w:b/>
    </w:rPr>
  </w:style>
  <w:style w:type="paragraph" w:styleId="23">
    <w:name w:val="index 1"/>
    <w:basedOn w:val="1"/>
    <w:next w:val="1"/>
    <w:autoRedefine/>
    <w:semiHidden/>
    <w:qFormat/>
    <w:uiPriority w:val="0"/>
    <w:pPr>
      <w:adjustRightInd w:val="0"/>
      <w:snapToGrid w:val="0"/>
      <w:ind w:firstLine="823" w:firstLineChars="358"/>
      <w:jc w:val="left"/>
    </w:pPr>
    <w:rPr>
      <w:rFonts w:ascii="宋体" w:hAnsi="宋体"/>
      <w:spacing w:val="10"/>
    </w:rPr>
  </w:style>
  <w:style w:type="paragraph" w:styleId="24">
    <w:name w:val="Body Text Indent 3"/>
    <w:basedOn w:val="1"/>
    <w:autoRedefine/>
    <w:qFormat/>
    <w:uiPriority w:val="0"/>
    <w:pPr>
      <w:spacing w:after="120" w:afterLines="0"/>
      <w:ind w:left="420" w:leftChars="200"/>
    </w:pPr>
    <w:rPr>
      <w:sz w:val="16"/>
      <w:szCs w:val="16"/>
    </w:rPr>
  </w:style>
  <w:style w:type="paragraph" w:styleId="25">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rPr>
  </w:style>
  <w:style w:type="character" w:styleId="30">
    <w:name w:val="page number"/>
    <w:basedOn w:val="28"/>
    <w:autoRedefine/>
    <w:qFormat/>
    <w:uiPriority w:val="0"/>
  </w:style>
  <w:style w:type="character" w:styleId="31">
    <w:name w:val="Emphasis"/>
    <w:autoRedefine/>
    <w:qFormat/>
    <w:uiPriority w:val="20"/>
  </w:style>
  <w:style w:type="character" w:styleId="32">
    <w:name w:val="Hyperlink"/>
    <w:basedOn w:val="28"/>
    <w:autoRedefine/>
    <w:qFormat/>
    <w:uiPriority w:val="0"/>
    <w:rPr>
      <w:color w:val="000000"/>
      <w:u w:val="none"/>
    </w:rPr>
  </w:style>
  <w:style w:type="character" w:styleId="33">
    <w:name w:val="annotation reference"/>
    <w:basedOn w:val="28"/>
    <w:autoRedefine/>
    <w:qFormat/>
    <w:uiPriority w:val="0"/>
    <w:rPr>
      <w:sz w:val="21"/>
    </w:rPr>
  </w:style>
  <w:style w:type="paragraph" w:customStyle="1" w:styleId="34">
    <w:name w:val="明显引用1"/>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3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6">
    <w:name w:val="样式 标题 1 + 四号 段前: 0 磅 段后: 0 磅 行距: 1.5 倍行距"/>
    <w:basedOn w:val="37"/>
    <w:next w:val="38"/>
    <w:autoRedefine/>
    <w:qFormat/>
    <w:uiPriority w:val="0"/>
    <w:pPr>
      <w:spacing w:line="360" w:lineRule="auto"/>
      <w:jc w:val="center"/>
    </w:pPr>
  </w:style>
  <w:style w:type="paragraph" w:customStyle="1" w:styleId="37">
    <w:name w:val="1正文"/>
    <w:basedOn w:val="1"/>
    <w:autoRedefine/>
    <w:qFormat/>
    <w:uiPriority w:val="0"/>
    <w:pPr>
      <w:spacing w:line="500" w:lineRule="exact"/>
      <w:ind w:firstLine="588" w:firstLineChars="196"/>
    </w:pPr>
    <w:rPr>
      <w:rFonts w:eastAsia="楷体_GB2312"/>
      <w:sz w:val="30"/>
      <w:szCs w:val="30"/>
    </w:rPr>
  </w:style>
  <w:style w:type="paragraph" w:customStyle="1" w:styleId="38">
    <w:name w:val="文本正文"/>
    <w:basedOn w:val="1"/>
    <w:autoRedefine/>
    <w:qFormat/>
    <w:uiPriority w:val="0"/>
    <w:pPr>
      <w:snapToGrid w:val="0"/>
      <w:spacing w:line="360" w:lineRule="auto"/>
      <w:ind w:firstLine="510"/>
      <w:jc w:val="left"/>
    </w:pPr>
    <w:rPr>
      <w:spacing w:val="4"/>
      <w:kern w:val="24"/>
      <w:szCs w:val="24"/>
      <w:lang w:val="zh-CN"/>
    </w:rPr>
  </w:style>
  <w:style w:type="paragraph" w:customStyle="1" w:styleId="39">
    <w:name w:val="报告表正文"/>
    <w:basedOn w:val="1"/>
    <w:autoRedefine/>
    <w:qFormat/>
    <w:uiPriority w:val="0"/>
    <w:pPr>
      <w:adjustRightInd w:val="0"/>
      <w:spacing w:line="312" w:lineRule="auto"/>
      <w:ind w:left="113" w:right="113" w:firstLine="482"/>
      <w:jc w:val="left"/>
      <w:textAlignment w:val="baseline"/>
    </w:pPr>
    <w:rPr>
      <w:kern w:val="0"/>
      <w:sz w:val="24"/>
    </w:rPr>
  </w:style>
  <w:style w:type="paragraph" w:customStyle="1" w:styleId="40">
    <w:name w:val="样式 黑色 行距: 最小值 26 磅"/>
    <w:basedOn w:val="1"/>
    <w:autoRedefine/>
    <w:qFormat/>
    <w:uiPriority w:val="0"/>
    <w:pPr>
      <w:spacing w:line="240" w:lineRule="auto"/>
      <w:ind w:firstLine="200" w:firstLineChars="200"/>
      <w:jc w:val="left"/>
    </w:pPr>
    <w:rPr>
      <w:rFonts w:eastAsia="楷体_GB2312" w:cs="宋体"/>
      <w:color w:val="000000"/>
      <w:spacing w:val="6"/>
      <w:sz w:val="28"/>
      <w:szCs w:val="20"/>
    </w:rPr>
  </w:style>
  <w:style w:type="paragraph" w:customStyle="1" w:styleId="41">
    <w:name w:val="表格"/>
    <w:basedOn w:val="11"/>
    <w:next w:val="11"/>
    <w:autoRedefine/>
    <w:qFormat/>
    <w:uiPriority w:val="0"/>
    <w:pPr>
      <w:adjustRightInd w:val="0"/>
      <w:snapToGrid w:val="0"/>
      <w:spacing w:beforeLines="10" w:afterLines="10" w:line="259" w:lineRule="auto"/>
      <w:jc w:val="center"/>
    </w:pPr>
    <w:rPr>
      <w:rFonts w:ascii="宋体"/>
      <w:kern w:val="0"/>
      <w:szCs w:val="20"/>
    </w:rPr>
  </w:style>
  <w:style w:type="paragraph" w:customStyle="1" w:styleId="42">
    <w:name w:val="图标题"/>
    <w:basedOn w:val="1"/>
    <w:autoRedefine/>
    <w:qFormat/>
    <w:uiPriority w:val="0"/>
    <w:pPr>
      <w:tabs>
        <w:tab w:val="left" w:pos="1035"/>
      </w:tabs>
      <w:spacing w:afterLines="100"/>
      <w:jc w:val="center"/>
    </w:pPr>
    <w:rPr>
      <w:sz w:val="24"/>
    </w:rPr>
  </w:style>
  <w:style w:type="paragraph" w:customStyle="1" w:styleId="43">
    <w:name w:val="表格及表头"/>
    <w:basedOn w:val="1"/>
    <w:next w:val="1"/>
    <w:autoRedefine/>
    <w:qFormat/>
    <w:uiPriority w:val="0"/>
    <w:pPr>
      <w:spacing w:line="240" w:lineRule="auto"/>
      <w:ind w:firstLine="0" w:firstLineChars="0"/>
      <w:jc w:val="both"/>
    </w:pPr>
    <w:rPr>
      <w:rFonts w:ascii="Times New Roman" w:hAnsi="Times New Roman"/>
      <w:sz w:val="21"/>
      <w:szCs w:val="21"/>
    </w:rPr>
  </w:style>
  <w:style w:type="paragraph" w:customStyle="1" w:styleId="44">
    <w:name w:val="p17"/>
    <w:basedOn w:val="1"/>
    <w:autoRedefine/>
    <w:qFormat/>
    <w:uiPriority w:val="0"/>
    <w:pPr>
      <w:widowControl/>
      <w:spacing w:after="120" w:afterLines="0"/>
    </w:pPr>
    <w:rPr>
      <w:kern w:val="0"/>
      <w:sz w:val="30"/>
      <w:szCs w:val="30"/>
    </w:rPr>
  </w:style>
  <w:style w:type="paragraph" w:customStyle="1" w:styleId="45">
    <w:name w:val="文本内容"/>
    <w:basedOn w:val="1"/>
    <w:autoRedefine/>
    <w:qFormat/>
    <w:uiPriority w:val="0"/>
    <w:pPr>
      <w:adjustRightInd w:val="0"/>
      <w:snapToGrid w:val="0"/>
      <w:spacing w:line="360" w:lineRule="auto"/>
      <w:ind w:firstLine="546" w:firstLineChars="200"/>
    </w:pPr>
    <w:rPr>
      <w:rFonts w:ascii="Calibri" w:hAnsi="Calibri"/>
      <w:sz w:val="28"/>
    </w:rPr>
  </w:style>
  <w:style w:type="character" w:customStyle="1" w:styleId="46">
    <w:name w:val="ggzbt011"/>
    <w:basedOn w:val="28"/>
    <w:autoRedefine/>
    <w:qFormat/>
    <w:uiPriority w:val="0"/>
  </w:style>
  <w:style w:type="paragraph" w:customStyle="1" w:styleId="47">
    <w:name w:val="中文报告书样式"/>
    <w:basedOn w:val="1"/>
    <w:autoRedefine/>
    <w:qFormat/>
    <w:uiPriority w:val="0"/>
    <w:pPr>
      <w:adjustRightInd w:val="0"/>
      <w:spacing w:line="480" w:lineRule="atLeast"/>
      <w:ind w:firstLine="482"/>
      <w:textAlignment w:val="baseline"/>
    </w:pPr>
    <w:rPr>
      <w:kern w:val="24"/>
      <w:sz w:val="24"/>
      <w:szCs w:val="20"/>
    </w:rPr>
  </w:style>
  <w:style w:type="character" w:customStyle="1" w:styleId="48">
    <w:name w:val="dz1"/>
    <w:autoRedefine/>
    <w:qFormat/>
    <w:uiPriority w:val="0"/>
    <w:rPr>
      <w:rFonts w:hint="default" w:ascii="Geneva" w:hAnsi="Geneva"/>
      <w:sz w:val="20"/>
      <w:szCs w:val="20"/>
    </w:rPr>
  </w:style>
  <w:style w:type="paragraph" w:customStyle="1" w:styleId="49">
    <w:name w:val="制表格"/>
    <w:basedOn w:val="1"/>
    <w:autoRedefine/>
    <w:qFormat/>
    <w:uiPriority w:val="0"/>
    <w:pPr>
      <w:jc w:val="center"/>
    </w:pPr>
    <w:rPr>
      <w:rFonts w:ascii="Times New Roman" w:hAnsi="Times New Roman"/>
      <w:snapToGrid w:val="0"/>
      <w:kern w:val="0"/>
      <w:szCs w:val="28"/>
    </w:rPr>
  </w:style>
  <w:style w:type="paragraph" w:customStyle="1" w:styleId="50">
    <w:name w:val="环科院正文"/>
    <w:basedOn w:val="1"/>
    <w:autoRedefine/>
    <w:qFormat/>
    <w:uiPriority w:val="0"/>
    <w:pPr>
      <w:tabs>
        <w:tab w:val="left" w:pos="5760"/>
      </w:tabs>
      <w:spacing w:line="360" w:lineRule="auto"/>
      <w:ind w:firstLine="480" w:firstLineChars="200"/>
    </w:pPr>
    <w:rPr>
      <w:rFonts w:hAnsi="宋体"/>
      <w:bCs/>
      <w:sz w:val="24"/>
      <w:szCs w:val="20"/>
    </w:rPr>
  </w:style>
  <w:style w:type="paragraph" w:customStyle="1" w:styleId="51">
    <w:name w:val="11"/>
    <w:basedOn w:val="6"/>
    <w:next w:val="16"/>
    <w:autoRedefine/>
    <w:qFormat/>
    <w:uiPriority w:val="0"/>
    <w:pPr>
      <w:autoSpaceDE w:val="0"/>
      <w:autoSpaceDN w:val="0"/>
      <w:adjustRightInd w:val="0"/>
      <w:spacing w:after="0" w:line="360" w:lineRule="auto"/>
      <w:ind w:firstLine="1320" w:firstLineChars="550"/>
      <w:textAlignment w:val="baseline"/>
    </w:pPr>
    <w:rPr>
      <w:sz w:val="24"/>
    </w:rPr>
  </w:style>
  <w:style w:type="paragraph" w:customStyle="1" w:styleId="52">
    <w:name w:val="样式 小四 行距: 1.5 倍行距"/>
    <w:autoRedefine/>
    <w:qFormat/>
    <w:uiPriority w:val="0"/>
    <w:pPr>
      <w:adjustRightInd w:val="0"/>
      <w:snapToGrid w:val="0"/>
      <w:spacing w:line="360" w:lineRule="auto"/>
      <w:ind w:firstLine="480" w:firstLineChars="200"/>
    </w:pPr>
    <w:rPr>
      <w:rFonts w:ascii="Times New Roman" w:hAnsi="Times New Roman" w:eastAsia="宋体" w:cs="Times New Roman"/>
      <w:sz w:val="24"/>
      <w:lang w:val="en-US" w:eastAsia="zh-CN" w:bidi="ar-SA"/>
    </w:rPr>
  </w:style>
  <w:style w:type="paragraph" w:customStyle="1" w:styleId="53">
    <w:name w:val="WPSOffice手动目录 1"/>
    <w:autoRedefine/>
    <w:qFormat/>
    <w:uiPriority w:val="0"/>
    <w:pPr>
      <w:ind w:leftChars="0"/>
    </w:pPr>
    <w:rPr>
      <w:rFonts w:ascii="Times New Roman" w:hAnsi="Times New Roman" w:eastAsia="宋体" w:cs="Times New Roman"/>
      <w:sz w:val="20"/>
      <w:szCs w:val="20"/>
    </w:rPr>
  </w:style>
  <w:style w:type="paragraph" w:customStyle="1" w:styleId="54">
    <w:name w:val="表头（书）"/>
    <w:basedOn w:val="1"/>
    <w:next w:val="41"/>
    <w:autoRedefine/>
    <w:qFormat/>
    <w:uiPriority w:val="0"/>
    <w:pPr>
      <w:numPr>
        <w:ilvl w:val="4"/>
        <w:numId w:val="1"/>
      </w:numPr>
      <w:spacing w:line="240" w:lineRule="auto"/>
      <w:ind w:left="1008" w:hanging="1008" w:firstLineChars="0"/>
      <w:jc w:val="center"/>
    </w:pPr>
    <w:rPr>
      <w:rFonts w:ascii="Times New Roman" w:hAnsi="Times New Roman" w:eastAsia="宋体"/>
      <w:b/>
      <w:bCs/>
    </w:rPr>
  </w:style>
  <w:style w:type="paragraph" w:customStyle="1" w:styleId="55">
    <w:name w:val="No Spacing"/>
    <w:autoRedefine/>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56">
    <w:name w:val="p0"/>
    <w:basedOn w:val="1"/>
    <w:autoRedefine/>
    <w:qFormat/>
    <w:uiPriority w:val="0"/>
    <w:pPr>
      <w:widowControl/>
    </w:pPr>
    <w:rPr>
      <w:rFonts w:eastAsia="Arial Unicode MS"/>
      <w:kern w:val="0"/>
      <w:szCs w:val="21"/>
    </w:rPr>
  </w:style>
  <w:style w:type="paragraph" w:customStyle="1" w:styleId="57">
    <w:name w:val="赵"/>
    <w:basedOn w:val="1"/>
    <w:autoRedefine/>
    <w:qFormat/>
    <w:uiPriority w:val="0"/>
    <w:pPr>
      <w:spacing w:line="360" w:lineRule="auto"/>
      <w:ind w:firstLine="200" w:firstLineChars="200"/>
    </w:pPr>
    <w:rPr>
      <w:color w:val="000000"/>
      <w:kern w:val="0"/>
      <w:sz w:val="24"/>
      <w:szCs w:val="24"/>
    </w:rPr>
  </w:style>
  <w:style w:type="paragraph" w:customStyle="1" w:styleId="58">
    <w:name w:val="表题"/>
    <w:autoRedefine/>
    <w:qFormat/>
    <w:uiPriority w:val="0"/>
    <w:pPr>
      <w:adjustRightInd w:val="0"/>
      <w:snapToGrid w:val="0"/>
      <w:spacing w:before="156" w:after="156"/>
      <w:jc w:val="center"/>
    </w:pPr>
    <w:rPr>
      <w:rFonts w:ascii="Times New Roman" w:hAnsi="Times New Roman" w:eastAsia="PMingLiU" w:cs="Times New Roman"/>
      <w:sz w:val="24"/>
      <w:lang w:val="en-US" w:eastAsia="zh-CN" w:bidi="ar-SA"/>
    </w:rPr>
  </w:style>
  <w:style w:type="paragraph" w:customStyle="1" w:styleId="59">
    <w:name w:val="填表5中"/>
    <w:basedOn w:val="1"/>
    <w:next w:val="1"/>
    <w:autoRedefine/>
    <w:qFormat/>
    <w:uiPriority w:val="0"/>
    <w:pPr>
      <w:spacing w:line="300" w:lineRule="exact"/>
      <w:jc w:val="center"/>
    </w:pPr>
    <w:rPr>
      <w:rFonts w:ascii="宋体"/>
      <w:sz w:val="24"/>
      <w:szCs w:val="21"/>
    </w:rPr>
  </w:style>
  <w:style w:type="character" w:customStyle="1" w:styleId="60">
    <w:name w:val="fw2"/>
    <w:basedOn w:val="28"/>
    <w:autoRedefine/>
    <w:qFormat/>
    <w:uiPriority w:val="0"/>
  </w:style>
  <w:style w:type="paragraph" w:customStyle="1" w:styleId="61">
    <w:name w:val="_Style 2"/>
    <w:autoRedefine/>
    <w:qFormat/>
    <w:uiPriority w:val="0"/>
    <w:pPr>
      <w:widowControl w:val="0"/>
      <w:spacing w:line="240" w:lineRule="atLeast"/>
      <w:jc w:val="both"/>
    </w:pPr>
    <w:rPr>
      <w:rFonts w:ascii="Calibri" w:hAnsi="Calibri" w:eastAsia="宋体" w:cs="Times New Roman"/>
      <w:kern w:val="2"/>
      <w:sz w:val="21"/>
      <w:szCs w:val="22"/>
      <w:lang w:val="en-US" w:eastAsia="zh-CN" w:bidi="ar-SA"/>
    </w:rPr>
  </w:style>
  <w:style w:type="paragraph" w:customStyle="1" w:styleId="62">
    <w:name w:val="1文章"/>
    <w:basedOn w:val="1"/>
    <w:autoRedefine/>
    <w:qFormat/>
    <w:uiPriority w:val="0"/>
    <w:pPr>
      <w:spacing w:line="360" w:lineRule="auto"/>
      <w:ind w:firstLine="573"/>
    </w:pPr>
    <w:rPr>
      <w:rFonts w:eastAsia="楷体_GB2312"/>
      <w:sz w:val="28"/>
      <w:szCs w:val="20"/>
    </w:rPr>
  </w:style>
  <w:style w:type="paragraph" w:customStyle="1" w:styleId="63">
    <w:name w:val="正文内容"/>
    <w:autoRedefine/>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4">
    <w:name w:val="List Paragraph"/>
    <w:basedOn w:val="1"/>
    <w:autoRedefine/>
    <w:qFormat/>
    <w:uiPriority w:val="0"/>
    <w:pPr>
      <w:ind w:firstLine="420" w:firstLineChars="200"/>
    </w:pPr>
    <w:rPr>
      <w:szCs w:val="22"/>
    </w:rPr>
  </w:style>
  <w:style w:type="paragraph" w:customStyle="1" w:styleId="65">
    <w:name w:val="报告表格"/>
    <w:basedOn w:val="1"/>
    <w:autoRedefine/>
    <w:qFormat/>
    <w:uiPriority w:val="0"/>
    <w:pPr>
      <w:autoSpaceDE w:val="0"/>
      <w:autoSpaceDN w:val="0"/>
      <w:adjustRightInd w:val="0"/>
      <w:spacing w:before="40" w:beforeLines="0" w:after="40" w:afterLines="0"/>
      <w:jc w:val="center"/>
    </w:pPr>
    <w:rPr>
      <w:rFonts w:ascii="Times New Roman" w:hAnsi="Times New Roman"/>
      <w:kern w:val="0"/>
    </w:rPr>
  </w:style>
  <w:style w:type="paragraph" w:customStyle="1" w:styleId="66">
    <w:name w:val="正文01"/>
    <w:basedOn w:val="8"/>
    <w:autoRedefine/>
    <w:qFormat/>
    <w:uiPriority w:val="0"/>
    <w:pPr>
      <w:keepNext w:val="0"/>
      <w:keepLines w:val="0"/>
      <w:numPr>
        <w:ilvl w:val="0"/>
        <w:numId w:val="0"/>
      </w:numPr>
      <w:adjustRightInd/>
      <w:snapToGrid/>
      <w:spacing w:before="60" w:beforeLines="0" w:beforeAutospacing="0" w:line="460" w:lineRule="exact"/>
      <w:ind w:firstLine="200" w:firstLineChars="200"/>
      <w:outlineLvl w:val="9"/>
    </w:pPr>
    <w:rPr>
      <w:rFonts w:ascii="Times New Roman" w:hAnsi="Times New Roman"/>
      <w:b w:val="0"/>
    </w:rPr>
  </w:style>
  <w:style w:type="paragraph" w:customStyle="1" w:styleId="67">
    <w:name w:val="表格 32"/>
    <w:basedOn w:val="1"/>
    <w:autoRedefine/>
    <w:qFormat/>
    <w:uiPriority w:val="0"/>
    <w:pPr>
      <w:autoSpaceDE w:val="0"/>
      <w:autoSpaceDN w:val="0"/>
      <w:adjustRightInd w:val="0"/>
      <w:ind w:firstLine="0"/>
      <w:jc w:val="center"/>
      <w:textAlignment w:val="baseline"/>
    </w:pPr>
    <w:rPr>
      <w:rFonts w:ascii="宋体" w:hAnsi="Impact"/>
      <w:kern w:val="24"/>
    </w:rPr>
  </w:style>
  <w:style w:type="paragraph" w:customStyle="1" w:styleId="68">
    <w:name w:val="reader-word-layer reader-word-s6-8"/>
    <w:basedOn w:val="1"/>
    <w:autoRedefine/>
    <w:qFormat/>
    <w:uiPriority w:val="0"/>
    <w:pPr>
      <w:widowControl/>
      <w:spacing w:before="100" w:beforeLines="0" w:beforeAutospacing="1" w:after="100" w:afterLines="0" w:afterAutospacing="1"/>
      <w:jc w:val="left"/>
    </w:pPr>
    <w:rPr>
      <w:rFonts w:cs="宋体"/>
      <w:kern w:val="0"/>
      <w:sz w:val="24"/>
    </w:rPr>
  </w:style>
  <w:style w:type="paragraph" w:customStyle="1" w:styleId="69">
    <w:name w:val="正文样式1"/>
    <w:basedOn w:val="1"/>
    <w:autoRedefine/>
    <w:qFormat/>
    <w:uiPriority w:val="0"/>
    <w:pPr>
      <w:adjustRightInd w:val="0"/>
      <w:spacing w:line="288" w:lineRule="auto"/>
      <w:ind w:firstLine="360" w:firstLineChars="150"/>
      <w:textAlignment w:val="baseline"/>
    </w:pPr>
    <w:rPr>
      <w:kern w:val="0"/>
      <w:sz w:val="24"/>
      <w:szCs w:val="20"/>
    </w:rPr>
  </w:style>
  <w:style w:type="character" w:customStyle="1" w:styleId="70">
    <w:name w:val="正文文本 Char1"/>
    <w:autoRedefine/>
    <w:qFormat/>
    <w:uiPriority w:val="0"/>
    <w:rPr>
      <w:rFonts w:eastAsia="宋体"/>
      <w:kern w:val="2"/>
      <w:sz w:val="28"/>
      <w:szCs w:val="24"/>
      <w:lang w:val="en-US" w:eastAsia="zh-CN" w:bidi="ar-SA"/>
    </w:rPr>
  </w:style>
  <w:style w:type="paragraph" w:customStyle="1" w:styleId="71">
    <w:name w:val="文本22"/>
    <w:basedOn w:val="1"/>
    <w:autoRedefine/>
    <w:qFormat/>
    <w:uiPriority w:val="0"/>
    <w:pPr>
      <w:autoSpaceDE w:val="0"/>
      <w:autoSpaceDN w:val="0"/>
      <w:adjustRightInd w:val="0"/>
      <w:spacing w:line="360" w:lineRule="auto"/>
      <w:ind w:firstLine="480" w:firstLineChars="200"/>
    </w:pPr>
    <w:rPr>
      <w:rFonts w:ascii="Times New Roman" w:hAnsi="Times New Roman"/>
      <w:sz w:val="24"/>
      <w:szCs w:val="24"/>
    </w:rPr>
  </w:style>
  <w:style w:type="paragraph" w:customStyle="1" w:styleId="72">
    <w:name w:val="样式 cucd-0 + (西文) Arial (中文) 仿宋_GB2312"/>
    <w:basedOn w:val="1"/>
    <w:autoRedefine/>
    <w:qFormat/>
    <w:uiPriority w:val="0"/>
    <w:pPr>
      <w:widowControl/>
      <w:spacing w:line="360" w:lineRule="auto"/>
      <w:ind w:firstLine="480" w:firstLineChars="200"/>
      <w:jc w:val="left"/>
    </w:pPr>
    <w:rPr>
      <w:rFonts w:ascii="Arial" w:hAnsi="Arial" w:eastAsia="仿宋_GB2312"/>
      <w:kern w:val="2"/>
      <w:sz w:val="28"/>
      <w:szCs w:val="21"/>
      <w:lang w:val="en-US" w:eastAsia="zh-CN" w:bidi="ar-SA"/>
    </w:rPr>
  </w:style>
  <w:style w:type="paragraph" w:customStyle="1" w:styleId="73">
    <w:name w:val="缩进2正文"/>
    <w:basedOn w:val="74"/>
    <w:autoRedefine/>
    <w:qFormat/>
    <w:uiPriority w:val="0"/>
    <w:pPr>
      <w:tabs>
        <w:tab w:val="left" w:pos="4860"/>
      </w:tabs>
      <w:ind w:firstLine="560"/>
      <w:jc w:val="both"/>
    </w:pPr>
    <w:rPr>
      <w:sz w:val="28"/>
      <w:szCs w:val="28"/>
    </w:rPr>
  </w:style>
  <w:style w:type="paragraph" w:customStyle="1" w:styleId="74">
    <w:name w:val="报告正文"/>
    <w:basedOn w:val="1"/>
    <w:autoRedefine/>
    <w:qFormat/>
    <w:uiPriority w:val="0"/>
    <w:pPr>
      <w:spacing w:line="360" w:lineRule="auto"/>
      <w:ind w:firstLine="200" w:firstLineChars="200"/>
      <w:jc w:val="left"/>
    </w:pPr>
    <w:rPr>
      <w:sz w:val="24"/>
      <w:szCs w:val="24"/>
    </w:rPr>
  </w:style>
  <w:style w:type="paragraph" w:customStyle="1" w:styleId="75">
    <w:name w:val="列出段落1"/>
    <w:basedOn w:val="1"/>
    <w:autoRedefine/>
    <w:qFormat/>
    <w:uiPriority w:val="34"/>
    <w:pPr>
      <w:ind w:firstLine="420" w:firstLineChars="200"/>
    </w:pPr>
    <w:rPr>
      <w:rFonts w:ascii="Times New Roman" w:hAnsi="Times New Roman"/>
      <w:szCs w:val="20"/>
    </w:rPr>
  </w:style>
  <w:style w:type="paragraph" w:customStyle="1" w:styleId="76">
    <w:name w:val=" Char"/>
    <w:basedOn w:val="1"/>
    <w:autoRedefine/>
    <w:qFormat/>
    <w:uiPriority w:val="0"/>
    <w:pPr>
      <w:snapToGrid w:val="0"/>
      <w:spacing w:line="360" w:lineRule="auto"/>
      <w:ind w:firstLine="529" w:firstLineChars="200"/>
    </w:pPr>
  </w:style>
  <w:style w:type="paragraph" w:customStyle="1" w:styleId="77">
    <w:name w:val="Table Paragraph"/>
    <w:basedOn w:val="1"/>
    <w:autoRedefine/>
    <w:unhideWhenUsed/>
    <w:qFormat/>
    <w:uiPriority w:val="1"/>
    <w:pPr>
      <w:spacing w:beforeLines="0" w:afterLines="0"/>
    </w:pPr>
    <w:rPr>
      <w:rFonts w:hint="default"/>
      <w:sz w:val="24"/>
    </w:rPr>
  </w:style>
  <w:style w:type="paragraph" w:customStyle="1" w:styleId="78">
    <w:name w:val="样式1"/>
    <w:basedOn w:val="10"/>
    <w:autoRedefine/>
    <w:qFormat/>
    <w:uiPriority w:val="0"/>
    <w:pPr>
      <w:spacing w:before="160" w:after="170" w:line="372" w:lineRule="auto"/>
    </w:pPr>
    <w:rPr>
      <w:rFonts w:ascii="Times New Roman" w:hAnsi="Times New Roman" w:eastAsia="仿宋_GB2312"/>
    </w:rPr>
  </w:style>
  <w:style w:type="paragraph" w:customStyle="1" w:styleId="79">
    <w:name w:val="样式 (西文) Times New Roman 小四 行距: 1.5 倍行距 首行缩进:  2 字符"/>
    <w:basedOn w:val="1"/>
    <w:autoRedefine/>
    <w:qFormat/>
    <w:uiPriority w:val="0"/>
    <w:pPr>
      <w:spacing w:line="360" w:lineRule="auto"/>
      <w:ind w:firstLine="480" w:firstLineChars="200"/>
    </w:pPr>
    <w:rPr>
      <w:rFonts w:ascii="Times New Roman" w:hAnsi="Times New Roman" w:cs="宋体"/>
      <w:sz w:val="24"/>
      <w:szCs w:val="20"/>
    </w:rPr>
  </w:style>
  <w:style w:type="paragraph" w:customStyle="1" w:styleId="80">
    <w:name w:val="表格小五"/>
    <w:basedOn w:val="1"/>
    <w:autoRedefine/>
    <w:qFormat/>
    <w:uiPriority w:val="0"/>
    <w:pPr>
      <w:adjustRightInd w:val="0"/>
      <w:snapToGrid w:val="0"/>
      <w:spacing w:after="93" w:afterLines="30" w:line="240" w:lineRule="atLeast"/>
      <w:ind w:firstLine="510"/>
      <w:jc w:val="left"/>
    </w:pPr>
    <w:rPr>
      <w:spacing w:val="16"/>
      <w:kern w:val="0"/>
      <w:sz w:val="18"/>
      <w:szCs w:val="20"/>
    </w:rPr>
  </w:style>
  <w:style w:type="paragraph" w:customStyle="1" w:styleId="81">
    <w:name w:val="表格内容"/>
    <w:basedOn w:val="1"/>
    <w:autoRedefine/>
    <w:qFormat/>
    <w:uiPriority w:val="0"/>
    <w:pPr>
      <w:adjustRightInd w:val="0"/>
      <w:snapToGrid w:val="0"/>
      <w:jc w:val="center"/>
    </w:pPr>
    <w:rPr>
      <w:rFonts w:eastAsia="Times New Roman"/>
      <w:szCs w:val="21"/>
    </w:rPr>
  </w:style>
  <w:style w:type="paragraph" w:customStyle="1" w:styleId="82">
    <w:name w:val="1正文段落"/>
    <w:basedOn w:val="1"/>
    <w:autoRedefine/>
    <w:unhideWhenUsed/>
    <w:qFormat/>
    <w:uiPriority w:val="0"/>
    <w:pPr>
      <w:spacing w:beforeLines="0" w:afterLines="0" w:line="360" w:lineRule="auto"/>
      <w:ind w:firstLine="200" w:firstLineChars="200"/>
    </w:pPr>
    <w:rPr>
      <w:rFonts w:hint="default" w:ascii="Times New Roman" w:hAnsi="Times New Roman"/>
      <w:snapToGrid w:val="0"/>
      <w:kern w:val="0"/>
      <w:sz w:val="24"/>
    </w:rPr>
  </w:style>
  <w:style w:type="paragraph" w:customStyle="1" w:styleId="83">
    <w:name w:val="表格文字"/>
    <w:basedOn w:val="84"/>
    <w:next w:val="6"/>
    <w:autoRedefine/>
    <w:qFormat/>
    <w:uiPriority w:val="0"/>
    <w:pPr>
      <w:spacing w:after="0" w:line="320" w:lineRule="exact"/>
      <w:jc w:val="center"/>
    </w:pPr>
    <w:rPr>
      <w:rFonts w:ascii="宋体"/>
      <w:szCs w:val="24"/>
    </w:rPr>
  </w:style>
  <w:style w:type="paragraph" w:customStyle="1" w:styleId="84">
    <w:name w:val="方案正文"/>
    <w:basedOn w:val="1"/>
    <w:autoRedefine/>
    <w:qFormat/>
    <w:uiPriority w:val="0"/>
    <w:rPr>
      <w:kern w:val="0"/>
      <w:sz w:val="24"/>
      <w:szCs w:val="20"/>
    </w:rPr>
  </w:style>
  <w:style w:type="paragraph" w:customStyle="1" w:styleId="85">
    <w:name w:val="1、正文文本"/>
    <w:next w:val="1"/>
    <w:autoRedefine/>
    <w:qFormat/>
    <w:uiPriority w:val="0"/>
    <w:pPr>
      <w:adjustRightInd w:val="0"/>
      <w:snapToGrid w:val="0"/>
      <w:spacing w:line="360" w:lineRule="auto"/>
      <w:ind w:firstLine="200" w:firstLineChars="200"/>
      <w:jc w:val="both"/>
    </w:pPr>
    <w:rPr>
      <w:rFonts w:ascii="Times New Roman" w:hAnsi="Times New Roman" w:eastAsia="宋体" w:cs="宋体"/>
      <w:kern w:val="2"/>
      <w:sz w:val="24"/>
      <w:lang w:val="en-US" w:eastAsia="zh-CN" w:bidi="ar-SA"/>
    </w:rPr>
  </w:style>
  <w:style w:type="paragraph" w:customStyle="1" w:styleId="86">
    <w:name w:val="表头"/>
    <w:basedOn w:val="1"/>
    <w:next w:val="1"/>
    <w:autoRedefine/>
    <w:qFormat/>
    <w:uiPriority w:val="0"/>
    <w:pPr>
      <w:spacing w:line="360" w:lineRule="auto"/>
      <w:ind w:firstLine="2169" w:firstLineChars="1029"/>
    </w:pPr>
    <w:rPr>
      <w:rFonts w:ascii="宋体" w:hAnsi="宋体"/>
      <w:b/>
      <w:kern w:val="0"/>
      <w:szCs w:val="21"/>
    </w:rPr>
  </w:style>
  <w:style w:type="character" w:customStyle="1" w:styleId="87">
    <w:name w:val="font01"/>
    <w:basedOn w:val="28"/>
    <w:autoRedefine/>
    <w:qFormat/>
    <w:uiPriority w:val="0"/>
    <w:rPr>
      <w:rFonts w:hint="eastAsia" w:ascii="宋体" w:hAnsi="宋体" w:eastAsia="宋体" w:cs="宋体"/>
      <w:color w:val="000000"/>
      <w:sz w:val="21"/>
      <w:szCs w:val="21"/>
      <w:u w:val="none"/>
    </w:rPr>
  </w:style>
  <w:style w:type="character" w:customStyle="1" w:styleId="88">
    <w:name w:val="font21"/>
    <w:basedOn w:val="28"/>
    <w:autoRedefine/>
    <w:qFormat/>
    <w:uiPriority w:val="0"/>
    <w:rPr>
      <w:rFonts w:hint="default" w:ascii="Times New Roman" w:hAnsi="Times New Roman" w:cs="Times New Roman"/>
      <w:color w:val="000000"/>
      <w:sz w:val="21"/>
      <w:szCs w:val="21"/>
      <w:u w:val="none"/>
    </w:rPr>
  </w:style>
  <w:style w:type="character" w:customStyle="1" w:styleId="89">
    <w:name w:val="font41"/>
    <w:basedOn w:val="28"/>
    <w:autoRedefine/>
    <w:qFormat/>
    <w:uiPriority w:val="0"/>
    <w:rPr>
      <w:rFonts w:hint="default" w:ascii="Times New Roman" w:hAnsi="Times New Roman" w:cs="Times New Roman"/>
      <w:b/>
      <w:bCs/>
      <w:color w:val="000000"/>
      <w:sz w:val="21"/>
      <w:szCs w:val="21"/>
      <w:u w:val="none"/>
    </w:rPr>
  </w:style>
  <w:style w:type="character" w:customStyle="1" w:styleId="90">
    <w:name w:val="font31"/>
    <w:basedOn w:val="28"/>
    <w:autoRedefine/>
    <w:qFormat/>
    <w:uiPriority w:val="0"/>
    <w:rPr>
      <w:rFonts w:hint="default" w:ascii="Times New Roman" w:hAnsi="Times New Roman" w:cs="Times New Roman"/>
      <w:color w:val="000000"/>
      <w:sz w:val="21"/>
      <w:szCs w:val="21"/>
      <w:u w:val="none"/>
    </w:rPr>
  </w:style>
  <w:style w:type="character" w:customStyle="1" w:styleId="91">
    <w:name w:val="font51"/>
    <w:basedOn w:val="28"/>
    <w:autoRedefine/>
    <w:qFormat/>
    <w:uiPriority w:val="0"/>
    <w:rPr>
      <w:rFonts w:hint="default" w:ascii="Times New Roman" w:hAnsi="Times New Roman" w:cs="Times New Roman"/>
      <w:color w:val="000000"/>
      <w:sz w:val="21"/>
      <w:szCs w:val="21"/>
      <w:u w:val="none"/>
      <w:vertAlign w:val="subscript"/>
    </w:rPr>
  </w:style>
  <w:style w:type="character" w:customStyle="1" w:styleId="92">
    <w:name w:val="正文文本_"/>
    <w:link w:val="93"/>
    <w:autoRedefine/>
    <w:qFormat/>
    <w:locked/>
    <w:uiPriority w:val="99"/>
    <w:rPr>
      <w:rFonts w:ascii="MingLiU" w:hAnsi="MingLiU" w:eastAsia="MingLiU"/>
      <w:spacing w:val="10"/>
      <w:kern w:val="0"/>
      <w:szCs w:val="21"/>
    </w:rPr>
  </w:style>
  <w:style w:type="paragraph" w:customStyle="1" w:styleId="93">
    <w:name w:val="正文文本3"/>
    <w:basedOn w:val="1"/>
    <w:link w:val="92"/>
    <w:autoRedefine/>
    <w:qFormat/>
    <w:uiPriority w:val="99"/>
    <w:pPr>
      <w:shd w:val="clear" w:color="auto" w:fill="FFFFFF"/>
      <w:adjustRightInd/>
      <w:spacing w:before="240" w:line="466" w:lineRule="exact"/>
      <w:ind w:hanging="480"/>
      <w:jc w:val="distribute"/>
      <w:textAlignment w:val="auto"/>
    </w:pPr>
    <w:rPr>
      <w:rFonts w:ascii="MingLiU" w:hAnsi="MingLiU" w:eastAsia="MingLiU"/>
      <w:spacing w:val="10"/>
      <w:kern w:val="0"/>
      <w:szCs w:val="21"/>
    </w:rPr>
  </w:style>
  <w:style w:type="paragraph" w:customStyle="1" w:styleId="94">
    <w:name w:val="wlm表头"/>
    <w:basedOn w:val="1"/>
    <w:autoRedefine/>
    <w:qFormat/>
    <w:uiPriority w:val="0"/>
    <w:pPr>
      <w:jc w:val="center"/>
    </w:pPr>
    <w:rPr>
      <w:b/>
      <w:szCs w:val="21"/>
    </w:rPr>
  </w:style>
  <w:style w:type="paragraph" w:customStyle="1" w:styleId="95">
    <w:name w:val="wlm表格"/>
    <w:basedOn w:val="1"/>
    <w:autoRedefine/>
    <w:qFormat/>
    <w:uiPriority w:val="0"/>
    <w:pPr>
      <w:snapToGrid w:val="0"/>
      <w:spacing w:line="240" w:lineRule="auto"/>
      <w:ind w:firstLine="0" w:firstLineChars="0"/>
      <w:jc w:val="center"/>
    </w:pPr>
    <w:rPr>
      <w:rFonts w:ascii="Times New Roman" w:hAnsi="Times New Roman" w:eastAsia="宋体"/>
      <w:snapToGrid w:val="0"/>
      <w:spacing w:val="2"/>
      <w:sz w:val="21"/>
      <w:szCs w:val="21"/>
    </w:rPr>
  </w:style>
  <w:style w:type="paragraph" w:customStyle="1" w:styleId="96">
    <w:name w:val="正文四号"/>
    <w:basedOn w:val="1"/>
    <w:autoRedefine/>
    <w:qFormat/>
    <w:uiPriority w:val="0"/>
    <w:pPr>
      <w:spacing w:line="600" w:lineRule="exact"/>
      <w:ind w:firstLine="200" w:firstLineChars="200"/>
    </w:pPr>
    <w:rPr>
      <w:rFonts w:ascii="Calibri" w:hAnsi="Calibri" w:eastAsia="仿宋_GB2312" w:cs="Times New Roman"/>
      <w:kern w:val="2"/>
      <w:sz w:val="28"/>
      <w:szCs w:val="28"/>
      <w:lang w:eastAsia="zh-CN"/>
    </w:rPr>
  </w:style>
  <w:style w:type="paragraph" w:customStyle="1" w:styleId="97">
    <w:name w:val="表头、图尾"/>
    <w:basedOn w:val="1"/>
    <w:autoRedefine/>
    <w:qFormat/>
    <w:uiPriority w:val="0"/>
    <w:pPr>
      <w:spacing w:beforeLines="50" w:afterLines="20" w:line="240" w:lineRule="auto"/>
      <w:ind w:firstLine="0" w:firstLineChars="0"/>
      <w:jc w:val="center"/>
      <w:outlineLvl w:val="1"/>
    </w:pPr>
    <w:rPr>
      <w:b/>
    </w:rPr>
  </w:style>
  <w:style w:type="character" w:customStyle="1" w:styleId="98">
    <w:name w:val="NormalCharacter"/>
    <w:autoRedefine/>
    <w:qFormat/>
    <w:uiPriority w:val="0"/>
  </w:style>
  <w:style w:type="paragraph" w:customStyle="1" w:styleId="99">
    <w:name w:val="cucd-0"/>
    <w:autoRedefine/>
    <w:qFormat/>
    <w:uiPriority w:val="0"/>
    <w:pPr>
      <w:spacing w:line="360" w:lineRule="auto"/>
      <w:ind w:firstLine="480" w:firstLineChars="200"/>
    </w:pPr>
    <w:rPr>
      <w:rFonts w:ascii="Times New Roman" w:hAnsi="Times New Roman" w:eastAsia="Times New Roman" w:cs="Times New Roman"/>
      <w:szCs w:val="24"/>
      <w:lang w:val="en-US" w:eastAsia="zh-CN" w:bidi="ar-SA"/>
    </w:rPr>
  </w:style>
  <w:style w:type="paragraph" w:customStyle="1" w:styleId="100">
    <w:name w:val="表格标题"/>
    <w:basedOn w:val="1"/>
    <w:autoRedefine/>
    <w:qFormat/>
    <w:uiPriority w:val="0"/>
    <w:pPr>
      <w:spacing w:line="540" w:lineRule="exact"/>
      <w:jc w:val="center"/>
    </w:pPr>
    <w:rPr>
      <w:rFonts w:ascii="宋体" w:hAnsi="宋体"/>
      <w:bCs/>
      <w:sz w:val="24"/>
    </w:rPr>
  </w:style>
  <w:style w:type="character" w:customStyle="1" w:styleId="101">
    <w:name w:val="viewthreadtxt"/>
    <w:basedOn w:val="28"/>
    <w:autoRedefine/>
    <w:qFormat/>
    <w:uiPriority w:val="0"/>
  </w:style>
  <w:style w:type="paragraph" w:customStyle="1" w:styleId="102">
    <w:name w:val=" Char Char Char Char"/>
    <w:basedOn w:val="1"/>
    <w:autoRedefine/>
    <w:qFormat/>
    <w:uiPriority w:val="0"/>
    <w:pPr>
      <w:snapToGrid w:val="0"/>
      <w:spacing w:line="360" w:lineRule="auto"/>
      <w:ind w:firstLine="200" w:firstLineChars="200"/>
    </w:pPr>
    <w:rPr>
      <w:szCs w:val="20"/>
    </w:rPr>
  </w:style>
  <w:style w:type="character" w:customStyle="1" w:styleId="103">
    <w:name w:val="font11"/>
    <w:basedOn w:val="28"/>
    <w:autoRedefine/>
    <w:qFormat/>
    <w:uiPriority w:val="0"/>
    <w:rPr>
      <w:rFonts w:hint="eastAsia" w:ascii="宋体" w:hAnsi="宋体" w:eastAsia="宋体" w:cs="宋体"/>
      <w:color w:val="000000"/>
      <w:sz w:val="21"/>
      <w:szCs w:val="21"/>
      <w:u w:val="none"/>
    </w:rPr>
  </w:style>
  <w:style w:type="paragraph" w:customStyle="1" w:styleId="104">
    <w:name w:val="文本"/>
    <w:basedOn w:val="1"/>
    <w:autoRedefine/>
    <w:qFormat/>
    <w:uiPriority w:val="0"/>
    <w:pPr>
      <w:ind w:firstLine="480" w:firstLineChars="200"/>
    </w:pPr>
  </w:style>
  <w:style w:type="character" w:customStyle="1" w:styleId="105">
    <w:name w:val="font61"/>
    <w:basedOn w:val="28"/>
    <w:autoRedefine/>
    <w:qFormat/>
    <w:uiPriority w:val="0"/>
    <w:rPr>
      <w:rFonts w:hint="default" w:ascii="Times New Roman" w:hAnsi="Times New Roman" w:cs="Times New Roman"/>
      <w:color w:val="000000"/>
      <w:sz w:val="21"/>
      <w:szCs w:val="21"/>
      <w:u w:val="none"/>
      <w:vertAlign w:val="subscript"/>
    </w:rPr>
  </w:style>
  <w:style w:type="character" w:customStyle="1" w:styleId="106">
    <w:name w:val="全部 Char Char"/>
    <w:link w:val="107"/>
    <w:autoRedefine/>
    <w:qFormat/>
    <w:uiPriority w:val="0"/>
    <w:rPr>
      <w:rFonts w:ascii="宋体" w:hAnsi="宋体"/>
      <w:color w:val="000000"/>
      <w:sz w:val="24"/>
    </w:rPr>
  </w:style>
  <w:style w:type="paragraph" w:customStyle="1" w:styleId="107">
    <w:name w:val="全部"/>
    <w:basedOn w:val="1"/>
    <w:link w:val="106"/>
    <w:autoRedefine/>
    <w:qFormat/>
    <w:uiPriority w:val="0"/>
    <w:pPr>
      <w:spacing w:before="156" w:beforeLines="50" w:after="156" w:afterLines="50" w:line="360" w:lineRule="auto"/>
      <w:ind w:firstLine="480" w:firstLineChars="200"/>
    </w:pPr>
    <w:rPr>
      <w:rFonts w:ascii="宋体" w:hAnsi="宋体"/>
      <w:color w:val="000000"/>
      <w:sz w:val="24"/>
    </w:rPr>
  </w:style>
  <w:style w:type="character" w:customStyle="1" w:styleId="108">
    <w:name w:val="样式 样式 小四 段前: 7.8 磅 段后: 7.8 磅 行距: 1.5 倍行距 + 首行缩进:  2 字符 Char Char"/>
    <w:link w:val="109"/>
    <w:autoRedefine/>
    <w:qFormat/>
    <w:uiPriority w:val="0"/>
    <w:rPr>
      <w:spacing w:val="20"/>
      <w:sz w:val="24"/>
    </w:rPr>
  </w:style>
  <w:style w:type="paragraph" w:customStyle="1" w:styleId="109">
    <w:name w:val="样式 样式 小四 段前: 7.8 磅 段后: 7.8 磅 行距: 1.5 倍行距 + 首行缩进:  2 字符"/>
    <w:basedOn w:val="1"/>
    <w:link w:val="108"/>
    <w:autoRedefine/>
    <w:qFormat/>
    <w:uiPriority w:val="0"/>
    <w:pPr>
      <w:spacing w:before="156" w:after="156" w:line="360" w:lineRule="auto"/>
      <w:ind w:firstLine="560" w:firstLineChars="200"/>
    </w:pPr>
    <w:rPr>
      <w:spacing w:val="20"/>
      <w:sz w:val="24"/>
    </w:rPr>
  </w:style>
  <w:style w:type="character" w:customStyle="1" w:styleId="110">
    <w:name w:val="fontstyle01"/>
    <w:basedOn w:val="28"/>
    <w:autoRedefine/>
    <w:qFormat/>
    <w:uiPriority w:val="0"/>
    <w:rPr>
      <w:rFonts w:hint="eastAsia" w:ascii="宋体" w:hAnsi="宋体" w:eastAsia="宋体"/>
      <w:color w:val="000000"/>
      <w:sz w:val="24"/>
      <w:szCs w:val="24"/>
    </w:rPr>
  </w:style>
  <w:style w:type="character" w:customStyle="1" w:styleId="111">
    <w:name w:val="font71"/>
    <w:basedOn w:val="28"/>
    <w:autoRedefine/>
    <w:qFormat/>
    <w:uiPriority w:val="0"/>
    <w:rPr>
      <w:rFonts w:hint="default" w:ascii="Times New Roman" w:hAnsi="Times New Roman" w:cs="Times New Roman"/>
      <w:b/>
      <w:bCs/>
      <w:color w:val="000000"/>
      <w:sz w:val="21"/>
      <w:szCs w:val="21"/>
      <w:u w:val="none"/>
      <w:vertAlign w:val="superscript"/>
    </w:rPr>
  </w:style>
  <w:style w:type="character" w:customStyle="1" w:styleId="112">
    <w:name w:val="font81"/>
    <w:basedOn w:val="28"/>
    <w:autoRedefine/>
    <w:qFormat/>
    <w:uiPriority w:val="0"/>
    <w:rPr>
      <w:rFonts w:hint="default" w:ascii="Times New Roman" w:hAnsi="Times New Roman" w:cs="Times New Roman"/>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784</Words>
  <Characters>888</Characters>
  <Lines>0</Lines>
  <Paragraphs>0</Paragraphs>
  <TotalTime>193</TotalTime>
  <ScaleCrop>false</ScaleCrop>
  <LinksUpToDate>false</LinksUpToDate>
  <CharactersWithSpaces>918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2021-02-01T08:12:00Z</dcterms:created>
  <dc:creator>gc</dc:creator>
  <cp:lastModifiedBy>听潮</cp:lastModifiedBy>
  <dcterms:modified xsi:type="dcterms:W3CDTF">2024-12-10T07:41:42Z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A783AAB79F9947939917BCE34761EAFD_13</vt:lpwstr>
  </property>
</Properties>
</file>