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349E7">
      <w:pPr>
        <w:widowControl/>
        <w:jc w:val="center"/>
        <w:rPr>
          <w:rFonts w:ascii="Times New Roman" w:hAnsi="Times New Roman" w:eastAsia="黑体" w:cs="Times New Roman"/>
          <w:color w:val="000000" w:themeColor="text1"/>
          <w:sz w:val="32"/>
          <w:szCs w:val="32"/>
        </w:rPr>
      </w:pPr>
    </w:p>
    <w:p w14:paraId="634D0C45">
      <w:pPr>
        <w:spacing w:before="120" w:after="120" w:line="480" w:lineRule="auto"/>
        <w:jc w:val="center"/>
        <w:rPr>
          <w:rFonts w:ascii="Times New Roman" w:hAnsi="Times New Roman" w:eastAsia="黑体" w:cs="Times New Roman"/>
          <w:b/>
          <w:bCs/>
          <w:color w:val="000000" w:themeColor="text1"/>
          <w:sz w:val="52"/>
          <w:szCs w:val="52"/>
        </w:rPr>
      </w:pPr>
    </w:p>
    <w:p w14:paraId="37562D99">
      <w:pPr>
        <w:jc w:val="center"/>
        <w:rPr>
          <w:rFonts w:ascii="Times New Roman" w:hAnsi="Times New Roman" w:eastAsia="黑体" w:cs="Times New Roman"/>
          <w:bCs/>
          <w:color w:val="000000" w:themeColor="text1"/>
          <w:sz w:val="52"/>
          <w:szCs w:val="52"/>
        </w:rPr>
      </w:pPr>
      <w:r>
        <w:rPr>
          <w:rFonts w:ascii="Times New Roman" w:hAnsi="Times New Roman" w:eastAsia="黑体" w:cs="Times New Roman"/>
          <w:bCs/>
          <w:color w:val="000000" w:themeColor="text1"/>
          <w:sz w:val="52"/>
          <w:szCs w:val="52"/>
        </w:rPr>
        <w:t>寻甸回族彝族自治县</w:t>
      </w:r>
      <w:r>
        <w:rPr>
          <w:rFonts w:hint="eastAsia" w:ascii="Times New Roman" w:hAnsi="Times New Roman" w:eastAsia="黑体" w:cs="Times New Roman"/>
          <w:bCs/>
          <w:color w:val="000000" w:themeColor="text1"/>
          <w:sz w:val="52"/>
          <w:szCs w:val="52"/>
        </w:rPr>
        <w:t>融媒体中心</w:t>
      </w:r>
    </w:p>
    <w:p w14:paraId="58B9C3B1">
      <w:pPr>
        <w:jc w:val="center"/>
        <w:rPr>
          <w:rFonts w:ascii="Times New Roman" w:hAnsi="Times New Roman" w:eastAsia="黑体" w:cs="Times New Roman"/>
          <w:bCs/>
          <w:color w:val="000000" w:themeColor="text1"/>
          <w:sz w:val="52"/>
          <w:szCs w:val="52"/>
        </w:rPr>
      </w:pPr>
      <w:r>
        <w:rPr>
          <w:rFonts w:hint="eastAsia" w:ascii="Times New Roman" w:hAnsi="Times New Roman" w:eastAsia="黑体" w:cs="Times New Roman"/>
          <w:bCs/>
          <w:color w:val="000000" w:themeColor="text1"/>
          <w:sz w:val="52"/>
          <w:szCs w:val="52"/>
          <w:lang w:eastAsia="zh-CN"/>
        </w:rPr>
        <w:t>2023</w:t>
      </w:r>
      <w:r>
        <w:rPr>
          <w:rFonts w:ascii="Times New Roman" w:hAnsi="Times New Roman" w:eastAsia="黑体" w:cs="Times New Roman"/>
          <w:bCs/>
          <w:color w:val="000000" w:themeColor="text1"/>
          <w:sz w:val="52"/>
          <w:szCs w:val="52"/>
        </w:rPr>
        <w:t>年部门整体支出绩效自评报告</w:t>
      </w:r>
    </w:p>
    <w:p w14:paraId="46988208">
      <w:pPr>
        <w:spacing w:before="120" w:after="120" w:line="480" w:lineRule="auto"/>
        <w:jc w:val="center"/>
        <w:rPr>
          <w:rFonts w:ascii="Times New Roman" w:hAnsi="Times New Roman" w:eastAsia="黑体" w:cs="Times New Roman"/>
          <w:b/>
          <w:bCs/>
          <w:color w:val="000000" w:themeColor="text1"/>
          <w:sz w:val="52"/>
          <w:szCs w:val="52"/>
        </w:rPr>
      </w:pPr>
    </w:p>
    <w:p w14:paraId="725A1A06">
      <w:pPr>
        <w:spacing w:before="120" w:after="120" w:line="480" w:lineRule="auto"/>
        <w:jc w:val="center"/>
        <w:rPr>
          <w:rFonts w:ascii="Times New Roman" w:hAnsi="Times New Roman" w:eastAsia="宋体" w:cs="Times New Roman"/>
          <w:b/>
          <w:bCs/>
          <w:color w:val="000000" w:themeColor="text1"/>
          <w:sz w:val="44"/>
          <w:szCs w:val="44"/>
        </w:rPr>
      </w:pPr>
    </w:p>
    <w:p w14:paraId="48DF7284">
      <w:pPr>
        <w:spacing w:before="120" w:after="120" w:line="480" w:lineRule="auto"/>
        <w:jc w:val="center"/>
        <w:rPr>
          <w:rFonts w:ascii="Times New Roman" w:hAnsi="Times New Roman" w:eastAsia="宋体" w:cs="Times New Roman"/>
          <w:b/>
          <w:bCs/>
          <w:color w:val="000000" w:themeColor="text1"/>
          <w:sz w:val="44"/>
          <w:szCs w:val="44"/>
        </w:rPr>
      </w:pPr>
    </w:p>
    <w:p w14:paraId="68BFEDF4">
      <w:pPr>
        <w:spacing w:before="120" w:after="120" w:line="480" w:lineRule="auto"/>
        <w:jc w:val="center"/>
        <w:rPr>
          <w:rFonts w:ascii="Times New Roman" w:hAnsi="Times New Roman" w:eastAsia="黑体" w:cs="Times New Roman"/>
          <w:b/>
          <w:bCs/>
          <w:color w:val="000000" w:themeColor="text1"/>
          <w:sz w:val="44"/>
          <w:szCs w:val="44"/>
        </w:rPr>
      </w:pPr>
    </w:p>
    <w:p w14:paraId="2B0950EC">
      <w:pPr>
        <w:adjustRightInd w:val="0"/>
        <w:snapToGrid w:val="0"/>
        <w:spacing w:line="360" w:lineRule="auto"/>
        <w:ind w:left="1260" w:leftChars="600"/>
        <w:rPr>
          <w:rFonts w:ascii="Times New Roman" w:hAnsi="Times New Roman" w:eastAsia="黑体" w:cs="Times New Roman"/>
          <w:b/>
          <w:bCs/>
          <w:color w:val="000000" w:themeColor="text1"/>
          <w:sz w:val="28"/>
          <w:szCs w:val="28"/>
        </w:rPr>
      </w:pPr>
      <w:r>
        <w:rPr>
          <w:rFonts w:ascii="Times New Roman" w:hAnsi="Times New Roman" w:eastAsia="黑体" w:cs="Times New Roman"/>
          <w:b/>
          <w:bCs/>
          <w:color w:val="000000" w:themeColor="text1"/>
          <w:sz w:val="28"/>
          <w:szCs w:val="28"/>
        </w:rPr>
        <w:pict>
          <v:shape id="直接箭头连接符 3" o:spid="_x0000_s1026" o:spt="32" type="#_x0000_t32" style="position:absolute;left:0pt;margin-left:133.5pt;margin-top:16.65pt;height:0pt;width:272.2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">
            <v:path arrowok="t"/>
            <v:fill on="f" focussize="0,0"/>
            <v:stroke/>
            <v:imagedata o:title=""/>
            <o:lock v:ext="edit"/>
          </v:shape>
        </w:pict>
      </w:r>
      <w:r>
        <w:rPr>
          <w:rFonts w:ascii="Times New Roman" w:hAnsi="Times New Roman" w:eastAsia="黑体" w:cs="Times New Roman"/>
          <w:b/>
          <w:bCs/>
          <w:color w:val="000000" w:themeColor="text1"/>
          <w:sz w:val="28"/>
          <w:szCs w:val="28"/>
        </w:rPr>
        <w:t>项目名称：   寻甸回族彝族自治县</w:t>
      </w:r>
      <w:r>
        <w:rPr>
          <w:rFonts w:hint="eastAsia" w:ascii="Times New Roman" w:hAnsi="Times New Roman" w:eastAsia="黑体" w:cs="Times New Roman"/>
          <w:b/>
          <w:bCs/>
          <w:color w:val="000000" w:themeColor="text1"/>
          <w:sz w:val="28"/>
          <w:szCs w:val="28"/>
        </w:rPr>
        <w:t>融媒体中心</w:t>
      </w:r>
      <w:r>
        <w:rPr>
          <w:rFonts w:ascii="Times New Roman" w:hAnsi="Times New Roman" w:eastAsia="黑体" w:cs="Times New Roman"/>
          <w:b/>
          <w:bCs/>
          <w:color w:val="000000" w:themeColor="text1"/>
          <w:sz w:val="28"/>
          <w:szCs w:val="28"/>
        </w:rPr>
        <w:t>整体支出</w:t>
      </w:r>
    </w:p>
    <w:p w14:paraId="40C46014">
      <w:pPr>
        <w:adjustRightInd w:val="0"/>
        <w:snapToGrid w:val="0"/>
        <w:spacing w:line="360" w:lineRule="auto"/>
        <w:ind w:left="1260" w:leftChars="600"/>
        <w:rPr>
          <w:rFonts w:ascii="Times New Roman" w:hAnsi="Times New Roman" w:eastAsia="黑体" w:cs="Times New Roman"/>
          <w:b/>
          <w:bCs/>
          <w:color w:val="000000" w:themeColor="text1"/>
          <w:sz w:val="28"/>
          <w:szCs w:val="28"/>
        </w:rPr>
      </w:pPr>
      <w:r>
        <w:rPr>
          <w:rFonts w:ascii="Times New Roman" w:hAnsi="Times New Roman" w:eastAsia="黑体" w:cs="Times New Roman"/>
          <w:b/>
          <w:bCs/>
          <w:color w:val="000000" w:themeColor="text1"/>
          <w:sz w:val="28"/>
          <w:szCs w:val="28"/>
        </w:rPr>
        <w:pict>
          <v:shape id="直接箭头连接符 2" o:spid="_x0000_s1037" o:spt="32" type="#_x0000_t32" style="position:absolute;left:0pt;margin-left:133.5pt;margin-top:17.15pt;height:0pt;width:272.2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">
            <v:path arrowok="t"/>
            <v:fill on="f" focussize="0,0"/>
            <v:stroke/>
            <v:imagedata o:title=""/>
            <o:lock v:ext="edit"/>
          </v:shape>
        </w:pict>
      </w:r>
      <w:r>
        <w:rPr>
          <w:rFonts w:ascii="Times New Roman" w:hAnsi="Times New Roman" w:eastAsia="黑体" w:cs="Times New Roman"/>
          <w:b/>
          <w:bCs/>
          <w:color w:val="000000" w:themeColor="text1"/>
          <w:sz w:val="28"/>
          <w:szCs w:val="28"/>
        </w:rPr>
        <w:t>部门名称：      寻甸回族彝族自治县</w:t>
      </w:r>
      <w:r>
        <w:rPr>
          <w:rFonts w:hint="eastAsia" w:ascii="Times New Roman" w:hAnsi="Times New Roman" w:eastAsia="黑体" w:cs="Times New Roman"/>
          <w:b/>
          <w:bCs/>
          <w:color w:val="000000" w:themeColor="text1"/>
          <w:sz w:val="28"/>
          <w:szCs w:val="28"/>
        </w:rPr>
        <w:t>融媒体中心</w:t>
      </w:r>
    </w:p>
    <w:p w14:paraId="14B1B5B3">
      <w:pPr>
        <w:adjustRightInd w:val="0"/>
        <w:snapToGrid w:val="0"/>
        <w:spacing w:line="360" w:lineRule="auto"/>
        <w:ind w:left="1260" w:leftChars="600"/>
        <w:rPr>
          <w:rFonts w:ascii="Times New Roman" w:hAnsi="Times New Roman" w:eastAsia="黑体" w:cs="Times New Roman"/>
          <w:b/>
          <w:bCs/>
          <w:color w:val="000000" w:themeColor="text1"/>
          <w:sz w:val="28"/>
          <w:szCs w:val="28"/>
        </w:rPr>
      </w:pPr>
      <w:r>
        <w:rPr>
          <w:rFonts w:ascii="Times New Roman" w:hAnsi="Times New Roman" w:eastAsia="黑体" w:cs="Times New Roman"/>
          <w:b/>
          <w:bCs/>
          <w:color w:val="000000" w:themeColor="text1"/>
          <w:sz w:val="28"/>
          <w:szCs w:val="28"/>
        </w:rPr>
        <w:pict>
          <v:shape id="直接箭头连接符 1" o:spid="_x0000_s1036" o:spt="32" type="#_x0000_t32" style="position:absolute;left:0pt;margin-left:133.5pt;margin-top:19.95pt;height:0pt;width:272.25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">
            <v:path arrowok="t"/>
            <v:fill on="f" focussize="0,0"/>
            <v:stroke/>
            <v:imagedata o:title=""/>
            <o:lock v:ext="edit"/>
          </v:shape>
        </w:pict>
      </w:r>
      <w:r>
        <w:rPr>
          <w:rFonts w:ascii="Times New Roman" w:hAnsi="Times New Roman" w:eastAsia="黑体" w:cs="Times New Roman"/>
          <w:b/>
          <w:bCs/>
          <w:color w:val="000000" w:themeColor="text1"/>
          <w:sz w:val="28"/>
          <w:szCs w:val="28"/>
        </w:rPr>
        <w:t>评价机构：      寻甸回族彝族自治县</w:t>
      </w:r>
      <w:r>
        <w:rPr>
          <w:rFonts w:hint="eastAsia" w:ascii="Times New Roman" w:hAnsi="Times New Roman" w:eastAsia="黑体" w:cs="Times New Roman"/>
          <w:b/>
          <w:bCs/>
          <w:color w:val="000000" w:themeColor="text1"/>
          <w:sz w:val="28"/>
          <w:szCs w:val="28"/>
        </w:rPr>
        <w:t>融媒体中心</w:t>
      </w:r>
    </w:p>
    <w:p w14:paraId="18E38388">
      <w:pPr>
        <w:adjustRightInd w:val="0"/>
        <w:snapToGrid w:val="0"/>
        <w:spacing w:line="360" w:lineRule="auto"/>
        <w:ind w:left="1260" w:leftChars="600"/>
        <w:rPr>
          <w:rFonts w:ascii="Times New Roman" w:hAnsi="Times New Roman" w:eastAsia="黑体" w:cs="Times New Roman"/>
          <w:b/>
          <w:bCs/>
          <w:color w:val="000000" w:themeColor="text1"/>
          <w:sz w:val="28"/>
          <w:szCs w:val="28"/>
        </w:rPr>
      </w:pPr>
    </w:p>
    <w:p w14:paraId="6C66346A">
      <w:pPr>
        <w:spacing w:line="360" w:lineRule="auto"/>
        <w:ind w:left="1218" w:leftChars="580"/>
        <w:rPr>
          <w:rFonts w:ascii="Times New Roman" w:hAnsi="Times New Roman" w:eastAsia="黑体" w:cs="Times New Roman"/>
          <w:b/>
          <w:bCs/>
          <w:color w:val="000000" w:themeColor="text1"/>
          <w:sz w:val="28"/>
          <w:szCs w:val="28"/>
        </w:rPr>
      </w:pPr>
    </w:p>
    <w:p w14:paraId="3E0D6444">
      <w:pPr>
        <w:jc w:val="center"/>
        <w:rPr>
          <w:rFonts w:ascii="Times New Roman" w:hAnsi="Times New Roman" w:eastAsia="黑体" w:cs="Times New Roman"/>
          <w:b/>
          <w:bCs/>
          <w:color w:val="000000" w:themeColor="text1"/>
          <w:sz w:val="28"/>
          <w:szCs w:val="28"/>
        </w:rPr>
      </w:pPr>
      <w:r>
        <w:rPr>
          <w:rFonts w:ascii="Times New Roman" w:hAnsi="Times New Roman" w:eastAsia="黑体" w:cs="Times New Roman"/>
          <w:b/>
          <w:bCs/>
          <w:color w:val="000000" w:themeColor="text1"/>
          <w:sz w:val="28"/>
          <w:szCs w:val="28"/>
        </w:rPr>
        <w:t>20</w:t>
      </w:r>
      <w:r>
        <w:rPr>
          <w:rFonts w:hint="eastAsia" w:ascii="Times New Roman" w:hAnsi="Times New Roman" w:eastAsia="黑体" w:cs="Times New Roman"/>
          <w:b/>
          <w:bCs/>
          <w:color w:val="000000" w:themeColor="text1"/>
          <w:sz w:val="28"/>
          <w:szCs w:val="28"/>
        </w:rPr>
        <w:t>2</w:t>
      </w:r>
      <w:r>
        <w:rPr>
          <w:rFonts w:hint="eastAsia" w:ascii="Times New Roman" w:hAnsi="Times New Roman" w:eastAsia="黑体" w:cs="Times New Roman"/>
          <w:b/>
          <w:bCs/>
          <w:color w:val="000000" w:themeColor="text1"/>
          <w:sz w:val="28"/>
          <w:szCs w:val="28"/>
          <w:lang w:val="en-US" w:eastAsia="zh-CN"/>
        </w:rPr>
        <w:t>4</w:t>
      </w:r>
      <w:r>
        <w:rPr>
          <w:rFonts w:ascii="Times New Roman" w:hAnsi="Times New Roman" w:eastAsia="黑体" w:cs="Times New Roman"/>
          <w:b/>
          <w:bCs/>
          <w:color w:val="000000" w:themeColor="text1"/>
          <w:sz w:val="28"/>
          <w:szCs w:val="28"/>
        </w:rPr>
        <w:t>年</w:t>
      </w:r>
      <w:r>
        <w:rPr>
          <w:rFonts w:hint="eastAsia" w:ascii="Times New Roman" w:hAnsi="Times New Roman" w:eastAsia="黑体" w:cs="Times New Roman"/>
          <w:b/>
          <w:bCs/>
          <w:color w:val="000000" w:themeColor="text1"/>
          <w:sz w:val="28"/>
          <w:szCs w:val="28"/>
        </w:rPr>
        <w:t>5</w:t>
      </w:r>
      <w:r>
        <w:rPr>
          <w:rFonts w:ascii="Times New Roman" w:hAnsi="Times New Roman" w:eastAsia="黑体" w:cs="Times New Roman"/>
          <w:b/>
          <w:bCs/>
          <w:color w:val="000000" w:themeColor="text1"/>
          <w:sz w:val="28"/>
          <w:szCs w:val="28"/>
        </w:rPr>
        <w:t>月</w:t>
      </w:r>
    </w:p>
    <w:p w14:paraId="76C58405">
      <w:pPr>
        <w:jc w:val="center"/>
        <w:rPr>
          <w:rFonts w:ascii="Times New Roman" w:hAnsi="Times New Roman" w:eastAsia="黑体" w:cs="Times New Roman"/>
          <w:b/>
          <w:bCs/>
          <w:color w:val="000000" w:themeColor="text1"/>
          <w:sz w:val="28"/>
          <w:szCs w:val="28"/>
        </w:rPr>
      </w:pPr>
    </w:p>
    <w:p w14:paraId="368C77C8">
      <w:pPr>
        <w:jc w:val="center"/>
        <w:rPr>
          <w:rFonts w:ascii="Times New Roman" w:hAnsi="Times New Roman" w:eastAsia="黑体" w:cs="Times New Roman"/>
          <w:b/>
          <w:bCs/>
          <w:color w:val="000000" w:themeColor="text1"/>
          <w:sz w:val="28"/>
          <w:szCs w:val="28"/>
        </w:rPr>
      </w:pPr>
    </w:p>
    <w:p w14:paraId="2786B85C">
      <w:pPr>
        <w:jc w:val="center"/>
        <w:rPr>
          <w:rFonts w:ascii="Times New Roman" w:hAnsi="Times New Roman" w:eastAsia="黑体" w:cs="Times New Roman"/>
          <w:b/>
          <w:bCs/>
          <w:color w:val="000000" w:themeColor="text1"/>
          <w:sz w:val="28"/>
          <w:szCs w:val="28"/>
        </w:rPr>
      </w:pPr>
    </w:p>
    <w:p w14:paraId="41152EB9">
      <w:pPr>
        <w:jc w:val="center"/>
        <w:rPr>
          <w:rFonts w:ascii="Times New Roman" w:hAnsi="Times New Roman" w:eastAsia="黑体" w:cs="Times New Roman"/>
          <w:b/>
          <w:bCs/>
          <w:color w:val="000000" w:themeColor="text1"/>
          <w:sz w:val="28"/>
          <w:szCs w:val="28"/>
        </w:rPr>
      </w:pPr>
    </w:p>
    <w:p w14:paraId="7DD7881E">
      <w:pPr>
        <w:jc w:val="center"/>
        <w:rPr>
          <w:rFonts w:ascii="Times New Roman" w:hAnsi="Times New Roman" w:eastAsia="仿宋_GB2312" w:cs="Times New Roman"/>
          <w:b/>
          <w:bCs/>
          <w:color w:val="000000" w:themeColor="text1"/>
          <w:sz w:val="28"/>
          <w:szCs w:val="28"/>
        </w:rPr>
      </w:pPr>
    </w:p>
    <w:p w14:paraId="36F11468">
      <w:pPr>
        <w:widowControl/>
        <w:jc w:val="left"/>
        <w:rPr>
          <w:rFonts w:ascii="Times New Roman" w:hAnsi="Times New Roman" w:eastAsia="仿宋_GB2312" w:cs="Times New Roman"/>
          <w:b/>
          <w:bCs/>
          <w:color w:val="000000" w:themeColor="text1"/>
          <w:sz w:val="28"/>
          <w:szCs w:val="28"/>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p>
    <w:p w14:paraId="69287435">
      <w:pPr>
        <w:spacing w:line="360" w:lineRule="auto"/>
        <w:ind w:left="420" w:leftChars="200"/>
        <w:rPr>
          <w:rFonts w:ascii="Times New Roman" w:hAnsi="Times New Roman" w:eastAsia="黑体" w:cs="Times New Roman"/>
          <w:color w:val="000000" w:themeColor="text1"/>
          <w:sz w:val="24"/>
          <w:szCs w:val="24"/>
          <w:u w:color="000000"/>
          <w:lang w:val="zh-TW" w:eastAsia="zh-TW"/>
        </w:rPr>
      </w:pPr>
      <w:r>
        <w:rPr>
          <w:rFonts w:ascii="Times New Roman" w:hAnsi="Times New Roman" w:eastAsia="黑体" w:cs="Times New Roman"/>
          <w:color w:val="000000" w:themeColor="text1"/>
          <w:sz w:val="24"/>
          <w:szCs w:val="24"/>
          <w:u w:color="000000"/>
          <w:lang w:val="zh-TW" w:eastAsia="zh-TW"/>
        </w:rPr>
        <w:t>评价小组成员：</w:t>
      </w:r>
    </w:p>
    <w:tbl>
      <w:tblPr>
        <w:tblStyle w:val="8"/>
        <w:tblpPr w:leftFromText="180" w:rightFromText="180" w:vertAnchor="text" w:horzAnchor="margin" w:tblpY="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620"/>
        <w:gridCol w:w="1620"/>
        <w:gridCol w:w="1621"/>
        <w:gridCol w:w="1621"/>
      </w:tblGrid>
      <w:tr w14:paraId="5F0B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38B79D34">
            <w:pPr>
              <w:jc w:val="center"/>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rPr>
              <w:t>评价小组</w:t>
            </w:r>
          </w:p>
          <w:p w14:paraId="5B230B32">
            <w:pPr>
              <w:jc w:val="center"/>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rPr>
              <w:t>机构职位</w:t>
            </w:r>
          </w:p>
        </w:tc>
        <w:tc>
          <w:tcPr>
            <w:tcW w:w="1620" w:type="dxa"/>
            <w:vAlign w:val="center"/>
          </w:tcPr>
          <w:p w14:paraId="66EE6F5B">
            <w:pPr>
              <w:jc w:val="center"/>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rPr>
              <w:t>姓名</w:t>
            </w:r>
          </w:p>
        </w:tc>
        <w:tc>
          <w:tcPr>
            <w:tcW w:w="1620" w:type="dxa"/>
            <w:vAlign w:val="center"/>
          </w:tcPr>
          <w:p w14:paraId="4693D2E6">
            <w:pPr>
              <w:jc w:val="center"/>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rPr>
              <w:t>职务/职称</w:t>
            </w:r>
          </w:p>
        </w:tc>
        <w:tc>
          <w:tcPr>
            <w:tcW w:w="1621" w:type="dxa"/>
            <w:vAlign w:val="center"/>
          </w:tcPr>
          <w:p w14:paraId="55943872">
            <w:pPr>
              <w:jc w:val="center"/>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rPr>
              <w:t>所属</w:t>
            </w:r>
          </w:p>
          <w:p w14:paraId="4CBEDBAE">
            <w:pPr>
              <w:jc w:val="center"/>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rPr>
              <w:t>单位/处室</w:t>
            </w:r>
          </w:p>
        </w:tc>
        <w:tc>
          <w:tcPr>
            <w:tcW w:w="1621" w:type="dxa"/>
            <w:vAlign w:val="center"/>
          </w:tcPr>
          <w:p w14:paraId="2C2E2497">
            <w:pPr>
              <w:jc w:val="center"/>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rPr>
              <w:t>签字</w:t>
            </w:r>
          </w:p>
        </w:tc>
      </w:tr>
      <w:tr w14:paraId="7A73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4EF727A5">
            <w:pPr>
              <w:jc w:val="center"/>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rPr>
              <w:t>组长</w:t>
            </w:r>
          </w:p>
        </w:tc>
        <w:tc>
          <w:tcPr>
            <w:tcW w:w="1620" w:type="dxa"/>
            <w:vAlign w:val="center"/>
          </w:tcPr>
          <w:p w14:paraId="7E770DE2">
            <w:pPr>
              <w:jc w:val="center"/>
              <w:rPr>
                <w:rFonts w:hint="eastAsia" w:ascii="Times New Roman" w:hAnsi="Times New Roman" w:eastAsia="黑体" w:cs="Times New Roman"/>
                <w:color w:val="000000" w:themeColor="text1"/>
                <w:sz w:val="24"/>
                <w:szCs w:val="24"/>
                <w:u w:color="000000"/>
                <w:lang w:val="zh-TW" w:eastAsia="zh-CN"/>
              </w:rPr>
            </w:pPr>
            <w:r>
              <w:rPr>
                <w:rFonts w:hint="eastAsia" w:ascii="Times New Roman" w:hAnsi="Times New Roman" w:eastAsia="黑体" w:cs="Times New Roman"/>
                <w:color w:val="000000" w:themeColor="text1"/>
                <w:sz w:val="24"/>
                <w:szCs w:val="24"/>
                <w:u w:color="000000"/>
                <w:lang w:val="zh-TW" w:eastAsia="zh-CN"/>
              </w:rPr>
              <w:t>常寅东</w:t>
            </w:r>
          </w:p>
        </w:tc>
        <w:tc>
          <w:tcPr>
            <w:tcW w:w="1620" w:type="dxa"/>
            <w:vAlign w:val="center"/>
          </w:tcPr>
          <w:p w14:paraId="2C3C88B7">
            <w:pPr>
              <w:jc w:val="center"/>
              <w:rPr>
                <w:rFonts w:ascii="Times New Roman" w:hAnsi="Times New Roman" w:eastAsia="黑体" w:cs="Times New Roman"/>
                <w:color w:val="000000" w:themeColor="text1"/>
                <w:sz w:val="24"/>
                <w:szCs w:val="24"/>
                <w:u w:color="000000"/>
                <w:lang w:val="zh-TW"/>
              </w:rPr>
            </w:pPr>
            <w:r>
              <w:rPr>
                <w:rFonts w:hint="eastAsia" w:ascii="Times New Roman" w:hAnsi="Times New Roman" w:eastAsia="黑体" w:cs="Times New Roman"/>
                <w:color w:val="000000" w:themeColor="text1"/>
                <w:sz w:val="24"/>
                <w:szCs w:val="24"/>
                <w:u w:color="000000"/>
                <w:lang w:val="zh-TW"/>
              </w:rPr>
              <w:t>主任</w:t>
            </w:r>
          </w:p>
        </w:tc>
        <w:tc>
          <w:tcPr>
            <w:tcW w:w="1621" w:type="dxa"/>
          </w:tcPr>
          <w:p w14:paraId="43448766">
            <w:pPr>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eastAsia="zh-TW"/>
              </w:rPr>
              <w:t>寻甸回族彝族自治县</w:t>
            </w:r>
            <w:r>
              <w:rPr>
                <w:rFonts w:hint="eastAsia" w:ascii="Times New Roman" w:hAnsi="Times New Roman" w:eastAsia="黑体" w:cs="Times New Roman"/>
                <w:color w:val="000000" w:themeColor="text1"/>
                <w:sz w:val="24"/>
                <w:szCs w:val="24"/>
                <w:u w:color="000000"/>
                <w:lang w:val="zh-TW"/>
              </w:rPr>
              <w:t>融媒体中心</w:t>
            </w:r>
          </w:p>
        </w:tc>
        <w:tc>
          <w:tcPr>
            <w:tcW w:w="1621" w:type="dxa"/>
          </w:tcPr>
          <w:p w14:paraId="1E300725">
            <w:pPr>
              <w:rPr>
                <w:rFonts w:ascii="Times New Roman" w:hAnsi="Times New Roman" w:eastAsia="黑体" w:cs="Times New Roman"/>
                <w:color w:val="000000" w:themeColor="text1"/>
                <w:sz w:val="24"/>
                <w:szCs w:val="24"/>
                <w:u w:color="000000"/>
                <w:lang w:val="zh-TW" w:eastAsia="zh-TW"/>
              </w:rPr>
            </w:pPr>
          </w:p>
        </w:tc>
      </w:tr>
      <w:tr w14:paraId="0F46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762505AD">
            <w:pPr>
              <w:spacing w:line="360" w:lineRule="auto"/>
              <w:jc w:val="center"/>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rPr>
              <w:t>副组长</w:t>
            </w:r>
          </w:p>
        </w:tc>
        <w:tc>
          <w:tcPr>
            <w:tcW w:w="1620" w:type="dxa"/>
            <w:vAlign w:val="center"/>
          </w:tcPr>
          <w:p w14:paraId="4CA90664">
            <w:pPr>
              <w:spacing w:line="360" w:lineRule="auto"/>
              <w:jc w:val="center"/>
              <w:rPr>
                <w:rFonts w:ascii="Times New Roman" w:hAnsi="Times New Roman" w:eastAsia="黑体" w:cs="Times New Roman"/>
                <w:color w:val="000000" w:themeColor="text1"/>
                <w:sz w:val="24"/>
                <w:szCs w:val="24"/>
                <w:u w:color="000000"/>
                <w:lang w:val="zh-TW"/>
              </w:rPr>
            </w:pPr>
            <w:r>
              <w:rPr>
                <w:rFonts w:hint="eastAsia" w:ascii="Times New Roman" w:hAnsi="Times New Roman" w:eastAsia="黑体" w:cs="Times New Roman"/>
                <w:color w:val="000000" w:themeColor="text1"/>
                <w:sz w:val="24"/>
                <w:szCs w:val="24"/>
                <w:u w:color="000000"/>
                <w:lang w:val="zh-TW"/>
              </w:rPr>
              <w:t>韩奇</w:t>
            </w:r>
          </w:p>
        </w:tc>
        <w:tc>
          <w:tcPr>
            <w:tcW w:w="1620" w:type="dxa"/>
            <w:vAlign w:val="center"/>
          </w:tcPr>
          <w:p w14:paraId="17372D59">
            <w:pPr>
              <w:spacing w:line="360" w:lineRule="auto"/>
              <w:jc w:val="center"/>
              <w:rPr>
                <w:rFonts w:ascii="Times New Roman" w:hAnsi="Times New Roman" w:eastAsia="黑体" w:cs="Times New Roman"/>
                <w:color w:val="000000" w:themeColor="text1"/>
                <w:sz w:val="24"/>
                <w:szCs w:val="24"/>
                <w:u w:color="000000"/>
                <w:lang w:val="zh-TW"/>
              </w:rPr>
            </w:pPr>
            <w:r>
              <w:rPr>
                <w:rFonts w:hint="eastAsia" w:ascii="Times New Roman" w:hAnsi="Times New Roman" w:eastAsia="黑体" w:cs="Times New Roman"/>
                <w:color w:val="000000" w:themeColor="text1"/>
                <w:sz w:val="24"/>
                <w:szCs w:val="24"/>
                <w:u w:color="000000"/>
                <w:lang w:val="zh-TW"/>
              </w:rPr>
              <w:t>副主任</w:t>
            </w:r>
          </w:p>
        </w:tc>
        <w:tc>
          <w:tcPr>
            <w:tcW w:w="1621" w:type="dxa"/>
          </w:tcPr>
          <w:p w14:paraId="5D89E72C">
            <w:pPr>
              <w:spacing w:line="360" w:lineRule="auto"/>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eastAsia="zh-TW"/>
              </w:rPr>
              <w:t>寻甸回族彝族自治县</w:t>
            </w:r>
            <w:r>
              <w:rPr>
                <w:rFonts w:hint="eastAsia" w:ascii="Times New Roman" w:hAnsi="Times New Roman" w:eastAsia="黑体" w:cs="Times New Roman"/>
                <w:color w:val="000000" w:themeColor="text1"/>
                <w:sz w:val="24"/>
                <w:szCs w:val="24"/>
                <w:u w:color="000000"/>
                <w:lang w:val="zh-TW"/>
              </w:rPr>
              <w:t>融媒体中心</w:t>
            </w:r>
          </w:p>
        </w:tc>
        <w:tc>
          <w:tcPr>
            <w:tcW w:w="1621" w:type="dxa"/>
          </w:tcPr>
          <w:p w14:paraId="1EE6615C">
            <w:pPr>
              <w:spacing w:line="360" w:lineRule="auto"/>
              <w:rPr>
                <w:rFonts w:ascii="Times New Roman" w:hAnsi="Times New Roman" w:eastAsia="黑体" w:cs="Times New Roman"/>
                <w:color w:val="000000" w:themeColor="text1"/>
                <w:sz w:val="24"/>
                <w:szCs w:val="24"/>
                <w:u w:color="000000"/>
                <w:lang w:val="zh-TW" w:eastAsia="zh-TW"/>
              </w:rPr>
            </w:pPr>
          </w:p>
        </w:tc>
      </w:tr>
      <w:tr w14:paraId="14AF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2683B1AB">
            <w:pPr>
              <w:spacing w:line="360" w:lineRule="auto"/>
              <w:jc w:val="center"/>
              <w:rPr>
                <w:rFonts w:ascii="Times New Roman" w:hAnsi="Times New Roman" w:eastAsia="黑体" w:cs="Times New Roman"/>
                <w:color w:val="000000" w:themeColor="text1"/>
                <w:sz w:val="24"/>
                <w:szCs w:val="24"/>
                <w:u w:color="000000"/>
                <w:lang w:val="zh-TW"/>
              </w:rPr>
            </w:pPr>
            <w:r>
              <w:rPr>
                <w:rFonts w:hint="eastAsia" w:ascii="Times New Roman" w:hAnsi="Times New Roman" w:eastAsia="黑体" w:cs="Times New Roman"/>
                <w:color w:val="000000" w:themeColor="text1"/>
                <w:sz w:val="24"/>
                <w:szCs w:val="24"/>
                <w:u w:color="000000"/>
                <w:lang w:val="zh-TW"/>
              </w:rPr>
              <w:t>副组长</w:t>
            </w:r>
          </w:p>
        </w:tc>
        <w:tc>
          <w:tcPr>
            <w:tcW w:w="1620" w:type="dxa"/>
            <w:vAlign w:val="center"/>
          </w:tcPr>
          <w:p w14:paraId="11A85220">
            <w:pPr>
              <w:spacing w:line="360" w:lineRule="auto"/>
              <w:jc w:val="center"/>
              <w:rPr>
                <w:rFonts w:hint="eastAsia" w:ascii="Times New Roman" w:hAnsi="Times New Roman" w:eastAsia="黑体" w:cs="Times New Roman"/>
                <w:color w:val="000000" w:themeColor="text1"/>
                <w:sz w:val="24"/>
                <w:szCs w:val="24"/>
                <w:u w:color="000000"/>
                <w:lang w:val="zh-TW" w:eastAsia="zh-CN"/>
              </w:rPr>
            </w:pPr>
            <w:r>
              <w:rPr>
                <w:rFonts w:hint="eastAsia" w:ascii="Times New Roman" w:hAnsi="Times New Roman" w:eastAsia="黑体" w:cs="Times New Roman"/>
                <w:color w:val="000000" w:themeColor="text1"/>
                <w:sz w:val="24"/>
                <w:szCs w:val="24"/>
                <w:u w:color="000000"/>
                <w:lang w:val="zh-TW" w:eastAsia="zh-CN"/>
              </w:rPr>
              <w:t>李力</w:t>
            </w:r>
          </w:p>
        </w:tc>
        <w:tc>
          <w:tcPr>
            <w:tcW w:w="1620" w:type="dxa"/>
            <w:vAlign w:val="center"/>
          </w:tcPr>
          <w:p w14:paraId="1A26CFC8">
            <w:pPr>
              <w:spacing w:line="360" w:lineRule="auto"/>
              <w:jc w:val="center"/>
              <w:rPr>
                <w:rFonts w:ascii="Times New Roman" w:hAnsi="Times New Roman" w:eastAsia="黑体" w:cs="Times New Roman"/>
                <w:color w:val="000000" w:themeColor="text1"/>
                <w:sz w:val="24"/>
                <w:szCs w:val="24"/>
                <w:u w:color="000000"/>
                <w:lang w:val="zh-TW"/>
              </w:rPr>
            </w:pPr>
            <w:r>
              <w:rPr>
                <w:rFonts w:hint="eastAsia" w:ascii="Times New Roman" w:hAnsi="Times New Roman" w:eastAsia="黑体" w:cs="Times New Roman"/>
                <w:color w:val="000000" w:themeColor="text1"/>
                <w:sz w:val="24"/>
                <w:szCs w:val="24"/>
                <w:u w:color="000000"/>
                <w:lang w:val="zh-TW"/>
              </w:rPr>
              <w:t>副主任</w:t>
            </w:r>
          </w:p>
        </w:tc>
        <w:tc>
          <w:tcPr>
            <w:tcW w:w="1621" w:type="dxa"/>
            <w:vAlign w:val="center"/>
          </w:tcPr>
          <w:p w14:paraId="7B62204B">
            <w:pPr>
              <w:spacing w:line="360" w:lineRule="auto"/>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eastAsia="zh-TW"/>
              </w:rPr>
              <w:t>寻甸回族彝族自治县</w:t>
            </w:r>
            <w:r>
              <w:rPr>
                <w:rFonts w:hint="eastAsia" w:ascii="Times New Roman" w:hAnsi="Times New Roman" w:eastAsia="黑体" w:cs="Times New Roman"/>
                <w:color w:val="000000" w:themeColor="text1"/>
                <w:sz w:val="24"/>
                <w:szCs w:val="24"/>
                <w:u w:color="000000"/>
                <w:lang w:val="zh-TW"/>
              </w:rPr>
              <w:t>融媒体中心</w:t>
            </w:r>
          </w:p>
        </w:tc>
        <w:tc>
          <w:tcPr>
            <w:tcW w:w="1621" w:type="dxa"/>
            <w:vAlign w:val="center"/>
          </w:tcPr>
          <w:p w14:paraId="3D53913A">
            <w:pPr>
              <w:spacing w:line="360" w:lineRule="auto"/>
              <w:rPr>
                <w:rFonts w:ascii="Times New Roman" w:hAnsi="Times New Roman" w:eastAsia="黑体" w:cs="Times New Roman"/>
                <w:color w:val="000000" w:themeColor="text1"/>
                <w:sz w:val="24"/>
                <w:szCs w:val="24"/>
                <w:u w:color="000000"/>
                <w:lang w:val="zh-TW"/>
              </w:rPr>
            </w:pPr>
          </w:p>
        </w:tc>
      </w:tr>
      <w:tr w14:paraId="6258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27FFB285">
            <w:pPr>
              <w:spacing w:line="360" w:lineRule="auto"/>
              <w:jc w:val="center"/>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rPr>
              <w:t>成员</w:t>
            </w:r>
          </w:p>
        </w:tc>
        <w:tc>
          <w:tcPr>
            <w:tcW w:w="1620" w:type="dxa"/>
            <w:vAlign w:val="center"/>
          </w:tcPr>
          <w:p w14:paraId="27BD49B5">
            <w:pPr>
              <w:spacing w:line="360" w:lineRule="auto"/>
              <w:jc w:val="center"/>
              <w:rPr>
                <w:rFonts w:hint="eastAsia" w:ascii="Times New Roman" w:hAnsi="Times New Roman" w:eastAsia="黑体" w:cs="Times New Roman"/>
                <w:color w:val="000000" w:themeColor="text1"/>
                <w:sz w:val="24"/>
                <w:szCs w:val="24"/>
                <w:u w:color="000000"/>
                <w:lang w:val="zh-TW" w:eastAsia="zh-CN"/>
              </w:rPr>
            </w:pPr>
            <w:r>
              <w:rPr>
                <w:rFonts w:hint="eastAsia" w:ascii="Times New Roman" w:hAnsi="Times New Roman" w:eastAsia="黑体" w:cs="Times New Roman"/>
                <w:color w:val="000000" w:themeColor="text1"/>
                <w:sz w:val="24"/>
                <w:szCs w:val="24"/>
                <w:u w:color="000000"/>
                <w:lang w:val="zh-TW" w:eastAsia="zh-CN"/>
              </w:rPr>
              <w:t>张益恒</w:t>
            </w:r>
          </w:p>
        </w:tc>
        <w:tc>
          <w:tcPr>
            <w:tcW w:w="1620" w:type="dxa"/>
            <w:vAlign w:val="center"/>
          </w:tcPr>
          <w:p w14:paraId="56933664">
            <w:pPr>
              <w:spacing w:line="360" w:lineRule="auto"/>
              <w:jc w:val="center"/>
              <w:rPr>
                <w:rFonts w:ascii="Times New Roman" w:hAnsi="Times New Roman" w:eastAsia="黑体" w:cs="Times New Roman"/>
                <w:color w:val="000000" w:themeColor="text1"/>
                <w:sz w:val="24"/>
                <w:szCs w:val="24"/>
                <w:u w:color="000000"/>
                <w:lang w:val="zh-TW"/>
              </w:rPr>
            </w:pPr>
            <w:r>
              <w:rPr>
                <w:rFonts w:hint="eastAsia" w:ascii="Times New Roman" w:hAnsi="Times New Roman" w:eastAsia="黑体" w:cs="Times New Roman"/>
                <w:color w:val="000000" w:themeColor="text1"/>
                <w:sz w:val="24"/>
                <w:szCs w:val="24"/>
                <w:u w:color="000000"/>
                <w:lang w:val="zh-TW"/>
              </w:rPr>
              <w:t>办公室主任</w:t>
            </w:r>
          </w:p>
        </w:tc>
        <w:tc>
          <w:tcPr>
            <w:tcW w:w="1621" w:type="dxa"/>
          </w:tcPr>
          <w:p w14:paraId="669519AF">
            <w:pPr>
              <w:spacing w:line="360" w:lineRule="auto"/>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eastAsia="zh-TW"/>
              </w:rPr>
              <w:t>寻甸回族彝族自治县</w:t>
            </w:r>
            <w:r>
              <w:rPr>
                <w:rFonts w:hint="eastAsia" w:ascii="Times New Roman" w:hAnsi="Times New Roman" w:eastAsia="黑体" w:cs="Times New Roman"/>
                <w:color w:val="000000" w:themeColor="text1"/>
                <w:sz w:val="24"/>
                <w:szCs w:val="24"/>
                <w:u w:color="000000"/>
                <w:lang w:val="zh-TW"/>
              </w:rPr>
              <w:t>融媒体中心</w:t>
            </w:r>
          </w:p>
        </w:tc>
        <w:tc>
          <w:tcPr>
            <w:tcW w:w="1621" w:type="dxa"/>
          </w:tcPr>
          <w:p w14:paraId="06AABE26">
            <w:pPr>
              <w:spacing w:line="360" w:lineRule="auto"/>
              <w:rPr>
                <w:rFonts w:ascii="Times New Roman" w:hAnsi="Times New Roman" w:eastAsia="黑体" w:cs="Times New Roman"/>
                <w:color w:val="000000" w:themeColor="text1"/>
                <w:sz w:val="24"/>
                <w:szCs w:val="24"/>
                <w:u w:color="000000"/>
                <w:lang w:val="zh-TW" w:eastAsia="zh-TW"/>
              </w:rPr>
            </w:pPr>
          </w:p>
        </w:tc>
      </w:tr>
      <w:tr w14:paraId="5976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2A0B657D">
            <w:pPr>
              <w:spacing w:line="360" w:lineRule="auto"/>
              <w:jc w:val="center"/>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rPr>
              <w:t>成员</w:t>
            </w:r>
          </w:p>
        </w:tc>
        <w:tc>
          <w:tcPr>
            <w:tcW w:w="1620" w:type="dxa"/>
            <w:vAlign w:val="center"/>
          </w:tcPr>
          <w:p w14:paraId="2C40D21F">
            <w:pPr>
              <w:spacing w:line="360" w:lineRule="auto"/>
              <w:jc w:val="center"/>
              <w:rPr>
                <w:rFonts w:ascii="Times New Roman" w:hAnsi="Times New Roman" w:eastAsia="黑体" w:cs="Times New Roman"/>
                <w:color w:val="000000" w:themeColor="text1"/>
                <w:sz w:val="24"/>
                <w:szCs w:val="24"/>
                <w:u w:color="000000"/>
                <w:lang w:val="zh-TW"/>
              </w:rPr>
            </w:pPr>
            <w:r>
              <w:rPr>
                <w:rFonts w:hint="eastAsia" w:ascii="Times New Roman" w:hAnsi="Times New Roman" w:eastAsia="黑体" w:cs="Times New Roman"/>
                <w:color w:val="000000" w:themeColor="text1"/>
                <w:sz w:val="24"/>
                <w:szCs w:val="24"/>
                <w:u w:color="000000"/>
                <w:lang w:val="zh-TW"/>
              </w:rPr>
              <w:t>郑燕</w:t>
            </w:r>
          </w:p>
        </w:tc>
        <w:tc>
          <w:tcPr>
            <w:tcW w:w="1620" w:type="dxa"/>
            <w:vAlign w:val="center"/>
          </w:tcPr>
          <w:p w14:paraId="165213FF">
            <w:pPr>
              <w:spacing w:line="360" w:lineRule="auto"/>
              <w:jc w:val="center"/>
              <w:rPr>
                <w:rFonts w:ascii="Times New Roman" w:hAnsi="Times New Roman" w:eastAsia="黑体" w:cs="Times New Roman"/>
                <w:color w:val="000000" w:themeColor="text1"/>
                <w:sz w:val="24"/>
                <w:szCs w:val="24"/>
                <w:u w:color="000000"/>
                <w:lang w:val="zh-TW"/>
              </w:rPr>
            </w:pPr>
            <w:r>
              <w:rPr>
                <w:rFonts w:hint="eastAsia" w:ascii="Times New Roman" w:hAnsi="Times New Roman" w:eastAsia="黑体" w:cs="Times New Roman"/>
                <w:color w:val="000000" w:themeColor="text1"/>
                <w:sz w:val="24"/>
                <w:szCs w:val="24"/>
                <w:u w:color="000000"/>
                <w:lang w:val="zh-TW"/>
              </w:rPr>
              <w:t>会计</w:t>
            </w:r>
          </w:p>
        </w:tc>
        <w:tc>
          <w:tcPr>
            <w:tcW w:w="1621" w:type="dxa"/>
          </w:tcPr>
          <w:p w14:paraId="402E2F0E">
            <w:pPr>
              <w:spacing w:line="360" w:lineRule="auto"/>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eastAsia="zh-TW"/>
              </w:rPr>
              <w:t>寻甸回族彝族自治县</w:t>
            </w:r>
            <w:r>
              <w:rPr>
                <w:rFonts w:hint="eastAsia" w:ascii="Times New Roman" w:hAnsi="Times New Roman" w:eastAsia="黑体" w:cs="Times New Roman"/>
                <w:color w:val="000000" w:themeColor="text1"/>
                <w:sz w:val="24"/>
                <w:szCs w:val="24"/>
                <w:u w:color="000000"/>
                <w:lang w:val="zh-TW"/>
              </w:rPr>
              <w:t>融媒体中心</w:t>
            </w:r>
          </w:p>
        </w:tc>
        <w:tc>
          <w:tcPr>
            <w:tcW w:w="1621" w:type="dxa"/>
          </w:tcPr>
          <w:p w14:paraId="3179ED31">
            <w:pPr>
              <w:spacing w:line="360" w:lineRule="auto"/>
              <w:rPr>
                <w:rFonts w:ascii="Times New Roman" w:hAnsi="Times New Roman" w:eastAsia="黑体" w:cs="Times New Roman"/>
                <w:color w:val="000000" w:themeColor="text1"/>
                <w:sz w:val="24"/>
                <w:szCs w:val="24"/>
                <w:u w:color="000000"/>
                <w:lang w:val="zh-TW" w:eastAsia="zh-TW"/>
              </w:rPr>
            </w:pPr>
          </w:p>
        </w:tc>
      </w:tr>
      <w:tr w14:paraId="1BCF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8102" w:type="dxa"/>
            <w:gridSpan w:val="5"/>
          </w:tcPr>
          <w:p w14:paraId="1C8D8C85">
            <w:pPr>
              <w:spacing w:line="360" w:lineRule="auto"/>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rPr>
              <w:t>报告撰写人（签字）：</w:t>
            </w:r>
          </w:p>
          <w:p w14:paraId="76FE7303">
            <w:pPr>
              <w:spacing w:line="360" w:lineRule="auto"/>
              <w:rPr>
                <w:rFonts w:ascii="Times New Roman" w:hAnsi="Times New Roman" w:eastAsia="黑体" w:cs="Times New Roman"/>
                <w:color w:val="000000" w:themeColor="text1"/>
                <w:sz w:val="24"/>
                <w:szCs w:val="24"/>
                <w:u w:color="000000"/>
                <w:lang w:val="zh-TW"/>
              </w:rPr>
            </w:pPr>
          </w:p>
          <w:p w14:paraId="6B3A04DF">
            <w:pPr>
              <w:spacing w:line="360" w:lineRule="auto"/>
              <w:rPr>
                <w:rFonts w:ascii="Times New Roman" w:hAnsi="Times New Roman" w:eastAsia="黑体" w:cs="Times New Roman"/>
                <w:color w:val="000000" w:themeColor="text1"/>
                <w:sz w:val="24"/>
                <w:szCs w:val="24"/>
                <w:u w:color="000000"/>
                <w:lang w:val="zh-TW"/>
              </w:rPr>
            </w:pPr>
          </w:p>
          <w:p w14:paraId="7C1391B3">
            <w:pPr>
              <w:wordWrap w:val="0"/>
              <w:spacing w:line="360" w:lineRule="auto"/>
              <w:jc w:val="right"/>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rPr>
              <w:t>年    月    日</w:t>
            </w:r>
          </w:p>
        </w:tc>
      </w:tr>
      <w:tr w14:paraId="380C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8102" w:type="dxa"/>
            <w:gridSpan w:val="5"/>
          </w:tcPr>
          <w:p w14:paraId="0FFF31B5">
            <w:pPr>
              <w:spacing w:line="360" w:lineRule="auto"/>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rPr>
              <w:t>评价工作负责人（签字）：</w:t>
            </w:r>
          </w:p>
          <w:p w14:paraId="58A54C4E">
            <w:pPr>
              <w:spacing w:line="360" w:lineRule="auto"/>
              <w:rPr>
                <w:rFonts w:ascii="Times New Roman" w:hAnsi="Times New Roman" w:eastAsia="黑体" w:cs="Times New Roman"/>
                <w:color w:val="000000" w:themeColor="text1"/>
                <w:sz w:val="24"/>
                <w:szCs w:val="24"/>
                <w:u w:color="000000"/>
                <w:lang w:val="zh-TW"/>
              </w:rPr>
            </w:pPr>
          </w:p>
          <w:p w14:paraId="2929846B">
            <w:pPr>
              <w:spacing w:line="360" w:lineRule="auto"/>
              <w:rPr>
                <w:rFonts w:ascii="Times New Roman" w:hAnsi="Times New Roman" w:eastAsia="黑体" w:cs="Times New Roman"/>
                <w:color w:val="000000" w:themeColor="text1"/>
                <w:sz w:val="24"/>
                <w:szCs w:val="24"/>
                <w:u w:color="000000"/>
                <w:lang w:val="zh-TW"/>
              </w:rPr>
            </w:pPr>
          </w:p>
          <w:p w14:paraId="1EB5E075">
            <w:pPr>
              <w:wordWrap w:val="0"/>
              <w:spacing w:line="360" w:lineRule="auto"/>
              <w:jc w:val="right"/>
              <w:rPr>
                <w:rFonts w:ascii="Times New Roman" w:hAnsi="Times New Roman" w:eastAsia="黑体" w:cs="Times New Roman"/>
                <w:color w:val="000000" w:themeColor="text1"/>
                <w:sz w:val="24"/>
                <w:szCs w:val="24"/>
                <w:u w:color="000000"/>
                <w:lang w:val="zh-TW"/>
              </w:rPr>
            </w:pPr>
            <w:r>
              <w:rPr>
                <w:rFonts w:ascii="Times New Roman" w:hAnsi="Times New Roman" w:eastAsia="黑体" w:cs="Times New Roman"/>
                <w:color w:val="000000" w:themeColor="text1"/>
                <w:sz w:val="24"/>
                <w:szCs w:val="24"/>
                <w:u w:color="000000"/>
                <w:lang w:val="zh-TW"/>
              </w:rPr>
              <w:t>年    月    日</w:t>
            </w:r>
          </w:p>
        </w:tc>
      </w:tr>
    </w:tbl>
    <w:p w14:paraId="4D11DAEF">
      <w:pPr>
        <w:spacing w:line="360" w:lineRule="auto"/>
        <w:ind w:firstLine="566" w:firstLineChars="236"/>
        <w:rPr>
          <w:rFonts w:ascii="Times New Roman" w:hAnsi="Times New Roman" w:eastAsia="PMingLiU" w:cs="Times New Roman"/>
          <w:color w:val="000000" w:themeColor="text1"/>
          <w:sz w:val="24"/>
          <w:szCs w:val="24"/>
          <w:u w:color="000000"/>
          <w:lang w:val="zh-TW" w:eastAsia="zh-TW"/>
        </w:rPr>
      </w:pPr>
    </w:p>
    <w:p w14:paraId="28CC2343">
      <w:pPr>
        <w:spacing w:line="360" w:lineRule="auto"/>
        <w:rPr>
          <w:rFonts w:ascii="Times New Roman" w:hAnsi="Times New Roman" w:eastAsia="宋体" w:cs="Times New Roman"/>
          <w:color w:val="000000" w:themeColor="text1"/>
          <w:sz w:val="24"/>
          <w:szCs w:val="24"/>
          <w:u w:color="000000"/>
          <w:lang w:val="zh-TW"/>
        </w:rPr>
        <w:sectPr>
          <w:pgSz w:w="11906" w:h="16838"/>
          <w:pgMar w:top="1440" w:right="1800" w:bottom="1440" w:left="1800" w:header="851" w:footer="992" w:gutter="0"/>
          <w:cols w:space="425" w:num="1"/>
          <w:docGrid w:type="lines" w:linePitch="312" w:charSpace="0"/>
        </w:sectPr>
      </w:pPr>
    </w:p>
    <w:p w14:paraId="4DC29085">
      <w:pPr>
        <w:keepNext/>
        <w:keepLines/>
        <w:widowControl/>
        <w:spacing w:before="480" w:line="276" w:lineRule="auto"/>
        <w:jc w:val="center"/>
        <w:rPr>
          <w:rFonts w:ascii="Times New Roman" w:hAnsi="Times New Roman" w:eastAsia="方正小标宋_GBK" w:cs="Times New Roman"/>
          <w:bCs/>
          <w:color w:val="000000" w:themeColor="text1"/>
          <w:kern w:val="0"/>
          <w:sz w:val="28"/>
          <w:szCs w:val="28"/>
        </w:rPr>
      </w:pPr>
      <w:r>
        <w:rPr>
          <w:rFonts w:ascii="Times New Roman" w:hAnsi="Times New Roman" w:eastAsia="方正小标宋_GBK" w:cs="Times New Roman"/>
          <w:bCs/>
          <w:color w:val="000000" w:themeColor="text1"/>
          <w:kern w:val="0"/>
          <w:sz w:val="28"/>
          <w:szCs w:val="28"/>
          <w:lang w:val="zh-CN"/>
        </w:rPr>
        <w:t>目录</w:t>
      </w:r>
    </w:p>
    <w:p w14:paraId="6B7594EE">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一、部门概况</w:t>
      </w:r>
    </w:p>
    <w:p w14:paraId="2D08B7EB">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（一）部门机构设置、编制</w:t>
      </w:r>
    </w:p>
    <w:p w14:paraId="75497044">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（二）部门职能</w:t>
      </w:r>
    </w:p>
    <w:p w14:paraId="1F66E5FA">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（三）部门工作完成情况</w:t>
      </w:r>
    </w:p>
    <w:p w14:paraId="77CA0390">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（四）部门管理制度</w:t>
      </w:r>
    </w:p>
    <w:p w14:paraId="40260B0B">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（五）部门资金来源及使用情况</w:t>
      </w:r>
    </w:p>
    <w:p w14:paraId="287EE052">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（六）政府采购情况</w:t>
      </w:r>
    </w:p>
    <w:p w14:paraId="2F04846E">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（七）固定资产情况</w:t>
      </w:r>
    </w:p>
    <w:p w14:paraId="7B6856C0">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二、绩效目标</w:t>
      </w:r>
    </w:p>
    <w:p w14:paraId="7AFF34A3">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三、评价思路和过程</w:t>
      </w:r>
    </w:p>
    <w:p w14:paraId="1D23AEA2">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（一）评价思路</w:t>
      </w:r>
    </w:p>
    <w:p w14:paraId="7456C944">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（二）评价目的</w:t>
      </w:r>
    </w:p>
    <w:p w14:paraId="648AFBF7">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（三）评价依据</w:t>
      </w:r>
    </w:p>
    <w:p w14:paraId="05732870">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（四）评价对象及评价时段</w:t>
      </w:r>
    </w:p>
    <w:p w14:paraId="76260BFA">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四、评价结论和绩效分析</w:t>
      </w:r>
    </w:p>
    <w:p w14:paraId="4BC5303C">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（一）评价结论</w:t>
      </w:r>
    </w:p>
    <w:p w14:paraId="156CD8C8">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（二）具体绩效分析</w:t>
      </w:r>
    </w:p>
    <w:p w14:paraId="7938F20D">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五、主要经验做法</w:t>
      </w:r>
    </w:p>
    <w:p w14:paraId="25BAA617">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六、存在的问题</w:t>
      </w:r>
    </w:p>
    <w:p w14:paraId="1F4531C0">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七、改进措施及建议</w:t>
      </w:r>
    </w:p>
    <w:p w14:paraId="6ADE4D01">
      <w:pPr>
        <w:spacing w:line="400" w:lineRule="exact"/>
        <w:ind w:firstLine="420" w:firstLineChars="200"/>
        <w:jc w:val="left"/>
        <w:rPr>
          <w:rFonts w:ascii="Times New Roman" w:hAnsi="Times New Roman" w:eastAsia="黑体" w:cs="Times New Roman"/>
          <w:color w:val="000000" w:themeColor="text1"/>
          <w:szCs w:val="32"/>
        </w:rPr>
      </w:pPr>
    </w:p>
    <w:p w14:paraId="3808C5DD">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附件1 成本费用分析报告</w:t>
      </w:r>
    </w:p>
    <w:p w14:paraId="70666302">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附件2 部门职能分解及</w:t>
      </w:r>
      <w:r>
        <w:rPr>
          <w:rFonts w:hint="eastAsia" w:ascii="Times New Roman" w:hAnsi="Times New Roman" w:eastAsia="黑体" w:cs="Times New Roman"/>
          <w:color w:val="000000" w:themeColor="text1"/>
          <w:szCs w:val="32"/>
          <w:lang w:eastAsia="zh-CN"/>
        </w:rPr>
        <w:t>2023</w:t>
      </w:r>
      <w:r>
        <w:rPr>
          <w:rFonts w:ascii="Times New Roman" w:hAnsi="Times New Roman" w:eastAsia="黑体" w:cs="Times New Roman"/>
          <w:color w:val="000000" w:themeColor="text1"/>
          <w:szCs w:val="32"/>
        </w:rPr>
        <w:t>年工作完成情况</w:t>
      </w:r>
    </w:p>
    <w:p w14:paraId="4815D416">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附件3评价指标体系</w:t>
      </w:r>
    </w:p>
    <w:p w14:paraId="579D8058">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附件4问卷调查报告</w:t>
      </w:r>
    </w:p>
    <w:p w14:paraId="1CAED554">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附件5工作底稿</w:t>
      </w:r>
    </w:p>
    <w:p w14:paraId="3230999B">
      <w:pPr>
        <w:spacing w:line="400" w:lineRule="exact"/>
        <w:ind w:firstLine="420" w:firstLineChars="20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附件6 寻甸回族彝族自治县</w:t>
      </w:r>
      <w:r>
        <w:rPr>
          <w:rFonts w:hint="eastAsia" w:ascii="Times New Roman" w:hAnsi="Times New Roman" w:eastAsia="黑体" w:cs="Times New Roman"/>
          <w:color w:val="000000" w:themeColor="text1"/>
          <w:szCs w:val="32"/>
        </w:rPr>
        <w:t>融媒体中心</w:t>
      </w:r>
      <w:r>
        <w:rPr>
          <w:rFonts w:hint="eastAsia" w:ascii="Times New Roman" w:hAnsi="Times New Roman" w:eastAsia="黑体" w:cs="Times New Roman"/>
          <w:color w:val="000000" w:themeColor="text1"/>
          <w:szCs w:val="32"/>
          <w:lang w:eastAsia="zh-CN"/>
        </w:rPr>
        <w:t>2023</w:t>
      </w:r>
      <w:r>
        <w:rPr>
          <w:rFonts w:ascii="Times New Roman" w:hAnsi="Times New Roman" w:eastAsia="黑体" w:cs="Times New Roman"/>
          <w:color w:val="000000" w:themeColor="text1"/>
          <w:szCs w:val="32"/>
        </w:rPr>
        <w:t>年项目预算、决算明细表（单位：元）</w:t>
      </w:r>
    </w:p>
    <w:p w14:paraId="567F8690">
      <w:pPr>
        <w:spacing w:line="600" w:lineRule="exact"/>
        <w:ind w:firstLine="420" w:firstLineChars="200"/>
        <w:jc w:val="left"/>
        <w:rPr>
          <w:rFonts w:ascii="Times New Roman" w:hAnsi="Times New Roman" w:eastAsia="黑体" w:cs="Times New Roman"/>
          <w:color w:val="000000" w:themeColor="text1"/>
          <w:szCs w:val="32"/>
        </w:rPr>
      </w:pPr>
    </w:p>
    <w:p w14:paraId="040F2EA1">
      <w:pPr>
        <w:spacing w:line="600" w:lineRule="exact"/>
        <w:ind w:firstLine="420" w:firstLineChars="200"/>
        <w:jc w:val="left"/>
        <w:rPr>
          <w:rFonts w:ascii="Times New Roman" w:hAnsi="Times New Roman" w:eastAsia="黑体" w:cs="Times New Roman"/>
          <w:color w:val="000000" w:themeColor="text1"/>
          <w:szCs w:val="32"/>
        </w:rPr>
      </w:pPr>
    </w:p>
    <w:p w14:paraId="47A6E04D">
      <w:pPr>
        <w:spacing w:line="600" w:lineRule="exact"/>
        <w:ind w:firstLine="420" w:firstLineChars="200"/>
        <w:jc w:val="center"/>
        <w:rPr>
          <w:rFonts w:ascii="Times New Roman" w:hAnsi="Times New Roman" w:eastAsia="方正小标宋_GBK" w:cs="Times New Roman"/>
          <w:color w:val="000000" w:themeColor="text1"/>
          <w:szCs w:val="32"/>
        </w:rPr>
      </w:pPr>
    </w:p>
    <w:p w14:paraId="0DE4F7B6">
      <w:pPr>
        <w:spacing w:line="520" w:lineRule="exact"/>
        <w:ind w:firstLine="480" w:firstLineChars="200"/>
        <w:jc w:val="center"/>
        <w:rPr>
          <w:rFonts w:ascii="Times New Roman" w:hAnsi="Times New Roman" w:eastAsia="方正小标宋_GBK" w:cs="Times New Roman"/>
          <w:color w:val="000000" w:themeColor="text1"/>
          <w:sz w:val="36"/>
          <w:szCs w:val="36"/>
        </w:rPr>
      </w:pPr>
      <w:r>
        <w:rPr>
          <w:rFonts w:ascii="Times New Roman" w:hAnsi="Times New Roman" w:eastAsia="方正小标宋_GBK" w:cs="Times New Roman"/>
          <w:color w:val="000000" w:themeColor="text1"/>
          <w:sz w:val="24"/>
          <w:szCs w:val="24"/>
        </w:rPr>
        <w:t>寻甸</w:t>
      </w:r>
      <w:r>
        <w:rPr>
          <w:rFonts w:hint="eastAsia" w:ascii="Times New Roman" w:hAnsi="Times New Roman" w:eastAsia="方正小标宋_GBK" w:cs="Times New Roman"/>
          <w:color w:val="000000" w:themeColor="text1"/>
          <w:sz w:val="24"/>
          <w:szCs w:val="24"/>
        </w:rPr>
        <w:t>回族彝族自治县</w:t>
      </w:r>
      <w:r>
        <w:rPr>
          <w:rFonts w:ascii="Times New Roman" w:hAnsi="Times New Roman" w:eastAsia="方正小标宋_GBK" w:cs="Times New Roman"/>
          <w:color w:val="000000" w:themeColor="text1"/>
          <w:sz w:val="24"/>
          <w:szCs w:val="24"/>
        </w:rPr>
        <w:t>融媒体中心</w:t>
      </w:r>
      <w:r>
        <w:rPr>
          <w:rFonts w:hint="eastAsia" w:ascii="Times New Roman" w:hAnsi="Times New Roman" w:eastAsia="方正小标宋_GBK" w:cs="Times New Roman"/>
          <w:color w:val="000000" w:themeColor="text1"/>
          <w:sz w:val="24"/>
          <w:szCs w:val="24"/>
          <w:lang w:eastAsia="zh-CN"/>
        </w:rPr>
        <w:t>2023</w:t>
      </w:r>
      <w:r>
        <w:rPr>
          <w:rFonts w:ascii="Times New Roman" w:hAnsi="Times New Roman" w:eastAsia="方正小标宋_GBK" w:cs="Times New Roman"/>
          <w:color w:val="000000" w:themeColor="text1"/>
          <w:sz w:val="24"/>
          <w:szCs w:val="24"/>
        </w:rPr>
        <w:t>年度部门整体支出绩效评价报告</w:t>
      </w:r>
    </w:p>
    <w:p w14:paraId="0DC081E1">
      <w:pPr>
        <w:topLinePunct/>
        <w:spacing w:line="520" w:lineRule="exact"/>
        <w:ind w:firstLine="525" w:firstLineChars="250"/>
        <w:rPr>
          <w:rFonts w:ascii="Times New Roman" w:hAnsi="Times New Roman" w:eastAsia="黑体" w:cs="Times New Roman"/>
          <w:color w:val="000000" w:themeColor="text1"/>
          <w:szCs w:val="32"/>
        </w:rPr>
      </w:pPr>
    </w:p>
    <w:p w14:paraId="5A7A886C">
      <w:pPr>
        <w:topLinePunct/>
        <w:spacing w:line="520" w:lineRule="exact"/>
        <w:ind w:firstLine="420" w:firstLineChars="200"/>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一、部门概况</w:t>
      </w:r>
    </w:p>
    <w:p w14:paraId="11EEE786">
      <w:pPr>
        <w:topLinePunct/>
        <w:spacing w:line="520" w:lineRule="exact"/>
        <w:ind w:firstLine="420" w:firstLineChars="200"/>
        <w:rPr>
          <w:rFonts w:ascii="Times New Roman" w:hAnsi="Times New Roman" w:eastAsia="楷体" w:cs="Times New Roman"/>
          <w:color w:val="000000" w:themeColor="text1"/>
          <w:szCs w:val="32"/>
        </w:rPr>
      </w:pPr>
      <w:r>
        <w:rPr>
          <w:rFonts w:ascii="Times New Roman" w:hAnsi="Times New Roman" w:eastAsia="楷体" w:cs="Times New Roman"/>
          <w:color w:val="000000" w:themeColor="text1"/>
          <w:szCs w:val="32"/>
        </w:rPr>
        <w:t>（一）部门机构设置、编制。</w:t>
      </w:r>
    </w:p>
    <w:p w14:paraId="120EB76E">
      <w:pPr>
        <w:topLinePunct/>
        <w:spacing w:line="520" w:lineRule="exact"/>
        <w:ind w:firstLine="420" w:firstLineChars="200"/>
        <w:rPr>
          <w:rFonts w:ascii="Times New Roman" w:hAnsi="Times New Roman" w:eastAsia="仿宋_GB2312" w:cs="Times New Roman"/>
          <w:color w:val="000000" w:themeColor="text1"/>
          <w:szCs w:val="32"/>
        </w:rPr>
      </w:pPr>
      <w:r>
        <w:rPr>
          <w:rFonts w:ascii="Times New Roman" w:hAnsi="Times New Roman" w:eastAsia="仿宋_GB2312" w:cs="Times New Roman"/>
          <w:color w:val="000000" w:themeColor="text1"/>
          <w:szCs w:val="32"/>
        </w:rPr>
        <w:t>寻甸回族彝族自治县</w:t>
      </w:r>
      <w:r>
        <w:rPr>
          <w:rFonts w:hint="eastAsia" w:ascii="Times New Roman" w:hAnsi="Times New Roman" w:eastAsia="仿宋_GB2312" w:cs="Times New Roman"/>
          <w:color w:val="000000" w:themeColor="text1"/>
          <w:szCs w:val="32"/>
        </w:rPr>
        <w:t>融媒体中心为财政全额拨款事业单位，机构性质为公益一类，隶属于中共寻甸县委，归口县委宣传部管理。统一社会信用代码:12530129MBOR84800T。内设办公室、新闻部、</w:t>
      </w:r>
      <w:r>
        <w:rPr>
          <w:rFonts w:hint="eastAsia" w:ascii="Times New Roman" w:hAnsi="Times New Roman" w:eastAsia="仿宋_GB2312" w:cs="Times New Roman"/>
          <w:color w:val="000000" w:themeColor="text1"/>
          <w:szCs w:val="32"/>
          <w:lang w:eastAsia="zh-CN"/>
        </w:rPr>
        <w:t>外联</w:t>
      </w:r>
      <w:r>
        <w:rPr>
          <w:rFonts w:hint="eastAsia" w:ascii="Times New Roman" w:hAnsi="Times New Roman" w:eastAsia="仿宋_GB2312" w:cs="Times New Roman"/>
          <w:color w:val="000000" w:themeColor="text1"/>
          <w:szCs w:val="32"/>
        </w:rPr>
        <w:t>部、全媒体</w:t>
      </w:r>
      <w:r>
        <w:rPr>
          <w:rFonts w:hint="eastAsia" w:ascii="Times New Roman" w:hAnsi="Times New Roman" w:eastAsia="仿宋_GB2312" w:cs="Times New Roman"/>
          <w:color w:val="000000" w:themeColor="text1"/>
          <w:szCs w:val="32"/>
          <w:lang w:eastAsia="zh-CN"/>
        </w:rPr>
        <w:t>策划运营</w:t>
      </w:r>
      <w:r>
        <w:rPr>
          <w:rFonts w:hint="eastAsia" w:ascii="Times New Roman" w:hAnsi="Times New Roman" w:eastAsia="仿宋_GB2312" w:cs="Times New Roman"/>
          <w:color w:val="000000" w:themeColor="text1"/>
          <w:szCs w:val="32"/>
        </w:rPr>
        <w:t>部、安全和技术保障部、信息数据部6个科室。核定事业编制28名，其中:管理人员编制</w:t>
      </w:r>
      <w:r>
        <w:rPr>
          <w:rFonts w:hint="eastAsia" w:ascii="Times New Roman" w:hAnsi="Times New Roman" w:eastAsia="仿宋_GB2312" w:cs="Times New Roman"/>
          <w:color w:val="000000" w:themeColor="text1"/>
          <w:szCs w:val="32"/>
          <w:lang w:val="en-US" w:eastAsia="zh-CN"/>
        </w:rPr>
        <w:t>4</w:t>
      </w:r>
      <w:r>
        <w:rPr>
          <w:rFonts w:hint="eastAsia" w:ascii="Times New Roman" w:hAnsi="Times New Roman" w:eastAsia="仿宋_GB2312" w:cs="Times New Roman"/>
          <w:color w:val="000000" w:themeColor="text1"/>
          <w:szCs w:val="32"/>
        </w:rPr>
        <w:t>名，专业技术人员编制2</w:t>
      </w:r>
      <w:r>
        <w:rPr>
          <w:rFonts w:hint="eastAsia" w:ascii="Times New Roman" w:hAnsi="Times New Roman" w:eastAsia="仿宋_GB2312" w:cs="Times New Roman"/>
          <w:color w:val="000000" w:themeColor="text1"/>
          <w:szCs w:val="32"/>
          <w:lang w:val="en-US" w:eastAsia="zh-CN"/>
        </w:rPr>
        <w:t>4</w:t>
      </w:r>
      <w:r>
        <w:rPr>
          <w:rFonts w:hint="eastAsia" w:ascii="Times New Roman" w:hAnsi="Times New Roman" w:eastAsia="仿宋_GB2312" w:cs="Times New Roman"/>
          <w:color w:val="000000" w:themeColor="text1"/>
          <w:szCs w:val="32"/>
        </w:rPr>
        <w:t>名。设主任1名(正科级)，副主任3名(副科级)，设中层领导职数6名。</w:t>
      </w:r>
    </w:p>
    <w:p w14:paraId="2AF422B5">
      <w:pPr>
        <w:topLinePunct/>
        <w:spacing w:line="520" w:lineRule="exact"/>
        <w:ind w:firstLine="420" w:firstLineChars="200"/>
        <w:rPr>
          <w:rFonts w:ascii="Times New Roman" w:hAnsi="Times New Roman" w:eastAsia="仿宋_GB2312" w:cs="Times New Roman"/>
          <w:color w:val="000000" w:themeColor="text1"/>
          <w:szCs w:val="32"/>
        </w:rPr>
      </w:pPr>
      <w:r>
        <w:rPr>
          <w:rFonts w:hint="eastAsia" w:ascii="Times New Roman" w:hAnsi="Times New Roman" w:eastAsia="仿宋_GB2312" w:cs="Times New Roman"/>
          <w:color w:val="000000" w:themeColor="text1"/>
          <w:szCs w:val="32"/>
          <w:lang w:eastAsia="zh-CN"/>
        </w:rPr>
        <w:t>2023</w:t>
      </w:r>
      <w:r>
        <w:rPr>
          <w:rFonts w:hint="eastAsia" w:ascii="Times New Roman" w:hAnsi="Times New Roman" w:eastAsia="仿宋_GB2312" w:cs="Times New Roman"/>
          <w:color w:val="000000" w:themeColor="text1"/>
          <w:szCs w:val="32"/>
        </w:rPr>
        <w:t>年年末在职人员共3</w:t>
      </w:r>
      <w:r>
        <w:rPr>
          <w:rFonts w:hint="eastAsia" w:ascii="Times New Roman" w:hAnsi="Times New Roman" w:eastAsia="仿宋_GB2312" w:cs="Times New Roman"/>
          <w:color w:val="000000" w:themeColor="text1"/>
          <w:szCs w:val="32"/>
          <w:lang w:val="en-US" w:eastAsia="zh-CN"/>
        </w:rPr>
        <w:t>5</w:t>
      </w:r>
      <w:r>
        <w:rPr>
          <w:rFonts w:hint="eastAsia" w:ascii="Times New Roman" w:hAnsi="Times New Roman" w:eastAsia="仿宋_GB2312" w:cs="Times New Roman"/>
          <w:color w:val="000000" w:themeColor="text1"/>
          <w:szCs w:val="32"/>
        </w:rPr>
        <w:t>人。其中:编内人员</w:t>
      </w:r>
      <w:r>
        <w:rPr>
          <w:rFonts w:hint="eastAsia" w:ascii="Times New Roman" w:hAnsi="Times New Roman" w:eastAsia="仿宋_GB2312" w:cs="Times New Roman"/>
          <w:color w:val="000000" w:themeColor="text1"/>
          <w:szCs w:val="32"/>
          <w:lang w:val="en-US" w:eastAsia="zh-CN"/>
        </w:rPr>
        <w:t>20</w:t>
      </w:r>
      <w:r>
        <w:rPr>
          <w:rFonts w:hint="eastAsia" w:ascii="Times New Roman" w:hAnsi="Times New Roman" w:eastAsia="仿宋_GB2312" w:cs="Times New Roman"/>
          <w:color w:val="000000" w:themeColor="text1"/>
          <w:szCs w:val="32"/>
        </w:rPr>
        <w:t>人，劳务派遣15人。寻甸回族彝族自治县融媒体中心</w:t>
      </w:r>
      <w:r>
        <w:rPr>
          <w:rFonts w:ascii="Times New Roman" w:hAnsi="Times New Roman" w:eastAsia="仿宋_GB2312" w:cs="Times New Roman"/>
          <w:color w:val="000000" w:themeColor="text1"/>
          <w:szCs w:val="32"/>
        </w:rPr>
        <w:t>执行《</w:t>
      </w:r>
      <w:r>
        <w:rPr>
          <w:rFonts w:hint="eastAsia" w:ascii="Times New Roman" w:hAnsi="Times New Roman" w:eastAsia="仿宋_GB2312" w:cs="Times New Roman"/>
          <w:color w:val="000000" w:themeColor="text1"/>
          <w:szCs w:val="32"/>
        </w:rPr>
        <w:t>政府会计</w:t>
      </w:r>
      <w:r>
        <w:rPr>
          <w:rFonts w:ascii="Times New Roman" w:hAnsi="Times New Roman" w:eastAsia="仿宋_GB2312" w:cs="Times New Roman"/>
          <w:color w:val="000000" w:themeColor="text1"/>
          <w:szCs w:val="32"/>
        </w:rPr>
        <w:t>制度》。</w:t>
      </w:r>
    </w:p>
    <w:p w14:paraId="33F55E73">
      <w:pPr>
        <w:topLinePunct/>
        <w:spacing w:line="520" w:lineRule="exact"/>
        <w:ind w:firstLine="420" w:firstLineChars="200"/>
        <w:rPr>
          <w:rFonts w:ascii="Times New Roman" w:hAnsi="Times New Roman" w:eastAsia="楷体" w:cs="Times New Roman"/>
          <w:color w:val="000000" w:themeColor="text1"/>
          <w:szCs w:val="32"/>
        </w:rPr>
      </w:pPr>
      <w:r>
        <w:rPr>
          <w:rFonts w:ascii="Times New Roman" w:hAnsi="Times New Roman" w:eastAsia="楷体" w:cs="Times New Roman"/>
          <w:color w:val="000000" w:themeColor="text1"/>
          <w:szCs w:val="32"/>
        </w:rPr>
        <w:t>（二）部门职能。</w:t>
      </w:r>
    </w:p>
    <w:p w14:paraId="746527B1">
      <w:pPr>
        <w:topLinePunct/>
        <w:spacing w:line="520" w:lineRule="exact"/>
        <w:ind w:firstLine="420" w:firstLineChars="200"/>
        <w:rPr>
          <w:rFonts w:ascii="Times New Roman" w:hAnsi="Times New Roman" w:eastAsia="仿宋_GB2312" w:cs="Times New Roman"/>
          <w:color w:val="000000" w:themeColor="text1"/>
          <w:szCs w:val="32"/>
        </w:rPr>
      </w:pPr>
      <w:r>
        <w:rPr>
          <w:rFonts w:hint="eastAsia" w:ascii="Times New Roman" w:hAnsi="Times New Roman" w:eastAsia="仿宋_GB2312" w:cs="Times New Roman"/>
          <w:color w:val="000000" w:themeColor="text1"/>
          <w:szCs w:val="32"/>
        </w:rPr>
        <w:t>1、贯彻落实党的新闻宣传方针政策，宣传党的理论、路线和各项方针政策，了解和究社会舆论动向，把握新闻宣传基调，坚持正面宣传为主的舆论导向。2、充分发挥政府的喉舌作用，围绕县委、县政府的中心工作积极组织开展新闻宣传工作，及时宣传道县内政治、经济、文化、社会、生态和党的建设等各方面工作中的新闻信息。3、负责县级广播电视节目的采集、编辑、制作和播出。4、负责县级新媒体信息的采集、编辑、制作和传播，对所属媒体平台进行融合，进行全媒体发布。5、负责公益广告的策划、制作及播出。6、充分发挥融媒体的服务功能，做好全县新闻资讯、党建、政务、民生等领域的服务工作。7、负责全县新闻宣传通联工作，及时向上级新闻媒体提供全县有报道价值的新闻线索，抓好通讯员队伍、通讯员网络建设，做好新闻工作者的思想政治工作。负责组织参加各级各类媒体协会、新闻学会、记者协会的新闻评奖、评优活动。8、完成县委、县政府和县委宣传部交办的其他工作。</w:t>
      </w:r>
    </w:p>
    <w:p w14:paraId="50BA2CA6">
      <w:pPr>
        <w:topLinePunct/>
        <w:spacing w:line="520" w:lineRule="exact"/>
        <w:ind w:firstLine="420" w:firstLineChars="200"/>
        <w:rPr>
          <w:rFonts w:ascii="Times New Roman" w:hAnsi="Times New Roman" w:eastAsia="楷体" w:cs="Times New Roman"/>
          <w:color w:val="000000" w:themeColor="text1"/>
          <w:szCs w:val="32"/>
        </w:rPr>
      </w:pPr>
      <w:r>
        <w:rPr>
          <w:rFonts w:ascii="Times New Roman" w:hAnsi="Times New Roman" w:eastAsia="楷体" w:cs="Times New Roman"/>
          <w:color w:val="000000" w:themeColor="text1"/>
          <w:szCs w:val="32"/>
        </w:rPr>
        <w:t>（三）部门工作完成情况。</w:t>
      </w:r>
    </w:p>
    <w:p w14:paraId="020BC870">
      <w:pPr>
        <w:topLinePunct/>
        <w:spacing w:line="520" w:lineRule="exact"/>
        <w:ind w:firstLine="420" w:firstLineChars="200"/>
        <w:rPr>
          <w:rFonts w:ascii="Times New Roman" w:hAnsi="Times New Roman" w:eastAsia="仿宋_GB2312" w:cs="Times New Roman"/>
          <w:color w:val="000000" w:themeColor="text1"/>
          <w:szCs w:val="32"/>
        </w:rPr>
      </w:pPr>
      <w:r>
        <w:rPr>
          <w:rFonts w:hint="eastAsia" w:ascii="Times New Roman" w:hAnsi="Times New Roman" w:eastAsia="仿宋_GB2312" w:cs="Times New Roman"/>
          <w:color w:val="000000" w:themeColor="text1"/>
          <w:szCs w:val="32"/>
        </w:rPr>
        <w:t>1.寻甸县融媒体中心隶属于中共寻甸县委，归口县委宣传部管理，根据中共寻甸回族彝族自治县委目督办关于下达《县委宣传部</w:t>
      </w:r>
      <w:r>
        <w:rPr>
          <w:rFonts w:hint="eastAsia" w:ascii="Times New Roman" w:hAnsi="Times New Roman" w:eastAsia="仿宋_GB2312" w:cs="Times New Roman"/>
          <w:color w:val="000000" w:themeColor="text1"/>
          <w:szCs w:val="32"/>
          <w:lang w:eastAsia="zh-CN"/>
        </w:rPr>
        <w:t>2023</w:t>
      </w:r>
      <w:r>
        <w:rPr>
          <w:rFonts w:hint="eastAsia" w:ascii="Times New Roman" w:hAnsi="Times New Roman" w:eastAsia="仿宋_GB2312" w:cs="Times New Roman"/>
          <w:color w:val="000000" w:themeColor="text1"/>
          <w:szCs w:val="32"/>
        </w:rPr>
        <w:t>年工作目标》的通知，属于寻甸县融媒体中心履职范围内的年度工作目标已完成，完成率100％；</w:t>
      </w:r>
    </w:p>
    <w:p w14:paraId="25C8E1FE">
      <w:pPr>
        <w:topLinePunct/>
        <w:spacing w:line="520" w:lineRule="exact"/>
        <w:ind w:firstLine="420" w:firstLineChars="200"/>
        <w:rPr>
          <w:rFonts w:ascii="Times New Roman" w:hAnsi="Times New Roman" w:eastAsia="仿宋_GB2312" w:cs="Times New Roman"/>
          <w:color w:val="000000" w:themeColor="text1"/>
          <w:szCs w:val="32"/>
        </w:rPr>
      </w:pPr>
      <w:r>
        <w:rPr>
          <w:rFonts w:hint="eastAsia" w:ascii="Times New Roman" w:hAnsi="Times New Roman" w:eastAsia="仿宋_GB2312" w:cs="Times New Roman"/>
          <w:color w:val="000000" w:themeColor="text1"/>
          <w:szCs w:val="32"/>
        </w:rPr>
        <w:t>2.寻甸县融媒体中心履职范围内确定的主要工作目标任务在规定时限内已实际完成了</w:t>
      </w:r>
    </w:p>
    <w:p w14:paraId="0DE7D916">
      <w:pPr>
        <w:topLinePunct/>
        <w:spacing w:line="520" w:lineRule="exact"/>
        <w:rPr>
          <w:rFonts w:ascii="Times New Roman" w:hAnsi="Times New Roman" w:eastAsia="仿宋_GB2312" w:cs="Times New Roman"/>
          <w:color w:val="000000" w:themeColor="text1"/>
          <w:szCs w:val="32"/>
        </w:rPr>
      </w:pPr>
      <w:r>
        <w:rPr>
          <w:rFonts w:hint="eastAsia" w:ascii="Times New Roman" w:hAnsi="Times New Roman" w:eastAsia="仿宋_GB2312" w:cs="Times New Roman"/>
          <w:color w:val="000000" w:themeColor="text1"/>
          <w:szCs w:val="32"/>
        </w:rPr>
        <w:t>相应的工作任务数，完成及时率为100％；</w:t>
      </w:r>
    </w:p>
    <w:p w14:paraId="45CE7B36">
      <w:pPr>
        <w:topLinePunct/>
        <w:spacing w:line="520" w:lineRule="exact"/>
        <w:ind w:firstLine="420" w:firstLineChars="200"/>
        <w:rPr>
          <w:rFonts w:ascii="Times New Roman" w:hAnsi="Times New Roman" w:eastAsia="仿宋_GB2312" w:cs="Times New Roman"/>
          <w:color w:val="000000" w:themeColor="text1"/>
          <w:szCs w:val="32"/>
        </w:rPr>
      </w:pPr>
      <w:r>
        <w:rPr>
          <w:rFonts w:hint="eastAsia" w:ascii="Times New Roman" w:hAnsi="Times New Roman" w:eastAsia="仿宋_GB2312" w:cs="Times New Roman"/>
          <w:color w:val="000000" w:themeColor="text1"/>
          <w:szCs w:val="32"/>
        </w:rPr>
        <w:t>3.寻甸县融媒体中心隶属于中共寻甸县委，归口县委宣传部管理，依据中共寻甸回族彝族自治县委、寻甸回族彝族自治县人民政府《关于</w:t>
      </w:r>
      <w:r>
        <w:rPr>
          <w:rFonts w:hint="eastAsia" w:ascii="Times New Roman" w:hAnsi="Times New Roman" w:eastAsia="仿宋_GB2312" w:cs="Times New Roman"/>
          <w:color w:val="000000" w:themeColor="text1"/>
          <w:szCs w:val="32"/>
          <w:lang w:eastAsia="zh-CN"/>
        </w:rPr>
        <w:t>2023</w:t>
      </w:r>
      <w:r>
        <w:rPr>
          <w:rFonts w:hint="eastAsia" w:ascii="Times New Roman" w:hAnsi="Times New Roman" w:eastAsia="仿宋_GB2312" w:cs="Times New Roman"/>
          <w:color w:val="000000" w:themeColor="text1"/>
          <w:szCs w:val="32"/>
        </w:rPr>
        <w:t>年度目标管理绩效考核结果的通报》考核结果，寻甸县委宣传部考核得分为</w:t>
      </w:r>
      <w:r>
        <w:rPr>
          <w:rFonts w:hint="eastAsia" w:ascii="Times New Roman" w:hAnsi="Times New Roman" w:eastAsia="仿宋_GB2312" w:cs="Times New Roman"/>
          <w:color w:val="000000" w:themeColor="text1"/>
          <w:szCs w:val="32"/>
          <w:lang w:val="en-US" w:eastAsia="zh-CN"/>
        </w:rPr>
        <w:t>97.81</w:t>
      </w:r>
      <w:r>
        <w:rPr>
          <w:rFonts w:hint="eastAsia" w:ascii="Times New Roman" w:hAnsi="Times New Roman" w:eastAsia="仿宋_GB2312" w:cs="Times New Roman"/>
          <w:color w:val="000000" w:themeColor="text1"/>
          <w:szCs w:val="32"/>
        </w:rPr>
        <w:t>分，按照总分100分计算，职责履行质量达标率为</w:t>
      </w:r>
      <w:r>
        <w:rPr>
          <w:rFonts w:hint="eastAsia" w:ascii="Times New Roman" w:hAnsi="Times New Roman" w:eastAsia="仿宋_GB2312" w:cs="Times New Roman"/>
          <w:color w:val="000000" w:themeColor="text1"/>
          <w:szCs w:val="32"/>
          <w:lang w:val="en-US" w:eastAsia="zh-CN"/>
        </w:rPr>
        <w:t>97.81</w:t>
      </w:r>
      <w:r>
        <w:rPr>
          <w:rFonts w:hint="eastAsia" w:ascii="Times New Roman" w:hAnsi="Times New Roman" w:eastAsia="仿宋_GB2312" w:cs="Times New Roman"/>
          <w:color w:val="000000" w:themeColor="text1"/>
          <w:szCs w:val="32"/>
        </w:rPr>
        <w:t>％。</w:t>
      </w:r>
    </w:p>
    <w:p w14:paraId="31C52DFD">
      <w:pPr>
        <w:spacing w:line="600" w:lineRule="exact"/>
        <w:ind w:firstLine="420" w:firstLineChars="200"/>
        <w:rPr>
          <w:rFonts w:hint="eastAsia" w:ascii="仿宋_GB2312" w:eastAsia="仿宋_GB2312"/>
          <w:sz w:val="32"/>
          <w:szCs w:val="21"/>
        </w:rPr>
      </w:pPr>
      <w:r>
        <w:rPr>
          <w:rFonts w:hint="eastAsia" w:ascii="Times New Roman" w:hAnsi="Times New Roman" w:eastAsia="仿宋_GB2312" w:cs="Times New Roman"/>
          <w:color w:val="000000" w:themeColor="text1"/>
          <w:szCs w:val="32"/>
        </w:rPr>
        <w:t>4.</w:t>
      </w:r>
      <w:r>
        <w:rPr>
          <w:rFonts w:hint="eastAsia" w:ascii="Times New Roman" w:hAnsi="Times New Roman" w:eastAsia="仿宋_GB2312" w:cs="Times New Roman"/>
          <w:color w:val="000000" w:themeColor="text1"/>
          <w:szCs w:val="32"/>
          <w:lang w:eastAsia="zh-CN"/>
        </w:rPr>
        <w:t>2023</w:t>
      </w:r>
      <w:r>
        <w:rPr>
          <w:rFonts w:hint="eastAsia" w:ascii="Times New Roman" w:hAnsi="Times New Roman" w:eastAsia="仿宋_GB2312" w:cs="Times New Roman"/>
          <w:color w:val="000000" w:themeColor="text1"/>
          <w:szCs w:val="32"/>
        </w:rPr>
        <w:t>年度，寻甸县融媒体中心重点工作目标</w:t>
      </w:r>
      <w:r>
        <w:rPr>
          <w:rFonts w:hint="eastAsia" w:ascii="Times New Roman" w:hAnsi="Times New Roman" w:eastAsia="仿宋_GB2312" w:cs="Times New Roman"/>
          <w:color w:val="000000" w:themeColor="text1"/>
          <w:szCs w:val="32"/>
          <w:lang w:val="en-US" w:eastAsia="zh-CN"/>
        </w:rPr>
        <w:t>7</w:t>
      </w:r>
      <w:r>
        <w:rPr>
          <w:rFonts w:hint="eastAsia" w:ascii="Times New Roman" w:hAnsi="Times New Roman" w:eastAsia="仿宋_GB2312" w:cs="Times New Roman"/>
          <w:color w:val="000000" w:themeColor="text1"/>
          <w:szCs w:val="32"/>
        </w:rPr>
        <w:t>项：</w:t>
      </w:r>
      <w:r>
        <w:rPr>
          <w:rFonts w:hint="eastAsia" w:ascii="仿宋_GB2312" w:eastAsia="仿宋_GB2312"/>
          <w:szCs w:val="21"/>
        </w:rPr>
        <w:t>（一）坚持重点突出，舆论宣传守正出新</w:t>
      </w:r>
      <w:r>
        <w:rPr>
          <w:rFonts w:hint="eastAsia" w:ascii="仿宋_GB2312" w:eastAsia="仿宋_GB2312"/>
          <w:szCs w:val="21"/>
          <w:lang w:eastAsia="zh-CN"/>
        </w:rPr>
        <w:t>。</w:t>
      </w:r>
      <w:r>
        <w:rPr>
          <w:rFonts w:hint="eastAsia" w:ascii="仿宋_GB2312" w:eastAsia="仿宋_GB2312"/>
          <w:szCs w:val="21"/>
        </w:rPr>
        <w:t>2023年，县融媒体中心切实转变作风，主动担当作为，认真履职尽责，全力抓好新闻宣传服务。在《寻甸新闻》的编发上创新方式强服务，加强与县级其他单位和各乡镇（街道）的对接工作。对时政新闻以外的宣传报道尽可能地通过通讯员采集，减少文字内容的描述，更多通过精美的图片和小视频吸引观众眼球，有效提高媒体关注度和点击率。同时，加强与各部门间的宣传配合，主动与其他单位、企业强化联系，寻找优质宣传素材，积极主动行使宣传职能。主动联系并深入基层一线开展报道工作，采写基层鲜活新闻、反映群众呼声、打通新闻宣传服务群众“最后一公里”，提高宣传工作者的“四力”践行力。在今年的宣传报道中，主要围绕乡村振兴、产业发展、文化旅游、“创文”成果、“三变改革”等县委、县政府中心工作，在电视端《寻甸新闻》中全面展示我县重点工作推进、经验成效、特色亮点。截至10月15日，共发布各类时政、民生新闻228期，专题报道新闻信息1279条。（二）媒体报道“真、实、细” ，为七运会增光添彩</w:t>
      </w:r>
      <w:r>
        <w:rPr>
          <w:rFonts w:hint="eastAsia" w:ascii="仿宋_GB2312" w:eastAsia="仿宋_GB2312"/>
          <w:szCs w:val="21"/>
          <w:lang w:eastAsia="zh-CN"/>
        </w:rPr>
        <w:t>。</w:t>
      </w:r>
      <w:r>
        <w:rPr>
          <w:rFonts w:hint="eastAsia" w:ascii="仿宋_GB2312" w:eastAsia="仿宋_GB2312"/>
          <w:szCs w:val="21"/>
        </w:rPr>
        <w:t>7月22日至8月6日，昆明市第七届运动会在寻甸县盛大举行，县融媒体中心积极与相关单位对接，落实市七运会宣传报道要求，用镜头和笔触展现每个关键节点、每项工作进展。比赛时间，县融媒体中心充分发挥县主流媒体宣传主阵地作用，运用好寻甸电视台及“寻甸融媒”微信公众号、视频号、抖音、APP等媒体平台，开设“昆明市第七届运动会”专栏，并与昆明电视台、都市时报、掌上春城合作，对市七运会组织领导、积极筹备、统筹推进、运动员集训等情况进行广泛动员和全方位宣传报道，同时，开启倒计时30天宣传。比赛期间，县融媒体中心有组织，有策划，有亮点生产了众多宣传产品，发布相关宣传报道超186篇（条），与昆明电视台及相关单位拍摄制作七运会主题宣传片1部、“相约七运”“寻甸前进”MV 配片2个、系列短视频3条、宣传片预告1条、预热侧记1条、场馆介绍6条。其中发布奖牌榜14期，图集及赛事预告24期，围绕精彩赛事、志愿服务、后勤保障、开幕式等主题制作短视频32个，《寻甸新闻》组织人物专访和赛事报道46条，并第一时间进行推送发布。此外，为让更多群众看到了解市七运会精彩赛项及开幕式，县融媒体中心对人民群众期待度高的比赛项目和开幕仪式进行了高清直播。（三）打造一体平台，全媒体矩阵建设显著</w:t>
      </w:r>
      <w:r>
        <w:rPr>
          <w:rFonts w:hint="eastAsia" w:ascii="仿宋_GB2312" w:eastAsia="仿宋_GB2312"/>
          <w:szCs w:val="21"/>
          <w:lang w:eastAsia="zh-CN"/>
        </w:rPr>
        <w:t>。</w:t>
      </w:r>
      <w:r>
        <w:rPr>
          <w:rFonts w:hint="eastAsia" w:ascii="仿宋_GB2312" w:eastAsia="仿宋_GB2312"/>
          <w:szCs w:val="21"/>
        </w:rPr>
        <w:t>2023年，县融媒体中心围绕县委县政府中心工作、服务全县社会经济各项事业发展大局，在各平台上全年直播及推发新闻、信息等数量大幅增长、质量明显提升、影响力逐步扩大。全年推发微信365期，3300余篇，环比增长800余篇；微博推发9000余篇，环比增长2900篇；头条号推发2700余篇，环比增长420篇；抖音发布414篇、快手发布455篇。自“寻甸融媒”视频号开播经典电视剧以来，粉丝数成倍增长，现已由开播前的4万余人突破至年末的11万余人。在此基础上，县融媒体中心还积极策划、主动出击，共制作宣传（专题、汇报）片及各类短视频共230余个、各类直播20余场。其中共制作推发《二十大报告微讲堂》34个、《学习宣传贯彻党的二十大精神系列“微党课”》6期、《山水寻甸》《走近寻甸》《人间难得几回寻》宣传寻甸山川风物、风俗特色系列短视频30余期、《寻才新语》《政协面对面》等电视问政专栏4期，其他各类宣传（专题、汇报）片10余个；MV2个。（四）强化制度细化措施，实现安全播出无事故</w:t>
      </w:r>
      <w:r>
        <w:rPr>
          <w:rFonts w:hint="eastAsia" w:ascii="仿宋_GB2312" w:eastAsia="仿宋_GB2312"/>
          <w:szCs w:val="21"/>
          <w:lang w:eastAsia="zh-CN"/>
        </w:rPr>
        <w:t>。</w:t>
      </w:r>
      <w:r>
        <w:rPr>
          <w:rFonts w:hint="eastAsia" w:ascii="仿宋_GB2312" w:eastAsia="仿宋_GB2312"/>
          <w:szCs w:val="21"/>
        </w:rPr>
        <w:t>县融媒体中心把防范安全播出事故作为日常工作的重中之重，始终按照国家广电总局关于安全播出的工作要求，牢固树立政治意识、大局意识、安全意识，明确工作职责，规范机房管理、值班备勤、安全管理、供配电管理、维护检修、技术档案管理等一系列制度，修改了突发事件协调、事故处置等应急预案，完善了安全播出指挥系统，切实把安全播出、网络安全、安全保卫等各个环节工作做严、做细、做深、做实，形成了“全面动员、全员参与、上下联动、齐抓共管”的责任体系。今年县融媒体中心组织了1次安全播出演练学习，1次网络安全知识学习，2场次直播，完成两次索尼设备全面检修，完成各项设备的调试工作，完成各重保期重保任务，实现高标清同步播出，解决CCTCV1备用信号接入难题，新接入一路电信CCTV1备用信号。（五）打通数据对接，助推应急广播发展</w:t>
      </w:r>
      <w:r>
        <w:rPr>
          <w:rFonts w:hint="eastAsia" w:ascii="仿宋_GB2312" w:eastAsia="仿宋_GB2312"/>
          <w:szCs w:val="21"/>
          <w:lang w:eastAsia="zh-CN"/>
        </w:rPr>
        <w:t>。</w:t>
      </w:r>
      <w:r>
        <w:rPr>
          <w:rFonts w:hint="eastAsia" w:ascii="仿宋_GB2312" w:eastAsia="仿宋_GB2312"/>
          <w:szCs w:val="21"/>
        </w:rPr>
        <w:t>2023年2月1日县融媒体中心和寻甸广电局做了工作交接，2月2日正式开始运营应急广播，自接管应急广播以来，县融媒体中心持续加强应急广播体系建设，从公益广告库、寻甸融媒产品库、学期强国下载上传致富故事汇、食品安全宣传、电信诈骗、二十大知识小课堂、相约七运等栏目，在全县各自然村（社区）共计1002个应急广播端口，每天中午11：30—12:00，下午</w:t>
      </w:r>
      <w:r>
        <w:rPr>
          <w:rFonts w:hint="eastAsia" w:ascii="仿宋_GB2312" w:eastAsia="仿宋_GB2312"/>
          <w:szCs w:val="21"/>
          <w:lang w:val="en-US" w:eastAsia="zh-CN"/>
        </w:rPr>
        <w:t>6</w:t>
      </w:r>
      <w:r>
        <w:rPr>
          <w:rFonts w:hint="eastAsia" w:ascii="仿宋_GB2312" w:eastAsia="仿宋_GB2312"/>
          <w:szCs w:val="21"/>
        </w:rPr>
        <w:t>:00—</w:t>
      </w:r>
      <w:r>
        <w:rPr>
          <w:rFonts w:hint="eastAsia" w:ascii="仿宋_GB2312" w:eastAsia="仿宋_GB2312"/>
          <w:szCs w:val="21"/>
          <w:lang w:val="en-US" w:eastAsia="zh-CN"/>
        </w:rPr>
        <w:t>6</w:t>
      </w:r>
      <w:r>
        <w:rPr>
          <w:rFonts w:hint="eastAsia" w:ascii="仿宋_GB2312" w:eastAsia="仿宋_GB2312"/>
          <w:szCs w:val="21"/>
        </w:rPr>
        <w:t>:30准时进行播放，保证了全县应急广播一日2次正常播、安全播，播出时长月计30小时以上。同时，完成“七个一”宣传任务，为党和国家宣传党政方针，为人民群众排忧解难，被上级定为全省应急广播宣传“七个一”试点。（六）强攻外宣成果显著，努力提升寻甸形象</w:t>
      </w:r>
      <w:r>
        <w:rPr>
          <w:rFonts w:hint="eastAsia" w:ascii="仿宋_GB2312" w:eastAsia="仿宋_GB2312"/>
          <w:szCs w:val="21"/>
          <w:lang w:eastAsia="zh-CN"/>
        </w:rPr>
        <w:t>。</w:t>
      </w:r>
      <w:r>
        <w:rPr>
          <w:rFonts w:hint="eastAsia" w:ascii="仿宋_GB2312" w:eastAsia="仿宋_GB2312"/>
          <w:szCs w:val="21"/>
        </w:rPr>
        <w:t>今年，融媒体中心围绕县委、县政府重大决策部署，持续聚焦社会热点，收集全县各单位报送宣传部的各类信息进行筛选修改，向国家、省、市各级媒体投稿，截至10月份，共收集到各类信息3000余条，报送各级媒体信息1200余条。收集到各级媒体刊发的关于寻甸县的各类报道2050余条，其中国家级媒体报道300余条，省级媒体报道1000余条，市级媒体报道750余条。（七）狠抓作风建设、加强内部管理监督</w:t>
      </w:r>
      <w:r>
        <w:rPr>
          <w:rFonts w:hint="eastAsia" w:ascii="仿宋_GB2312" w:eastAsia="仿宋_GB2312"/>
          <w:szCs w:val="21"/>
          <w:lang w:eastAsia="zh-CN"/>
        </w:rPr>
        <w:t>。</w:t>
      </w:r>
      <w:r>
        <w:rPr>
          <w:rFonts w:hint="eastAsia" w:ascii="仿宋_GB2312" w:eastAsia="仿宋_GB2312"/>
          <w:szCs w:val="21"/>
        </w:rPr>
        <w:t>今年来，县融媒体中心针对单位工作的实际情况，一是完善和实施了《劳务派遣人员绩效管理考核办法（试行）》《加强全媒体传播体系建设调研工作实施方案》《内部管理制度》等制度。在落实、各项规章制度的过程中，基本上做到了以章为据、严格考勤、不徇私情、一视同仁。二是加强党风廉政建设责任，进一步增强干部廉洁自律意识。切实落实党风廉政建设责任制，领导班子成员带头履行“一岗双责”，坚持一级抓一级、层层抓落实。健全党风廉政建设责任制考核机制，做到党风廉政建设工作与各项业务工作同部署、同实施、同检查。坚持开展党风党纪教育，认真组织学习上级各项规定，教育引导党员干部自觉遵守党纪党规，进一步教育引导党员干部坚定理想信念，强化法治意识，明确红线，守住底线，坚决不触碰通电的高压线。</w:t>
      </w:r>
    </w:p>
    <w:p w14:paraId="32DD5450">
      <w:pPr>
        <w:topLinePunct/>
        <w:spacing w:line="520" w:lineRule="exact"/>
        <w:ind w:firstLine="420" w:firstLineChars="200"/>
        <w:rPr>
          <w:rFonts w:ascii="Times New Roman" w:hAnsi="Times New Roman" w:eastAsia="仿宋_GB2312" w:cs="Times New Roman"/>
          <w:color w:val="000000" w:themeColor="text1"/>
          <w:szCs w:val="32"/>
        </w:rPr>
      </w:pPr>
      <w:r>
        <w:rPr>
          <w:rFonts w:hint="eastAsia" w:ascii="Times New Roman" w:hAnsi="Times New Roman" w:eastAsia="仿宋_GB2312" w:cs="Times New Roman"/>
          <w:color w:val="000000" w:themeColor="text1"/>
          <w:szCs w:val="32"/>
        </w:rPr>
        <w:t>5.</w:t>
      </w:r>
      <w:r>
        <w:rPr>
          <w:rFonts w:hint="eastAsia" w:ascii="Times New Roman" w:hAnsi="Times New Roman" w:eastAsia="仿宋_GB2312" w:cs="Times New Roman"/>
          <w:color w:val="000000" w:themeColor="text1"/>
          <w:szCs w:val="32"/>
          <w:lang w:eastAsia="zh-CN"/>
        </w:rPr>
        <w:t>2023</w:t>
      </w:r>
      <w:r>
        <w:rPr>
          <w:rFonts w:hint="eastAsia" w:ascii="Times New Roman" w:hAnsi="Times New Roman" w:eastAsia="仿宋_GB2312" w:cs="Times New Roman"/>
          <w:color w:val="000000" w:themeColor="text1"/>
          <w:szCs w:val="32"/>
        </w:rPr>
        <w:t>年度，寻甸县融媒体中心新闻稿件数量上升，大多讲述老百姓身边的故事;寻甸县融媒体中心除新闻栏目外，对外采购了部分栏目、电视剧、电影、动画片等片源，内容丰富多彩：</w:t>
      </w:r>
    </w:p>
    <w:p w14:paraId="0E99F8A2">
      <w:pPr>
        <w:topLinePunct/>
        <w:spacing w:line="520" w:lineRule="exact"/>
        <w:ind w:firstLine="420" w:firstLineChars="200"/>
        <w:rPr>
          <w:rFonts w:ascii="Times New Roman" w:hAnsi="Times New Roman" w:eastAsia="仿宋_GB2312" w:cs="Times New Roman"/>
          <w:color w:val="000000" w:themeColor="text1"/>
          <w:szCs w:val="32"/>
        </w:rPr>
      </w:pPr>
      <w:r>
        <w:rPr>
          <w:rFonts w:hint="eastAsia" w:ascii="Times New Roman" w:hAnsi="Times New Roman" w:eastAsia="仿宋_GB2312" w:cs="Times New Roman"/>
          <w:color w:val="000000" w:themeColor="text1"/>
          <w:szCs w:val="32"/>
        </w:rPr>
        <w:t>6.</w:t>
      </w:r>
      <w:r>
        <w:rPr>
          <w:rFonts w:hint="eastAsia" w:ascii="仿宋_GB2312" w:hAnsi="华文仿宋" w:eastAsia="仿宋_GB2312"/>
          <w:sz w:val="32"/>
          <w:szCs w:val="32"/>
        </w:rPr>
        <w:t xml:space="preserve"> </w:t>
      </w:r>
      <w:r>
        <w:rPr>
          <w:rFonts w:hint="eastAsia" w:ascii="仿宋_GB2312" w:hAnsi="华文仿宋" w:eastAsia="仿宋_GB2312"/>
          <w:szCs w:val="21"/>
        </w:rPr>
        <w:t>按照“新闻立台”和“政治家办台”的工作要求，坚定政治意识不动摇，宣传大政方针不走样，不断改进新闻服务保障水平，《寻甸新闻》不论在数量和质量上，都有明显提升</w:t>
      </w:r>
      <w:r>
        <w:rPr>
          <w:rFonts w:hint="eastAsia" w:ascii="仿宋_GB2312" w:hAnsi="华文仿宋" w:eastAsia="仿宋_GB2312"/>
          <w:szCs w:val="21"/>
          <w:lang w:eastAsia="zh-CN"/>
        </w:rPr>
        <w:t>。全年推发微信365期，3300余篇，环比增长800余篇；微博推发9000余篇，环比增长2900篇；头条号推发2700余篇，环比增长420篇；抖音发布414篇、快手发布455篇。自“寻甸融媒”视频号开播经典电视剧以来，粉丝数成倍增长，现已由开播前的4万余人突破至年末的11万余人。在此基础上，县融媒体中心还积极策划、主动出击，共制作宣传（专题、汇报）片及各类短视频共230余个、各类直播20余场。其中共制作推发《二十大报告微讲堂》34个、《学习宣传贯彻党的二十大精神系列“微党课”》6期、《山水寻甸》《走近寻甸》《人间难得几回寻》宣传寻甸山川风物、风俗特色系列短视频30余期、《寻才新语》《政协面对面》等电视问政专栏4期，其他各类宣传（专题、汇报）片10余个；MV2个。</w:t>
      </w:r>
      <w:r>
        <w:rPr>
          <w:rFonts w:hint="eastAsia" w:ascii="Times New Roman" w:hAnsi="Times New Roman" w:eastAsia="仿宋_GB2312" w:cs="Times New Roman"/>
          <w:color w:val="000000" w:themeColor="text1"/>
          <w:szCs w:val="32"/>
        </w:rPr>
        <w:t>寻甸县融媒体中心较圆满的完成了工作目标，取得了良好的社会效益。</w:t>
      </w:r>
    </w:p>
    <w:p w14:paraId="78F63858">
      <w:pPr>
        <w:topLinePunct/>
        <w:spacing w:line="520" w:lineRule="exact"/>
        <w:ind w:firstLine="420" w:firstLineChars="200"/>
        <w:rPr>
          <w:rFonts w:ascii="Times New Roman" w:hAnsi="Times New Roman" w:eastAsia="楷体" w:cs="Times New Roman"/>
          <w:color w:val="000000" w:themeColor="text1"/>
          <w:szCs w:val="32"/>
        </w:rPr>
      </w:pPr>
      <w:r>
        <w:rPr>
          <w:rFonts w:ascii="Times New Roman" w:hAnsi="Times New Roman" w:eastAsia="楷体" w:cs="Times New Roman"/>
          <w:color w:val="000000" w:themeColor="text1"/>
          <w:szCs w:val="32"/>
        </w:rPr>
        <w:t>（四）部门管理制度。</w:t>
      </w:r>
    </w:p>
    <w:p w14:paraId="4C3B3C47">
      <w:pPr>
        <w:topLinePunct/>
        <w:spacing w:line="520" w:lineRule="exact"/>
        <w:ind w:firstLine="420" w:firstLineChars="200"/>
        <w:rPr>
          <w:rFonts w:ascii="Times New Roman" w:hAnsi="Times New Roman" w:eastAsia="仿宋_GB2312" w:cs="Times New Roman"/>
          <w:color w:val="000000" w:themeColor="text1"/>
          <w:szCs w:val="32"/>
        </w:rPr>
      </w:pPr>
      <w:r>
        <w:rPr>
          <w:rFonts w:hint="eastAsia" w:ascii="Times New Roman" w:hAnsi="Times New Roman" w:eastAsia="仿宋_GB2312" w:cs="Times New Roman"/>
          <w:color w:val="000000" w:themeColor="text1"/>
          <w:szCs w:val="32"/>
        </w:rPr>
        <w:t>寻甸回族彝族自治县融媒体中心</w:t>
      </w:r>
      <w:r>
        <w:rPr>
          <w:rFonts w:ascii="Times New Roman" w:hAnsi="Times New Roman" w:eastAsia="仿宋_GB2312" w:cs="Times New Roman"/>
          <w:color w:val="000000" w:themeColor="text1"/>
          <w:szCs w:val="32"/>
        </w:rPr>
        <w:t>在《中华人民共和国会计法》、《中华人民共和国预算法》、《</w:t>
      </w:r>
      <w:r>
        <w:rPr>
          <w:rFonts w:hint="eastAsia" w:ascii="Times New Roman" w:hAnsi="Times New Roman" w:eastAsia="仿宋_GB2312" w:cs="Times New Roman"/>
          <w:color w:val="000000" w:themeColor="text1"/>
          <w:szCs w:val="32"/>
        </w:rPr>
        <w:t>事业</w:t>
      </w:r>
      <w:r>
        <w:rPr>
          <w:rFonts w:ascii="Times New Roman" w:hAnsi="Times New Roman" w:eastAsia="仿宋_GB2312" w:cs="Times New Roman"/>
          <w:color w:val="000000" w:themeColor="text1"/>
          <w:szCs w:val="32"/>
        </w:rPr>
        <w:t>单位财务规则》、《</w:t>
      </w:r>
      <w:r>
        <w:rPr>
          <w:rFonts w:hint="eastAsia" w:ascii="Times New Roman" w:hAnsi="Times New Roman" w:eastAsia="仿宋_GB2312" w:cs="Times New Roman"/>
          <w:color w:val="000000" w:themeColor="text1"/>
          <w:szCs w:val="32"/>
        </w:rPr>
        <w:t>政府</w:t>
      </w:r>
      <w:r>
        <w:rPr>
          <w:rFonts w:ascii="Times New Roman" w:hAnsi="Times New Roman" w:eastAsia="仿宋_GB2312" w:cs="Times New Roman"/>
          <w:color w:val="000000" w:themeColor="text1"/>
          <w:szCs w:val="32"/>
        </w:rPr>
        <w:t>会计制度》的基础上，制定了《</w:t>
      </w:r>
      <w:r>
        <w:rPr>
          <w:rFonts w:hint="eastAsia" w:ascii="Times New Roman" w:hAnsi="Times New Roman" w:eastAsia="仿宋_GB2312" w:cs="Times New Roman"/>
          <w:color w:val="000000" w:themeColor="text1"/>
          <w:szCs w:val="32"/>
        </w:rPr>
        <w:t>寻甸回族彝族自治县融媒体中心</w:t>
      </w:r>
      <w:r>
        <w:rPr>
          <w:rFonts w:ascii="Times New Roman" w:hAnsi="Times New Roman" w:eastAsia="仿宋_GB2312" w:cs="Times New Roman"/>
          <w:color w:val="000000" w:themeColor="text1"/>
          <w:szCs w:val="32"/>
        </w:rPr>
        <w:t>财务管理</w:t>
      </w:r>
      <w:r>
        <w:rPr>
          <w:rFonts w:hint="eastAsia" w:ascii="Times New Roman" w:hAnsi="Times New Roman" w:eastAsia="仿宋_GB2312" w:cs="Times New Roman"/>
          <w:color w:val="000000" w:themeColor="text1"/>
          <w:szCs w:val="32"/>
        </w:rPr>
        <w:t>办法</w:t>
      </w:r>
      <w:r>
        <w:rPr>
          <w:rFonts w:ascii="Times New Roman" w:hAnsi="Times New Roman" w:eastAsia="仿宋_GB2312" w:cs="Times New Roman"/>
          <w:color w:val="000000" w:themeColor="text1"/>
          <w:szCs w:val="32"/>
        </w:rPr>
        <w:t>》</w:t>
      </w:r>
      <w:r>
        <w:rPr>
          <w:rFonts w:hint="eastAsia" w:ascii="Times New Roman" w:hAnsi="Times New Roman" w:eastAsia="仿宋_GB2312" w:cs="Times New Roman"/>
          <w:color w:val="000000" w:themeColor="text1"/>
          <w:szCs w:val="32"/>
        </w:rPr>
        <w:t>；寻甸县融媒体中心除遵守国家法律、法规、规章制度、政策文件外，还制定了《寻甸回族彝族自治县融媒体中心工作制度》、《寻回族彝族自治县融媒体中心职务责任》，管理制度合法、合规、</w:t>
      </w:r>
      <w:r>
        <w:rPr>
          <w:rFonts w:ascii="Times New Roman" w:hAnsi="Times New Roman" w:eastAsia="仿宋_GB2312" w:cs="Times New Roman"/>
          <w:color w:val="000000" w:themeColor="text1"/>
          <w:szCs w:val="32"/>
        </w:rPr>
        <w:t>基本健全。</w:t>
      </w:r>
    </w:p>
    <w:p w14:paraId="7B31FF8A">
      <w:pPr>
        <w:topLinePunct/>
        <w:spacing w:line="520" w:lineRule="exact"/>
        <w:ind w:firstLine="420" w:firstLineChars="200"/>
        <w:rPr>
          <w:rFonts w:ascii="Times New Roman" w:hAnsi="Times New Roman" w:eastAsia="楷体" w:cs="Times New Roman"/>
          <w:color w:val="000000" w:themeColor="text1"/>
          <w:szCs w:val="32"/>
        </w:rPr>
      </w:pPr>
      <w:r>
        <w:rPr>
          <w:rFonts w:ascii="Times New Roman" w:hAnsi="Times New Roman" w:eastAsia="楷体" w:cs="Times New Roman"/>
          <w:color w:val="000000" w:themeColor="text1"/>
          <w:szCs w:val="32"/>
        </w:rPr>
        <w:t>（五）部门资金来源及使用情况。</w:t>
      </w:r>
    </w:p>
    <w:p w14:paraId="493155AE">
      <w:pPr>
        <w:pStyle w:val="3"/>
        <w:spacing w:line="580" w:lineRule="exact"/>
        <w:ind w:firstLine="420" w:firstLineChars="200"/>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（1）资金总体情况</w:t>
      </w:r>
    </w:p>
    <w:p w14:paraId="1AF08F1D">
      <w:pPr>
        <w:widowControl/>
        <w:shd w:val="clear" w:color="auto" w:fill="FFFFFF"/>
        <w:spacing w:line="580" w:lineRule="exact"/>
        <w:ind w:firstLine="420" w:firstLineChars="200"/>
        <w:jc w:val="left"/>
        <w:rPr>
          <w:rFonts w:hint="default" w:ascii="Times New Roman" w:hAnsi="Times New Roman" w:eastAsia="仿宋_GB2312" w:cs="Times New Roman"/>
          <w:color w:val="000000" w:themeColor="text1"/>
          <w:kern w:val="0"/>
          <w:szCs w:val="21"/>
          <w:lang w:val="en-US" w:eastAsia="zh-CN"/>
        </w:rPr>
      </w:pPr>
      <w:r>
        <w:rPr>
          <w:rFonts w:hint="eastAsia" w:ascii="Times New Roman" w:hAnsi="Times New Roman" w:eastAsia="仿宋_GB2312" w:cs="Times New Roman"/>
          <w:color w:val="000000" w:themeColor="text1"/>
          <w:kern w:val="0"/>
          <w:szCs w:val="21"/>
          <w:lang w:eastAsia="zh-CN"/>
        </w:rPr>
        <w:t>2023</w:t>
      </w:r>
      <w:r>
        <w:rPr>
          <w:rFonts w:ascii="Times New Roman" w:hAnsi="Times New Roman" w:eastAsia="仿宋_GB2312" w:cs="Times New Roman"/>
          <w:color w:val="000000" w:themeColor="text1"/>
          <w:kern w:val="0"/>
          <w:szCs w:val="21"/>
        </w:rPr>
        <w:t>年度公共预算资金</w:t>
      </w:r>
      <w:r>
        <w:rPr>
          <w:rFonts w:hint="eastAsia" w:ascii="Times New Roman" w:hAnsi="Times New Roman" w:eastAsia="仿宋_GB2312" w:cs="Times New Roman"/>
          <w:color w:val="000000" w:themeColor="text1"/>
          <w:kern w:val="0"/>
          <w:szCs w:val="21"/>
          <w:lang w:val="en-US" w:eastAsia="zh-CN"/>
        </w:rPr>
        <w:t>411.05</w:t>
      </w:r>
      <w:r>
        <w:rPr>
          <w:rFonts w:ascii="Times New Roman" w:hAnsi="Times New Roman" w:eastAsia="仿宋_GB2312" w:cs="Times New Roman"/>
          <w:color w:val="000000" w:themeColor="text1"/>
          <w:kern w:val="0"/>
          <w:szCs w:val="21"/>
        </w:rPr>
        <w:t>万元，</w:t>
      </w:r>
      <w:r>
        <w:rPr>
          <w:rFonts w:hint="eastAsia" w:ascii="Times New Roman" w:hAnsi="Times New Roman" w:eastAsia="仿宋_GB2312" w:cs="Times New Roman"/>
          <w:color w:val="000000" w:themeColor="text1"/>
          <w:kern w:val="0"/>
          <w:szCs w:val="21"/>
        </w:rPr>
        <w:t>基本支出</w:t>
      </w:r>
      <w:r>
        <w:rPr>
          <w:rFonts w:hint="eastAsia" w:ascii="Times New Roman" w:hAnsi="Times New Roman" w:eastAsia="仿宋_GB2312" w:cs="Times New Roman"/>
          <w:color w:val="000000" w:themeColor="text1"/>
          <w:kern w:val="0"/>
          <w:szCs w:val="21"/>
          <w:lang w:val="en-US" w:eastAsia="zh-CN"/>
        </w:rPr>
        <w:t>399.46</w:t>
      </w:r>
      <w:r>
        <w:rPr>
          <w:rFonts w:hint="eastAsia" w:ascii="Times New Roman" w:hAnsi="Times New Roman" w:eastAsia="仿宋_GB2312" w:cs="Times New Roman"/>
          <w:color w:val="000000" w:themeColor="text1"/>
          <w:kern w:val="0"/>
          <w:szCs w:val="21"/>
        </w:rPr>
        <w:t>万元（</w:t>
      </w:r>
      <w:r>
        <w:rPr>
          <w:rFonts w:ascii="Times New Roman" w:hAnsi="Times New Roman" w:eastAsia="仿宋_GB2312" w:cs="Times New Roman"/>
          <w:color w:val="000000" w:themeColor="text1"/>
          <w:kern w:val="0"/>
          <w:szCs w:val="21"/>
        </w:rPr>
        <w:t>其中人员经费</w:t>
      </w:r>
      <w:r>
        <w:rPr>
          <w:rFonts w:hint="eastAsia" w:ascii="Times New Roman" w:hAnsi="Times New Roman" w:eastAsia="仿宋_GB2312" w:cs="Times New Roman"/>
          <w:color w:val="000000" w:themeColor="text1"/>
          <w:kern w:val="0"/>
          <w:szCs w:val="21"/>
          <w:lang w:val="en-US" w:eastAsia="zh-CN"/>
        </w:rPr>
        <w:t>388.83</w:t>
      </w:r>
      <w:r>
        <w:rPr>
          <w:rFonts w:ascii="Times New Roman" w:hAnsi="Times New Roman" w:eastAsia="仿宋_GB2312" w:cs="Times New Roman"/>
          <w:color w:val="000000" w:themeColor="text1"/>
          <w:kern w:val="0"/>
          <w:szCs w:val="21"/>
        </w:rPr>
        <w:t>万元，公用经费</w:t>
      </w:r>
      <w:r>
        <w:rPr>
          <w:rFonts w:hint="eastAsia" w:ascii="Times New Roman" w:hAnsi="Times New Roman" w:eastAsia="仿宋_GB2312" w:cs="Times New Roman"/>
          <w:color w:val="000000" w:themeColor="text1"/>
          <w:kern w:val="0"/>
          <w:szCs w:val="21"/>
          <w:lang w:val="en-US" w:eastAsia="zh-CN"/>
        </w:rPr>
        <w:t>10.63</w:t>
      </w:r>
      <w:r>
        <w:rPr>
          <w:rFonts w:ascii="Times New Roman" w:hAnsi="Times New Roman" w:eastAsia="仿宋_GB2312" w:cs="Times New Roman"/>
          <w:color w:val="000000" w:themeColor="text1"/>
          <w:kern w:val="0"/>
          <w:szCs w:val="21"/>
        </w:rPr>
        <w:t>万元</w:t>
      </w:r>
      <w:r>
        <w:rPr>
          <w:rFonts w:hint="eastAsia" w:ascii="Times New Roman" w:hAnsi="Times New Roman" w:eastAsia="仿宋_GB2312" w:cs="Times New Roman"/>
          <w:color w:val="000000" w:themeColor="text1"/>
          <w:kern w:val="0"/>
          <w:szCs w:val="21"/>
        </w:rPr>
        <w:t>）</w:t>
      </w:r>
      <w:r>
        <w:rPr>
          <w:rFonts w:hint="eastAsia" w:ascii="Times New Roman" w:hAnsi="Times New Roman" w:eastAsia="仿宋_GB2312" w:cs="Times New Roman"/>
          <w:color w:val="000000" w:themeColor="text1"/>
          <w:kern w:val="0"/>
          <w:szCs w:val="21"/>
          <w:lang w:eastAsia="zh-CN"/>
        </w:rPr>
        <w:t>，项目支出</w:t>
      </w:r>
      <w:r>
        <w:rPr>
          <w:rFonts w:hint="eastAsia" w:ascii="Times New Roman" w:hAnsi="Times New Roman" w:eastAsia="仿宋_GB2312" w:cs="Times New Roman"/>
          <w:color w:val="000000" w:themeColor="text1"/>
          <w:kern w:val="0"/>
          <w:szCs w:val="21"/>
          <w:lang w:val="en-US" w:eastAsia="zh-CN"/>
        </w:rPr>
        <w:t>11.59万元</w:t>
      </w:r>
      <w:r>
        <w:rPr>
          <w:rFonts w:ascii="Times New Roman" w:hAnsi="Times New Roman" w:eastAsia="仿宋_GB2312" w:cs="Times New Roman"/>
          <w:color w:val="000000" w:themeColor="text1"/>
          <w:kern w:val="0"/>
          <w:szCs w:val="21"/>
        </w:rPr>
        <w:t>。</w:t>
      </w:r>
      <w:r>
        <w:rPr>
          <w:rFonts w:hint="eastAsia" w:ascii="Times New Roman" w:hAnsi="Times New Roman" w:eastAsia="仿宋_GB2312" w:cs="Times New Roman"/>
          <w:color w:val="000000" w:themeColor="text1"/>
          <w:kern w:val="0"/>
          <w:szCs w:val="21"/>
          <w:lang w:eastAsia="zh-CN"/>
        </w:rPr>
        <w:t>基本支出</w:t>
      </w:r>
      <w:r>
        <w:rPr>
          <w:rFonts w:hint="eastAsia" w:ascii="Times New Roman" w:hAnsi="Times New Roman" w:eastAsia="仿宋_GB2312" w:cs="Times New Roman"/>
          <w:color w:val="000000" w:themeColor="text1"/>
          <w:kern w:val="0"/>
          <w:szCs w:val="21"/>
        </w:rPr>
        <w:t>中:工资福利支出</w:t>
      </w:r>
      <w:r>
        <w:rPr>
          <w:rFonts w:hint="eastAsia" w:ascii="Times New Roman" w:hAnsi="Times New Roman" w:eastAsia="仿宋_GB2312" w:cs="Times New Roman"/>
          <w:color w:val="000000" w:themeColor="text1"/>
          <w:kern w:val="0"/>
          <w:szCs w:val="21"/>
          <w:lang w:val="en-US" w:eastAsia="zh-CN"/>
        </w:rPr>
        <w:t>309.63</w:t>
      </w:r>
      <w:r>
        <w:rPr>
          <w:rFonts w:hint="eastAsia" w:ascii="Times New Roman" w:hAnsi="Times New Roman" w:eastAsia="仿宋_GB2312" w:cs="Times New Roman"/>
          <w:color w:val="000000" w:themeColor="text1"/>
          <w:kern w:val="0"/>
          <w:szCs w:val="21"/>
        </w:rPr>
        <w:t>万元，商品和服务支出</w:t>
      </w:r>
      <w:r>
        <w:rPr>
          <w:rFonts w:hint="eastAsia" w:ascii="Times New Roman" w:hAnsi="Times New Roman" w:eastAsia="仿宋_GB2312" w:cs="Times New Roman"/>
          <w:color w:val="000000" w:themeColor="text1"/>
          <w:kern w:val="0"/>
          <w:szCs w:val="21"/>
          <w:lang w:val="en-US" w:eastAsia="zh-CN"/>
        </w:rPr>
        <w:t>10.63万</w:t>
      </w:r>
      <w:r>
        <w:rPr>
          <w:rFonts w:hint="eastAsia" w:ascii="Times New Roman" w:hAnsi="Times New Roman" w:eastAsia="仿宋_GB2312" w:cs="Times New Roman"/>
          <w:color w:val="000000" w:themeColor="text1"/>
          <w:kern w:val="0"/>
          <w:szCs w:val="21"/>
        </w:rPr>
        <w:t>元</w:t>
      </w:r>
      <w:r>
        <w:rPr>
          <w:rFonts w:hint="eastAsia" w:ascii="Times New Roman" w:hAnsi="Times New Roman" w:eastAsia="仿宋_GB2312" w:cs="Times New Roman"/>
          <w:color w:val="000000" w:themeColor="text1"/>
          <w:kern w:val="0"/>
          <w:szCs w:val="21"/>
          <w:lang w:eastAsia="zh-CN"/>
        </w:rPr>
        <w:t>，社会福利和救助</w:t>
      </w:r>
      <w:r>
        <w:rPr>
          <w:rFonts w:hint="eastAsia" w:ascii="Times New Roman" w:hAnsi="Times New Roman" w:eastAsia="仿宋_GB2312" w:cs="Times New Roman"/>
          <w:color w:val="000000" w:themeColor="text1"/>
          <w:kern w:val="0"/>
          <w:szCs w:val="21"/>
          <w:lang w:val="en-US" w:eastAsia="zh-CN"/>
        </w:rPr>
        <w:t>79.2万元</w:t>
      </w:r>
      <w:r>
        <w:rPr>
          <w:rFonts w:hint="eastAsia" w:ascii="Times New Roman" w:hAnsi="Times New Roman" w:eastAsia="仿宋_GB2312" w:cs="Times New Roman"/>
          <w:color w:val="000000" w:themeColor="text1"/>
          <w:kern w:val="0"/>
          <w:szCs w:val="21"/>
        </w:rPr>
        <w:t>。</w:t>
      </w:r>
      <w:r>
        <w:rPr>
          <w:rFonts w:hint="eastAsia" w:ascii="Times New Roman" w:hAnsi="Times New Roman" w:eastAsia="仿宋_GB2312" w:cs="Times New Roman"/>
          <w:color w:val="000000" w:themeColor="text1"/>
          <w:kern w:val="0"/>
          <w:szCs w:val="21"/>
          <w:lang w:eastAsia="zh-CN"/>
        </w:rPr>
        <w:t>2023</w:t>
      </w:r>
      <w:r>
        <w:rPr>
          <w:rFonts w:ascii="Times New Roman" w:hAnsi="Times New Roman" w:eastAsia="仿宋_GB2312" w:cs="Times New Roman"/>
          <w:color w:val="000000" w:themeColor="text1"/>
          <w:kern w:val="0"/>
          <w:szCs w:val="21"/>
        </w:rPr>
        <w:t>年度预算资金</w:t>
      </w:r>
      <w:r>
        <w:rPr>
          <w:rFonts w:hint="eastAsia" w:ascii="Times New Roman" w:hAnsi="Times New Roman" w:eastAsia="仿宋_GB2312" w:cs="Times New Roman"/>
          <w:color w:val="000000" w:themeColor="text1"/>
          <w:kern w:val="0"/>
          <w:szCs w:val="21"/>
          <w:lang w:eastAsia="zh-CN"/>
        </w:rPr>
        <w:t>，其中：文化旅游体育与传媒支出</w:t>
      </w:r>
      <w:r>
        <w:rPr>
          <w:rFonts w:hint="eastAsia" w:ascii="Times New Roman" w:hAnsi="Times New Roman" w:eastAsia="仿宋_GB2312" w:cs="Times New Roman"/>
          <w:color w:val="000000" w:themeColor="text1"/>
          <w:kern w:val="0"/>
          <w:szCs w:val="21"/>
          <w:lang w:val="en-US" w:eastAsia="zh-CN"/>
        </w:rPr>
        <w:t>317.62万元，</w:t>
      </w:r>
      <w:r>
        <w:rPr>
          <w:rFonts w:hint="eastAsia" w:ascii="Times New Roman" w:hAnsi="Times New Roman" w:eastAsia="仿宋_GB2312" w:cs="Times New Roman"/>
          <w:color w:val="000000" w:themeColor="text1"/>
          <w:kern w:val="0"/>
          <w:szCs w:val="21"/>
          <w:lang w:eastAsia="zh-CN"/>
        </w:rPr>
        <w:t>社会保障和就业</w:t>
      </w:r>
      <w:r>
        <w:rPr>
          <w:rFonts w:hint="eastAsia" w:ascii="Times New Roman" w:hAnsi="Times New Roman" w:eastAsia="仿宋_GB2312" w:cs="Times New Roman"/>
          <w:color w:val="000000" w:themeColor="text1"/>
          <w:kern w:val="0"/>
          <w:szCs w:val="21"/>
        </w:rPr>
        <w:t>支出</w:t>
      </w:r>
      <w:r>
        <w:rPr>
          <w:rFonts w:hint="eastAsia" w:ascii="Times New Roman" w:hAnsi="Times New Roman" w:eastAsia="仿宋_GB2312" w:cs="Times New Roman"/>
          <w:color w:val="000000" w:themeColor="text1"/>
          <w:kern w:val="0"/>
          <w:szCs w:val="21"/>
          <w:lang w:val="en-US" w:eastAsia="zh-CN"/>
        </w:rPr>
        <w:t>37.12</w:t>
      </w:r>
      <w:r>
        <w:rPr>
          <w:rFonts w:hint="eastAsia" w:ascii="Times New Roman" w:hAnsi="Times New Roman" w:eastAsia="仿宋_GB2312" w:cs="Times New Roman"/>
          <w:color w:val="000000" w:themeColor="text1"/>
          <w:kern w:val="0"/>
          <w:szCs w:val="21"/>
        </w:rPr>
        <w:t>万元，住房</w:t>
      </w:r>
      <w:r>
        <w:rPr>
          <w:rFonts w:hint="eastAsia" w:ascii="Times New Roman" w:hAnsi="Times New Roman" w:eastAsia="仿宋_GB2312" w:cs="Times New Roman"/>
          <w:color w:val="000000" w:themeColor="text1"/>
          <w:kern w:val="0"/>
          <w:szCs w:val="21"/>
          <w:lang w:eastAsia="zh-CN"/>
        </w:rPr>
        <w:t>保障</w:t>
      </w:r>
      <w:r>
        <w:rPr>
          <w:rFonts w:hint="eastAsia" w:ascii="Times New Roman" w:hAnsi="Times New Roman" w:eastAsia="仿宋_GB2312" w:cs="Times New Roman"/>
          <w:color w:val="000000" w:themeColor="text1"/>
          <w:kern w:val="0"/>
          <w:szCs w:val="21"/>
        </w:rPr>
        <w:t>支出</w:t>
      </w:r>
      <w:r>
        <w:rPr>
          <w:rFonts w:hint="eastAsia" w:ascii="Times New Roman" w:hAnsi="Times New Roman" w:eastAsia="仿宋_GB2312" w:cs="Times New Roman"/>
          <w:color w:val="000000" w:themeColor="text1"/>
          <w:kern w:val="0"/>
          <w:szCs w:val="21"/>
          <w:lang w:val="en-US" w:eastAsia="zh-CN"/>
        </w:rPr>
        <w:t>25.75</w:t>
      </w:r>
      <w:r>
        <w:rPr>
          <w:rFonts w:hint="eastAsia" w:ascii="Times New Roman" w:hAnsi="Times New Roman" w:eastAsia="仿宋_GB2312" w:cs="Times New Roman"/>
          <w:color w:val="000000" w:themeColor="text1"/>
          <w:kern w:val="0"/>
          <w:szCs w:val="21"/>
        </w:rPr>
        <w:t>万元</w:t>
      </w:r>
      <w:r>
        <w:rPr>
          <w:rFonts w:hint="eastAsia" w:ascii="Times New Roman" w:hAnsi="Times New Roman" w:eastAsia="仿宋_GB2312" w:cs="Times New Roman"/>
          <w:color w:val="000000" w:themeColor="text1"/>
          <w:kern w:val="0"/>
          <w:szCs w:val="21"/>
          <w:lang w:eastAsia="zh-CN"/>
        </w:rPr>
        <w:t>，卫生健康支出</w:t>
      </w:r>
      <w:r>
        <w:rPr>
          <w:rFonts w:hint="eastAsia" w:ascii="Times New Roman" w:hAnsi="Times New Roman" w:eastAsia="仿宋_GB2312" w:cs="Times New Roman"/>
          <w:color w:val="000000" w:themeColor="text1"/>
          <w:kern w:val="0"/>
          <w:szCs w:val="21"/>
          <w:lang w:val="en-US" w:eastAsia="zh-CN"/>
        </w:rPr>
        <w:t>30.56</w:t>
      </w:r>
      <w:r>
        <w:rPr>
          <w:rFonts w:hint="eastAsia" w:ascii="Times New Roman" w:hAnsi="Times New Roman" w:eastAsia="仿宋_GB2312" w:cs="Times New Roman"/>
          <w:color w:val="000000" w:themeColor="text1"/>
          <w:kern w:val="0"/>
          <w:szCs w:val="21"/>
        </w:rPr>
        <w:t>。</w:t>
      </w:r>
    </w:p>
    <w:p w14:paraId="1FE0E427">
      <w:pPr>
        <w:widowControl/>
        <w:shd w:val="clear" w:color="auto" w:fill="FFFFFF"/>
        <w:spacing w:line="580" w:lineRule="exact"/>
        <w:ind w:firstLine="420" w:firstLineChars="200"/>
        <w:jc w:val="left"/>
        <w:rPr>
          <w:rFonts w:ascii="Times New Roman" w:hAnsi="Times New Roman" w:eastAsia="仿宋_GB2312" w:cs="Times New Roman"/>
          <w:color w:val="000000" w:themeColor="text1"/>
          <w:kern w:val="0"/>
          <w:szCs w:val="21"/>
        </w:rPr>
      </w:pPr>
      <w:r>
        <w:rPr>
          <w:rFonts w:hint="eastAsia" w:ascii="Times New Roman" w:hAnsi="Times New Roman" w:eastAsia="仿宋_GB2312" w:cs="Times New Roman"/>
          <w:color w:val="000000" w:themeColor="text1"/>
          <w:kern w:val="0"/>
          <w:szCs w:val="21"/>
          <w:lang w:eastAsia="zh-CN"/>
        </w:rPr>
        <w:t>2023</w:t>
      </w:r>
      <w:r>
        <w:rPr>
          <w:rFonts w:ascii="Times New Roman" w:hAnsi="Times New Roman" w:eastAsia="仿宋_GB2312" w:cs="Times New Roman"/>
          <w:color w:val="000000" w:themeColor="text1"/>
          <w:kern w:val="0"/>
          <w:szCs w:val="21"/>
        </w:rPr>
        <w:t>年实际总收入</w:t>
      </w:r>
      <w:r>
        <w:rPr>
          <w:rFonts w:hint="eastAsia" w:ascii="Times New Roman" w:hAnsi="Times New Roman" w:eastAsia="仿宋_GB2312" w:cs="Times New Roman"/>
          <w:color w:val="000000" w:themeColor="text1"/>
          <w:kern w:val="0"/>
          <w:szCs w:val="21"/>
          <w:lang w:val="en-US" w:eastAsia="zh-CN"/>
        </w:rPr>
        <w:t>559.51</w:t>
      </w:r>
      <w:r>
        <w:rPr>
          <w:rFonts w:ascii="Times New Roman" w:hAnsi="Times New Roman" w:eastAsia="仿宋_GB2312" w:cs="Times New Roman"/>
          <w:color w:val="000000" w:themeColor="text1"/>
          <w:kern w:val="0"/>
          <w:szCs w:val="21"/>
        </w:rPr>
        <w:t>万元（其中财政拨款收入</w:t>
      </w:r>
      <w:r>
        <w:rPr>
          <w:rFonts w:hint="eastAsia" w:ascii="Times New Roman" w:hAnsi="Times New Roman" w:eastAsia="仿宋_GB2312" w:cs="Times New Roman"/>
          <w:color w:val="000000" w:themeColor="text1"/>
          <w:kern w:val="0"/>
          <w:szCs w:val="21"/>
          <w:lang w:val="en-US" w:eastAsia="zh-CN"/>
        </w:rPr>
        <w:t>537.86</w:t>
      </w:r>
      <w:r>
        <w:rPr>
          <w:rFonts w:ascii="Times New Roman" w:hAnsi="Times New Roman" w:eastAsia="仿宋_GB2312" w:cs="Times New Roman"/>
          <w:color w:val="000000" w:themeColor="text1"/>
          <w:kern w:val="0"/>
          <w:szCs w:val="21"/>
        </w:rPr>
        <w:t>万元，其他收入</w:t>
      </w:r>
      <w:r>
        <w:rPr>
          <w:rFonts w:hint="eastAsia" w:ascii="Times New Roman" w:hAnsi="Times New Roman" w:eastAsia="仿宋_GB2312" w:cs="Times New Roman"/>
          <w:color w:val="000000" w:themeColor="text1"/>
          <w:kern w:val="0"/>
          <w:szCs w:val="21"/>
          <w:lang w:val="en-US" w:eastAsia="zh-CN"/>
        </w:rPr>
        <w:t>21.65</w:t>
      </w:r>
      <w:r>
        <w:rPr>
          <w:rFonts w:ascii="Times New Roman" w:hAnsi="Times New Roman" w:eastAsia="仿宋_GB2312" w:cs="Times New Roman"/>
          <w:color w:val="000000" w:themeColor="text1"/>
          <w:kern w:val="0"/>
          <w:szCs w:val="21"/>
        </w:rPr>
        <w:t>万元），总支出</w:t>
      </w:r>
      <w:r>
        <w:rPr>
          <w:rFonts w:hint="eastAsia" w:ascii="Times New Roman" w:hAnsi="Times New Roman" w:eastAsia="仿宋_GB2312" w:cs="Times New Roman"/>
          <w:color w:val="000000" w:themeColor="text1"/>
          <w:kern w:val="0"/>
          <w:szCs w:val="21"/>
          <w:lang w:val="en-US" w:eastAsia="zh-CN"/>
        </w:rPr>
        <w:t>774.71</w:t>
      </w:r>
      <w:r>
        <w:rPr>
          <w:rFonts w:ascii="Times New Roman" w:hAnsi="Times New Roman" w:eastAsia="仿宋_GB2312" w:cs="Times New Roman"/>
          <w:color w:val="000000" w:themeColor="text1"/>
          <w:kern w:val="0"/>
          <w:szCs w:val="21"/>
        </w:rPr>
        <w:t>万元。</w:t>
      </w:r>
    </w:p>
    <w:p w14:paraId="5528B679">
      <w:pPr>
        <w:pStyle w:val="3"/>
        <w:spacing w:line="580" w:lineRule="exact"/>
        <w:ind w:firstLine="420" w:firstLineChars="200"/>
        <w:rPr>
          <w:rFonts w:ascii="Times New Roman" w:hAnsi="Times New Roman" w:eastAsia="仿宋_GB2312" w:cs="Times New Roman"/>
        </w:rPr>
      </w:pPr>
      <w:r>
        <w:rPr>
          <w:rFonts w:ascii="Times New Roman" w:hAnsi="Times New Roman" w:eastAsia="仿宋_GB2312" w:cs="Times New Roman"/>
        </w:rPr>
        <w:t>（2）资金收支具体情况</w:t>
      </w:r>
    </w:p>
    <w:p w14:paraId="6F861A1E">
      <w:pPr>
        <w:pStyle w:val="3"/>
        <w:spacing w:line="580" w:lineRule="exact"/>
        <w:ind w:firstLine="420" w:firstLineChars="200"/>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1.收入情况：</w:t>
      </w:r>
    </w:p>
    <w:p w14:paraId="181437F4">
      <w:pPr>
        <w:spacing w:line="580" w:lineRule="exact"/>
        <w:ind w:firstLine="420" w:firstLineChars="200"/>
        <w:rPr>
          <w:rFonts w:ascii="Times New Roman" w:hAnsi="Times New Roman" w:eastAsia="仿宋_GB2312" w:cs="Times New Roman"/>
          <w:color w:val="000000" w:themeColor="text1"/>
          <w:szCs w:val="21"/>
        </w:rPr>
      </w:pPr>
      <w:r>
        <w:rPr>
          <w:rFonts w:hint="eastAsia" w:ascii="Times New Roman" w:hAnsi="Times New Roman" w:eastAsia="仿宋_GB2312" w:cs="Times New Roman"/>
          <w:color w:val="000000" w:themeColor="text1"/>
          <w:szCs w:val="21"/>
          <w:lang w:eastAsia="zh-CN"/>
        </w:rPr>
        <w:t>2023</w:t>
      </w:r>
      <w:r>
        <w:rPr>
          <w:rFonts w:ascii="Times New Roman" w:hAnsi="Times New Roman" w:eastAsia="仿宋_GB2312" w:cs="Times New Roman"/>
          <w:color w:val="000000" w:themeColor="text1"/>
          <w:szCs w:val="21"/>
        </w:rPr>
        <w:t>年共收入</w:t>
      </w:r>
      <w:r>
        <w:rPr>
          <w:rFonts w:hint="eastAsia" w:ascii="Times New Roman" w:hAnsi="Times New Roman" w:eastAsia="仿宋_GB2312" w:cs="Times New Roman"/>
          <w:color w:val="000000" w:themeColor="text1"/>
          <w:kern w:val="0"/>
          <w:szCs w:val="21"/>
          <w:lang w:val="en-US" w:eastAsia="zh-CN"/>
        </w:rPr>
        <w:t>559.51</w:t>
      </w:r>
      <w:r>
        <w:rPr>
          <w:rFonts w:ascii="Times New Roman" w:hAnsi="Times New Roman" w:eastAsia="仿宋_GB2312" w:cs="Times New Roman"/>
          <w:color w:val="000000" w:themeColor="text1"/>
          <w:szCs w:val="21"/>
        </w:rPr>
        <w:t>万元。其中：县财政拨款</w:t>
      </w:r>
      <w:r>
        <w:rPr>
          <w:rFonts w:hint="eastAsia" w:ascii="Times New Roman" w:hAnsi="Times New Roman" w:eastAsia="仿宋_GB2312" w:cs="Times New Roman"/>
          <w:color w:val="000000" w:themeColor="text1"/>
          <w:kern w:val="0"/>
          <w:szCs w:val="21"/>
          <w:lang w:val="en-US" w:eastAsia="zh-CN"/>
        </w:rPr>
        <w:t>537.86</w:t>
      </w:r>
      <w:r>
        <w:rPr>
          <w:rFonts w:ascii="Times New Roman" w:hAnsi="Times New Roman" w:eastAsia="仿宋_GB2312" w:cs="Times New Roman"/>
          <w:color w:val="000000" w:themeColor="text1"/>
          <w:szCs w:val="21"/>
        </w:rPr>
        <w:t>万元，其他收入</w:t>
      </w:r>
      <w:r>
        <w:rPr>
          <w:rFonts w:hint="eastAsia" w:ascii="Times New Roman" w:hAnsi="Times New Roman" w:eastAsia="仿宋_GB2312" w:cs="Times New Roman"/>
          <w:color w:val="000000" w:themeColor="text1"/>
          <w:kern w:val="0"/>
          <w:szCs w:val="21"/>
          <w:lang w:val="en-US" w:eastAsia="zh-CN"/>
        </w:rPr>
        <w:t>21.65</w:t>
      </w:r>
      <w:r>
        <w:rPr>
          <w:rFonts w:ascii="Times New Roman" w:hAnsi="Times New Roman" w:eastAsia="仿宋_GB2312" w:cs="Times New Roman"/>
          <w:color w:val="000000" w:themeColor="text1"/>
          <w:szCs w:val="21"/>
        </w:rPr>
        <w:t>万元。</w:t>
      </w:r>
    </w:p>
    <w:p w14:paraId="28380852">
      <w:pPr>
        <w:spacing w:line="580" w:lineRule="exact"/>
        <w:ind w:firstLine="420" w:firstLineChars="2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2.支出情况：</w:t>
      </w:r>
    </w:p>
    <w:p w14:paraId="5DF9BF92">
      <w:pPr>
        <w:spacing w:line="580" w:lineRule="exact"/>
        <w:ind w:firstLine="420" w:firstLineChars="200"/>
        <w:rPr>
          <w:rFonts w:ascii="Times New Roman" w:hAnsi="Times New Roman" w:eastAsia="仿宋_GB2312" w:cs="Times New Roman"/>
          <w:color w:val="000000" w:themeColor="text1"/>
          <w:szCs w:val="21"/>
        </w:rPr>
      </w:pPr>
      <w:r>
        <w:rPr>
          <w:rFonts w:hint="eastAsia" w:ascii="Times New Roman" w:hAnsi="Times New Roman" w:eastAsia="仿宋_GB2312" w:cs="Times New Roman"/>
          <w:color w:val="000000" w:themeColor="text1"/>
          <w:szCs w:val="21"/>
          <w:lang w:eastAsia="zh-CN"/>
        </w:rPr>
        <w:t>2023</w:t>
      </w:r>
      <w:r>
        <w:rPr>
          <w:rFonts w:ascii="Times New Roman" w:hAnsi="Times New Roman" w:eastAsia="仿宋_GB2312" w:cs="Times New Roman"/>
          <w:color w:val="000000" w:themeColor="text1"/>
          <w:szCs w:val="21"/>
        </w:rPr>
        <w:t>年共支出</w:t>
      </w:r>
      <w:r>
        <w:rPr>
          <w:rFonts w:hint="eastAsia" w:ascii="Times New Roman" w:hAnsi="Times New Roman" w:eastAsia="仿宋_GB2312" w:cs="Times New Roman"/>
          <w:color w:val="000000" w:themeColor="text1"/>
          <w:kern w:val="0"/>
          <w:szCs w:val="21"/>
          <w:lang w:val="en-US" w:eastAsia="zh-CN"/>
        </w:rPr>
        <w:t>774.71</w:t>
      </w:r>
      <w:r>
        <w:rPr>
          <w:rFonts w:ascii="Times New Roman" w:hAnsi="Times New Roman" w:eastAsia="仿宋_GB2312" w:cs="Times New Roman"/>
          <w:color w:val="000000" w:themeColor="text1"/>
          <w:szCs w:val="21"/>
        </w:rPr>
        <w:t>万元。其中：</w:t>
      </w:r>
      <w:r>
        <w:rPr>
          <w:rFonts w:hint="eastAsia" w:ascii="Times New Roman" w:hAnsi="Times New Roman" w:eastAsia="仿宋_GB2312" w:cs="Times New Roman"/>
          <w:color w:val="000000" w:themeColor="text1"/>
          <w:szCs w:val="21"/>
        </w:rPr>
        <w:t>工资福利</w:t>
      </w:r>
      <w:r>
        <w:rPr>
          <w:rFonts w:ascii="Times New Roman" w:hAnsi="Times New Roman" w:eastAsia="仿宋_GB2312" w:cs="Times New Roman"/>
          <w:color w:val="000000" w:themeColor="text1"/>
          <w:szCs w:val="21"/>
        </w:rPr>
        <w:t>支出</w:t>
      </w:r>
      <w:r>
        <w:rPr>
          <w:rFonts w:hint="eastAsia" w:ascii="Times New Roman" w:hAnsi="Times New Roman" w:eastAsia="仿宋_GB2312" w:cs="Times New Roman"/>
          <w:color w:val="000000" w:themeColor="text1"/>
          <w:szCs w:val="21"/>
          <w:lang w:val="en-US" w:eastAsia="zh-CN"/>
        </w:rPr>
        <w:t>339.34</w:t>
      </w:r>
      <w:r>
        <w:rPr>
          <w:rFonts w:hint="eastAsia" w:ascii="Times New Roman" w:hAnsi="Times New Roman" w:eastAsia="仿宋_GB2312" w:cs="Times New Roman"/>
          <w:color w:val="000000" w:themeColor="text1"/>
          <w:szCs w:val="21"/>
        </w:rPr>
        <w:t>万</w:t>
      </w:r>
      <w:r>
        <w:rPr>
          <w:rFonts w:ascii="Times New Roman" w:hAnsi="Times New Roman" w:eastAsia="仿宋_GB2312" w:cs="Times New Roman"/>
          <w:color w:val="000000" w:themeColor="text1"/>
          <w:szCs w:val="21"/>
        </w:rPr>
        <w:t>元；</w:t>
      </w:r>
      <w:r>
        <w:rPr>
          <w:rFonts w:hint="eastAsia" w:ascii="Times New Roman" w:hAnsi="Times New Roman" w:eastAsia="仿宋_GB2312" w:cs="Times New Roman"/>
          <w:color w:val="000000" w:themeColor="text1"/>
          <w:szCs w:val="21"/>
        </w:rPr>
        <w:t>商品和服务</w:t>
      </w:r>
      <w:r>
        <w:rPr>
          <w:rFonts w:ascii="Times New Roman" w:hAnsi="Times New Roman" w:eastAsia="仿宋_GB2312" w:cs="Times New Roman"/>
          <w:color w:val="000000" w:themeColor="text1"/>
          <w:szCs w:val="21"/>
        </w:rPr>
        <w:t>支出</w:t>
      </w:r>
      <w:r>
        <w:rPr>
          <w:rFonts w:hint="eastAsia" w:ascii="Times New Roman" w:hAnsi="Times New Roman" w:eastAsia="仿宋_GB2312" w:cs="Times New Roman"/>
          <w:color w:val="000000" w:themeColor="text1"/>
          <w:szCs w:val="21"/>
          <w:lang w:val="en-US" w:eastAsia="zh-CN"/>
        </w:rPr>
        <w:t>90.10万元；对个人和家庭的补助77.16万元；资本性支出268.11万元。</w:t>
      </w:r>
    </w:p>
    <w:p w14:paraId="7989BC6E">
      <w:pPr>
        <w:pStyle w:val="3"/>
        <w:spacing w:line="580" w:lineRule="exact"/>
        <w:ind w:firstLine="420" w:firstLineChars="200"/>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（3）预算资金管理情况</w:t>
      </w:r>
    </w:p>
    <w:p w14:paraId="7A080474">
      <w:pPr>
        <w:pStyle w:val="3"/>
        <w:spacing w:line="580" w:lineRule="exact"/>
        <w:ind w:firstLine="420" w:firstLineChars="200"/>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1.预算管理状况</w:t>
      </w:r>
    </w:p>
    <w:p w14:paraId="33487555">
      <w:pPr>
        <w:widowControl/>
        <w:shd w:val="clear" w:color="auto" w:fill="FFFFFF"/>
        <w:spacing w:line="580" w:lineRule="exact"/>
        <w:ind w:firstLine="420" w:firstLineChars="200"/>
        <w:jc w:val="left"/>
        <w:rPr>
          <w:rFonts w:ascii="Times New Roman" w:hAnsi="Times New Roman" w:eastAsia="仿宋_GB2312" w:cs="Times New Roman"/>
          <w:color w:val="000000" w:themeColor="text1"/>
          <w:kern w:val="0"/>
          <w:szCs w:val="21"/>
        </w:rPr>
      </w:pPr>
      <w:r>
        <w:rPr>
          <w:rFonts w:hint="eastAsia" w:ascii="Times New Roman" w:hAnsi="Times New Roman" w:eastAsia="仿宋_GB2312" w:cs="Times New Roman"/>
          <w:color w:val="000000" w:themeColor="text1"/>
          <w:kern w:val="0"/>
          <w:szCs w:val="21"/>
        </w:rPr>
        <w:t>寻甸回族彝族自治县融媒体中心</w:t>
      </w:r>
      <w:r>
        <w:rPr>
          <w:rFonts w:ascii="Times New Roman" w:hAnsi="Times New Roman" w:eastAsia="仿宋_GB2312" w:cs="Times New Roman"/>
          <w:color w:val="000000" w:themeColor="text1"/>
          <w:kern w:val="0"/>
          <w:szCs w:val="21"/>
        </w:rPr>
        <w:t>严格按照年初预算执行，预算管理基本到位</w:t>
      </w:r>
      <w:r>
        <w:rPr>
          <w:rFonts w:hint="eastAsia" w:ascii="Times New Roman" w:hAnsi="Times New Roman" w:eastAsia="仿宋_GB2312" w:cs="Times New Roman"/>
          <w:color w:val="000000" w:themeColor="text1"/>
          <w:kern w:val="0"/>
          <w:szCs w:val="21"/>
        </w:rPr>
        <w:t>，</w:t>
      </w:r>
      <w:r>
        <w:rPr>
          <w:rFonts w:ascii="Times New Roman" w:hAnsi="Times New Roman" w:eastAsia="仿宋_GB2312" w:cs="Times New Roman"/>
          <w:color w:val="000000" w:themeColor="text1"/>
          <w:kern w:val="0"/>
          <w:szCs w:val="21"/>
        </w:rPr>
        <w:t>预算完成率较高。</w:t>
      </w:r>
      <w:r>
        <w:rPr>
          <w:rFonts w:hint="eastAsia" w:ascii="Times New Roman" w:hAnsi="Times New Roman" w:eastAsia="仿宋_GB2312" w:cs="Times New Roman"/>
          <w:color w:val="000000" w:themeColor="text1"/>
          <w:kern w:val="0"/>
          <w:szCs w:val="21"/>
        </w:rPr>
        <w:t>202</w:t>
      </w:r>
      <w:r>
        <w:rPr>
          <w:rFonts w:hint="eastAsia" w:ascii="Times New Roman" w:hAnsi="Times New Roman" w:eastAsia="仿宋_GB2312" w:cs="Times New Roman"/>
          <w:color w:val="000000" w:themeColor="text1"/>
          <w:kern w:val="0"/>
          <w:szCs w:val="21"/>
          <w:lang w:val="en-US" w:eastAsia="zh-CN"/>
        </w:rPr>
        <w:t>2</w:t>
      </w:r>
      <w:r>
        <w:rPr>
          <w:rFonts w:ascii="Times New Roman" w:hAnsi="Times New Roman" w:eastAsia="仿宋_GB2312" w:cs="Times New Roman"/>
          <w:color w:val="000000" w:themeColor="text1"/>
          <w:kern w:val="0"/>
          <w:szCs w:val="21"/>
        </w:rPr>
        <w:t>年三公经费实际支出</w:t>
      </w:r>
      <w:r>
        <w:rPr>
          <w:rFonts w:hint="eastAsia" w:ascii="Times New Roman" w:hAnsi="Times New Roman" w:eastAsia="仿宋_GB2312" w:cs="Times New Roman"/>
          <w:color w:val="000000" w:themeColor="text1"/>
          <w:kern w:val="0"/>
          <w:szCs w:val="21"/>
          <w:lang w:val="en-US" w:eastAsia="zh-CN"/>
        </w:rPr>
        <w:t>2.62</w:t>
      </w:r>
      <w:r>
        <w:rPr>
          <w:rFonts w:ascii="Times New Roman" w:hAnsi="Times New Roman" w:eastAsia="仿宋_GB2312" w:cs="Times New Roman"/>
          <w:color w:val="000000" w:themeColor="text1"/>
          <w:kern w:val="0"/>
          <w:szCs w:val="21"/>
        </w:rPr>
        <w:t>万元，</w:t>
      </w:r>
      <w:r>
        <w:rPr>
          <w:rFonts w:hint="eastAsia" w:ascii="Times New Roman" w:hAnsi="Times New Roman" w:eastAsia="仿宋_GB2312" w:cs="Times New Roman"/>
          <w:color w:val="000000" w:themeColor="text1"/>
          <w:kern w:val="0"/>
          <w:szCs w:val="21"/>
          <w:lang w:eastAsia="zh-CN"/>
        </w:rPr>
        <w:t>2023</w:t>
      </w:r>
      <w:r>
        <w:rPr>
          <w:rFonts w:ascii="Times New Roman" w:hAnsi="Times New Roman" w:eastAsia="仿宋_GB2312" w:cs="Times New Roman"/>
          <w:color w:val="000000" w:themeColor="text1"/>
          <w:kern w:val="0"/>
          <w:szCs w:val="21"/>
        </w:rPr>
        <w:t>年三公经费实际支出</w:t>
      </w:r>
      <w:r>
        <w:rPr>
          <w:rFonts w:hint="eastAsia" w:ascii="Times New Roman" w:hAnsi="Times New Roman" w:eastAsia="仿宋_GB2312" w:cs="Times New Roman"/>
          <w:color w:val="000000" w:themeColor="text1"/>
          <w:kern w:val="0"/>
          <w:szCs w:val="21"/>
          <w:lang w:val="en-US" w:eastAsia="zh-CN"/>
        </w:rPr>
        <w:t>2.40</w:t>
      </w:r>
      <w:r>
        <w:rPr>
          <w:rFonts w:ascii="Times New Roman" w:hAnsi="Times New Roman" w:eastAsia="仿宋_GB2312" w:cs="Times New Roman"/>
          <w:color w:val="000000" w:themeColor="text1"/>
          <w:kern w:val="0"/>
          <w:szCs w:val="21"/>
        </w:rPr>
        <w:t>万元</w:t>
      </w:r>
      <w:r>
        <w:rPr>
          <w:rFonts w:hint="eastAsia" w:ascii="Times New Roman" w:hAnsi="Times New Roman" w:eastAsia="仿宋_GB2312" w:cs="Times New Roman"/>
          <w:color w:val="000000" w:themeColor="text1"/>
          <w:kern w:val="0"/>
          <w:szCs w:val="21"/>
        </w:rPr>
        <w:t>，</w:t>
      </w:r>
      <w:r>
        <w:rPr>
          <w:rFonts w:ascii="Times New Roman" w:hAnsi="Times New Roman" w:eastAsia="仿宋_GB2312" w:cs="Times New Roman"/>
          <w:color w:val="000000" w:themeColor="text1"/>
          <w:kern w:val="0"/>
          <w:szCs w:val="21"/>
        </w:rPr>
        <w:t>三公经费使用</w:t>
      </w:r>
      <w:r>
        <w:rPr>
          <w:rFonts w:hint="eastAsia" w:ascii="Times New Roman" w:hAnsi="Times New Roman" w:eastAsia="仿宋_GB2312" w:cs="Times New Roman"/>
          <w:color w:val="000000" w:themeColor="text1"/>
          <w:kern w:val="0"/>
          <w:szCs w:val="21"/>
          <w:lang w:eastAsia="zh-CN"/>
        </w:rPr>
        <w:t>下降</w:t>
      </w:r>
      <w:r>
        <w:rPr>
          <w:rFonts w:ascii="Times New Roman" w:hAnsi="Times New Roman" w:eastAsia="仿宋_GB2312" w:cs="Times New Roman"/>
          <w:color w:val="000000" w:themeColor="text1"/>
          <w:kern w:val="0"/>
          <w:szCs w:val="21"/>
        </w:rPr>
        <w:t>了</w:t>
      </w:r>
      <w:r>
        <w:rPr>
          <w:rFonts w:hint="eastAsia" w:ascii="Times New Roman" w:hAnsi="Times New Roman" w:eastAsia="仿宋_GB2312" w:cs="Times New Roman"/>
          <w:color w:val="000000" w:themeColor="text1"/>
          <w:kern w:val="0"/>
          <w:szCs w:val="21"/>
          <w:lang w:val="en-US" w:eastAsia="zh-CN"/>
        </w:rPr>
        <w:t>0.22万元，原因是2023年减少了公务用车维修费</w:t>
      </w:r>
      <w:r>
        <w:rPr>
          <w:rFonts w:ascii="Times New Roman" w:hAnsi="Times New Roman" w:eastAsia="仿宋_GB2312" w:cs="Times New Roman"/>
          <w:color w:val="000000" w:themeColor="text1"/>
          <w:kern w:val="0"/>
          <w:szCs w:val="21"/>
        </w:rPr>
        <w:t>。</w:t>
      </w:r>
    </w:p>
    <w:p w14:paraId="32ACC6C1">
      <w:pPr>
        <w:widowControl/>
        <w:shd w:val="clear" w:color="auto" w:fill="FFFFFF"/>
        <w:spacing w:line="580" w:lineRule="exact"/>
        <w:ind w:firstLine="420" w:firstLineChars="200"/>
        <w:jc w:val="left"/>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szCs w:val="21"/>
        </w:rPr>
        <w:t>2.制度建设及执行状况：</w:t>
      </w:r>
    </w:p>
    <w:p w14:paraId="03313F10">
      <w:pPr>
        <w:widowControl/>
        <w:shd w:val="clear" w:color="auto" w:fill="FFFFFF"/>
        <w:spacing w:line="580" w:lineRule="exact"/>
        <w:ind w:firstLine="420" w:firstLineChars="200"/>
        <w:jc w:val="left"/>
        <w:rPr>
          <w:rFonts w:ascii="Times New Roman" w:hAnsi="Times New Roman" w:eastAsia="仿宋_GB2312" w:cs="Times New Roman"/>
          <w:color w:val="000000" w:themeColor="text1"/>
          <w:kern w:val="0"/>
          <w:szCs w:val="21"/>
        </w:rPr>
      </w:pPr>
      <w:r>
        <w:rPr>
          <w:rFonts w:hint="eastAsia" w:ascii="Times New Roman" w:hAnsi="Times New Roman" w:eastAsia="仿宋_GB2312" w:cs="Times New Roman"/>
          <w:color w:val="000000" w:themeColor="text1"/>
          <w:kern w:val="0"/>
          <w:szCs w:val="21"/>
        </w:rPr>
        <w:t>寻甸回族彝族自治县融媒体中心</w:t>
      </w:r>
      <w:r>
        <w:rPr>
          <w:rFonts w:ascii="Times New Roman" w:hAnsi="Times New Roman" w:eastAsia="仿宋_GB2312" w:cs="Times New Roman"/>
          <w:color w:val="000000" w:themeColor="text1"/>
          <w:kern w:val="0"/>
          <w:szCs w:val="21"/>
        </w:rPr>
        <w:t>对公务外出差旅费、公务接待费提出了具体标准和要求，对会议费等公用费用进一步规范审批流程，不断规范费用管理。</w:t>
      </w:r>
    </w:p>
    <w:p w14:paraId="13A14190">
      <w:pPr>
        <w:widowControl/>
        <w:shd w:val="clear" w:color="auto" w:fill="FFFFFF"/>
        <w:spacing w:line="520" w:lineRule="exact"/>
        <w:ind w:firstLine="420" w:firstLineChars="200"/>
        <w:jc w:val="left"/>
        <w:rPr>
          <w:rFonts w:ascii="Times New Roman" w:hAnsi="Times New Roman" w:eastAsia="仿宋_GB2312" w:cs="Times New Roman"/>
          <w:color w:val="000000" w:themeColor="text1"/>
          <w:kern w:val="0"/>
          <w:szCs w:val="21"/>
        </w:rPr>
      </w:pPr>
      <w:r>
        <w:rPr>
          <w:rFonts w:hint="eastAsia" w:ascii="Times New Roman" w:hAnsi="Times New Roman" w:eastAsia="仿宋_GB2312" w:cs="Times New Roman"/>
          <w:color w:val="000000" w:themeColor="text1"/>
          <w:kern w:val="0"/>
          <w:szCs w:val="21"/>
        </w:rPr>
        <w:t>寻甸回族彝族自治县融媒体中心</w:t>
      </w:r>
      <w:r>
        <w:rPr>
          <w:rFonts w:ascii="Times New Roman" w:hAnsi="Times New Roman" w:eastAsia="仿宋_GB2312" w:cs="Times New Roman"/>
          <w:color w:val="000000" w:themeColor="text1"/>
          <w:kern w:val="0"/>
          <w:szCs w:val="21"/>
        </w:rPr>
        <w:t>日常公用经费管理能严格执行相关制度，费用报销按照报账流程审核审批，由分管领导、归口管理处室、财务人员按费用性质、类别最后把关审批。</w:t>
      </w:r>
    </w:p>
    <w:p w14:paraId="43ED7D9A">
      <w:pPr>
        <w:topLinePunct/>
        <w:spacing w:line="520" w:lineRule="exact"/>
        <w:ind w:firstLine="420" w:firstLineChars="200"/>
        <w:rPr>
          <w:rFonts w:ascii="Times New Roman" w:hAnsi="Times New Roman" w:eastAsia="楷体" w:cs="Times New Roman"/>
          <w:color w:val="000000" w:themeColor="text1"/>
          <w:szCs w:val="32"/>
        </w:rPr>
      </w:pPr>
      <w:r>
        <w:rPr>
          <w:rFonts w:ascii="Times New Roman" w:hAnsi="Times New Roman" w:eastAsia="楷体" w:cs="Times New Roman"/>
          <w:color w:val="000000" w:themeColor="text1"/>
          <w:szCs w:val="32"/>
        </w:rPr>
        <w:t>（六）政府采购情况。</w:t>
      </w:r>
    </w:p>
    <w:p w14:paraId="20CFB333">
      <w:pPr>
        <w:spacing w:line="520" w:lineRule="exact"/>
        <w:ind w:firstLine="420" w:firstLineChars="200"/>
        <w:rPr>
          <w:rFonts w:ascii="Times New Roman" w:hAnsi="Times New Roman" w:eastAsia="仿宋_GB2312" w:cs="Times New Roman"/>
          <w:color w:val="000000" w:themeColor="text1"/>
          <w:szCs w:val="32"/>
        </w:rPr>
      </w:pPr>
      <w:r>
        <w:rPr>
          <w:rFonts w:ascii="Times New Roman" w:hAnsi="Times New Roman" w:eastAsia="仿宋_GB2312" w:cs="Times New Roman"/>
          <w:color w:val="000000" w:themeColor="text1"/>
          <w:szCs w:val="32"/>
        </w:rPr>
        <w:t>寻甸回族彝族自治县</w:t>
      </w:r>
      <w:r>
        <w:rPr>
          <w:rFonts w:hint="eastAsia" w:ascii="Times New Roman" w:hAnsi="Times New Roman" w:eastAsia="仿宋_GB2312" w:cs="Times New Roman"/>
          <w:color w:val="000000" w:themeColor="text1"/>
          <w:szCs w:val="32"/>
        </w:rPr>
        <w:t>融媒体中心</w:t>
      </w:r>
      <w:r>
        <w:rPr>
          <w:rFonts w:ascii="Times New Roman" w:hAnsi="Times New Roman" w:eastAsia="仿宋_GB2312" w:cs="Times New Roman"/>
          <w:color w:val="000000" w:themeColor="text1"/>
          <w:szCs w:val="32"/>
        </w:rPr>
        <w:t>编制年初采购预算</w:t>
      </w:r>
      <w:r>
        <w:rPr>
          <w:rFonts w:hint="eastAsia" w:ascii="Times New Roman" w:hAnsi="Times New Roman" w:eastAsia="仿宋_GB2312" w:cs="Times New Roman"/>
          <w:color w:val="000000" w:themeColor="text1"/>
          <w:szCs w:val="32"/>
          <w:lang w:val="en-US" w:eastAsia="zh-CN"/>
        </w:rPr>
        <w:t>0</w:t>
      </w:r>
      <w:r>
        <w:rPr>
          <w:rFonts w:ascii="Times New Roman" w:hAnsi="Times New Roman" w:eastAsia="仿宋_GB2312" w:cs="Times New Roman"/>
          <w:color w:val="000000" w:themeColor="text1"/>
          <w:szCs w:val="32"/>
        </w:rPr>
        <w:t>万元，寻甸回族彝族自治县</w:t>
      </w:r>
      <w:r>
        <w:rPr>
          <w:rFonts w:hint="eastAsia" w:ascii="Times New Roman" w:hAnsi="Times New Roman" w:eastAsia="仿宋_GB2312" w:cs="Times New Roman"/>
          <w:color w:val="000000" w:themeColor="text1"/>
          <w:szCs w:val="32"/>
        </w:rPr>
        <w:t>融媒体中心</w:t>
      </w:r>
      <w:r>
        <w:rPr>
          <w:rFonts w:hint="eastAsia" w:ascii="Times New Roman" w:hAnsi="Times New Roman" w:eastAsia="仿宋_GB2312" w:cs="Times New Roman"/>
          <w:color w:val="000000" w:themeColor="text1"/>
          <w:szCs w:val="32"/>
          <w:lang w:eastAsia="zh-CN"/>
        </w:rPr>
        <w:t>2023</w:t>
      </w:r>
      <w:r>
        <w:rPr>
          <w:rFonts w:hint="eastAsia" w:ascii="Times New Roman" w:hAnsi="Times New Roman" w:eastAsia="仿宋_GB2312" w:cs="Times New Roman"/>
          <w:color w:val="000000" w:themeColor="text1"/>
          <w:szCs w:val="32"/>
        </w:rPr>
        <w:t>年政府采购</w:t>
      </w:r>
      <w:r>
        <w:rPr>
          <w:rFonts w:hint="eastAsia" w:ascii="Times New Roman" w:hAnsi="Times New Roman" w:eastAsia="仿宋_GB2312" w:cs="Times New Roman"/>
          <w:color w:val="000000" w:themeColor="text1"/>
          <w:szCs w:val="32"/>
          <w:lang w:val="en-US" w:eastAsia="zh-CN"/>
        </w:rPr>
        <w:t>7.75</w:t>
      </w:r>
      <w:r>
        <w:rPr>
          <w:rFonts w:hint="eastAsia" w:ascii="Times New Roman" w:hAnsi="Times New Roman" w:eastAsia="仿宋_GB2312" w:cs="Times New Roman"/>
          <w:color w:val="000000" w:themeColor="text1"/>
          <w:szCs w:val="32"/>
        </w:rPr>
        <w:t>万元。</w:t>
      </w:r>
    </w:p>
    <w:p w14:paraId="2355530E">
      <w:pPr>
        <w:topLinePunct/>
        <w:spacing w:line="520" w:lineRule="exact"/>
        <w:ind w:firstLine="420" w:firstLineChars="200"/>
        <w:rPr>
          <w:rFonts w:ascii="Times New Roman" w:hAnsi="Times New Roman" w:eastAsia="楷体" w:cs="Times New Roman"/>
          <w:color w:val="000000" w:themeColor="text1"/>
          <w:szCs w:val="32"/>
        </w:rPr>
      </w:pPr>
      <w:r>
        <w:rPr>
          <w:rFonts w:ascii="Times New Roman" w:hAnsi="Times New Roman" w:eastAsia="楷体" w:cs="Times New Roman"/>
          <w:color w:val="000000" w:themeColor="text1"/>
          <w:szCs w:val="32"/>
        </w:rPr>
        <w:t>（七）固定资产情况。</w:t>
      </w:r>
    </w:p>
    <w:p w14:paraId="579C406B">
      <w:pPr>
        <w:topLinePunct/>
        <w:spacing w:line="520" w:lineRule="exact"/>
        <w:ind w:firstLine="420" w:firstLineChars="200"/>
        <w:rPr>
          <w:rFonts w:ascii="Times New Roman" w:hAnsi="Times New Roman" w:eastAsia="仿宋_GB2312" w:cs="Times New Roman"/>
          <w:color w:val="000000" w:themeColor="text1"/>
          <w:szCs w:val="32"/>
        </w:rPr>
      </w:pPr>
      <w:r>
        <w:rPr>
          <w:rFonts w:ascii="Times New Roman" w:hAnsi="Times New Roman" w:eastAsia="仿宋_GB2312" w:cs="Times New Roman"/>
          <w:color w:val="000000" w:themeColor="text1"/>
          <w:szCs w:val="32"/>
        </w:rPr>
        <w:t>截至</w:t>
      </w:r>
      <w:r>
        <w:rPr>
          <w:rFonts w:hint="eastAsia" w:ascii="Times New Roman" w:hAnsi="Times New Roman" w:eastAsia="仿宋_GB2312" w:cs="Times New Roman"/>
          <w:color w:val="000000" w:themeColor="text1"/>
          <w:szCs w:val="32"/>
          <w:lang w:eastAsia="zh-CN"/>
        </w:rPr>
        <w:t>2023</w:t>
      </w:r>
      <w:r>
        <w:rPr>
          <w:rFonts w:ascii="Times New Roman" w:hAnsi="Times New Roman" w:eastAsia="仿宋_GB2312" w:cs="Times New Roman"/>
          <w:color w:val="000000" w:themeColor="text1"/>
          <w:szCs w:val="32"/>
        </w:rPr>
        <w:t>年12月31日，寻甸回族彝族自治县</w:t>
      </w:r>
      <w:r>
        <w:rPr>
          <w:rFonts w:hint="eastAsia" w:ascii="Times New Roman" w:hAnsi="Times New Roman" w:eastAsia="仿宋_GB2312" w:cs="Times New Roman"/>
          <w:color w:val="000000" w:themeColor="text1"/>
          <w:szCs w:val="32"/>
        </w:rPr>
        <w:t>融媒体中心</w:t>
      </w:r>
      <w:r>
        <w:rPr>
          <w:rFonts w:ascii="Times New Roman" w:hAnsi="Times New Roman" w:eastAsia="仿宋_GB2312" w:cs="Times New Roman"/>
          <w:color w:val="000000" w:themeColor="text1"/>
          <w:szCs w:val="32"/>
        </w:rPr>
        <w:t>总资产年末数为</w:t>
      </w:r>
      <w:r>
        <w:rPr>
          <w:rFonts w:hint="eastAsia" w:ascii="Times New Roman" w:hAnsi="Times New Roman" w:eastAsia="仿宋_GB2312" w:cs="Times New Roman"/>
          <w:color w:val="000000" w:themeColor="text1"/>
          <w:szCs w:val="32"/>
          <w:lang w:val="en-US" w:eastAsia="zh-CN"/>
        </w:rPr>
        <w:t>982.39</w:t>
      </w:r>
      <w:r>
        <w:rPr>
          <w:rFonts w:ascii="Times New Roman" w:hAnsi="Times New Roman" w:eastAsia="仿宋_GB2312" w:cs="Times New Roman"/>
          <w:color w:val="000000" w:themeColor="text1"/>
          <w:szCs w:val="32"/>
        </w:rPr>
        <w:t>万元，流动资产年末数为</w:t>
      </w:r>
      <w:r>
        <w:rPr>
          <w:rFonts w:hint="eastAsia" w:ascii="Times New Roman" w:hAnsi="Times New Roman" w:eastAsia="仿宋_GB2312" w:cs="Times New Roman"/>
          <w:color w:val="000000" w:themeColor="text1"/>
          <w:szCs w:val="32"/>
          <w:lang w:val="en-US" w:eastAsia="zh-CN"/>
        </w:rPr>
        <w:t>97.19</w:t>
      </w:r>
      <w:r>
        <w:rPr>
          <w:rFonts w:ascii="Times New Roman" w:hAnsi="Times New Roman" w:eastAsia="仿宋_GB2312" w:cs="Times New Roman"/>
          <w:color w:val="000000" w:themeColor="text1"/>
          <w:szCs w:val="32"/>
        </w:rPr>
        <w:t>万元，其中库存现金年末数为</w:t>
      </w:r>
      <w:r>
        <w:rPr>
          <w:rFonts w:hint="eastAsia" w:ascii="Times New Roman" w:hAnsi="Times New Roman" w:eastAsia="仿宋_GB2312" w:cs="Times New Roman"/>
          <w:color w:val="000000" w:themeColor="text1"/>
          <w:szCs w:val="32"/>
        </w:rPr>
        <w:t>0</w:t>
      </w:r>
      <w:r>
        <w:rPr>
          <w:rFonts w:ascii="Times New Roman" w:hAnsi="Times New Roman" w:eastAsia="仿宋_GB2312" w:cs="Times New Roman"/>
          <w:color w:val="000000" w:themeColor="text1"/>
          <w:szCs w:val="32"/>
        </w:rPr>
        <w:t>万元，银行存款年末数为</w:t>
      </w:r>
      <w:r>
        <w:rPr>
          <w:rFonts w:hint="eastAsia" w:ascii="Times New Roman" w:hAnsi="Times New Roman" w:eastAsia="仿宋_GB2312" w:cs="Times New Roman"/>
          <w:color w:val="000000" w:themeColor="text1"/>
          <w:szCs w:val="32"/>
          <w:lang w:val="en-US" w:eastAsia="zh-CN"/>
        </w:rPr>
        <w:t>97.14</w:t>
      </w:r>
      <w:r>
        <w:rPr>
          <w:rFonts w:ascii="Times New Roman" w:hAnsi="Times New Roman" w:eastAsia="仿宋_GB2312" w:cs="Times New Roman"/>
          <w:color w:val="000000" w:themeColor="text1"/>
          <w:szCs w:val="32"/>
        </w:rPr>
        <w:t>万元，其他应</w:t>
      </w:r>
      <w:r>
        <w:rPr>
          <w:rFonts w:hint="eastAsia" w:ascii="Times New Roman" w:hAnsi="Times New Roman" w:eastAsia="仿宋_GB2312" w:cs="Times New Roman"/>
          <w:color w:val="000000" w:themeColor="text1"/>
          <w:szCs w:val="32"/>
          <w:lang w:eastAsia="zh-CN"/>
        </w:rPr>
        <w:t>交税费</w:t>
      </w:r>
      <w:r>
        <w:rPr>
          <w:rFonts w:ascii="Times New Roman" w:hAnsi="Times New Roman" w:eastAsia="仿宋_GB2312" w:cs="Times New Roman"/>
          <w:color w:val="000000" w:themeColor="text1"/>
          <w:szCs w:val="32"/>
        </w:rPr>
        <w:t>年末数为</w:t>
      </w:r>
      <w:r>
        <w:rPr>
          <w:rFonts w:hint="eastAsia" w:ascii="Times New Roman" w:hAnsi="Times New Roman" w:eastAsia="仿宋_GB2312" w:cs="Times New Roman"/>
          <w:color w:val="000000" w:themeColor="text1"/>
          <w:szCs w:val="32"/>
          <w:lang w:val="en-US" w:eastAsia="zh-CN"/>
        </w:rPr>
        <w:t>7.18</w:t>
      </w:r>
      <w:r>
        <w:rPr>
          <w:rFonts w:ascii="Times New Roman" w:hAnsi="Times New Roman" w:eastAsia="仿宋_GB2312" w:cs="Times New Roman"/>
          <w:color w:val="000000" w:themeColor="text1"/>
          <w:szCs w:val="32"/>
        </w:rPr>
        <w:t>万元，</w:t>
      </w:r>
      <w:r>
        <w:rPr>
          <w:rFonts w:hint="eastAsia" w:ascii="Times New Roman" w:hAnsi="Times New Roman" w:eastAsia="仿宋_GB2312" w:cs="Times New Roman"/>
          <w:color w:val="000000" w:themeColor="text1"/>
          <w:szCs w:val="32"/>
          <w:lang w:eastAsia="zh-CN"/>
        </w:rPr>
        <w:t>应交财政款</w:t>
      </w:r>
      <w:r>
        <w:rPr>
          <w:rFonts w:hint="eastAsia" w:ascii="Times New Roman" w:hAnsi="Times New Roman" w:eastAsia="仿宋_GB2312" w:cs="Times New Roman"/>
          <w:color w:val="000000" w:themeColor="text1"/>
          <w:szCs w:val="32"/>
          <w:lang w:val="en-US" w:eastAsia="zh-CN"/>
        </w:rPr>
        <w:t>79.13万元，</w:t>
      </w:r>
      <w:r>
        <w:rPr>
          <w:rFonts w:ascii="Times New Roman" w:hAnsi="Times New Roman" w:eastAsia="仿宋_GB2312" w:cs="Times New Roman"/>
          <w:color w:val="000000" w:themeColor="text1"/>
          <w:szCs w:val="32"/>
        </w:rPr>
        <w:t>固定资产</w:t>
      </w:r>
      <w:r>
        <w:rPr>
          <w:rFonts w:hint="eastAsia" w:ascii="Times New Roman" w:hAnsi="Times New Roman" w:eastAsia="仿宋_GB2312" w:cs="Times New Roman"/>
          <w:color w:val="000000" w:themeColor="text1"/>
          <w:szCs w:val="32"/>
        </w:rPr>
        <w:t>净值</w:t>
      </w:r>
      <w:r>
        <w:rPr>
          <w:rFonts w:ascii="Times New Roman" w:hAnsi="Times New Roman" w:eastAsia="仿宋_GB2312" w:cs="Times New Roman"/>
          <w:color w:val="000000" w:themeColor="text1"/>
          <w:szCs w:val="32"/>
        </w:rPr>
        <w:t>年末数为</w:t>
      </w:r>
      <w:r>
        <w:rPr>
          <w:rFonts w:hint="eastAsia" w:ascii="Times New Roman" w:hAnsi="Times New Roman" w:eastAsia="仿宋_GB2312" w:cs="Times New Roman"/>
          <w:color w:val="000000" w:themeColor="text1"/>
          <w:szCs w:val="32"/>
          <w:lang w:val="en-US" w:eastAsia="zh-CN"/>
        </w:rPr>
        <w:t>201.86</w:t>
      </w:r>
      <w:r>
        <w:rPr>
          <w:rFonts w:ascii="Times New Roman" w:hAnsi="Times New Roman" w:eastAsia="仿宋_GB2312" w:cs="Times New Roman"/>
          <w:color w:val="000000" w:themeColor="text1"/>
          <w:szCs w:val="32"/>
        </w:rPr>
        <w:t>万元，负债年末数为</w:t>
      </w:r>
      <w:r>
        <w:rPr>
          <w:rFonts w:hint="eastAsia" w:ascii="Times New Roman" w:hAnsi="Times New Roman" w:eastAsia="仿宋_GB2312" w:cs="Times New Roman"/>
          <w:color w:val="000000" w:themeColor="text1"/>
          <w:szCs w:val="32"/>
          <w:lang w:val="en-US" w:eastAsia="zh-CN"/>
        </w:rPr>
        <w:t>94.15</w:t>
      </w:r>
      <w:r>
        <w:rPr>
          <w:rFonts w:ascii="Times New Roman" w:hAnsi="Times New Roman" w:eastAsia="仿宋_GB2312" w:cs="Times New Roman"/>
          <w:color w:val="000000" w:themeColor="text1"/>
          <w:szCs w:val="32"/>
        </w:rPr>
        <w:t>万元。资产分为流动资产和固定资产，具体包括：库存现金、银行存款、其他应收款和固定资产。固定资产、办公家具和用品严格按照《</w:t>
      </w:r>
      <w:r>
        <w:rPr>
          <w:rFonts w:hint="eastAsia" w:ascii="Times New Roman" w:hAnsi="Times New Roman" w:eastAsia="仿宋_GB2312" w:cs="Times New Roman"/>
          <w:color w:val="000000" w:themeColor="text1"/>
          <w:szCs w:val="32"/>
        </w:rPr>
        <w:t>寻甸回族彝族自治县融媒体中心</w:t>
      </w:r>
      <w:r>
        <w:rPr>
          <w:rFonts w:ascii="Times New Roman" w:hAnsi="Times New Roman" w:eastAsia="仿宋_GB2312" w:cs="Times New Roman"/>
          <w:color w:val="000000" w:themeColor="text1"/>
          <w:szCs w:val="32"/>
        </w:rPr>
        <w:t>财务管理</w:t>
      </w:r>
      <w:r>
        <w:rPr>
          <w:rFonts w:hint="eastAsia" w:ascii="Times New Roman" w:hAnsi="Times New Roman" w:eastAsia="仿宋_GB2312" w:cs="Times New Roman"/>
          <w:color w:val="000000" w:themeColor="text1"/>
          <w:szCs w:val="32"/>
        </w:rPr>
        <w:t>办法</w:t>
      </w:r>
      <w:r>
        <w:rPr>
          <w:rFonts w:ascii="Times New Roman" w:hAnsi="Times New Roman" w:eastAsia="仿宋_GB2312" w:cs="Times New Roman"/>
          <w:color w:val="000000" w:themeColor="text1"/>
          <w:szCs w:val="32"/>
        </w:rPr>
        <w:t>》、</w:t>
      </w:r>
      <w:r>
        <w:rPr>
          <w:rFonts w:hint="eastAsia" w:ascii="Times New Roman" w:hAnsi="Times New Roman" w:eastAsia="仿宋_GB2312" w:cs="Times New Roman"/>
          <w:color w:val="000000" w:themeColor="text1"/>
          <w:szCs w:val="32"/>
        </w:rPr>
        <w:t>《寻甸回族彝族自治县融媒体中心工作制度》、《寻回族彝族自治县融媒体中心职务责任》</w:t>
      </w:r>
      <w:r>
        <w:rPr>
          <w:rFonts w:ascii="Times New Roman" w:hAnsi="Times New Roman" w:eastAsia="仿宋_GB2312" w:cs="Times New Roman"/>
          <w:color w:val="000000" w:themeColor="text1"/>
          <w:szCs w:val="32"/>
        </w:rPr>
        <w:t>进行配置和处置。严格按照财务管理的相关要求，建立了固定资产和办公用品使用、审批、稽核等内部管理规范。</w:t>
      </w:r>
    </w:p>
    <w:p w14:paraId="4B5632EC">
      <w:pPr>
        <w:topLinePunct/>
        <w:spacing w:line="520" w:lineRule="exact"/>
        <w:ind w:firstLine="420" w:firstLineChars="200"/>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二、绩效目标</w:t>
      </w:r>
    </w:p>
    <w:p w14:paraId="74D4249D">
      <w:pPr>
        <w:topLinePunct/>
        <w:spacing w:line="520" w:lineRule="exact"/>
        <w:ind w:firstLine="420" w:firstLineChars="200"/>
        <w:rPr>
          <w:rFonts w:ascii="Times New Roman" w:hAnsi="Times New Roman" w:eastAsia="楷体" w:cs="Times New Roman"/>
          <w:color w:val="000000" w:themeColor="text1"/>
          <w:szCs w:val="32"/>
        </w:rPr>
      </w:pPr>
      <w:r>
        <w:rPr>
          <w:rFonts w:ascii="Times New Roman" w:hAnsi="Times New Roman" w:eastAsia="楷体" w:cs="Times New Roman"/>
          <w:color w:val="000000" w:themeColor="text1"/>
          <w:szCs w:val="32"/>
        </w:rPr>
        <w:t>（一）部门总目标。</w:t>
      </w:r>
    </w:p>
    <w:p w14:paraId="522BC2B8">
      <w:pPr>
        <w:topLinePunct/>
        <w:spacing w:line="520" w:lineRule="exact"/>
        <w:ind w:firstLine="420" w:firstLineChars="200"/>
        <w:rPr>
          <w:rFonts w:ascii="Times New Roman" w:hAnsi="Times New Roman" w:eastAsia="仿宋_GB2312" w:cs="Times New Roman"/>
          <w:color w:val="000000" w:themeColor="text1"/>
          <w:szCs w:val="32"/>
        </w:rPr>
      </w:pPr>
      <w:r>
        <w:rPr>
          <w:rFonts w:ascii="Times New Roman" w:hAnsi="Times New Roman" w:eastAsia="仿宋_GB2312" w:cs="Times New Roman"/>
          <w:color w:val="000000" w:themeColor="text1"/>
          <w:szCs w:val="32"/>
        </w:rPr>
        <w:t>寻甸回族彝族自治县</w:t>
      </w:r>
      <w:r>
        <w:rPr>
          <w:rFonts w:hint="eastAsia" w:ascii="Times New Roman" w:hAnsi="Times New Roman" w:eastAsia="仿宋_GB2312" w:cs="Times New Roman"/>
          <w:color w:val="000000" w:themeColor="text1"/>
          <w:szCs w:val="32"/>
        </w:rPr>
        <w:t>融媒体中心</w:t>
      </w:r>
      <w:r>
        <w:rPr>
          <w:rFonts w:ascii="Times New Roman" w:hAnsi="Times New Roman" w:eastAsia="仿宋_GB2312" w:cs="Times New Roman"/>
          <w:color w:val="000000" w:themeColor="text1"/>
          <w:szCs w:val="32"/>
        </w:rPr>
        <w:t>在县委县政府的领导下，大力推进法制建设、</w:t>
      </w:r>
      <w:r>
        <w:rPr>
          <w:rFonts w:hint="eastAsia" w:ascii="Times New Roman" w:hAnsi="Times New Roman" w:eastAsia="仿宋_GB2312" w:cs="Times New Roman"/>
          <w:color w:val="000000" w:themeColor="text1"/>
          <w:szCs w:val="32"/>
        </w:rPr>
        <w:t>新闻记者</w:t>
      </w:r>
      <w:r>
        <w:rPr>
          <w:rFonts w:ascii="Times New Roman" w:hAnsi="Times New Roman" w:eastAsia="仿宋_GB2312" w:cs="Times New Roman"/>
          <w:color w:val="000000" w:themeColor="text1"/>
          <w:szCs w:val="32"/>
        </w:rPr>
        <w:t>队伍建设、基础设施建设，不断强化社会服务意识，提高服务水平，</w:t>
      </w:r>
      <w:r>
        <w:rPr>
          <w:rFonts w:hint="eastAsia" w:ascii="Times New Roman" w:hAnsi="Times New Roman" w:eastAsia="仿宋_GB2312" w:cs="Times New Roman"/>
          <w:color w:val="000000" w:themeColor="text1"/>
          <w:szCs w:val="32"/>
        </w:rPr>
        <w:t>做好广播电视节目的采集、编辑、制作和播出;做好县级新媒体信息的采集、编辑、制作和传播;做好公益广告的策划、制作及播出;做好全县通联工作，及时向上级新闻媒体提供全县有报道价值的新闻线索，抓好通讯员队伍、网点建设，做好新闻工作者的思想政治工作;做好组织参加各类媒体协会的新闻评奖、评优活动。</w:t>
      </w:r>
      <w:r>
        <w:rPr>
          <w:rFonts w:ascii="Times New Roman" w:hAnsi="Times New Roman" w:eastAsia="仿宋_GB2312" w:cs="Times New Roman"/>
          <w:color w:val="000000" w:themeColor="text1"/>
          <w:szCs w:val="32"/>
        </w:rPr>
        <w:t>围绕目标责任书下达的目标责任开展工作，确保目标责任全面完成。</w:t>
      </w:r>
    </w:p>
    <w:p w14:paraId="65FAFA39">
      <w:pPr>
        <w:topLinePunct/>
        <w:spacing w:line="520" w:lineRule="exact"/>
        <w:ind w:firstLine="420" w:firstLineChars="200"/>
        <w:rPr>
          <w:rFonts w:ascii="Times New Roman" w:hAnsi="Times New Roman" w:eastAsia="楷体" w:cs="Times New Roman"/>
          <w:color w:val="000000" w:themeColor="text1"/>
          <w:szCs w:val="32"/>
        </w:rPr>
      </w:pPr>
      <w:r>
        <w:rPr>
          <w:rFonts w:ascii="Times New Roman" w:hAnsi="Times New Roman" w:eastAsia="楷体" w:cs="Times New Roman"/>
          <w:color w:val="000000" w:themeColor="text1"/>
          <w:szCs w:val="32"/>
        </w:rPr>
        <w:t>（二）部门项目具体计划目标。</w:t>
      </w:r>
    </w:p>
    <w:p w14:paraId="6EC27967">
      <w:pPr>
        <w:shd w:val="clear" w:color="auto" w:fill="FFFFFF"/>
        <w:spacing w:before="100" w:beforeAutospacing="1" w:after="100" w:afterAutospacing="1" w:line="320" w:lineRule="atLeast"/>
        <w:ind w:left="-69" w:right="-65" w:firstLine="420" w:firstLineChars="200"/>
        <w:rPr>
          <w:rFonts w:ascii="仿宋_GB2312" w:hAnsi="宋体" w:eastAsia="仿宋_GB2312" w:cs="宋体"/>
          <w:kern w:val="0"/>
          <w:szCs w:val="21"/>
        </w:rPr>
      </w:pPr>
      <w:r>
        <w:rPr>
          <w:rFonts w:ascii="Times New Roman" w:hAnsi="Times New Roman" w:eastAsia="仿宋_GB2312" w:cs="Times New Roman"/>
          <w:color w:val="000000" w:themeColor="text1"/>
          <w:szCs w:val="32"/>
        </w:rPr>
        <w:t>（</w:t>
      </w:r>
      <w:r>
        <w:rPr>
          <w:rFonts w:hint="eastAsia" w:ascii="Times New Roman" w:hAnsi="Times New Roman" w:eastAsia="仿宋_GB2312" w:cs="Times New Roman"/>
          <w:color w:val="000000" w:themeColor="text1"/>
          <w:szCs w:val="32"/>
        </w:rPr>
        <w:t>1</w:t>
      </w:r>
      <w:r>
        <w:rPr>
          <w:rFonts w:ascii="Times New Roman" w:hAnsi="Times New Roman" w:eastAsia="仿宋_GB2312" w:cs="Times New Roman"/>
          <w:color w:val="000000" w:themeColor="text1"/>
          <w:szCs w:val="32"/>
        </w:rPr>
        <w:t>）</w:t>
      </w:r>
      <w:r>
        <w:rPr>
          <w:rFonts w:hint="eastAsia" w:ascii="仿宋_GB2312" w:eastAsia="仿宋_GB2312"/>
        </w:rPr>
        <w:t>加强舆论引导，抓好主题宣传</w:t>
      </w:r>
      <w:r>
        <w:rPr>
          <w:rFonts w:ascii="Times New Roman" w:hAnsi="Times New Roman" w:eastAsia="仿宋_GB2312" w:cs="Times New Roman"/>
          <w:color w:val="000000" w:themeColor="text1"/>
          <w:szCs w:val="32"/>
        </w:rPr>
        <w:t>。</w:t>
      </w:r>
      <w:r>
        <w:rPr>
          <w:rFonts w:hint="eastAsia" w:ascii="仿宋_GB2312" w:hAnsi="宋体" w:eastAsia="仿宋_GB2312" w:cs="宋体"/>
          <w:kern w:val="0"/>
          <w:szCs w:val="21"/>
        </w:rPr>
        <w:t>突出重大新闻选题的策划，突出报道方式的创新，突出与全媒体的融合，完善节目评审工作机制；</w:t>
      </w:r>
    </w:p>
    <w:p w14:paraId="6E15F57E">
      <w:pPr>
        <w:spacing w:before="100" w:beforeAutospacing="1" w:after="100" w:afterAutospacing="1" w:line="390" w:lineRule="atLeast"/>
        <w:ind w:firstLine="315" w:firstLineChars="150"/>
        <w:rPr>
          <w:rFonts w:ascii="宋体" w:hAnsi="宋体" w:eastAsia="宋体" w:cs="宋体"/>
          <w:kern w:val="0"/>
          <w:szCs w:val="21"/>
        </w:rPr>
      </w:pPr>
      <w:r>
        <w:rPr>
          <w:rFonts w:ascii="Times New Roman" w:hAnsi="Times New Roman" w:eastAsia="仿宋_GB2312" w:cs="Times New Roman"/>
          <w:color w:val="000000" w:themeColor="text1"/>
          <w:szCs w:val="32"/>
        </w:rPr>
        <w:t>（</w:t>
      </w:r>
      <w:r>
        <w:rPr>
          <w:rFonts w:hint="eastAsia" w:ascii="Times New Roman" w:hAnsi="Times New Roman" w:eastAsia="仿宋_GB2312" w:cs="Times New Roman"/>
          <w:color w:val="000000" w:themeColor="text1"/>
          <w:szCs w:val="32"/>
        </w:rPr>
        <w:t>2</w:t>
      </w:r>
      <w:r>
        <w:rPr>
          <w:rFonts w:ascii="Times New Roman" w:hAnsi="Times New Roman" w:eastAsia="仿宋_GB2312" w:cs="Times New Roman"/>
          <w:color w:val="000000" w:themeColor="text1"/>
          <w:szCs w:val="32"/>
        </w:rPr>
        <w:t>）</w:t>
      </w:r>
      <w:r>
        <w:rPr>
          <w:rFonts w:hint="eastAsia" w:ascii="仿宋_GB2312" w:eastAsia="仿宋_GB2312"/>
        </w:rPr>
        <w:t>深化广播电视的供给侧改革</w:t>
      </w:r>
      <w:r>
        <w:rPr>
          <w:rFonts w:ascii="Times New Roman" w:hAnsi="Times New Roman" w:eastAsia="仿宋_GB2312" w:cs="Times New Roman"/>
          <w:color w:val="000000" w:themeColor="text1"/>
          <w:szCs w:val="32"/>
        </w:rPr>
        <w:t>。</w:t>
      </w:r>
      <w:r>
        <w:rPr>
          <w:rFonts w:hint="eastAsia" w:ascii="仿宋_GB2312" w:hAnsi="宋体" w:eastAsia="仿宋_GB2312" w:cs="宋体"/>
          <w:kern w:val="0"/>
          <w:szCs w:val="21"/>
        </w:rPr>
        <w:t>深化绩效管理改革，突出绩与效、责权利的正相比关系；实施“双低节目”淘汰机制。</w:t>
      </w:r>
    </w:p>
    <w:p w14:paraId="6DE7B0B8">
      <w:pPr>
        <w:spacing w:before="100" w:beforeAutospacing="1" w:after="100" w:afterAutospacing="1" w:line="390" w:lineRule="atLeast"/>
        <w:ind w:firstLine="315" w:firstLineChars="150"/>
        <w:rPr>
          <w:rFonts w:ascii="仿宋_GB2312" w:hAnsi="宋体" w:eastAsia="仿宋_GB2312" w:cs="宋体"/>
          <w:kern w:val="0"/>
          <w:szCs w:val="21"/>
        </w:rPr>
      </w:pPr>
      <w:r>
        <w:rPr>
          <w:rFonts w:ascii="Times New Roman" w:hAnsi="Times New Roman" w:eastAsia="仿宋_GB2312" w:cs="Times New Roman"/>
          <w:color w:val="000000" w:themeColor="text1"/>
          <w:szCs w:val="32"/>
        </w:rPr>
        <w:t>（</w:t>
      </w:r>
      <w:r>
        <w:rPr>
          <w:rFonts w:hint="eastAsia" w:ascii="Times New Roman" w:hAnsi="Times New Roman" w:eastAsia="仿宋_GB2312" w:cs="Times New Roman"/>
          <w:color w:val="000000" w:themeColor="text1"/>
          <w:szCs w:val="32"/>
        </w:rPr>
        <w:t>3</w:t>
      </w:r>
      <w:r>
        <w:rPr>
          <w:rFonts w:ascii="Times New Roman" w:hAnsi="Times New Roman" w:eastAsia="仿宋_GB2312" w:cs="Times New Roman"/>
          <w:color w:val="000000" w:themeColor="text1"/>
          <w:szCs w:val="32"/>
        </w:rPr>
        <w:t>）</w:t>
      </w:r>
      <w:r>
        <w:rPr>
          <w:rFonts w:hint="eastAsia" w:ascii="仿宋_GB2312" w:hAnsi="宋体" w:eastAsia="仿宋_GB2312" w:cs="宋体"/>
          <w:kern w:val="0"/>
          <w:szCs w:val="21"/>
        </w:rPr>
        <w:t>提升机关效能优化人力资源。建立常态化督办机制，提升机关服务能力；在综合管理部门和基础支持部门全面推行岗位管理。</w:t>
      </w:r>
    </w:p>
    <w:p w14:paraId="4AB6356D">
      <w:pPr>
        <w:spacing w:before="100" w:beforeAutospacing="1" w:after="100" w:afterAutospacing="1" w:line="390" w:lineRule="atLeast"/>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（4）</w:t>
      </w:r>
      <w:r>
        <w:rPr>
          <w:rFonts w:hint="eastAsia" w:ascii="仿宋_GB2312" w:eastAsia="仿宋_GB2312"/>
        </w:rPr>
        <w:t>落实党风廉政建设责任制，加强队伍建设，提高干部廉洁自律意识。</w:t>
      </w:r>
      <w:r>
        <w:rPr>
          <w:rFonts w:hint="eastAsia" w:ascii="仿宋_GB2312" w:hAnsi="宋体" w:eastAsia="仿宋_GB2312" w:cs="宋体"/>
          <w:kern w:val="0"/>
          <w:szCs w:val="21"/>
        </w:rPr>
        <w:t>利用广电大讲堂、微信平台、办公网等，抓好干部职工廉政教育，突出行业特点，落实“一岗双责”。</w:t>
      </w:r>
    </w:p>
    <w:p w14:paraId="152EA5EC">
      <w:pPr>
        <w:spacing w:before="100" w:beforeAutospacing="1" w:after="100" w:afterAutospacing="1" w:line="390" w:lineRule="atLeast"/>
        <w:ind w:firstLine="315" w:firstLineChars="150"/>
        <w:rPr>
          <w:rFonts w:ascii="仿宋_GB2312" w:hAnsi="宋体" w:eastAsia="仿宋_GB2312" w:cs="宋体"/>
          <w:kern w:val="0"/>
          <w:szCs w:val="21"/>
        </w:rPr>
      </w:pPr>
      <w:r>
        <w:rPr>
          <w:rFonts w:hint="eastAsia" w:ascii="仿宋_GB2312" w:hAnsi="宋体" w:eastAsia="仿宋_GB2312" w:cs="宋体"/>
          <w:kern w:val="0"/>
          <w:szCs w:val="21"/>
        </w:rPr>
        <w:t>（5）</w:t>
      </w:r>
      <w:r>
        <w:rPr>
          <w:rFonts w:hint="eastAsia" w:ascii="仿宋_GB2312" w:eastAsia="仿宋_GB2312"/>
        </w:rPr>
        <w:t>开展党建活动，抓好党员“两学一做”学习教育，夯实基层党组织。</w:t>
      </w:r>
      <w:r>
        <w:rPr>
          <w:rFonts w:hint="eastAsia" w:ascii="仿宋_GB2312" w:hAnsi="宋体" w:eastAsia="仿宋_GB2312" w:cs="宋体"/>
          <w:kern w:val="0"/>
          <w:szCs w:val="21"/>
        </w:rPr>
        <w:t>完善党建工作制度，推进党群活动常态化，加大党务工作与业务工作融合力度。</w:t>
      </w:r>
    </w:p>
    <w:p w14:paraId="78F03A37">
      <w:pPr>
        <w:topLinePunct/>
        <w:spacing w:line="520" w:lineRule="exact"/>
        <w:ind w:firstLine="420" w:firstLineChars="200"/>
        <w:rPr>
          <w:rFonts w:ascii="Times New Roman" w:hAnsi="Times New Roman" w:eastAsia="仿宋_GB2312" w:cs="Times New Roman"/>
          <w:color w:val="000000" w:themeColor="text1"/>
          <w:szCs w:val="32"/>
        </w:rPr>
      </w:pPr>
      <w:r>
        <w:rPr>
          <w:rFonts w:hint="eastAsia" w:ascii="仿宋_GB2312" w:hAnsi="宋体" w:eastAsia="仿宋_GB2312" w:cs="宋体"/>
          <w:kern w:val="0"/>
          <w:szCs w:val="21"/>
        </w:rPr>
        <w:t>（6）</w:t>
      </w:r>
      <w:r>
        <w:rPr>
          <w:rFonts w:hint="eastAsia" w:ascii="仿宋_GB2312" w:eastAsia="仿宋_GB2312"/>
        </w:rPr>
        <w:t>核算成本，加强创收经营管理。</w:t>
      </w:r>
      <w:r>
        <w:rPr>
          <w:rFonts w:hint="eastAsia" w:ascii="仿宋_GB2312" w:hAnsi="宋体" w:eastAsia="仿宋_GB2312" w:cs="宋体"/>
          <w:kern w:val="0"/>
          <w:szCs w:val="21"/>
        </w:rPr>
        <w:t>完成全年财务收入目标，推行预算管理，确保收支平衡，制定“开源节流”工作管理办法，在抓好资金管理的同时，加强资产管理。</w:t>
      </w:r>
      <w:r>
        <w:rPr>
          <w:rFonts w:ascii="仿宋_GB2312" w:hAnsi="宋体" w:eastAsia="仿宋_GB2312" w:cs="宋体"/>
          <w:kern w:val="0"/>
          <w:szCs w:val="21"/>
        </w:rPr>
        <w:t>A</w:t>
      </w:r>
      <w:r>
        <w:rPr>
          <w:rFonts w:hint="eastAsia" w:ascii="仿宋_GB2312" w:hAnsi="宋体" w:eastAsia="仿宋_GB2312" w:cs="宋体"/>
          <w:kern w:val="0"/>
          <w:szCs w:val="21"/>
        </w:rPr>
        <w:t>.</w:t>
      </w:r>
      <w:r>
        <w:rPr>
          <w:rFonts w:ascii="Times New Roman" w:hAnsi="Times New Roman" w:eastAsia="仿宋_GB2312" w:cs="Times New Roman"/>
          <w:color w:val="000000" w:themeColor="text1"/>
          <w:szCs w:val="32"/>
        </w:rPr>
        <w:t xml:space="preserve"> 预决算公开：</w:t>
      </w:r>
      <w:r>
        <w:rPr>
          <w:rFonts w:hint="eastAsia" w:ascii="Times New Roman" w:hAnsi="Times New Roman" w:eastAsia="仿宋_GB2312" w:cs="Times New Roman"/>
          <w:color w:val="000000" w:themeColor="text1"/>
          <w:szCs w:val="32"/>
        </w:rPr>
        <w:t>寻甸回族彝族自治县融媒体中心</w:t>
      </w:r>
      <w:r>
        <w:rPr>
          <w:rFonts w:ascii="Times New Roman" w:hAnsi="Times New Roman" w:eastAsia="仿宋_GB2312" w:cs="Times New Roman"/>
          <w:color w:val="000000" w:themeColor="text1"/>
          <w:szCs w:val="32"/>
        </w:rPr>
        <w:t>按照政府统一部署</w:t>
      </w:r>
      <w:r>
        <w:rPr>
          <w:rFonts w:hint="eastAsia" w:ascii="Times New Roman" w:hAnsi="Times New Roman" w:eastAsia="仿宋_GB2312" w:cs="Times New Roman"/>
          <w:color w:val="000000" w:themeColor="text1"/>
          <w:szCs w:val="32"/>
        </w:rPr>
        <w:t>，</w:t>
      </w:r>
      <w:r>
        <w:rPr>
          <w:rFonts w:ascii="Times New Roman" w:hAnsi="Times New Roman" w:eastAsia="仿宋_GB2312" w:cs="Times New Roman"/>
          <w:color w:val="000000" w:themeColor="text1"/>
          <w:szCs w:val="32"/>
        </w:rPr>
        <w:t>在规定时间内在县人民政府网站上进行了</w:t>
      </w:r>
      <w:r>
        <w:rPr>
          <w:rFonts w:hint="eastAsia" w:ascii="Times New Roman" w:hAnsi="Times New Roman" w:eastAsia="仿宋_GB2312" w:cs="Times New Roman"/>
          <w:color w:val="000000" w:themeColor="text1"/>
          <w:szCs w:val="32"/>
          <w:lang w:eastAsia="zh-CN"/>
        </w:rPr>
        <w:t>2023</w:t>
      </w:r>
      <w:r>
        <w:rPr>
          <w:rFonts w:ascii="Times New Roman" w:hAnsi="Times New Roman" w:eastAsia="仿宋_GB2312" w:cs="Times New Roman"/>
          <w:color w:val="000000" w:themeColor="text1"/>
          <w:szCs w:val="32"/>
        </w:rPr>
        <w:t>年</w:t>
      </w:r>
      <w:r>
        <w:rPr>
          <w:rFonts w:hint="eastAsia" w:ascii="Times New Roman" w:hAnsi="Times New Roman" w:eastAsia="仿宋_GB2312" w:cs="Times New Roman"/>
          <w:color w:val="000000" w:themeColor="text1"/>
          <w:szCs w:val="32"/>
        </w:rPr>
        <w:t>度</w:t>
      </w:r>
      <w:r>
        <w:rPr>
          <w:rFonts w:ascii="Times New Roman" w:hAnsi="Times New Roman" w:eastAsia="仿宋_GB2312" w:cs="Times New Roman"/>
          <w:color w:val="000000" w:themeColor="text1"/>
          <w:szCs w:val="32"/>
        </w:rPr>
        <w:t>预算公开。B</w:t>
      </w:r>
      <w:r>
        <w:rPr>
          <w:rFonts w:hint="eastAsia" w:ascii="Times New Roman" w:hAnsi="Times New Roman" w:eastAsia="仿宋_GB2312" w:cs="Times New Roman"/>
          <w:color w:val="000000" w:themeColor="text1"/>
          <w:szCs w:val="32"/>
        </w:rPr>
        <w:t>.</w:t>
      </w:r>
      <w:r>
        <w:rPr>
          <w:rFonts w:ascii="Times New Roman" w:hAnsi="Times New Roman" w:eastAsia="仿宋_GB2312" w:cs="Times New Roman"/>
          <w:color w:val="000000" w:themeColor="text1"/>
          <w:szCs w:val="32"/>
        </w:rPr>
        <w:t>资金资产管理：资产管理按照我单位制定的《寻甸回族彝族自治县</w:t>
      </w:r>
      <w:r>
        <w:rPr>
          <w:rFonts w:hint="eastAsia" w:ascii="Times New Roman" w:hAnsi="Times New Roman" w:eastAsia="仿宋_GB2312" w:cs="Times New Roman"/>
          <w:color w:val="000000" w:themeColor="text1"/>
          <w:szCs w:val="32"/>
        </w:rPr>
        <w:t>融媒体中心</w:t>
      </w:r>
      <w:r>
        <w:rPr>
          <w:rFonts w:ascii="Times New Roman" w:hAnsi="Times New Roman" w:eastAsia="仿宋_GB2312" w:cs="Times New Roman"/>
          <w:color w:val="000000" w:themeColor="text1"/>
          <w:szCs w:val="32"/>
        </w:rPr>
        <w:t>国有资产管理办法》进行，建立了完整合规的固定资产台帐，合理有效使用固定资产，安全运行。</w:t>
      </w:r>
    </w:p>
    <w:p w14:paraId="56FC0EB1">
      <w:pPr>
        <w:topLinePunct/>
        <w:spacing w:line="520" w:lineRule="exact"/>
        <w:ind w:firstLine="420" w:firstLineChars="200"/>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三、评价思路和过程</w:t>
      </w:r>
    </w:p>
    <w:p w14:paraId="3B2DF302">
      <w:pPr>
        <w:topLinePunct/>
        <w:spacing w:line="520" w:lineRule="exact"/>
        <w:ind w:firstLine="420" w:firstLineChars="200"/>
        <w:rPr>
          <w:rFonts w:ascii="Times New Roman" w:hAnsi="Times New Roman" w:eastAsia="仿宋_GB2312" w:cs="Times New Roman"/>
          <w:color w:val="000000" w:themeColor="text1"/>
          <w:szCs w:val="32"/>
        </w:rPr>
      </w:pPr>
      <w:r>
        <w:rPr>
          <w:rFonts w:ascii="Times New Roman" w:hAnsi="Times New Roman" w:eastAsia="楷体" w:cs="Times New Roman"/>
          <w:color w:val="000000" w:themeColor="text1"/>
          <w:szCs w:val="32"/>
        </w:rPr>
        <w:t>（一）评价思路：</w:t>
      </w:r>
      <w:r>
        <w:rPr>
          <w:rFonts w:ascii="Times New Roman" w:hAnsi="Times New Roman" w:eastAsia="仿宋_GB2312" w:cs="Times New Roman"/>
          <w:color w:val="000000" w:themeColor="text1"/>
          <w:szCs w:val="32"/>
        </w:rPr>
        <w:t>确认当年度部门整体支出的绩效目标→梳理部门内部管理制度及存量资源→分析确定当年度部门整体支出的评价重点→构建绩效评价指标体系。</w:t>
      </w:r>
    </w:p>
    <w:p w14:paraId="766CF4E2">
      <w:pPr>
        <w:topLinePunct/>
        <w:spacing w:line="520" w:lineRule="exact"/>
        <w:ind w:firstLine="420" w:firstLineChars="200"/>
        <w:rPr>
          <w:rFonts w:ascii="Times New Roman" w:hAnsi="Times New Roman" w:eastAsia="仿宋_GB2312" w:cs="Times New Roman"/>
          <w:color w:val="000000" w:themeColor="text1"/>
          <w:sz w:val="28"/>
          <w:szCs w:val="28"/>
        </w:rPr>
      </w:pPr>
      <w:r>
        <w:rPr>
          <w:rFonts w:ascii="Times New Roman" w:hAnsi="Times New Roman" w:eastAsia="楷体" w:cs="Times New Roman"/>
          <w:color w:val="000000" w:themeColor="text1"/>
          <w:szCs w:val="32"/>
        </w:rPr>
        <w:t>（二）评价目的。</w:t>
      </w:r>
      <w:r>
        <w:rPr>
          <w:rFonts w:ascii="Times New Roman" w:hAnsi="Times New Roman" w:eastAsia="仿宋_GB2312" w:cs="Times New Roman"/>
          <w:color w:val="000000" w:themeColor="text1"/>
          <w:kern w:val="0"/>
          <w:szCs w:val="32"/>
        </w:rPr>
        <w:t>通过收集部门（单位）基本情况、预算制定与明细、部门中长期规划目标及组织架构等信息，分析部门（单位）资源配置的合理性及中长期规划目标完成与履职情况，总结经验做法，找出预算绩效管理中的薄弱环节，提出改进建议，提高财政资金的使用效益。</w:t>
      </w:r>
    </w:p>
    <w:p w14:paraId="3700D246">
      <w:pPr>
        <w:topLinePunct/>
        <w:spacing w:line="520" w:lineRule="exact"/>
        <w:ind w:firstLine="420" w:firstLineChars="200"/>
        <w:rPr>
          <w:rFonts w:ascii="Times New Roman" w:hAnsi="Times New Roman" w:eastAsia="楷体" w:cs="Times New Roman"/>
          <w:color w:val="000000" w:themeColor="text1"/>
          <w:szCs w:val="32"/>
        </w:rPr>
      </w:pPr>
      <w:r>
        <w:rPr>
          <w:rFonts w:ascii="Times New Roman" w:hAnsi="Times New Roman" w:eastAsia="楷体" w:cs="Times New Roman"/>
          <w:color w:val="000000" w:themeColor="text1"/>
          <w:szCs w:val="32"/>
        </w:rPr>
        <w:t>（三）评价依据。</w:t>
      </w:r>
    </w:p>
    <w:p w14:paraId="6C166869">
      <w:pPr>
        <w:topLinePunct/>
        <w:spacing w:line="520" w:lineRule="exact"/>
        <w:ind w:firstLine="420" w:firstLineChars="200"/>
        <w:rPr>
          <w:rFonts w:ascii="Times New Roman" w:hAnsi="Times New Roman" w:eastAsia="仿宋_GB2312" w:cs="Times New Roman"/>
          <w:color w:val="000000" w:themeColor="text1"/>
          <w:szCs w:val="32"/>
        </w:rPr>
      </w:pPr>
      <w:r>
        <w:rPr>
          <w:rFonts w:ascii="Times New Roman" w:hAnsi="Times New Roman" w:eastAsia="仿宋_GB2312" w:cs="Times New Roman"/>
          <w:color w:val="000000" w:themeColor="text1"/>
          <w:szCs w:val="32"/>
        </w:rPr>
        <w:t>1.《中华人民共和国预算法》；2.《财政部关于印发〈财政支出绩效评价管理暂行办法〉的通知》（财预〔2011〕285号）；3.《昆明市人民政府办公厅关于全面推进预算绩效管理的实施意见》（昆政办〔2013〕72号）；4.《昆明市人民政府关于全面推进预算绩效管理改革的实施意见》（昆政发〔2016〕12号）；5.《寻甸回族彝族自治县财政局关于印发《寻甸回族彝族自治县本级部门预算绩效自评管理暂行办法》的通知》（寻财绩〔2019〕9号）；6.《寻甸回族彝族自治县财政局关于印发《寻甸回族彝族自治县县本级财政支出预算事前绩效评估管理暂行办法》的通知》（寻财〔2019〕30号）；7.《寻甸回族彝族自治县财政局关于印发寻甸回族彝族自治县县本级预算绩效跟踪管理暂行办法的通知》（寻财绩〔2019〕1号）；8.寻甸回族彝族自治县</w:t>
      </w:r>
      <w:r>
        <w:rPr>
          <w:rFonts w:hint="eastAsia" w:ascii="Times New Roman" w:hAnsi="Times New Roman" w:eastAsia="仿宋_GB2312" w:cs="Times New Roman"/>
          <w:color w:val="000000" w:themeColor="text1"/>
          <w:szCs w:val="32"/>
        </w:rPr>
        <w:t>融媒体中心</w:t>
      </w:r>
      <w:r>
        <w:rPr>
          <w:rFonts w:ascii="Times New Roman" w:hAnsi="Times New Roman" w:eastAsia="仿宋_GB2312" w:cs="Times New Roman"/>
          <w:color w:val="000000" w:themeColor="text1"/>
          <w:szCs w:val="32"/>
        </w:rPr>
        <w:t>提供的基础资料；9.评价工作人员通过现场调查、核实等获得的资料等。</w:t>
      </w:r>
    </w:p>
    <w:p w14:paraId="28FB98BF">
      <w:pPr>
        <w:topLinePunct/>
        <w:spacing w:line="520" w:lineRule="exact"/>
        <w:ind w:firstLine="420" w:firstLineChars="200"/>
        <w:rPr>
          <w:rFonts w:ascii="Times New Roman" w:hAnsi="Times New Roman" w:eastAsia="楷体" w:cs="Times New Roman"/>
          <w:color w:val="000000" w:themeColor="text1"/>
          <w:szCs w:val="32"/>
        </w:rPr>
      </w:pPr>
      <w:r>
        <w:rPr>
          <w:rFonts w:ascii="Times New Roman" w:hAnsi="Times New Roman" w:eastAsia="楷体" w:cs="Times New Roman"/>
          <w:color w:val="000000" w:themeColor="text1"/>
          <w:szCs w:val="32"/>
        </w:rPr>
        <w:t>（四）评价对象及评价时段。</w:t>
      </w:r>
    </w:p>
    <w:p w14:paraId="554D0726">
      <w:pPr>
        <w:topLinePunct/>
        <w:spacing w:line="520" w:lineRule="exact"/>
        <w:ind w:firstLine="420" w:firstLineChars="200"/>
        <w:rPr>
          <w:rFonts w:ascii="Times New Roman" w:hAnsi="Times New Roman" w:eastAsia="仿宋_GB2312" w:cs="Times New Roman"/>
          <w:color w:val="000000" w:themeColor="text1"/>
          <w:szCs w:val="32"/>
        </w:rPr>
      </w:pPr>
      <w:r>
        <w:rPr>
          <w:rFonts w:ascii="Times New Roman" w:hAnsi="Times New Roman" w:eastAsia="仿宋_GB2312" w:cs="Times New Roman"/>
          <w:color w:val="000000" w:themeColor="text1"/>
          <w:szCs w:val="32"/>
        </w:rPr>
        <w:t>本次评价对象为寻甸回族彝族自治县</w:t>
      </w:r>
      <w:r>
        <w:rPr>
          <w:rFonts w:hint="eastAsia" w:ascii="Times New Roman" w:hAnsi="Times New Roman" w:eastAsia="仿宋_GB2312" w:cs="Times New Roman"/>
          <w:color w:val="000000" w:themeColor="text1"/>
          <w:szCs w:val="32"/>
        </w:rPr>
        <w:t>融媒体中心</w:t>
      </w:r>
      <w:r>
        <w:rPr>
          <w:rFonts w:ascii="Times New Roman" w:hAnsi="Times New Roman" w:eastAsia="仿宋_GB2312" w:cs="Times New Roman"/>
          <w:color w:val="000000" w:themeColor="text1"/>
          <w:szCs w:val="32"/>
        </w:rPr>
        <w:t>部门整体支出，评价时段为</w:t>
      </w:r>
      <w:r>
        <w:rPr>
          <w:rFonts w:hint="eastAsia" w:ascii="Times New Roman" w:hAnsi="Times New Roman" w:eastAsia="仿宋_GB2312" w:cs="Times New Roman"/>
          <w:color w:val="000000" w:themeColor="text1"/>
          <w:szCs w:val="32"/>
          <w:lang w:eastAsia="zh-CN"/>
        </w:rPr>
        <w:t>2023</w:t>
      </w:r>
      <w:r>
        <w:rPr>
          <w:rFonts w:ascii="Times New Roman" w:hAnsi="Times New Roman" w:eastAsia="仿宋_GB2312" w:cs="Times New Roman"/>
          <w:color w:val="000000" w:themeColor="text1"/>
          <w:szCs w:val="32"/>
        </w:rPr>
        <w:t>年1月1日至</w:t>
      </w:r>
      <w:r>
        <w:rPr>
          <w:rFonts w:hint="eastAsia" w:ascii="Times New Roman" w:hAnsi="Times New Roman" w:eastAsia="仿宋_GB2312" w:cs="Times New Roman"/>
          <w:color w:val="000000" w:themeColor="text1"/>
          <w:szCs w:val="32"/>
          <w:lang w:eastAsia="zh-CN"/>
        </w:rPr>
        <w:t>2023</w:t>
      </w:r>
      <w:r>
        <w:rPr>
          <w:rFonts w:ascii="Times New Roman" w:hAnsi="Times New Roman" w:eastAsia="仿宋_GB2312" w:cs="Times New Roman"/>
          <w:color w:val="000000" w:themeColor="text1"/>
          <w:szCs w:val="32"/>
        </w:rPr>
        <w:t>年12月31日。</w:t>
      </w:r>
    </w:p>
    <w:p w14:paraId="041AB6A9">
      <w:pPr>
        <w:topLinePunct/>
        <w:spacing w:line="520" w:lineRule="exact"/>
        <w:ind w:firstLine="420" w:firstLineChars="200"/>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四、评价结论和绩效分析</w:t>
      </w:r>
    </w:p>
    <w:p w14:paraId="7E5131C2">
      <w:pPr>
        <w:topLinePunct/>
        <w:spacing w:line="520" w:lineRule="exact"/>
        <w:ind w:firstLine="420" w:firstLineChars="200"/>
        <w:rPr>
          <w:rFonts w:ascii="Times New Roman" w:hAnsi="Times New Roman" w:eastAsia="仿宋_GB2312" w:cs="Times New Roman"/>
          <w:color w:val="000000" w:themeColor="text1"/>
          <w:szCs w:val="32"/>
        </w:rPr>
      </w:pPr>
      <w:r>
        <w:rPr>
          <w:rFonts w:hint="eastAsia" w:ascii="Times New Roman" w:hAnsi="Times New Roman" w:eastAsia="仿宋_GB2312" w:cs="Times New Roman"/>
          <w:color w:val="000000" w:themeColor="text1"/>
          <w:szCs w:val="32"/>
        </w:rPr>
        <w:t>（一）</w:t>
      </w:r>
      <w:r>
        <w:rPr>
          <w:rFonts w:ascii="Times New Roman" w:hAnsi="Times New Roman" w:eastAsia="仿宋_GB2312" w:cs="Times New Roman"/>
          <w:color w:val="000000" w:themeColor="text1"/>
          <w:szCs w:val="32"/>
        </w:rPr>
        <w:t>评价结果。</w:t>
      </w:r>
    </w:p>
    <w:p w14:paraId="1D4FADC6">
      <w:pPr>
        <w:topLinePunct/>
        <w:spacing w:line="520" w:lineRule="exact"/>
        <w:ind w:firstLine="420" w:firstLineChars="200"/>
        <w:rPr>
          <w:rFonts w:ascii="Times New Roman" w:hAnsi="Times New Roman" w:eastAsia="仿宋_GB2312" w:cs="Times New Roman"/>
          <w:color w:val="000000" w:themeColor="text1"/>
          <w:szCs w:val="32"/>
        </w:rPr>
      </w:pPr>
      <w:r>
        <w:rPr>
          <w:rFonts w:hint="eastAsia" w:ascii="Times New Roman" w:hAnsi="Times New Roman" w:eastAsia="仿宋_GB2312" w:cs="Times New Roman"/>
          <w:color w:val="000000" w:themeColor="text1"/>
          <w:szCs w:val="32"/>
          <w:lang w:eastAsia="zh-CN"/>
        </w:rPr>
        <w:t>2023</w:t>
      </w:r>
      <w:r>
        <w:rPr>
          <w:rFonts w:ascii="Times New Roman" w:hAnsi="Times New Roman" w:eastAsia="仿宋_GB2312" w:cs="Times New Roman"/>
          <w:color w:val="000000" w:themeColor="text1"/>
          <w:szCs w:val="32"/>
        </w:rPr>
        <w:t>年，寻甸回族彝族自治县</w:t>
      </w:r>
      <w:r>
        <w:rPr>
          <w:rFonts w:hint="eastAsia" w:ascii="Times New Roman" w:hAnsi="Times New Roman" w:eastAsia="仿宋_GB2312" w:cs="Times New Roman"/>
          <w:color w:val="000000" w:themeColor="text1"/>
          <w:szCs w:val="32"/>
        </w:rPr>
        <w:t>融媒体中心</w:t>
      </w:r>
      <w:r>
        <w:rPr>
          <w:rFonts w:ascii="Times New Roman" w:hAnsi="Times New Roman" w:eastAsia="仿宋_GB2312" w:cs="Times New Roman"/>
          <w:color w:val="000000" w:themeColor="text1"/>
          <w:szCs w:val="32"/>
        </w:rPr>
        <w:t>认真落实县委县政府决策部署，按照保进度、重质量、求实效的要求，全面推进各项重点工作，较好地完成了各项目标任务。根据《寻甸回族彝族自治县</w:t>
      </w:r>
      <w:r>
        <w:rPr>
          <w:rFonts w:hint="eastAsia" w:ascii="Times New Roman" w:hAnsi="Times New Roman" w:eastAsia="仿宋_GB2312" w:cs="Times New Roman"/>
          <w:color w:val="000000" w:themeColor="text1"/>
          <w:szCs w:val="32"/>
        </w:rPr>
        <w:t>融媒体中心</w:t>
      </w:r>
      <w:r>
        <w:rPr>
          <w:rFonts w:ascii="Times New Roman" w:hAnsi="Times New Roman" w:eastAsia="仿宋_GB2312" w:cs="Times New Roman"/>
          <w:color w:val="000000" w:themeColor="text1"/>
          <w:szCs w:val="32"/>
        </w:rPr>
        <w:t>部门整体支出绩效评价指标体系》评分，寻甸回族彝族自治县融媒体中心得分</w:t>
      </w:r>
      <w:r>
        <w:rPr>
          <w:rFonts w:hint="eastAsia" w:ascii="Times New Roman" w:hAnsi="Times New Roman" w:eastAsia="仿宋_GB2312" w:cs="Times New Roman"/>
          <w:color w:val="auto"/>
          <w:szCs w:val="32"/>
          <w:lang w:val="en-US" w:eastAsia="zh-CN"/>
        </w:rPr>
        <w:t>93.56</w:t>
      </w:r>
      <w:r>
        <w:rPr>
          <w:rFonts w:ascii="Times New Roman" w:hAnsi="Times New Roman" w:eastAsia="仿宋_GB2312" w:cs="Times New Roman"/>
          <w:szCs w:val="32"/>
        </w:rPr>
        <w:t>分，部门整体支出绩效为“优秀”。</w:t>
      </w:r>
    </w:p>
    <w:p w14:paraId="14A153E7">
      <w:pPr>
        <w:topLinePunct/>
        <w:spacing w:line="520" w:lineRule="exact"/>
        <w:ind w:firstLine="420" w:firstLineChars="200"/>
        <w:rPr>
          <w:rFonts w:ascii="Times New Roman" w:hAnsi="Times New Roman" w:eastAsia="仿宋_GB2312" w:cs="Times New Roman"/>
          <w:color w:val="000000" w:themeColor="text1"/>
          <w:szCs w:val="32"/>
        </w:rPr>
      </w:pPr>
      <w:r>
        <w:rPr>
          <w:rFonts w:hint="eastAsia" w:ascii="Times New Roman" w:hAnsi="Times New Roman" w:eastAsia="仿宋_GB2312" w:cs="Times New Roman"/>
          <w:color w:val="000000" w:themeColor="text1"/>
          <w:szCs w:val="32"/>
        </w:rPr>
        <w:t>（二）</w:t>
      </w:r>
      <w:r>
        <w:rPr>
          <w:rFonts w:ascii="Times New Roman" w:hAnsi="Times New Roman" w:eastAsia="仿宋_GB2312" w:cs="Times New Roman"/>
          <w:color w:val="000000" w:themeColor="text1"/>
          <w:szCs w:val="32"/>
        </w:rPr>
        <w:t>主要绩效</w:t>
      </w:r>
      <w:r>
        <w:rPr>
          <w:rFonts w:hint="eastAsia" w:ascii="Times New Roman" w:hAnsi="Times New Roman" w:eastAsia="仿宋_GB2312" w:cs="Times New Roman"/>
          <w:color w:val="000000" w:themeColor="text1"/>
          <w:szCs w:val="32"/>
        </w:rPr>
        <w:t>分析</w:t>
      </w:r>
      <w:r>
        <w:rPr>
          <w:rFonts w:ascii="Times New Roman" w:hAnsi="Times New Roman" w:eastAsia="仿宋_GB2312" w:cs="Times New Roman"/>
          <w:color w:val="000000" w:themeColor="text1"/>
          <w:szCs w:val="32"/>
        </w:rPr>
        <w:t>。</w:t>
      </w:r>
    </w:p>
    <w:p w14:paraId="0D6BBE93">
      <w:pPr>
        <w:widowControl/>
        <w:shd w:val="clear" w:color="auto" w:fill="FFFFFF"/>
        <w:spacing w:before="100" w:beforeAutospacing="1" w:after="300" w:line="525" w:lineRule="atLeast"/>
        <w:ind w:firstLine="465"/>
        <w:jc w:val="left"/>
        <w:rPr>
          <w:rFonts w:ascii="仿宋_GB2312" w:hAnsi="微软雅黑" w:eastAsia="仿宋_GB2312" w:cs="宋体"/>
          <w:color w:val="333333"/>
          <w:kern w:val="0"/>
          <w:szCs w:val="21"/>
        </w:rPr>
      </w:pPr>
      <w:r>
        <w:rPr>
          <w:rFonts w:hint="eastAsia" w:ascii="仿宋_GB2312" w:hAnsi="微软雅黑" w:eastAsia="仿宋_GB2312" w:cs="宋体"/>
          <w:b/>
          <w:bCs/>
          <w:color w:val="434343"/>
          <w:kern w:val="0"/>
          <w:szCs w:val="21"/>
        </w:rPr>
        <w:t>预算配置方面：</w:t>
      </w:r>
    </w:p>
    <w:p w14:paraId="1D70D9B6">
      <w:pPr>
        <w:widowControl/>
        <w:shd w:val="clear" w:color="auto" w:fill="FFFFFF"/>
        <w:spacing w:before="100" w:beforeAutospacing="1" w:after="300" w:line="525" w:lineRule="atLeast"/>
        <w:jc w:val="left"/>
        <w:rPr>
          <w:rFonts w:ascii="仿宋_GB2312" w:hAnsi="微软雅黑" w:eastAsia="仿宋_GB2312" w:cs="宋体"/>
          <w:color w:val="333333"/>
          <w:kern w:val="0"/>
          <w:szCs w:val="21"/>
        </w:rPr>
      </w:pPr>
      <w:r>
        <w:rPr>
          <w:rFonts w:hint="eastAsia" w:ascii="仿宋_GB2312" w:hAnsi="微软雅黑" w:eastAsia="仿宋_GB2312" w:cs="宋体"/>
          <w:color w:val="434343"/>
          <w:kern w:val="0"/>
          <w:szCs w:val="21"/>
        </w:rPr>
        <w:t>　　1、在职人员控制率，</w:t>
      </w:r>
      <w:r>
        <w:rPr>
          <w:rFonts w:hint="eastAsia" w:ascii="仿宋_GB2312" w:hAnsi="微软雅黑" w:eastAsia="仿宋_GB2312" w:cs="宋体"/>
          <w:color w:val="434343"/>
          <w:kern w:val="0"/>
          <w:szCs w:val="21"/>
          <w:lang w:eastAsia="zh-CN"/>
        </w:rPr>
        <w:t>2023</w:t>
      </w:r>
      <w:r>
        <w:rPr>
          <w:rFonts w:hint="eastAsia" w:ascii="仿宋_GB2312" w:hAnsi="微软雅黑" w:eastAsia="仿宋_GB2312" w:cs="宋体"/>
          <w:color w:val="434343"/>
          <w:kern w:val="0"/>
          <w:szCs w:val="21"/>
        </w:rPr>
        <w:t>年融媒体中心编制人数为28人，年末实有在编人数为</w:t>
      </w:r>
      <w:r>
        <w:rPr>
          <w:rFonts w:hint="eastAsia" w:ascii="仿宋_GB2312" w:hAnsi="微软雅黑" w:eastAsia="仿宋_GB2312" w:cs="宋体"/>
          <w:color w:val="434343"/>
          <w:kern w:val="0"/>
          <w:szCs w:val="21"/>
          <w:lang w:val="en-US" w:eastAsia="zh-CN"/>
        </w:rPr>
        <w:t>20</w:t>
      </w:r>
      <w:r>
        <w:rPr>
          <w:rFonts w:hint="eastAsia" w:ascii="仿宋_GB2312" w:hAnsi="微软雅黑" w:eastAsia="仿宋_GB2312" w:cs="宋体"/>
          <w:color w:val="434343"/>
          <w:kern w:val="0"/>
          <w:szCs w:val="21"/>
        </w:rPr>
        <w:t>人，没有超编现象。2、三公经费变动率，</w:t>
      </w:r>
      <w:r>
        <w:rPr>
          <w:rFonts w:hint="eastAsia" w:ascii="仿宋_GB2312" w:hAnsi="微软雅黑" w:eastAsia="仿宋_GB2312" w:cs="宋体"/>
          <w:color w:val="434343"/>
          <w:kern w:val="0"/>
          <w:szCs w:val="21"/>
          <w:lang w:eastAsia="zh-CN"/>
        </w:rPr>
        <w:t>202</w:t>
      </w:r>
      <w:r>
        <w:rPr>
          <w:rFonts w:hint="eastAsia" w:ascii="仿宋_GB2312" w:hAnsi="微软雅黑" w:eastAsia="仿宋_GB2312" w:cs="宋体"/>
          <w:color w:val="434343"/>
          <w:kern w:val="0"/>
          <w:szCs w:val="21"/>
          <w:lang w:val="en-US" w:eastAsia="zh-CN"/>
        </w:rPr>
        <w:t>2</w:t>
      </w:r>
      <w:r>
        <w:rPr>
          <w:rFonts w:hint="eastAsia" w:ascii="仿宋_GB2312" w:hAnsi="微软雅黑" w:eastAsia="仿宋_GB2312" w:cs="宋体"/>
          <w:color w:val="434343"/>
          <w:kern w:val="0"/>
          <w:szCs w:val="21"/>
        </w:rPr>
        <w:t>年三公经费为</w:t>
      </w:r>
      <w:r>
        <w:rPr>
          <w:rFonts w:hint="eastAsia" w:ascii="仿宋_GB2312" w:hAnsi="微软雅黑" w:eastAsia="仿宋_GB2312" w:cs="宋体"/>
          <w:color w:val="434343"/>
          <w:kern w:val="0"/>
          <w:szCs w:val="21"/>
          <w:lang w:val="en-US" w:eastAsia="zh-CN"/>
        </w:rPr>
        <w:t>2.62</w:t>
      </w:r>
      <w:r>
        <w:rPr>
          <w:rFonts w:hint="eastAsia" w:ascii="仿宋_GB2312" w:hAnsi="微软雅黑" w:eastAsia="仿宋_GB2312" w:cs="宋体"/>
          <w:color w:val="434343"/>
          <w:kern w:val="0"/>
          <w:szCs w:val="21"/>
        </w:rPr>
        <w:t>万元，</w:t>
      </w:r>
      <w:r>
        <w:rPr>
          <w:rFonts w:hint="eastAsia" w:ascii="仿宋_GB2312" w:hAnsi="微软雅黑" w:eastAsia="仿宋_GB2312" w:cs="宋体"/>
          <w:color w:val="434343"/>
          <w:kern w:val="0"/>
          <w:szCs w:val="21"/>
          <w:lang w:eastAsia="zh-CN"/>
        </w:rPr>
        <w:t>2023</w:t>
      </w:r>
      <w:r>
        <w:rPr>
          <w:rFonts w:hint="eastAsia" w:ascii="仿宋_GB2312" w:hAnsi="微软雅黑" w:eastAsia="仿宋_GB2312" w:cs="宋体"/>
          <w:color w:val="434343"/>
          <w:kern w:val="0"/>
          <w:szCs w:val="21"/>
        </w:rPr>
        <w:t>年三公经费为</w:t>
      </w:r>
      <w:r>
        <w:rPr>
          <w:rFonts w:hint="eastAsia" w:ascii="仿宋_GB2312" w:hAnsi="微软雅黑" w:eastAsia="仿宋_GB2312" w:cs="宋体"/>
          <w:color w:val="434343"/>
          <w:kern w:val="0"/>
          <w:szCs w:val="21"/>
          <w:lang w:val="en-US" w:eastAsia="zh-CN"/>
        </w:rPr>
        <w:t>2.4</w:t>
      </w:r>
      <w:r>
        <w:rPr>
          <w:rFonts w:hint="eastAsia" w:ascii="仿宋_GB2312" w:hAnsi="微软雅黑" w:eastAsia="仿宋_GB2312" w:cs="宋体"/>
          <w:color w:val="434343"/>
          <w:kern w:val="0"/>
          <w:szCs w:val="21"/>
        </w:rPr>
        <w:t>万元</w:t>
      </w:r>
      <w:r>
        <w:rPr>
          <w:rFonts w:hint="eastAsia" w:ascii="仿宋_GB2312" w:hAnsi="微软雅黑" w:eastAsia="仿宋_GB2312" w:cs="宋体"/>
          <w:color w:val="434343"/>
          <w:kern w:val="0"/>
          <w:szCs w:val="21"/>
          <w:lang w:eastAsia="zh-CN"/>
        </w:rPr>
        <w:t>，减少的原因是公务用车维修费减少</w:t>
      </w:r>
      <w:r>
        <w:rPr>
          <w:rFonts w:hint="eastAsia" w:ascii="仿宋_GB2312" w:hAnsi="微软雅黑" w:eastAsia="仿宋_GB2312" w:cs="宋体"/>
          <w:color w:val="434343"/>
          <w:kern w:val="0"/>
          <w:szCs w:val="21"/>
        </w:rPr>
        <w:t>。严格控制“三公经费”不逐年增加。</w:t>
      </w:r>
    </w:p>
    <w:p w14:paraId="1AFA1D3C">
      <w:pPr>
        <w:widowControl/>
        <w:shd w:val="clear" w:color="auto" w:fill="FFFFFF"/>
        <w:spacing w:before="100" w:beforeAutospacing="1" w:after="300" w:line="540" w:lineRule="atLeast"/>
        <w:ind w:firstLine="465"/>
        <w:jc w:val="left"/>
        <w:rPr>
          <w:rFonts w:ascii="仿宋_GB2312" w:hAnsi="微软雅黑" w:eastAsia="仿宋_GB2312" w:cs="宋体"/>
          <w:color w:val="333333"/>
          <w:kern w:val="0"/>
          <w:szCs w:val="21"/>
        </w:rPr>
      </w:pPr>
      <w:r>
        <w:rPr>
          <w:rFonts w:hint="eastAsia" w:ascii="仿宋_GB2312" w:hAnsi="微软雅黑" w:eastAsia="仿宋_GB2312" w:cs="宋体"/>
          <w:b/>
          <w:bCs/>
          <w:color w:val="434343"/>
          <w:kern w:val="0"/>
          <w:szCs w:val="21"/>
        </w:rPr>
        <w:t>预算执行情况</w:t>
      </w:r>
      <w:r>
        <w:rPr>
          <w:rFonts w:hint="eastAsia" w:ascii="仿宋_GB2312" w:hAnsi="微软雅黑" w:eastAsia="仿宋_GB2312" w:cs="宋体"/>
          <w:color w:val="434343"/>
          <w:kern w:val="0"/>
          <w:szCs w:val="21"/>
        </w:rPr>
        <w:t>：（1）</w:t>
      </w:r>
      <w:r>
        <w:rPr>
          <w:rFonts w:hint="eastAsia" w:ascii="仿宋_GB2312" w:hAnsi="微软雅黑" w:eastAsia="仿宋_GB2312" w:cs="宋体"/>
          <w:color w:val="333333"/>
          <w:kern w:val="0"/>
          <w:szCs w:val="21"/>
        </w:rPr>
        <w:t>工资、津补贴等其他经费已按政策发放到位。</w:t>
      </w:r>
      <w:r>
        <w:rPr>
          <w:rFonts w:hint="eastAsia" w:ascii="仿宋_GB2312" w:hAnsi="微软雅黑" w:eastAsia="仿宋_GB2312" w:cs="宋体"/>
          <w:color w:val="000000"/>
          <w:kern w:val="0"/>
          <w:szCs w:val="21"/>
        </w:rPr>
        <w:t>（2）融媒体中心严格按要求，切实加强部门预算支出执行管理工作，努力提高财政资金使用绩效。6月末融媒体中心部门预算执行进度达到60.46%，9月末达到76.19%，11月末达到85.17%，全年执行进度为98%。未执行完成的原因:部分项目招标完成并正在实施，按合同约定需跨年度支付设备尾款及质保金。</w:t>
      </w:r>
    </w:p>
    <w:p w14:paraId="1506B1C8">
      <w:pPr>
        <w:widowControl/>
        <w:shd w:val="clear" w:color="auto" w:fill="FFFFFF"/>
        <w:spacing w:before="100" w:beforeAutospacing="1" w:after="300" w:line="540" w:lineRule="atLeast"/>
        <w:ind w:firstLine="465"/>
        <w:jc w:val="left"/>
        <w:rPr>
          <w:rFonts w:ascii="仿宋_GB2312" w:hAnsi="微软雅黑" w:eastAsia="仿宋_GB2312" w:cs="宋体"/>
          <w:color w:val="333333"/>
          <w:kern w:val="0"/>
          <w:szCs w:val="21"/>
        </w:rPr>
      </w:pPr>
      <w:r>
        <w:rPr>
          <w:rFonts w:hint="eastAsia" w:ascii="仿宋_GB2312" w:hAnsi="微软雅黑" w:eastAsia="仿宋_GB2312" w:cs="宋体"/>
          <w:b/>
          <w:bCs/>
          <w:color w:val="434343"/>
          <w:kern w:val="0"/>
          <w:szCs w:val="21"/>
        </w:rPr>
        <w:t>预算管理情况</w:t>
      </w:r>
      <w:r>
        <w:rPr>
          <w:rFonts w:hint="eastAsia" w:ascii="仿宋_GB2312" w:hAnsi="微软雅黑" w:eastAsia="仿宋_GB2312" w:cs="宋体"/>
          <w:color w:val="000000"/>
          <w:kern w:val="0"/>
          <w:szCs w:val="21"/>
        </w:rPr>
        <w:t>:(1)</w:t>
      </w:r>
      <w:r>
        <w:rPr>
          <w:rFonts w:hint="eastAsia" w:ascii="仿宋_GB2312" w:hAnsi="微软雅黑" w:eastAsia="仿宋_GB2312" w:cs="宋体"/>
          <w:color w:val="434343"/>
          <w:kern w:val="0"/>
          <w:szCs w:val="21"/>
          <w:lang w:eastAsia="zh-CN"/>
        </w:rPr>
        <w:t>2023</w:t>
      </w:r>
      <w:r>
        <w:rPr>
          <w:rFonts w:hint="eastAsia" w:ascii="仿宋_GB2312" w:hAnsi="微软雅黑" w:eastAsia="仿宋_GB2312" w:cs="宋体"/>
          <w:color w:val="434343"/>
          <w:kern w:val="0"/>
          <w:szCs w:val="21"/>
        </w:rPr>
        <w:t>年融媒体中心制定了财务管理制度和会计核算等管理制度，制定财务职责，制定了厉行节约制度，管理制度依照相关国家的法律、法规而制定的，具有合法性、合规性、完整性；相关管理制度得到认真执行。（2）资金使用合规性，一切支出按照国家财经法规和财务管理制度规定以及专项资金管理办法的规定办理，财务人员认真审核算每笔业务的合法性、真实性、手续完整性和资料的准确性。健全会计核算，按照国家统一会计制度的规定设置会计账簿，依照规定进行会计处理，保证会计指标的口径一致。资金拨付有完善的审批程序和手续，支出符部门预算批复的用途，资金使用无截留、挤占挪用、虚列支出等情况。（3）预决算信息公开性，按照规定的内容、时间公开预算信息，做到基础数据信息和会计资料真实、完整、准确。</w:t>
      </w:r>
    </w:p>
    <w:p w14:paraId="0BA5AA10">
      <w:pPr>
        <w:widowControl/>
        <w:shd w:val="clear" w:color="auto" w:fill="FFFFFF"/>
        <w:spacing w:before="100" w:beforeAutospacing="1" w:after="300" w:line="540" w:lineRule="atLeast"/>
        <w:ind w:firstLine="465"/>
        <w:jc w:val="left"/>
        <w:rPr>
          <w:rFonts w:ascii="仿宋_GB2312" w:hAnsi="微软雅黑" w:eastAsia="仿宋_GB2312" w:cs="宋体"/>
          <w:color w:val="333333"/>
          <w:kern w:val="0"/>
          <w:szCs w:val="21"/>
        </w:rPr>
      </w:pPr>
      <w:r>
        <w:rPr>
          <w:rFonts w:hint="eastAsia" w:ascii="仿宋_GB2312" w:hAnsi="微软雅黑" w:eastAsia="仿宋_GB2312" w:cs="宋体"/>
          <w:b/>
          <w:bCs/>
          <w:color w:val="434343"/>
          <w:kern w:val="0"/>
          <w:szCs w:val="21"/>
        </w:rPr>
        <w:t>职责履行</w:t>
      </w:r>
      <w:r>
        <w:rPr>
          <w:rFonts w:hint="eastAsia" w:ascii="仿宋_GB2312" w:hAnsi="微软雅黑" w:eastAsia="仿宋_GB2312" w:cs="宋体"/>
          <w:color w:val="434343"/>
          <w:kern w:val="0"/>
          <w:szCs w:val="21"/>
        </w:rPr>
        <w:t>：各项工作实际完成情况，我中心坚持正确的舆论导向，努力提高新闻宣传质量，继续巩固、加强节目形态和样式的创新，加强节目策划，加大对社会焦点、热点、难点问题的正面引导，开展积极有效的舆论监督，做大做强做优广播电视节目。努力挖掘和弘扬我县丰厚的地域文、着力开办一些具有鲜明特色，内容贴近群贴近实际、贴近生活，群众喜闻乐见的优秀广播电视文艺作品，全面提升广播电视节目的收听收视率和社会影响力。</w:t>
      </w:r>
    </w:p>
    <w:p w14:paraId="5599EB3B">
      <w:pPr>
        <w:spacing w:line="600" w:lineRule="exact"/>
        <w:ind w:firstLine="422" w:firstLineChars="200"/>
        <w:rPr>
          <w:rFonts w:ascii="仿宋_GB2312" w:hAnsi="华文仿宋" w:eastAsia="仿宋_GB2312"/>
          <w:sz w:val="32"/>
          <w:szCs w:val="32"/>
        </w:rPr>
      </w:pPr>
      <w:r>
        <w:rPr>
          <w:rFonts w:hint="eastAsia" w:ascii="仿宋_GB2312" w:hAnsi="微软雅黑" w:eastAsia="仿宋_GB2312" w:cs="宋体"/>
          <w:b/>
          <w:bCs/>
          <w:color w:val="434343"/>
          <w:kern w:val="0"/>
          <w:szCs w:val="21"/>
        </w:rPr>
        <w:t>履职效益</w:t>
      </w:r>
      <w:r>
        <w:rPr>
          <w:rFonts w:hint="eastAsia" w:ascii="仿宋_GB2312" w:hAnsi="微软雅黑" w:eastAsia="仿宋_GB2312" w:cs="宋体"/>
          <w:color w:val="434343"/>
          <w:kern w:val="0"/>
          <w:szCs w:val="21"/>
        </w:rPr>
        <w:t>：经济效益 ，社会效益：</w:t>
      </w:r>
      <w:r>
        <w:rPr>
          <w:rFonts w:hint="eastAsia" w:ascii="仿宋_GB2312" w:hAnsi="黑体" w:eastAsia="仿宋_GB2312" w:cs="仿宋"/>
          <w:color w:val="000000"/>
          <w:szCs w:val="21"/>
        </w:rPr>
        <w:t>2023年，县融媒体中心切实转变作风，主动担当作为，认真履职尽责，全力抓好新闻宣传服务。在《寻甸新闻》的编发上创新方式强服务，加强与县级其他单位和各乡镇（街道）的对接工作。对时政新闻以外的宣传报道尽可能地通过通讯员采集，减少文字内容的描述，更多通过精美的图片和小视频吸引观众眼球，有效提高媒体关注度和点击率。同时，加强与各部门间的宣传配合，主动与其他单位、企业强化联系，寻找优质宣传素材，积极主动行使宣传职能。主动联系并深入基层一线开展报道工作，采写基层鲜活新闻、反映群众呼声、打通新闻宣传服务群众“最后一公里”，提高宣传工作者的“四力”践行力。在今年的宣传报道中，主要围绕乡村振兴、产业发展、文化旅游、“创文”成果、“三变改革”等县委、县政府中心工作，在电视端《寻甸新闻》中全面展示我县重点工作推进、经验成效、特色亮点。截至10月15日，共发布各类时政、民生新闻228期，专题报道新闻信息1279条。</w:t>
      </w:r>
      <w:r>
        <w:rPr>
          <w:rFonts w:hint="eastAsia" w:ascii="仿宋_GB2312" w:eastAsia="仿宋_GB2312"/>
          <w:szCs w:val="21"/>
        </w:rPr>
        <w:t>7月22日至8月6日，昆明市第七届运动会在寻甸县盛大举行，县融媒体中心积极与相关单位对接，落实市七运会宣传报道要求，用镜头和笔触展现每个关键节点、每项工作进展。比赛时间，县融媒体中心充分发挥县主流媒体宣传主阵地作用，运用好寻甸电视台及“寻甸融媒”微信公众号、视频号、抖音、APP等媒体平台，开设“昆明市第七届运动会”专栏，并与昆明电视台、都市时报、掌上春城合作，对市七运会组织领导、积极筹备、统筹推进、运动员集训等情况进行广泛动员和全方位宣传报道，同时，开启倒计时30天宣传。比赛期间，县融媒体中心有组织，有策划，有亮点生产了众多宣传产品，发布相关宣传报道超186篇（条），与昆明电视台及相关单位拍摄制作七运会主题宣传片1部、“相约七运”“寻甸前进”MV 配片2个、系列短视频3条、宣传片预告1条、预热侧记1条、场馆介绍6条。其中发布奖牌榜14期，图集及赛事预告24期，围绕精彩赛事、志愿服务、后勤保障、开幕式等主题制作短视频32个，《寻甸新闻》组织人物专访和赛事报道46条，并第一时间进行推送发布。此外，为让更多群众看到了解市七运会精彩赛项及开幕式，县融媒体中心对人民群众期待度高的比赛项目和开幕仪式进行了高清直播。</w:t>
      </w:r>
      <w:r>
        <w:rPr>
          <w:rFonts w:hint="eastAsia" w:ascii="仿宋_GB2312" w:hAnsi="华文仿宋" w:eastAsia="仿宋_GB2312" w:cs="仿宋"/>
          <w:color w:val="000000"/>
          <w:szCs w:val="21"/>
        </w:rPr>
        <w:t>2023年，县融媒体中心围绕县委县政府中心工作、服务全县社会经济各项事业发展大局，在各平台上全年直播及推发新闻、信息等数量大幅增长、质量明显提升、影响力逐步扩大。全年推发微信365期，3300余篇，环比增长800余篇；微博推发9000余篇，环比增长2900篇；头条号推发2700余篇，环比增长420篇；抖音发布414篇、快手发布455篇。自“寻甸融媒”视频号开播经典电视剧以来，粉丝数成倍增长，现已由开播前的4万余人突破至年末的11万余人。在此基础上，县融媒体中心还积极策划、主动出击，共制作宣传（专题、汇报）片及各类短视频共230余个、各类直播20余场。其中共制作推发《二十大报告微讲堂》34个、《学习宣传贯彻党的二十大精神系列“微党课”》6期、《山水寻甸》《走近寻甸》《人间难得几回寻》宣传寻甸山川风物、风俗特色系列短视频30余期、《寻才新语》《政协面对面》等电视问政专栏4期，其他各类宣传（专题、汇报）片10余个；MV2个</w:t>
      </w:r>
      <w:r>
        <w:rPr>
          <w:rFonts w:hint="eastAsia" w:ascii="仿宋_GB2312" w:eastAsia="仿宋_GB2312"/>
          <w:szCs w:val="21"/>
        </w:rPr>
        <w:t>。2023年2月1日县融媒体中心和寻甸广电局做了工作交接，2月2日正式开始运营应急广播，自接管应急广播以来，县融媒体中心持续加强应急广播体系建设，从公益广告库、寻甸融媒产品库、学期强国下载上传致富故事汇、食品安全宣传、电信诈骗、二十大知识小课堂、相约七运等栏目，在全县各自然村（社区）共计1002个应急广播端口，每天中午11：30—12:00，下午</w:t>
      </w:r>
      <w:r>
        <w:rPr>
          <w:rFonts w:hint="eastAsia" w:ascii="仿宋_GB2312" w:eastAsia="仿宋_GB2312"/>
          <w:szCs w:val="21"/>
          <w:lang w:val="en-US" w:eastAsia="zh-CN"/>
        </w:rPr>
        <w:t>6</w:t>
      </w:r>
      <w:r>
        <w:rPr>
          <w:rFonts w:hint="eastAsia" w:ascii="仿宋_GB2312" w:eastAsia="仿宋_GB2312"/>
          <w:szCs w:val="21"/>
        </w:rPr>
        <w:t>:00—</w:t>
      </w:r>
      <w:r>
        <w:rPr>
          <w:rFonts w:hint="eastAsia" w:ascii="仿宋_GB2312" w:eastAsia="仿宋_GB2312"/>
          <w:szCs w:val="21"/>
          <w:lang w:val="en-US" w:eastAsia="zh-CN"/>
        </w:rPr>
        <w:t>6</w:t>
      </w:r>
      <w:r>
        <w:rPr>
          <w:rFonts w:hint="eastAsia" w:ascii="仿宋_GB2312" w:eastAsia="仿宋_GB2312"/>
          <w:szCs w:val="21"/>
        </w:rPr>
        <w:t>:30准时进行播放，保证了全县应急广播一日2次正常播、安全播，播出时长月计30小时以上。同时，完成“七个一”宣传任务，为党和国家宣传党政方针，为人民群众排忧解难，被上级定为全省应急广播宣传“七个一”试点。今年，融媒体中心围绕县委、县政府重大决策部署，持续聚焦社会热点，收集全县各单位报送宣传部的各类信息进行筛选修改，向国家、省、市各级媒体投稿，截至10月份，共收集到各类信息3000余条，报送各级媒体信息1200余条。收集到各级媒体刊发的关于寻甸县的各类报道2050余条，其中国家级媒体报道300余条，省级媒体报道1000余条，市级媒体报道750余条。</w:t>
      </w:r>
      <w:r>
        <w:rPr>
          <w:rFonts w:hint="eastAsia" w:ascii="仿宋_GB2312" w:hAnsi="Times New Roman" w:eastAsia="仿宋_GB2312" w:cs="Times New Roman"/>
          <w:color w:val="000000" w:themeColor="text1"/>
          <w:szCs w:val="21"/>
        </w:rPr>
        <w:t>寻甸县融媒体中心较圆满的完成了工作目标，取得了良好的社会效益。</w:t>
      </w:r>
    </w:p>
    <w:p w14:paraId="5A5B7F7B">
      <w:pPr>
        <w:widowControl/>
        <w:shd w:val="clear" w:color="auto" w:fill="FFFFFF"/>
        <w:spacing w:before="100" w:beforeAutospacing="1" w:after="300" w:line="540" w:lineRule="atLeast"/>
        <w:ind w:firstLine="465"/>
        <w:jc w:val="left"/>
        <w:rPr>
          <w:rFonts w:ascii="仿宋_GB2312" w:hAnsi="微软雅黑" w:eastAsia="仿宋_GB2312" w:cs="宋体"/>
          <w:color w:val="333333"/>
          <w:kern w:val="0"/>
          <w:szCs w:val="21"/>
        </w:rPr>
      </w:pPr>
      <w:r>
        <w:rPr>
          <w:rFonts w:hint="eastAsia" w:ascii="仿宋_GB2312" w:hAnsi="微软雅黑" w:eastAsia="仿宋_GB2312" w:cs="宋体"/>
          <w:b/>
          <w:bCs/>
          <w:color w:val="434343"/>
          <w:kern w:val="0"/>
          <w:szCs w:val="21"/>
        </w:rPr>
        <w:t>履职效益</w:t>
      </w:r>
      <w:r>
        <w:rPr>
          <w:rFonts w:hint="eastAsia" w:ascii="仿宋_GB2312" w:hAnsi="微软雅黑" w:eastAsia="仿宋_GB2312" w:cs="宋体"/>
          <w:color w:val="434343"/>
          <w:kern w:val="0"/>
          <w:szCs w:val="21"/>
        </w:rPr>
        <w:t>：（1）行政效能，我中心高度重视行政效能建设工作，深入贯彻落实科学发展观，制定方案，明确工作职责。推进政务公开透明度，方便人民群众；明确相关部门的职责，端正工作态度，转变机关作风。认真履行好各自职责，来人、来电要热情；进一步精简、规范审批程序；加强经费及资产管理；充分利用网络提高办公效率，降低行政运行成本。（2）社会公众或服务对象满意度，</w:t>
      </w:r>
      <w:r>
        <w:rPr>
          <w:rFonts w:hint="eastAsia" w:ascii="仿宋_GB2312" w:hAnsi="微软雅黑" w:eastAsia="仿宋_GB2312" w:cs="宋体"/>
          <w:color w:val="434343"/>
          <w:kern w:val="0"/>
          <w:szCs w:val="21"/>
          <w:lang w:eastAsia="zh-CN"/>
        </w:rPr>
        <w:t>2023</w:t>
      </w:r>
      <w:r>
        <w:rPr>
          <w:rFonts w:hint="eastAsia" w:ascii="仿宋_GB2312" w:hAnsi="微软雅黑" w:eastAsia="仿宋_GB2312" w:cs="宋体"/>
          <w:color w:val="434343"/>
          <w:kern w:val="0"/>
          <w:szCs w:val="21"/>
        </w:rPr>
        <w:t>年我中心在县委县政府正确领导下，通过一年的努力工作，全中心上下全体干部职工切实转变工作作风，办事更积极，态度更热情，使广大群众和服务对象更满意，满意率达到百分之九十以上。</w:t>
      </w:r>
    </w:p>
    <w:p w14:paraId="6093804B">
      <w:pPr>
        <w:topLinePunct/>
        <w:spacing w:line="520" w:lineRule="exact"/>
        <w:ind w:firstLine="420" w:firstLineChars="200"/>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五、主要经验做法</w:t>
      </w:r>
    </w:p>
    <w:p w14:paraId="2DE8A601">
      <w:pPr>
        <w:topLinePunct/>
        <w:spacing w:line="520" w:lineRule="exact"/>
        <w:ind w:firstLine="420" w:firstLineChars="200"/>
        <w:rPr>
          <w:rFonts w:ascii="Times New Roman" w:hAnsi="Times New Roman" w:eastAsia="仿宋_GB2312" w:cs="Times New Roman"/>
          <w:color w:val="000000" w:themeColor="text1"/>
          <w:szCs w:val="32"/>
        </w:rPr>
      </w:pPr>
      <w:r>
        <w:rPr>
          <w:rFonts w:hint="eastAsia" w:ascii="Times New Roman" w:hAnsi="Times New Roman" w:eastAsia="仿宋_GB2312" w:cs="Times New Roman"/>
          <w:color w:val="000000" w:themeColor="text1"/>
          <w:szCs w:val="32"/>
        </w:rPr>
        <w:t>(一)新闻宣传保障能力和服务水平快速提升。寻甸本土栏目《寻甸新闻》节目自2016年8月起实现了周一至周五每日一播，周末播出一周要闻回顾，新闻宣传的时效性和引导力得到快速提升。随着新闻制作压力的陡然增大，融媒体中心全体工作人员集思广益、全力以赴、主动出击，保证了新间节目的正常播出:寻甸新闻播出的新闻量每年递增，充分发挥了融媒体中心作为</w:t>
      </w:r>
      <w:r>
        <w:rPr>
          <w:rFonts w:hint="eastAsia" w:ascii="Times New Roman" w:hAnsi="Times New Roman" w:eastAsia="仿宋_GB2312" w:cs="Times New Roman"/>
          <w:color w:val="000000" w:themeColor="text1"/>
          <w:szCs w:val="32"/>
          <w:lang w:eastAsia="zh-CN"/>
        </w:rPr>
        <w:t>县委、县政府</w:t>
      </w:r>
      <w:r>
        <w:rPr>
          <w:rFonts w:hint="eastAsia" w:ascii="Times New Roman" w:hAnsi="Times New Roman" w:eastAsia="仿宋_GB2312" w:cs="Times New Roman"/>
          <w:color w:val="000000" w:themeColor="text1"/>
          <w:szCs w:val="32"/>
        </w:rPr>
        <w:t>重要</w:t>
      </w:r>
      <w:r>
        <w:rPr>
          <w:rFonts w:hint="eastAsia" w:ascii="Times New Roman" w:hAnsi="Times New Roman" w:eastAsia="仿宋_GB2312" w:cs="Times New Roman"/>
          <w:color w:val="000000" w:themeColor="text1"/>
          <w:szCs w:val="32"/>
          <w:lang w:eastAsia="zh-CN"/>
        </w:rPr>
        <w:t>舆论</w:t>
      </w:r>
      <w:r>
        <w:rPr>
          <w:rFonts w:hint="eastAsia" w:ascii="Times New Roman" w:hAnsi="Times New Roman" w:eastAsia="仿宋_GB2312" w:cs="Times New Roman"/>
          <w:color w:val="000000" w:themeColor="text1"/>
          <w:szCs w:val="32"/>
        </w:rPr>
        <w:t>宣传阵地的作用，新闻宣传的保障能力和服务水平总体呈上升趋势。</w:t>
      </w:r>
    </w:p>
    <w:p w14:paraId="64C794C1">
      <w:pPr>
        <w:topLinePunct/>
        <w:spacing w:line="520" w:lineRule="exact"/>
        <w:ind w:firstLine="420" w:firstLineChars="200"/>
        <w:rPr>
          <w:rFonts w:ascii="Times New Roman" w:hAnsi="Times New Roman" w:eastAsia="仿宋_GB2312" w:cs="Times New Roman"/>
          <w:color w:val="000000" w:themeColor="text1"/>
          <w:szCs w:val="32"/>
        </w:rPr>
      </w:pPr>
      <w:r>
        <w:rPr>
          <w:rFonts w:hint="eastAsia" w:ascii="Times New Roman" w:hAnsi="Times New Roman" w:eastAsia="仿宋_GB2312" w:cs="Times New Roman"/>
          <w:color w:val="000000" w:themeColor="text1"/>
          <w:szCs w:val="32"/>
        </w:rPr>
        <w:t>(二)加强对外联系沟通取得新成效。按照“对内奏响主旋律、对外唱响好声音”的思路，自新闻节目实现一日一播以来，融媒体中心加大与省市级电视台的沟通联系，积极向市台报送各类重大新闻类素材，争取在市台进行播出，高质量的稿件受到市台的肯定:配合央视农业及中央电视台拍摄系列宣传片，节目播出，有效提升了寻甸的知名度和美誉度，更好的展现了寻甸新形象。</w:t>
      </w:r>
    </w:p>
    <w:p w14:paraId="7A32E54D">
      <w:pPr>
        <w:topLinePunct/>
        <w:spacing w:line="520" w:lineRule="exact"/>
        <w:ind w:firstLine="420" w:firstLineChars="200"/>
        <w:rPr>
          <w:rFonts w:ascii="Times New Roman" w:hAnsi="Times New Roman" w:eastAsia="仿宋_GB2312" w:cs="Times New Roman"/>
          <w:color w:val="000000" w:themeColor="text1"/>
          <w:szCs w:val="32"/>
        </w:rPr>
      </w:pPr>
      <w:r>
        <w:rPr>
          <w:rFonts w:ascii="Times New Roman" w:hAnsi="Times New Roman" w:eastAsia="黑体" w:cs="Times New Roman"/>
          <w:color w:val="000000" w:themeColor="text1"/>
          <w:szCs w:val="32"/>
        </w:rPr>
        <w:t>六、存在的问题</w:t>
      </w:r>
    </w:p>
    <w:p w14:paraId="7E5EDA19">
      <w:pPr>
        <w:spacing w:line="600" w:lineRule="exact"/>
        <w:ind w:firstLine="420" w:firstLineChars="200"/>
        <w:jc w:val="left"/>
        <w:rPr>
          <w:rFonts w:hint="eastAsia" w:ascii="仿宋_GB2312" w:hAnsi="华文楷体" w:eastAsia="仿宋_GB2312" w:cs="楷体"/>
          <w:bCs/>
          <w:szCs w:val="21"/>
        </w:rPr>
      </w:pPr>
      <w:r>
        <w:rPr>
          <w:rFonts w:hint="eastAsia" w:ascii="仿宋_GB2312" w:hAnsi="华文楷体" w:eastAsia="仿宋_GB2312" w:cs="楷体"/>
          <w:bCs/>
          <w:szCs w:val="21"/>
        </w:rPr>
        <w:t>(一)制度还不够完善。</w:t>
      </w:r>
      <w:r>
        <w:rPr>
          <w:rFonts w:hint="eastAsia" w:ascii="仿宋_GB2312" w:hAnsi="华文楷体" w:eastAsia="仿宋_GB2312" w:cs="楷体"/>
          <w:bCs/>
          <w:szCs w:val="21"/>
          <w:lang w:eastAsia="zh-CN"/>
        </w:rPr>
        <w:t>多年</w:t>
      </w:r>
      <w:r>
        <w:rPr>
          <w:rFonts w:hint="eastAsia" w:ascii="仿宋_GB2312" w:hAnsi="华文楷体" w:eastAsia="仿宋_GB2312" w:cs="楷体"/>
          <w:bCs/>
          <w:szCs w:val="21"/>
        </w:rPr>
        <w:t>来，融媒体中心管理工作朝着制度化、规范化、科学化方向做了很多的努力，但还是存在制度不全面的问题，目前没有细致的制定出针对每个环节步骤方面的规章制度，单位管理制度不健全，经验管理仍然占有比重，甚至有时居于主导地位，“无法可依”和“有法可依”两种现象同时并存管理。同时在制度制定的程序不尽合理，整个制度建设缺乏规划性，制度的整体性不强，整体效益不高。</w:t>
      </w:r>
    </w:p>
    <w:p w14:paraId="2EAD2231">
      <w:pPr>
        <w:spacing w:line="600" w:lineRule="exact"/>
        <w:ind w:firstLine="420" w:firstLineChars="200"/>
        <w:jc w:val="left"/>
        <w:rPr>
          <w:rFonts w:hint="eastAsia" w:ascii="仿宋_GB2312" w:hAnsi="华文楷体" w:eastAsia="仿宋_GB2312" w:cs="楷体"/>
          <w:bCs/>
          <w:szCs w:val="21"/>
        </w:rPr>
      </w:pPr>
      <w:r>
        <w:rPr>
          <w:rFonts w:hint="eastAsia" w:ascii="仿宋_GB2312" w:hAnsi="华文楷体" w:eastAsia="仿宋_GB2312" w:cs="楷体"/>
          <w:bCs/>
          <w:szCs w:val="21"/>
        </w:rPr>
        <w:t>(二)激励机制</w:t>
      </w:r>
      <w:r>
        <w:rPr>
          <w:rFonts w:hint="eastAsia" w:ascii="仿宋_GB2312" w:hAnsi="华文楷体" w:eastAsia="仿宋_GB2312" w:cs="楷体"/>
          <w:bCs/>
          <w:szCs w:val="21"/>
          <w:lang w:eastAsia="zh-CN"/>
        </w:rPr>
        <w:t>不完善</w:t>
      </w:r>
      <w:r>
        <w:rPr>
          <w:rFonts w:hint="eastAsia" w:ascii="仿宋_GB2312" w:hAnsi="华文楷体" w:eastAsia="仿宋_GB2312" w:cs="楷体"/>
          <w:bCs/>
          <w:szCs w:val="21"/>
        </w:rPr>
        <w:t>，工作积极性不能有效调动。由于受制度和收入的限制，融媒体中心没有建立切实有效的激励机制，没能按照“按劳分配、奖优惩劣”的原则建立起更加灵活的分配机制和奖励机制，这导致很多编制外的同事工作积极性不高，个人的主动性和创造性没有得到充分的发挥。虽然单位也建立了考核机制，但是一方面讲义的资金没有来源，想发也发不了；另外一方面，即使有钱政策不支持发放，这样的机制，不利于激发他们工作的积极性，更不利于激发他们工作的创造性。</w:t>
      </w:r>
    </w:p>
    <w:p w14:paraId="6C01BDAB">
      <w:pPr>
        <w:spacing w:line="600" w:lineRule="exact"/>
        <w:ind w:firstLine="420" w:firstLineChars="200"/>
        <w:jc w:val="left"/>
        <w:rPr>
          <w:rFonts w:ascii="仿宋_GB2312" w:hAnsi="仿宋" w:eastAsia="仿宋_GB2312"/>
          <w:color w:val="000000"/>
          <w:sz w:val="32"/>
          <w:szCs w:val="32"/>
        </w:rPr>
      </w:pPr>
      <w:r>
        <w:rPr>
          <w:rFonts w:hint="eastAsia" w:ascii="仿宋_GB2312" w:hAnsi="华文楷体" w:eastAsia="仿宋_GB2312" w:cs="楷体"/>
          <w:bCs/>
          <w:szCs w:val="21"/>
        </w:rPr>
        <w:t>（三）寻甸融媒APP使用效率不高，发挥效用不理想。寻甸融媒APP作为中心真正意义上的“自己的平台”，希望能实现直播、市民爆料、市民生活资讯等多功能，但是受制于技术等因素，还是实现不了与市民的良好互动，很多想做的事还是做不了。所以寻甸融媒APP现在总体下载量不高，影响力不大，发挥作用不明显。</w:t>
      </w:r>
    </w:p>
    <w:p w14:paraId="0B035DAD">
      <w:pPr>
        <w:topLinePunct/>
        <w:spacing w:line="520" w:lineRule="exact"/>
        <w:ind w:firstLine="420" w:firstLineChars="200"/>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七、改进措施及建议</w:t>
      </w:r>
    </w:p>
    <w:p w14:paraId="67DF4891">
      <w:pPr>
        <w:topLinePunct/>
        <w:spacing w:line="520" w:lineRule="exact"/>
        <w:ind w:firstLine="420" w:firstLineChars="200"/>
        <w:rPr>
          <w:rFonts w:ascii="Times New Roman" w:hAnsi="Times New Roman" w:eastAsia="仿宋_GB2312" w:cs="Times New Roman"/>
          <w:color w:val="000000" w:themeColor="text1"/>
          <w:szCs w:val="32"/>
        </w:rPr>
      </w:pPr>
      <w:r>
        <w:rPr>
          <w:rFonts w:ascii="Times New Roman" w:hAnsi="Times New Roman" w:eastAsia="仿宋_GB2312" w:cs="Times New Roman"/>
          <w:color w:val="000000" w:themeColor="text1"/>
          <w:szCs w:val="32"/>
        </w:rPr>
        <w:t>建议：加强与各单位的联系和协作，发挥社会参与功能，整合社会资源，优化资源配置，建立监督机制，加大奖惩力度；加强对单位的队伍建设和业务指导，培养项目和部门的绩效管理人员，建立绩效评价的长期机制。</w:t>
      </w:r>
    </w:p>
    <w:p w14:paraId="0BDBB580">
      <w:pPr>
        <w:topLinePunct/>
        <w:spacing w:line="520" w:lineRule="exact"/>
        <w:ind w:firstLine="420" w:firstLineChars="200"/>
        <w:rPr>
          <w:rFonts w:ascii="Times New Roman" w:hAnsi="Times New Roman" w:eastAsia="仿宋_GB2312" w:cs="Times New Roman"/>
          <w:color w:val="000000" w:themeColor="text1"/>
          <w:szCs w:val="32"/>
        </w:rPr>
      </w:pPr>
      <w:r>
        <w:rPr>
          <w:rFonts w:hint="eastAsia" w:ascii="Times New Roman" w:hAnsi="Times New Roman" w:eastAsia="仿宋_GB2312" w:cs="Times New Roman"/>
          <w:color w:val="000000" w:themeColor="text1"/>
        </w:rPr>
        <w:t>附件</w:t>
      </w:r>
      <w:r>
        <w:rPr>
          <w:rFonts w:ascii="Times New Roman" w:hAnsi="Times New Roman" w:eastAsia="仿宋_GB2312" w:cs="Times New Roman"/>
          <w:color w:val="000000" w:themeColor="text1"/>
        </w:rPr>
        <w:t>1</w:t>
      </w:r>
    </w:p>
    <w:p w14:paraId="3D50A348">
      <w:pPr>
        <w:spacing w:line="520" w:lineRule="exact"/>
        <w:ind w:left="630" w:hanging="630" w:hangingChars="300"/>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成本效益分析报告</w:t>
      </w:r>
    </w:p>
    <w:p w14:paraId="29715791">
      <w:pPr>
        <w:topLinePunct/>
        <w:spacing w:line="560" w:lineRule="exact"/>
        <w:ind w:firstLine="525" w:firstLineChars="250"/>
        <w:rPr>
          <w:rFonts w:ascii="Times New Roman" w:hAnsi="Times New Roman" w:eastAsia="仿宋" w:cs="Times New Roman"/>
          <w:szCs w:val="32"/>
        </w:rPr>
      </w:pPr>
      <w:r>
        <w:rPr>
          <w:rFonts w:ascii="Times New Roman" w:hAnsi="Times New Roman" w:eastAsia="仿宋" w:cs="Times New Roman"/>
          <w:szCs w:val="32"/>
        </w:rPr>
        <w:t>1.经济性分析</w:t>
      </w:r>
    </w:p>
    <w:p w14:paraId="328510CC">
      <w:pPr>
        <w:topLinePunct/>
        <w:spacing w:line="560" w:lineRule="exact"/>
        <w:ind w:firstLine="525" w:firstLineChars="250"/>
        <w:rPr>
          <w:rFonts w:ascii="Times New Roman" w:hAnsi="Times New Roman" w:eastAsia="仿宋" w:cs="Times New Roman"/>
          <w:szCs w:val="32"/>
        </w:rPr>
      </w:pPr>
      <w:r>
        <w:rPr>
          <w:rFonts w:ascii="Times New Roman" w:hAnsi="Times New Roman" w:eastAsia="仿宋" w:cs="Times New Roman"/>
          <w:szCs w:val="32"/>
        </w:rPr>
        <w:t>寻甸回族彝族自治县</w:t>
      </w:r>
      <w:r>
        <w:rPr>
          <w:rFonts w:hint="eastAsia" w:ascii="Times New Roman" w:hAnsi="Times New Roman" w:eastAsia="仿宋" w:cs="Times New Roman"/>
          <w:szCs w:val="32"/>
        </w:rPr>
        <w:t>融媒体中心</w:t>
      </w:r>
      <w:r>
        <w:rPr>
          <w:rFonts w:ascii="Times New Roman" w:hAnsi="Times New Roman" w:eastAsia="仿宋" w:cs="Times New Roman"/>
          <w:szCs w:val="32"/>
        </w:rPr>
        <w:t>依据实有在编人员并参照上年度目标责任下达的目标任务和</w:t>
      </w:r>
      <w:r>
        <w:rPr>
          <w:rFonts w:hint="eastAsia" w:ascii="Times New Roman" w:hAnsi="Times New Roman" w:eastAsia="仿宋" w:cs="Times New Roman"/>
          <w:szCs w:val="32"/>
          <w:lang w:eastAsia="zh-CN"/>
        </w:rPr>
        <w:t>2023</w:t>
      </w:r>
      <w:r>
        <w:rPr>
          <w:rFonts w:ascii="Times New Roman" w:hAnsi="Times New Roman" w:eastAsia="仿宋" w:cs="Times New Roman"/>
          <w:szCs w:val="32"/>
        </w:rPr>
        <w:t>年度工作计划编制预算，确保预算编制合理。</w:t>
      </w:r>
    </w:p>
    <w:p w14:paraId="28E0058F">
      <w:pPr>
        <w:pStyle w:val="3"/>
        <w:spacing w:line="580" w:lineRule="exact"/>
        <w:ind w:firstLine="420" w:firstLineChars="200"/>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1.收入情况：</w:t>
      </w:r>
    </w:p>
    <w:p w14:paraId="2EC2689B">
      <w:pPr>
        <w:spacing w:line="580" w:lineRule="exact"/>
        <w:ind w:firstLine="420" w:firstLineChars="200"/>
        <w:rPr>
          <w:rFonts w:ascii="Times New Roman" w:hAnsi="Times New Roman" w:eastAsia="仿宋_GB2312" w:cs="Times New Roman"/>
          <w:color w:val="000000" w:themeColor="text1"/>
          <w:szCs w:val="21"/>
        </w:rPr>
      </w:pPr>
      <w:r>
        <w:rPr>
          <w:rFonts w:hint="eastAsia" w:ascii="Times New Roman" w:hAnsi="Times New Roman" w:eastAsia="仿宋_GB2312" w:cs="Times New Roman"/>
          <w:color w:val="000000" w:themeColor="text1"/>
          <w:szCs w:val="21"/>
          <w:lang w:eastAsia="zh-CN"/>
        </w:rPr>
        <w:t>2023</w:t>
      </w:r>
      <w:r>
        <w:rPr>
          <w:rFonts w:ascii="Times New Roman" w:hAnsi="Times New Roman" w:eastAsia="仿宋_GB2312" w:cs="Times New Roman"/>
          <w:color w:val="000000" w:themeColor="text1"/>
          <w:szCs w:val="21"/>
        </w:rPr>
        <w:t>年共收入</w:t>
      </w:r>
      <w:r>
        <w:rPr>
          <w:rFonts w:hint="eastAsia" w:ascii="Times New Roman" w:hAnsi="Times New Roman" w:eastAsia="仿宋_GB2312" w:cs="Times New Roman"/>
          <w:color w:val="000000" w:themeColor="text1"/>
          <w:kern w:val="0"/>
          <w:szCs w:val="21"/>
          <w:lang w:val="en-US" w:eastAsia="zh-CN"/>
        </w:rPr>
        <w:t>559.51</w:t>
      </w:r>
      <w:r>
        <w:rPr>
          <w:rFonts w:ascii="Times New Roman" w:hAnsi="Times New Roman" w:eastAsia="仿宋_GB2312" w:cs="Times New Roman"/>
          <w:color w:val="000000" w:themeColor="text1"/>
          <w:szCs w:val="21"/>
        </w:rPr>
        <w:t>万元。其中：县财政拨款</w:t>
      </w:r>
      <w:r>
        <w:rPr>
          <w:rFonts w:hint="eastAsia" w:ascii="Times New Roman" w:hAnsi="Times New Roman" w:eastAsia="仿宋_GB2312" w:cs="Times New Roman"/>
          <w:color w:val="000000" w:themeColor="text1"/>
          <w:kern w:val="0"/>
          <w:szCs w:val="21"/>
          <w:lang w:val="en-US" w:eastAsia="zh-CN"/>
        </w:rPr>
        <w:t>537.86</w:t>
      </w:r>
      <w:r>
        <w:rPr>
          <w:rFonts w:ascii="Times New Roman" w:hAnsi="Times New Roman" w:eastAsia="仿宋_GB2312" w:cs="Times New Roman"/>
          <w:color w:val="000000" w:themeColor="text1"/>
          <w:szCs w:val="21"/>
        </w:rPr>
        <w:t>万元，其他收入</w:t>
      </w:r>
      <w:r>
        <w:rPr>
          <w:rFonts w:hint="eastAsia" w:ascii="Times New Roman" w:hAnsi="Times New Roman" w:eastAsia="仿宋_GB2312" w:cs="Times New Roman"/>
          <w:color w:val="000000" w:themeColor="text1"/>
          <w:kern w:val="0"/>
          <w:szCs w:val="21"/>
          <w:lang w:val="en-US" w:eastAsia="zh-CN"/>
        </w:rPr>
        <w:t>21.65</w:t>
      </w:r>
      <w:r>
        <w:rPr>
          <w:rFonts w:ascii="Times New Roman" w:hAnsi="Times New Roman" w:eastAsia="仿宋_GB2312" w:cs="Times New Roman"/>
          <w:color w:val="000000" w:themeColor="text1"/>
          <w:szCs w:val="21"/>
        </w:rPr>
        <w:t>万元。</w:t>
      </w:r>
    </w:p>
    <w:p w14:paraId="633D103C">
      <w:pPr>
        <w:spacing w:line="580" w:lineRule="exact"/>
        <w:ind w:firstLine="420" w:firstLineChars="2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2.支出情况：</w:t>
      </w:r>
    </w:p>
    <w:p w14:paraId="01E9A84A">
      <w:pPr>
        <w:spacing w:line="580" w:lineRule="exact"/>
        <w:ind w:firstLine="420" w:firstLineChars="200"/>
        <w:rPr>
          <w:rFonts w:ascii="Times New Roman" w:hAnsi="Times New Roman" w:eastAsia="仿宋_GB2312" w:cs="Times New Roman"/>
          <w:color w:val="000000" w:themeColor="text1"/>
          <w:szCs w:val="21"/>
        </w:rPr>
      </w:pPr>
      <w:r>
        <w:rPr>
          <w:rFonts w:hint="eastAsia" w:ascii="Times New Roman" w:hAnsi="Times New Roman" w:eastAsia="仿宋_GB2312" w:cs="Times New Roman"/>
          <w:color w:val="000000" w:themeColor="text1"/>
          <w:szCs w:val="21"/>
          <w:lang w:eastAsia="zh-CN"/>
        </w:rPr>
        <w:t>2023</w:t>
      </w:r>
      <w:r>
        <w:rPr>
          <w:rFonts w:ascii="Times New Roman" w:hAnsi="Times New Roman" w:eastAsia="仿宋_GB2312" w:cs="Times New Roman"/>
          <w:color w:val="000000" w:themeColor="text1"/>
          <w:szCs w:val="21"/>
        </w:rPr>
        <w:t>年共支出</w:t>
      </w:r>
      <w:r>
        <w:rPr>
          <w:rFonts w:hint="eastAsia" w:ascii="Times New Roman" w:hAnsi="Times New Roman" w:eastAsia="仿宋_GB2312" w:cs="Times New Roman"/>
          <w:color w:val="000000" w:themeColor="text1"/>
          <w:kern w:val="0"/>
          <w:szCs w:val="21"/>
          <w:lang w:val="en-US" w:eastAsia="zh-CN"/>
        </w:rPr>
        <w:t>774.71</w:t>
      </w:r>
      <w:r>
        <w:rPr>
          <w:rFonts w:ascii="Times New Roman" w:hAnsi="Times New Roman" w:eastAsia="仿宋_GB2312" w:cs="Times New Roman"/>
          <w:color w:val="000000" w:themeColor="text1"/>
          <w:szCs w:val="21"/>
        </w:rPr>
        <w:t>万元。其中：</w:t>
      </w:r>
      <w:r>
        <w:rPr>
          <w:rFonts w:hint="eastAsia" w:ascii="Times New Roman" w:hAnsi="Times New Roman" w:eastAsia="仿宋_GB2312" w:cs="Times New Roman"/>
          <w:color w:val="000000" w:themeColor="text1"/>
          <w:szCs w:val="21"/>
        </w:rPr>
        <w:t>工资福利</w:t>
      </w:r>
      <w:r>
        <w:rPr>
          <w:rFonts w:ascii="Times New Roman" w:hAnsi="Times New Roman" w:eastAsia="仿宋_GB2312" w:cs="Times New Roman"/>
          <w:color w:val="000000" w:themeColor="text1"/>
          <w:szCs w:val="21"/>
        </w:rPr>
        <w:t>支出</w:t>
      </w:r>
      <w:r>
        <w:rPr>
          <w:rFonts w:hint="eastAsia" w:ascii="Times New Roman" w:hAnsi="Times New Roman" w:eastAsia="仿宋_GB2312" w:cs="Times New Roman"/>
          <w:color w:val="000000" w:themeColor="text1"/>
          <w:szCs w:val="21"/>
          <w:lang w:val="en-US" w:eastAsia="zh-CN"/>
        </w:rPr>
        <w:t>339.34</w:t>
      </w:r>
      <w:r>
        <w:rPr>
          <w:rFonts w:hint="eastAsia" w:ascii="Times New Roman" w:hAnsi="Times New Roman" w:eastAsia="仿宋_GB2312" w:cs="Times New Roman"/>
          <w:color w:val="000000" w:themeColor="text1"/>
          <w:szCs w:val="21"/>
        </w:rPr>
        <w:t>万</w:t>
      </w:r>
      <w:r>
        <w:rPr>
          <w:rFonts w:ascii="Times New Roman" w:hAnsi="Times New Roman" w:eastAsia="仿宋_GB2312" w:cs="Times New Roman"/>
          <w:color w:val="000000" w:themeColor="text1"/>
          <w:szCs w:val="21"/>
        </w:rPr>
        <w:t>元；</w:t>
      </w:r>
      <w:r>
        <w:rPr>
          <w:rFonts w:hint="eastAsia" w:ascii="Times New Roman" w:hAnsi="Times New Roman" w:eastAsia="仿宋_GB2312" w:cs="Times New Roman"/>
          <w:color w:val="000000" w:themeColor="text1"/>
          <w:szCs w:val="21"/>
        </w:rPr>
        <w:t>商品和服务</w:t>
      </w:r>
      <w:r>
        <w:rPr>
          <w:rFonts w:ascii="Times New Roman" w:hAnsi="Times New Roman" w:eastAsia="仿宋_GB2312" w:cs="Times New Roman"/>
          <w:color w:val="000000" w:themeColor="text1"/>
          <w:szCs w:val="21"/>
        </w:rPr>
        <w:t>支出</w:t>
      </w:r>
      <w:r>
        <w:rPr>
          <w:rFonts w:hint="eastAsia" w:ascii="Times New Roman" w:hAnsi="Times New Roman" w:eastAsia="仿宋_GB2312" w:cs="Times New Roman"/>
          <w:color w:val="000000" w:themeColor="text1"/>
          <w:szCs w:val="21"/>
          <w:lang w:val="en-US" w:eastAsia="zh-CN"/>
        </w:rPr>
        <w:t>90.10</w:t>
      </w:r>
      <w:r>
        <w:rPr>
          <w:rFonts w:hint="eastAsia" w:ascii="Times New Roman" w:hAnsi="Times New Roman" w:eastAsia="仿宋_GB2312" w:cs="Times New Roman"/>
          <w:color w:val="000000" w:themeColor="text1"/>
          <w:szCs w:val="21"/>
        </w:rPr>
        <w:t>万</w:t>
      </w:r>
      <w:r>
        <w:rPr>
          <w:rFonts w:ascii="Times New Roman" w:hAnsi="Times New Roman" w:eastAsia="仿宋_GB2312" w:cs="Times New Roman"/>
          <w:color w:val="000000" w:themeColor="text1"/>
          <w:szCs w:val="21"/>
        </w:rPr>
        <w:t>元</w:t>
      </w:r>
      <w:r>
        <w:rPr>
          <w:rFonts w:hint="eastAsia" w:ascii="Times New Roman" w:hAnsi="Times New Roman" w:eastAsia="仿宋_GB2312" w:cs="Times New Roman"/>
          <w:color w:val="000000" w:themeColor="text1"/>
          <w:szCs w:val="21"/>
          <w:lang w:eastAsia="zh-CN"/>
        </w:rPr>
        <w:t>；对个人和家庭的补助</w:t>
      </w:r>
      <w:r>
        <w:rPr>
          <w:rFonts w:hint="eastAsia" w:ascii="Times New Roman" w:hAnsi="Times New Roman" w:eastAsia="仿宋_GB2312" w:cs="Times New Roman"/>
          <w:color w:val="000000" w:themeColor="text1"/>
          <w:szCs w:val="21"/>
          <w:lang w:val="en-US" w:eastAsia="zh-CN"/>
        </w:rPr>
        <w:t>77.16万元，</w:t>
      </w:r>
      <w:r>
        <w:rPr>
          <w:rFonts w:hint="eastAsia" w:ascii="Times New Roman" w:hAnsi="Times New Roman" w:eastAsia="仿宋_GB2312" w:cs="Times New Roman"/>
          <w:color w:val="000000" w:themeColor="text1"/>
          <w:szCs w:val="21"/>
        </w:rPr>
        <w:t>资本性支出</w:t>
      </w:r>
      <w:r>
        <w:rPr>
          <w:rFonts w:hint="eastAsia" w:ascii="Times New Roman" w:hAnsi="Times New Roman" w:eastAsia="仿宋_GB2312" w:cs="Times New Roman"/>
          <w:color w:val="000000" w:themeColor="text1"/>
          <w:szCs w:val="21"/>
          <w:lang w:val="en-US" w:eastAsia="zh-CN"/>
        </w:rPr>
        <w:t>268.11</w:t>
      </w:r>
      <w:r>
        <w:rPr>
          <w:rFonts w:hint="eastAsia" w:ascii="Times New Roman" w:hAnsi="Times New Roman" w:eastAsia="仿宋_GB2312" w:cs="Times New Roman"/>
          <w:color w:val="000000" w:themeColor="text1"/>
          <w:szCs w:val="21"/>
        </w:rPr>
        <w:t>万元。</w:t>
      </w:r>
    </w:p>
    <w:p w14:paraId="5A6DC4FD">
      <w:pPr>
        <w:topLinePunct/>
        <w:spacing w:line="560" w:lineRule="exact"/>
        <w:ind w:firstLine="525" w:firstLineChars="250"/>
        <w:rPr>
          <w:rFonts w:ascii="Times New Roman" w:hAnsi="Times New Roman" w:eastAsia="仿宋" w:cs="Times New Roman"/>
          <w:color w:val="000000" w:themeColor="text1"/>
          <w:szCs w:val="32"/>
        </w:rPr>
      </w:pPr>
      <w:r>
        <w:rPr>
          <w:rFonts w:ascii="Times New Roman" w:hAnsi="Times New Roman" w:eastAsia="仿宋" w:cs="Times New Roman"/>
          <w:color w:val="000000" w:themeColor="text1"/>
          <w:szCs w:val="32"/>
        </w:rPr>
        <w:t>2.效率性分析</w:t>
      </w:r>
    </w:p>
    <w:p w14:paraId="5D2AEA94">
      <w:pPr>
        <w:topLinePunct/>
        <w:spacing w:line="560" w:lineRule="exact"/>
        <w:ind w:firstLine="525" w:firstLineChars="250"/>
        <w:rPr>
          <w:rFonts w:ascii="Times New Roman" w:hAnsi="Times New Roman" w:eastAsia="仿宋" w:cs="Times New Roman"/>
          <w:color w:val="000000" w:themeColor="text1"/>
          <w:szCs w:val="32"/>
        </w:rPr>
      </w:pPr>
      <w:r>
        <w:rPr>
          <w:rFonts w:ascii="Times New Roman" w:hAnsi="Times New Roman" w:eastAsia="仿宋" w:cs="Times New Roman"/>
          <w:color w:val="000000" w:themeColor="text1"/>
          <w:szCs w:val="32"/>
        </w:rPr>
        <w:t>寻甸回族彝族自治县</w:t>
      </w:r>
      <w:r>
        <w:rPr>
          <w:rFonts w:hint="eastAsia" w:ascii="Times New Roman" w:hAnsi="Times New Roman" w:eastAsia="仿宋" w:cs="Times New Roman"/>
          <w:color w:val="000000" w:themeColor="text1"/>
          <w:szCs w:val="32"/>
        </w:rPr>
        <w:t>融媒体中心</w:t>
      </w:r>
      <w:r>
        <w:rPr>
          <w:rFonts w:ascii="Times New Roman" w:hAnsi="Times New Roman" w:eastAsia="仿宋" w:cs="Times New Roman"/>
          <w:color w:val="000000" w:themeColor="text1"/>
          <w:szCs w:val="32"/>
        </w:rPr>
        <w:t>工资由县财政按月直接支付，商品和服务支出、对个人和家庭的补助按预算进度执行，预算执行率100%。</w:t>
      </w:r>
    </w:p>
    <w:p w14:paraId="68C632A9">
      <w:pPr>
        <w:topLinePunct/>
        <w:spacing w:line="560" w:lineRule="exact"/>
        <w:ind w:firstLine="525" w:firstLineChars="250"/>
        <w:rPr>
          <w:rFonts w:ascii="Times New Roman" w:hAnsi="Times New Roman" w:eastAsia="仿宋" w:cs="Times New Roman"/>
          <w:color w:val="000000" w:themeColor="text1"/>
          <w:szCs w:val="32"/>
        </w:rPr>
      </w:pPr>
      <w:r>
        <w:rPr>
          <w:rFonts w:ascii="Times New Roman" w:hAnsi="Times New Roman" w:eastAsia="仿宋" w:cs="Times New Roman"/>
          <w:color w:val="000000" w:themeColor="text1"/>
          <w:szCs w:val="32"/>
        </w:rPr>
        <w:t>3.效益性分析</w:t>
      </w:r>
    </w:p>
    <w:p w14:paraId="38891A36">
      <w:pPr>
        <w:topLinePunct/>
        <w:spacing w:line="560" w:lineRule="exact"/>
        <w:ind w:firstLine="525" w:firstLineChars="250"/>
        <w:rPr>
          <w:rFonts w:ascii="Times New Roman" w:hAnsi="Times New Roman" w:eastAsia="仿宋" w:cs="Times New Roman"/>
          <w:color w:val="000000" w:themeColor="text1"/>
          <w:szCs w:val="32"/>
        </w:rPr>
      </w:pPr>
      <w:r>
        <w:rPr>
          <w:rFonts w:hint="eastAsia" w:ascii="Times New Roman" w:hAnsi="Times New Roman" w:eastAsia="仿宋" w:cs="Times New Roman"/>
          <w:color w:val="000000" w:themeColor="text1"/>
          <w:szCs w:val="32"/>
          <w:lang w:eastAsia="zh-CN"/>
        </w:rPr>
        <w:t>2023</w:t>
      </w:r>
      <w:r>
        <w:rPr>
          <w:rFonts w:ascii="Times New Roman" w:hAnsi="Times New Roman" w:eastAsia="仿宋" w:cs="Times New Roman"/>
          <w:color w:val="000000" w:themeColor="text1"/>
          <w:szCs w:val="32"/>
        </w:rPr>
        <w:t>年寻甸回族彝族自治县</w:t>
      </w:r>
      <w:r>
        <w:rPr>
          <w:rFonts w:hint="eastAsia" w:ascii="Times New Roman" w:hAnsi="Times New Roman" w:eastAsia="仿宋" w:cs="Times New Roman"/>
          <w:color w:val="000000" w:themeColor="text1"/>
          <w:szCs w:val="32"/>
        </w:rPr>
        <w:t>融媒体中心</w:t>
      </w:r>
      <w:r>
        <w:rPr>
          <w:rFonts w:ascii="Times New Roman" w:hAnsi="Times New Roman" w:eastAsia="仿宋" w:cs="Times New Roman"/>
          <w:color w:val="000000" w:themeColor="text1"/>
          <w:szCs w:val="32"/>
        </w:rPr>
        <w:t>围绕目标责任开展工作，完善措施，狠抓管理，确保各项任务得以顺利完成，并取得了一定的经济效益和</w:t>
      </w:r>
      <w:r>
        <w:rPr>
          <w:rFonts w:hint="eastAsia" w:ascii="Times New Roman" w:hAnsi="Times New Roman" w:eastAsia="仿宋" w:cs="Times New Roman"/>
          <w:color w:val="000000" w:themeColor="text1"/>
          <w:szCs w:val="32"/>
        </w:rPr>
        <w:t>社会</w:t>
      </w:r>
      <w:r>
        <w:rPr>
          <w:rFonts w:ascii="Times New Roman" w:hAnsi="Times New Roman" w:eastAsia="仿宋" w:cs="Times New Roman"/>
          <w:color w:val="000000" w:themeColor="text1"/>
          <w:szCs w:val="32"/>
        </w:rPr>
        <w:t>效益。</w:t>
      </w:r>
    </w:p>
    <w:p w14:paraId="30954928">
      <w:pPr>
        <w:topLinePunct/>
        <w:spacing w:line="560" w:lineRule="exact"/>
        <w:ind w:firstLine="525" w:firstLineChars="250"/>
        <w:rPr>
          <w:rFonts w:ascii="Times New Roman" w:hAnsi="Times New Roman" w:eastAsia="仿宋" w:cs="Times New Roman"/>
          <w:color w:val="000000" w:themeColor="text1"/>
          <w:szCs w:val="32"/>
        </w:rPr>
      </w:pPr>
      <w:r>
        <w:rPr>
          <w:rFonts w:ascii="Times New Roman" w:hAnsi="Times New Roman" w:eastAsia="仿宋" w:cs="Times New Roman"/>
          <w:color w:val="000000" w:themeColor="text1"/>
          <w:szCs w:val="32"/>
        </w:rPr>
        <w:t>（1）经济效益</w:t>
      </w:r>
    </w:p>
    <w:p w14:paraId="77516394">
      <w:pPr>
        <w:topLinePunct/>
        <w:spacing w:line="520" w:lineRule="exact"/>
        <w:ind w:firstLine="420" w:firstLineChars="200"/>
        <w:rPr>
          <w:rFonts w:ascii="Times New Roman" w:hAnsi="Times New Roman" w:eastAsia="仿宋_GB2312" w:cs="Times New Roman"/>
          <w:color w:val="000000" w:themeColor="text1"/>
          <w:szCs w:val="32"/>
        </w:rPr>
      </w:pPr>
      <w:r>
        <w:rPr>
          <w:rFonts w:ascii="Times New Roman" w:hAnsi="Times New Roman" w:eastAsia="仿宋" w:cs="Times New Roman"/>
          <w:color w:val="000000" w:themeColor="text1"/>
          <w:szCs w:val="32"/>
        </w:rPr>
        <w:t>寻甸回族彝族自治县</w:t>
      </w:r>
      <w:r>
        <w:rPr>
          <w:rFonts w:hint="eastAsia" w:ascii="Times New Roman" w:hAnsi="Times New Roman" w:eastAsia="仿宋" w:cs="Times New Roman"/>
          <w:color w:val="000000" w:themeColor="text1"/>
          <w:szCs w:val="32"/>
        </w:rPr>
        <w:t>融媒体中心</w:t>
      </w:r>
      <w:r>
        <w:rPr>
          <w:rFonts w:hint="eastAsia" w:ascii="仿宋" w:hAnsi="仿宋" w:eastAsia="仿宋" w:cs="Times New Roman"/>
          <w:color w:val="000000" w:themeColor="text1"/>
          <w:szCs w:val="21"/>
        </w:rPr>
        <w:t>及时宣传报道县内政治、经济、文化、社会、生态和党的建设等各方面工作中的新闻信息，</w:t>
      </w:r>
      <w:r>
        <w:rPr>
          <w:rFonts w:hint="eastAsia" w:ascii="Times New Roman" w:hAnsi="Times New Roman" w:eastAsia="仿宋" w:cs="Times New Roman"/>
          <w:color w:val="000000" w:themeColor="text1"/>
          <w:szCs w:val="32"/>
        </w:rPr>
        <w:t>广告</w:t>
      </w:r>
      <w:r>
        <w:rPr>
          <w:rFonts w:ascii="Times New Roman" w:hAnsi="Times New Roman" w:eastAsia="仿宋" w:cs="Times New Roman"/>
          <w:color w:val="000000" w:themeColor="text1"/>
          <w:szCs w:val="32"/>
        </w:rPr>
        <w:t>营业收入稳步增长。</w:t>
      </w:r>
    </w:p>
    <w:p w14:paraId="2101AF82">
      <w:pPr>
        <w:topLinePunct/>
        <w:spacing w:line="560" w:lineRule="exact"/>
        <w:ind w:firstLine="525" w:firstLineChars="250"/>
        <w:rPr>
          <w:rFonts w:ascii="Times New Roman" w:hAnsi="Times New Roman" w:eastAsia="仿宋" w:cs="Times New Roman"/>
          <w:color w:val="000000" w:themeColor="text1"/>
          <w:szCs w:val="32"/>
        </w:rPr>
      </w:pPr>
      <w:r>
        <w:rPr>
          <w:rFonts w:ascii="Times New Roman" w:hAnsi="Times New Roman" w:eastAsia="仿宋" w:cs="Times New Roman"/>
          <w:color w:val="000000" w:themeColor="text1"/>
          <w:szCs w:val="32"/>
        </w:rPr>
        <w:t>（2）社会效益</w:t>
      </w:r>
    </w:p>
    <w:p w14:paraId="1808AA39">
      <w:pPr>
        <w:topLinePunct/>
        <w:spacing w:line="560" w:lineRule="exact"/>
        <w:ind w:firstLine="525" w:firstLineChars="250"/>
        <w:rPr>
          <w:rFonts w:ascii="仿宋_GB2312" w:hAnsi="仿宋" w:eastAsia="仿宋_GB2312" w:cs="宋体"/>
          <w:color w:val="000000" w:themeColor="text1"/>
          <w:szCs w:val="21"/>
        </w:rPr>
      </w:pPr>
      <w:r>
        <w:rPr>
          <w:rFonts w:hint="eastAsia" w:ascii="仿宋_GB2312" w:hAnsi="仿宋" w:eastAsia="仿宋_GB2312" w:cs="宋体"/>
          <w:color w:val="000000" w:themeColor="text1"/>
          <w:szCs w:val="21"/>
        </w:rPr>
        <w:t>①</w:t>
      </w:r>
      <w:r>
        <w:rPr>
          <w:rFonts w:hint="eastAsia" w:ascii="仿宋_GB2312" w:eastAsia="仿宋_GB2312"/>
          <w:szCs w:val="21"/>
          <w:lang w:eastAsia="zh-CN"/>
        </w:rPr>
        <w:t>在今年的宣传报道中，主要围绕乡村振兴、产业发展、文化旅游、“创文”成果、“三变改革”等县委、县政府中心工作，在电视端《寻甸新闻》中全面展示我县重点工作推进、经验成效、特色亮点。截至10月15日，共发布各类时政、民生新闻228期，专题报道新闻信息1279条</w:t>
      </w:r>
      <w:r>
        <w:rPr>
          <w:rFonts w:hint="eastAsia" w:ascii="仿宋_GB2312" w:hAnsi="仿宋" w:eastAsia="仿宋_GB2312" w:cs="宋体"/>
          <w:color w:val="000000" w:themeColor="text1"/>
          <w:szCs w:val="21"/>
        </w:rPr>
        <w:t>；</w:t>
      </w:r>
    </w:p>
    <w:p w14:paraId="03E5BF4E">
      <w:pPr>
        <w:topLinePunct/>
        <w:spacing w:line="560" w:lineRule="exact"/>
        <w:ind w:firstLine="525" w:firstLineChars="250"/>
        <w:rPr>
          <w:rFonts w:ascii="仿宋_GB2312" w:hAnsi="仿宋" w:eastAsia="仿宋_GB2312" w:cs="宋体"/>
          <w:color w:val="000000" w:themeColor="text1"/>
          <w:szCs w:val="21"/>
        </w:rPr>
      </w:pPr>
      <w:r>
        <w:rPr>
          <w:rFonts w:hint="eastAsia" w:ascii="仿宋_GB2312" w:hAnsi="仿宋" w:eastAsia="仿宋_GB2312" w:cs="宋体"/>
          <w:color w:val="000000" w:themeColor="text1"/>
          <w:szCs w:val="21"/>
        </w:rPr>
        <w:t>②</w:t>
      </w:r>
      <w:r>
        <w:rPr>
          <w:rFonts w:hint="eastAsia" w:ascii="仿宋_GB2312" w:hAnsi="仿宋" w:eastAsia="仿宋_GB2312" w:cs="宋体"/>
          <w:color w:val="000000" w:themeColor="text1"/>
          <w:szCs w:val="21"/>
          <w:lang w:eastAsia="zh-CN"/>
        </w:rPr>
        <w:t>2023</w:t>
      </w:r>
      <w:r>
        <w:rPr>
          <w:rFonts w:hint="eastAsia" w:ascii="仿宋_GB2312" w:hAnsi="仿宋" w:eastAsia="仿宋_GB2312" w:cs="宋体"/>
          <w:color w:val="000000" w:themeColor="text1"/>
          <w:szCs w:val="21"/>
        </w:rPr>
        <w:t>年度，</w:t>
      </w:r>
      <w:r>
        <w:rPr>
          <w:rFonts w:hint="eastAsia" w:ascii="仿宋_GB2312" w:hAnsi="华文仿宋" w:eastAsia="仿宋_GB2312" w:cs="仿宋"/>
          <w:color w:val="000000"/>
          <w:szCs w:val="21"/>
        </w:rPr>
        <w:t>全年推发微信365期，3300余篇，环比增长800余篇；微博推发9000余篇，环比增长2900篇；头条号推发2700余篇，环比增长420篇；抖音发布414篇、快手发布455篇。自“寻甸融媒”视频号开播经典电视剧以来，粉丝数成倍增长，现已由开播前的4万余人突破至年末的11万余人；</w:t>
      </w:r>
    </w:p>
    <w:p w14:paraId="1FCAA91E">
      <w:pPr>
        <w:topLinePunct/>
        <w:spacing w:line="560" w:lineRule="exact"/>
        <w:ind w:firstLine="525" w:firstLineChars="250"/>
        <w:rPr>
          <w:rFonts w:hint="eastAsia" w:ascii="仿宋_GB2312" w:hAnsi="仿宋" w:eastAsia="仿宋_GB2312" w:cs="宋体"/>
          <w:color w:val="000000" w:themeColor="text1"/>
          <w:szCs w:val="21"/>
          <w:lang w:eastAsia="zh-CN"/>
        </w:rPr>
      </w:pPr>
      <w:r>
        <w:rPr>
          <w:rFonts w:hint="eastAsia" w:ascii="仿宋_GB2312" w:hAnsi="仿宋" w:eastAsia="仿宋_GB2312" w:cs="宋体"/>
          <w:color w:val="000000" w:themeColor="text1"/>
          <w:szCs w:val="21"/>
        </w:rPr>
        <w:t>③</w:t>
      </w:r>
      <w:r>
        <w:rPr>
          <w:rFonts w:hint="eastAsia" w:ascii="仿宋_GB2312" w:hAnsi="仿宋" w:eastAsia="仿宋_GB2312" w:cs="宋体"/>
          <w:color w:val="000000" w:themeColor="text1"/>
          <w:szCs w:val="21"/>
          <w:lang w:eastAsia="zh-CN"/>
        </w:rPr>
        <w:t>今年县融媒体中心组织了1次安全播出演练学习，1次网络安全知识学习，2场次直播，完成两次索尼设备全面检修，完成各项设备的调试工作，完成各重保期重保任务，实现高标清同步播出，解决CCTCV1备用信号接入难题，新接入一路电信CCTV1备用信号；</w:t>
      </w:r>
    </w:p>
    <w:p w14:paraId="636DF560">
      <w:pPr>
        <w:topLinePunct/>
        <w:spacing w:line="560" w:lineRule="exact"/>
        <w:ind w:firstLine="525" w:firstLineChars="250"/>
        <w:rPr>
          <w:rFonts w:ascii="仿宋_GB2312" w:hAnsi="仿宋" w:eastAsia="仿宋_GB2312" w:cs="宋体"/>
          <w:color w:val="000000" w:themeColor="text1"/>
          <w:szCs w:val="21"/>
        </w:rPr>
      </w:pPr>
      <w:r>
        <w:rPr>
          <w:rFonts w:hint="eastAsia" w:ascii="仿宋_GB2312" w:hAnsi="仿宋" w:eastAsia="仿宋_GB2312" w:cs="宋体"/>
          <w:color w:val="000000" w:themeColor="text1"/>
          <w:szCs w:val="21"/>
        </w:rPr>
        <w:t>④</w:t>
      </w:r>
      <w:r>
        <w:rPr>
          <w:rFonts w:hint="eastAsia" w:ascii="仿宋_GB2312" w:hAnsi="仿宋" w:eastAsia="仿宋_GB2312" w:cs="宋体"/>
          <w:color w:val="000000" w:themeColor="text1"/>
          <w:szCs w:val="21"/>
          <w:lang w:eastAsia="zh-CN"/>
        </w:rPr>
        <w:t>2023年2月1日县融媒体中心和寻甸广电局做了工作交接，2月2日正式开始运营应急广播，自接管应急广播以来，县融媒体中心持续加强应急广播体系建设，从公益广告库、寻甸融媒产品库、学期强国下载上传致富故事汇、食品安全宣传、电信诈骗、二十大知识小课堂、相约七运等栏目，在全县各自然村（社区）共计1002个应急广播端口，每天中午11：30—12:00，下午</w:t>
      </w:r>
      <w:r>
        <w:rPr>
          <w:rFonts w:hint="eastAsia" w:ascii="仿宋_GB2312" w:hAnsi="仿宋" w:eastAsia="仿宋_GB2312" w:cs="宋体"/>
          <w:color w:val="000000" w:themeColor="text1"/>
          <w:szCs w:val="21"/>
          <w:lang w:val="en-US" w:eastAsia="zh-CN"/>
        </w:rPr>
        <w:t>6</w:t>
      </w:r>
      <w:r>
        <w:rPr>
          <w:rFonts w:hint="eastAsia" w:ascii="仿宋_GB2312" w:hAnsi="仿宋" w:eastAsia="仿宋_GB2312" w:cs="宋体"/>
          <w:color w:val="000000" w:themeColor="text1"/>
          <w:szCs w:val="21"/>
          <w:lang w:eastAsia="zh-CN"/>
        </w:rPr>
        <w:t>:00—</w:t>
      </w:r>
      <w:r>
        <w:rPr>
          <w:rFonts w:hint="eastAsia" w:ascii="仿宋_GB2312" w:hAnsi="仿宋" w:eastAsia="仿宋_GB2312" w:cs="宋体"/>
          <w:color w:val="000000" w:themeColor="text1"/>
          <w:szCs w:val="21"/>
          <w:lang w:val="en-US" w:eastAsia="zh-CN"/>
        </w:rPr>
        <w:t>6</w:t>
      </w:r>
      <w:r>
        <w:rPr>
          <w:rFonts w:hint="eastAsia" w:ascii="仿宋_GB2312" w:hAnsi="仿宋" w:eastAsia="仿宋_GB2312" w:cs="宋体"/>
          <w:color w:val="000000" w:themeColor="text1"/>
          <w:szCs w:val="21"/>
          <w:lang w:eastAsia="zh-CN"/>
        </w:rPr>
        <w:t>:30准时进行播放，保证了全县应急广播一日2次正常播、安全播，播出时长月计30小时以上。同时，完成“七个一”宣传任务，为党和国家宣传党政方针，为人民群众排忧解难，被上级定为全省应急广播宣传“七个一”试点</w:t>
      </w:r>
      <w:r>
        <w:rPr>
          <w:rFonts w:hint="eastAsia" w:ascii="仿宋_GB2312" w:hAnsi="仿宋" w:eastAsia="仿宋_GB2312" w:cs="宋体"/>
          <w:color w:val="000000" w:themeColor="text1"/>
          <w:szCs w:val="21"/>
        </w:rPr>
        <w:t>；</w:t>
      </w:r>
    </w:p>
    <w:p w14:paraId="3A16A572">
      <w:pPr>
        <w:topLinePunct/>
        <w:spacing w:line="560" w:lineRule="exact"/>
        <w:ind w:firstLine="525" w:firstLineChars="250"/>
        <w:rPr>
          <w:rFonts w:ascii="仿宋_GB2312" w:hAnsi="Times New Roman" w:eastAsia="仿宋_GB2312" w:cs="Times New Roman"/>
          <w:color w:val="000000" w:themeColor="text1"/>
          <w:szCs w:val="21"/>
        </w:rPr>
      </w:pPr>
      <w:r>
        <w:rPr>
          <w:rFonts w:hint="eastAsia" w:ascii="仿宋_GB2312" w:hAnsi="仿宋" w:eastAsia="仿宋_GB2312" w:cs="宋体"/>
          <w:color w:val="000000" w:themeColor="text1"/>
          <w:szCs w:val="21"/>
        </w:rPr>
        <w:t>⑤</w:t>
      </w:r>
      <w:r>
        <w:rPr>
          <w:rFonts w:hint="eastAsia" w:ascii="仿宋_GB2312" w:hAnsi="仿宋" w:eastAsia="仿宋_GB2312" w:cs="宋体"/>
          <w:color w:val="000000" w:themeColor="text1"/>
          <w:szCs w:val="21"/>
          <w:lang w:eastAsia="zh-CN"/>
        </w:rPr>
        <w:t>融媒体中心围绕县委、县政府重大决策部署，持续聚焦社会热点，收集全县各单位报送宣传部的各类信息进行筛选修改，向国家、省、市各级媒体投稿，截至10月份，共收集到各类信息3000余条，报送各级媒体信息1200余条。收集到各级媒体刊发的关于寻甸县的各类报道2050余条，其中国家级媒体报道300余条，省级媒体报道1000余条，市级媒体报道750余条</w:t>
      </w:r>
      <w:r>
        <w:rPr>
          <w:rFonts w:hint="eastAsia" w:ascii="仿宋_GB2312" w:hAnsi="仿宋" w:eastAsia="仿宋_GB2312" w:cs="宋体"/>
          <w:color w:val="000000" w:themeColor="text1"/>
          <w:szCs w:val="21"/>
        </w:rPr>
        <w:t>。</w:t>
      </w:r>
    </w:p>
    <w:p w14:paraId="2D72B0A9">
      <w:pPr>
        <w:topLinePunct/>
        <w:spacing w:line="560" w:lineRule="exact"/>
        <w:ind w:firstLine="525" w:firstLineChars="250"/>
        <w:rPr>
          <w:rFonts w:ascii="Times New Roman" w:hAnsi="Times New Roman" w:eastAsia="仿宋" w:cs="Times New Roman"/>
          <w:color w:val="000000" w:themeColor="text1"/>
          <w:szCs w:val="32"/>
        </w:rPr>
      </w:pPr>
      <w:r>
        <w:rPr>
          <w:rFonts w:ascii="Times New Roman" w:hAnsi="Times New Roman" w:eastAsia="仿宋" w:cs="Times New Roman"/>
          <w:color w:val="000000" w:themeColor="text1"/>
          <w:szCs w:val="32"/>
        </w:rPr>
        <w:t>（</w:t>
      </w:r>
      <w:r>
        <w:rPr>
          <w:rFonts w:hint="eastAsia" w:ascii="Times New Roman" w:hAnsi="Times New Roman" w:eastAsia="仿宋" w:cs="Times New Roman"/>
          <w:color w:val="000000" w:themeColor="text1"/>
          <w:szCs w:val="32"/>
        </w:rPr>
        <w:t>3</w:t>
      </w:r>
      <w:r>
        <w:rPr>
          <w:rFonts w:ascii="Times New Roman" w:hAnsi="Times New Roman" w:eastAsia="仿宋" w:cs="Times New Roman"/>
          <w:color w:val="000000" w:themeColor="text1"/>
          <w:szCs w:val="32"/>
        </w:rPr>
        <w:t>）社会公众满意度</w:t>
      </w:r>
    </w:p>
    <w:p w14:paraId="486B08F9">
      <w:pPr>
        <w:topLinePunct/>
        <w:spacing w:line="560" w:lineRule="exact"/>
        <w:ind w:firstLine="525" w:firstLineChars="250"/>
        <w:rPr>
          <w:rFonts w:ascii="Times New Roman" w:hAnsi="Times New Roman" w:eastAsia="仿宋" w:cs="Times New Roman"/>
          <w:color w:val="000000" w:themeColor="text1"/>
          <w:szCs w:val="32"/>
        </w:rPr>
      </w:pPr>
      <w:r>
        <w:rPr>
          <w:rFonts w:ascii="Times New Roman" w:hAnsi="Times New Roman" w:eastAsia="仿宋" w:cs="Times New Roman"/>
          <w:color w:val="000000" w:themeColor="text1"/>
          <w:szCs w:val="32"/>
        </w:rPr>
        <w:t>通过对</w:t>
      </w:r>
      <w:r>
        <w:rPr>
          <w:rFonts w:hint="eastAsia" w:ascii="Times New Roman" w:hAnsi="Times New Roman" w:eastAsia="仿宋" w:cs="Times New Roman"/>
          <w:color w:val="000000" w:themeColor="text1"/>
          <w:szCs w:val="32"/>
        </w:rPr>
        <w:t>50</w:t>
      </w:r>
      <w:r>
        <w:rPr>
          <w:rFonts w:ascii="Times New Roman" w:hAnsi="Times New Roman" w:eastAsia="仿宋" w:cs="Times New Roman"/>
          <w:color w:val="000000" w:themeColor="text1"/>
          <w:szCs w:val="32"/>
        </w:rPr>
        <w:t>份社会公众或服务对象满意度调查问卷统计分析，服务对象对寻甸回族彝族自治县</w:t>
      </w:r>
      <w:r>
        <w:rPr>
          <w:rFonts w:hint="eastAsia" w:ascii="Times New Roman" w:hAnsi="Times New Roman" w:eastAsia="仿宋" w:cs="Times New Roman"/>
          <w:color w:val="000000" w:themeColor="text1"/>
          <w:szCs w:val="32"/>
        </w:rPr>
        <w:t>融媒体中心</w:t>
      </w:r>
      <w:r>
        <w:rPr>
          <w:rFonts w:ascii="Times New Roman" w:hAnsi="Times New Roman" w:eastAsia="仿宋" w:cs="Times New Roman"/>
          <w:color w:val="000000" w:themeColor="text1"/>
          <w:szCs w:val="32"/>
        </w:rPr>
        <w:t>工作开展情况比较满意</w:t>
      </w:r>
      <w:r>
        <w:rPr>
          <w:rFonts w:ascii="Times New Roman" w:hAnsi="Times New Roman" w:eastAsia="仿宋" w:cs="Times New Roman"/>
          <w:color w:val="auto"/>
          <w:szCs w:val="32"/>
        </w:rPr>
        <w:t>，得分</w:t>
      </w:r>
      <w:r>
        <w:rPr>
          <w:rFonts w:hint="eastAsia" w:ascii="Times New Roman" w:hAnsi="Times New Roman" w:eastAsia="仿宋" w:cs="Times New Roman"/>
          <w:color w:val="auto"/>
          <w:szCs w:val="32"/>
          <w:lang w:val="en-US" w:eastAsia="zh-CN"/>
        </w:rPr>
        <w:t>98.67</w:t>
      </w:r>
      <w:r>
        <w:rPr>
          <w:rFonts w:ascii="Times New Roman" w:hAnsi="Times New Roman" w:eastAsia="仿宋" w:cs="Times New Roman"/>
          <w:szCs w:val="32"/>
        </w:rPr>
        <w:t>分。</w:t>
      </w:r>
    </w:p>
    <w:p w14:paraId="0F369573">
      <w:pPr>
        <w:topLinePunct/>
        <w:spacing w:line="560" w:lineRule="exact"/>
        <w:ind w:firstLine="525" w:firstLineChars="250"/>
        <w:rPr>
          <w:rFonts w:ascii="Times New Roman" w:hAnsi="Times New Roman" w:eastAsia="仿宋" w:cs="Times New Roman"/>
          <w:color w:val="000000" w:themeColor="text1"/>
          <w:szCs w:val="32"/>
        </w:rPr>
      </w:pPr>
      <w:r>
        <w:rPr>
          <w:rFonts w:ascii="Times New Roman" w:hAnsi="Times New Roman" w:eastAsia="仿宋" w:cs="Times New Roman"/>
          <w:color w:val="000000" w:themeColor="text1"/>
          <w:szCs w:val="32"/>
        </w:rPr>
        <w:t>4.可持续性分析</w:t>
      </w:r>
    </w:p>
    <w:p w14:paraId="76DCE92C">
      <w:pPr>
        <w:topLinePunct/>
        <w:spacing w:line="520" w:lineRule="exact"/>
        <w:ind w:firstLine="420" w:firstLineChars="200"/>
        <w:rPr>
          <w:rFonts w:ascii="Times New Roman" w:hAnsi="Times New Roman" w:eastAsia="仿宋_GB2312" w:cs="Times New Roman"/>
          <w:color w:val="000000" w:themeColor="text1"/>
        </w:rPr>
      </w:pPr>
      <w:r>
        <w:rPr>
          <w:rFonts w:ascii="Times New Roman" w:hAnsi="Times New Roman" w:eastAsia="仿宋" w:cs="Times New Roman"/>
          <w:color w:val="000000" w:themeColor="text1"/>
          <w:szCs w:val="32"/>
        </w:rPr>
        <w:t>寻甸回族彝族自治县</w:t>
      </w:r>
      <w:r>
        <w:rPr>
          <w:rFonts w:hint="eastAsia" w:ascii="Times New Roman" w:hAnsi="Times New Roman" w:eastAsia="仿宋" w:cs="Times New Roman"/>
          <w:color w:val="000000" w:themeColor="text1"/>
          <w:szCs w:val="32"/>
        </w:rPr>
        <w:t>融媒体中心</w:t>
      </w:r>
      <w:r>
        <w:rPr>
          <w:rFonts w:ascii="Times New Roman" w:hAnsi="Times New Roman" w:eastAsia="仿宋" w:cs="Times New Roman"/>
          <w:color w:val="000000" w:themeColor="text1"/>
          <w:szCs w:val="32"/>
        </w:rPr>
        <w:t>作为县政府工作部门，</w:t>
      </w:r>
      <w:r>
        <w:rPr>
          <w:rFonts w:hint="eastAsia" w:ascii="仿宋" w:hAnsi="仿宋" w:eastAsia="仿宋" w:cs="Times New Roman"/>
          <w:color w:val="000000" w:themeColor="text1"/>
          <w:szCs w:val="32"/>
        </w:rPr>
        <w:t>负责县级广播电视节目的采集、编辑、制作和播出;负责县级新媒体信息的采集、编辑、制作和传播;负责公益广告的策划、制作及播出;负责全县通联工作，及时向上级新闻媒体提供全县有报道价值的新闻线索，抓好通讯员队伍、网点建设，做好新闻工作者的思想政治工作;负责组织参加各类媒体协会的新闻评奖、评优活动。</w:t>
      </w:r>
      <w:r>
        <w:rPr>
          <w:rFonts w:ascii="Times New Roman" w:hAnsi="Times New Roman" w:eastAsia="仿宋" w:cs="Times New Roman"/>
          <w:color w:val="000000" w:themeColor="text1"/>
          <w:szCs w:val="32"/>
        </w:rPr>
        <w:t>在今后的工作中，</w:t>
      </w:r>
      <w:r>
        <w:rPr>
          <w:rFonts w:hint="eastAsia" w:ascii="Times New Roman" w:hAnsi="Times New Roman" w:eastAsia="仿宋" w:cs="Times New Roman"/>
          <w:color w:val="000000" w:themeColor="text1"/>
          <w:szCs w:val="32"/>
        </w:rPr>
        <w:t>工作</w:t>
      </w:r>
      <w:r>
        <w:rPr>
          <w:rFonts w:ascii="Times New Roman" w:hAnsi="Times New Roman" w:eastAsia="仿宋" w:cs="Times New Roman"/>
          <w:color w:val="000000" w:themeColor="text1"/>
          <w:szCs w:val="32"/>
        </w:rPr>
        <w:t>将进一步完善，相关工作仍将持续开展；因此，基本支出得以保障，有助于调动人员积极性，保障寻甸回族彝族自治县</w:t>
      </w:r>
      <w:r>
        <w:rPr>
          <w:rFonts w:hint="eastAsia" w:ascii="Times New Roman" w:hAnsi="Times New Roman" w:eastAsia="仿宋" w:cs="Times New Roman"/>
          <w:color w:val="000000" w:themeColor="text1"/>
          <w:szCs w:val="32"/>
        </w:rPr>
        <w:t>融媒体中心</w:t>
      </w:r>
      <w:r>
        <w:rPr>
          <w:rFonts w:ascii="Times New Roman" w:hAnsi="Times New Roman" w:eastAsia="仿宋" w:cs="Times New Roman"/>
          <w:color w:val="000000" w:themeColor="text1"/>
          <w:szCs w:val="32"/>
        </w:rPr>
        <w:t>日常工作得以顺利开展；项目支出得以保障，有助于完成特定的</w:t>
      </w:r>
      <w:r>
        <w:rPr>
          <w:rFonts w:hint="eastAsia" w:ascii="Times New Roman" w:hAnsi="Times New Roman" w:eastAsia="仿宋" w:cs="Times New Roman"/>
          <w:color w:val="000000" w:themeColor="text1"/>
          <w:szCs w:val="32"/>
        </w:rPr>
        <w:t>新闻</w:t>
      </w:r>
      <w:r>
        <w:rPr>
          <w:rFonts w:ascii="Times New Roman" w:hAnsi="Times New Roman" w:eastAsia="仿宋" w:cs="Times New Roman"/>
          <w:color w:val="000000" w:themeColor="text1"/>
          <w:szCs w:val="32"/>
        </w:rPr>
        <w:t>工作任务或事业发展目标，有助于各项政策得到进一步实施，将进一步有效促进社会持续和谐发展。</w:t>
      </w:r>
    </w:p>
    <w:p w14:paraId="05DDCEBA">
      <w:pPr>
        <w:spacing w:line="520" w:lineRule="exact"/>
        <w:rPr>
          <w:rFonts w:ascii="Times New Roman" w:hAnsi="Times New Roman" w:eastAsia="仿宋_GB2312" w:cs="Times New Roman"/>
          <w:color w:val="000000" w:themeColor="text1"/>
        </w:rPr>
      </w:pPr>
    </w:p>
    <w:p w14:paraId="7C6909B5">
      <w:pPr>
        <w:spacing w:line="520" w:lineRule="exact"/>
        <w:rPr>
          <w:rFonts w:ascii="Times New Roman" w:hAnsi="Times New Roman" w:eastAsia="仿宋_GB2312" w:cs="Times New Roman"/>
          <w:color w:val="000000" w:themeColor="text1"/>
        </w:rPr>
      </w:pPr>
    </w:p>
    <w:p w14:paraId="5FECF8D7">
      <w:pPr>
        <w:spacing w:line="520" w:lineRule="exact"/>
        <w:rPr>
          <w:rFonts w:ascii="Times New Roman" w:hAnsi="Times New Roman" w:eastAsia="仿宋_GB2312" w:cs="Times New Roman"/>
          <w:color w:val="000000" w:themeColor="text1"/>
        </w:rPr>
      </w:pPr>
    </w:p>
    <w:p w14:paraId="5E67AF89">
      <w:pPr>
        <w:spacing w:line="520" w:lineRule="exact"/>
        <w:rPr>
          <w:rFonts w:ascii="Times New Roman" w:hAnsi="Times New Roman" w:eastAsia="仿宋_GB2312" w:cs="Times New Roman"/>
          <w:color w:val="000000" w:themeColor="text1"/>
        </w:rPr>
      </w:pPr>
      <w:r>
        <w:rPr>
          <w:rFonts w:hint="eastAsia" w:ascii="Times New Roman" w:hAnsi="Times New Roman" w:eastAsia="仿宋_GB2312" w:cs="Times New Roman"/>
          <w:color w:val="000000" w:themeColor="text1"/>
        </w:rPr>
        <w:t>附件</w:t>
      </w:r>
      <w:r>
        <w:rPr>
          <w:rFonts w:ascii="Times New Roman" w:hAnsi="Times New Roman" w:eastAsia="仿宋_GB2312" w:cs="Times New Roman"/>
          <w:color w:val="000000" w:themeColor="text1"/>
        </w:rPr>
        <w:t>2</w:t>
      </w:r>
    </w:p>
    <w:p w14:paraId="21BD7F2A">
      <w:pPr>
        <w:spacing w:line="600" w:lineRule="exact"/>
        <w:ind w:left="630" w:hanging="630" w:hangingChars="300"/>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部门职能分解及</w:t>
      </w:r>
      <w:r>
        <w:rPr>
          <w:rFonts w:hint="eastAsia" w:ascii="Times New Roman" w:hAnsi="Times New Roman" w:eastAsia="仿宋_GB2312" w:cs="Times New Roman"/>
          <w:color w:val="000000" w:themeColor="text1"/>
          <w:lang w:eastAsia="zh-CN"/>
        </w:rPr>
        <w:t>2023</w:t>
      </w:r>
      <w:r>
        <w:rPr>
          <w:rFonts w:ascii="Times New Roman" w:hAnsi="Times New Roman" w:eastAsia="仿宋_GB2312" w:cs="Times New Roman"/>
          <w:color w:val="000000" w:themeColor="text1"/>
        </w:rPr>
        <w:t>年度工作完成情况</w:t>
      </w:r>
    </w:p>
    <w:p w14:paraId="73F85A20">
      <w:pPr>
        <w:spacing w:line="600" w:lineRule="exact"/>
        <w:ind w:firstLine="420" w:firstLineChars="200"/>
        <w:jc w:val="left"/>
        <w:rPr>
          <w:rFonts w:ascii="仿宋_GB2312" w:hAnsi="华文中宋" w:eastAsia="仿宋_GB2312"/>
          <w:szCs w:val="21"/>
        </w:rPr>
      </w:pPr>
      <w:r>
        <w:rPr>
          <w:rFonts w:hint="eastAsia" w:ascii="仿宋_GB2312" w:hAnsi="仿宋" w:eastAsia="仿宋_GB2312"/>
          <w:szCs w:val="21"/>
          <w:lang w:eastAsia="zh-CN"/>
        </w:rPr>
        <w:t>2023</w:t>
      </w:r>
      <w:r>
        <w:rPr>
          <w:rFonts w:hint="eastAsia" w:ascii="仿宋_GB2312" w:hAnsi="仿宋" w:eastAsia="仿宋_GB2312"/>
          <w:szCs w:val="21"/>
        </w:rPr>
        <w:t>年是宣传报道大年，主题大、任务重、硬战多，县融媒体中心始终以习近平新时代中国特色社会主义思想为指导，围绕县委、县政府各项工作要求，保持“队伍一直在路上、工作一直在线上”的战斗姿态，把握正确舆论导向，筑牢意识形态主阵地，扎实抓好新闻宣传和舆论引导工作。确保宣传报道工作不松劲，以宣传报道的浓墨重彩，为全县工作推进营造了浓厚的氛围。现将</w:t>
      </w:r>
      <w:r>
        <w:rPr>
          <w:rFonts w:hint="eastAsia" w:ascii="仿宋_GB2312" w:hAnsi="仿宋" w:eastAsia="仿宋_GB2312"/>
          <w:szCs w:val="21"/>
          <w:lang w:eastAsia="zh-CN"/>
        </w:rPr>
        <w:t>2023</w:t>
      </w:r>
      <w:r>
        <w:rPr>
          <w:rFonts w:hint="eastAsia" w:ascii="仿宋_GB2312" w:hAnsi="仿宋" w:eastAsia="仿宋_GB2312"/>
          <w:szCs w:val="21"/>
        </w:rPr>
        <w:t>年工作总结如下：</w:t>
      </w:r>
      <w:r>
        <w:rPr>
          <w:rFonts w:hint="eastAsia" w:ascii="仿宋_GB2312" w:hAnsi="Times New Roman" w:eastAsia="仿宋_GB2312" w:cs="Times New Roman"/>
          <w:color w:val="000000" w:themeColor="text1"/>
          <w:szCs w:val="21"/>
        </w:rPr>
        <w:t xml:space="preserve"> </w:t>
      </w:r>
    </w:p>
    <w:p w14:paraId="3509DE1F">
      <w:pPr>
        <w:spacing w:line="600" w:lineRule="exact"/>
        <w:ind w:firstLine="420" w:firstLineChars="200"/>
        <w:jc w:val="left"/>
        <w:rPr>
          <w:rFonts w:ascii="仿宋_GB2312" w:hAnsi="黑体" w:eastAsia="仿宋_GB2312" w:cs="仿宋"/>
          <w:color w:val="000000"/>
          <w:szCs w:val="21"/>
        </w:rPr>
      </w:pPr>
      <w:r>
        <w:rPr>
          <w:rFonts w:hint="eastAsia" w:ascii="仿宋_GB2312" w:hAnsi="黑体" w:eastAsia="仿宋_GB2312" w:cs="仿宋"/>
          <w:color w:val="000000"/>
          <w:szCs w:val="21"/>
        </w:rPr>
        <w:t>工作完成情况：</w:t>
      </w:r>
    </w:p>
    <w:p w14:paraId="75C24EC4">
      <w:pPr>
        <w:spacing w:line="600" w:lineRule="exact"/>
        <w:ind w:firstLine="420" w:firstLineChars="200"/>
        <w:jc w:val="left"/>
        <w:rPr>
          <w:rFonts w:hint="eastAsia" w:ascii="仿宋_GB2312" w:eastAsia="仿宋_GB2312"/>
          <w:szCs w:val="21"/>
        </w:rPr>
      </w:pPr>
      <w:r>
        <w:rPr>
          <w:rFonts w:hint="eastAsia" w:ascii="仿宋_GB2312" w:eastAsia="仿宋_GB2312"/>
          <w:szCs w:val="21"/>
        </w:rPr>
        <w:t>（一）坚持重点突出，舆论宣传守正出新</w:t>
      </w:r>
    </w:p>
    <w:p w14:paraId="4B3B1AA9">
      <w:pPr>
        <w:spacing w:line="600" w:lineRule="exact"/>
        <w:ind w:firstLine="420" w:firstLineChars="200"/>
        <w:jc w:val="left"/>
        <w:rPr>
          <w:rFonts w:hint="eastAsia" w:ascii="仿宋_GB2312" w:eastAsia="仿宋_GB2312"/>
          <w:szCs w:val="21"/>
        </w:rPr>
      </w:pPr>
      <w:r>
        <w:rPr>
          <w:rFonts w:hint="eastAsia" w:ascii="仿宋_GB2312" w:eastAsia="仿宋_GB2312"/>
          <w:szCs w:val="21"/>
        </w:rPr>
        <w:t>2023年，县融媒体中心切实转变作风，主动担当作为，认真履职尽责，全力抓好新闻宣传服务。在《寻甸新闻》的编发上创新方式强服务，加强与县级其他单位和各乡镇（街道）的对接工作。对时政新闻以外的宣传报道尽可能地通过通讯员采集，减少文字内容的描述，更多通过精美的图片和小视频吸引观众眼球，有效提高媒体关注度和点击率。同时，加强与各部门间的宣传配合，主动与其他单位、企业强化联系，寻找优质宣传素材，积极主动行使宣传职能。主动联系并深入基层一线开展报道工作，采写基层鲜活新闻、反映群众呼声、打通新闻宣传服务群众“最后一公里”，提高宣传工作者的“四力”践行力。在今年的宣传报道中，主要围绕乡村振兴、产业发展、文化旅游、“创文”成果、“三变改革”等县委、县政府中心工作，在电视端《寻甸新闻》中全面展示我县重点工作推进、经验成效、特色亮点。截至10月15日，共发布各类时政、民生新闻228期，专题报道新闻信息1279条。</w:t>
      </w:r>
    </w:p>
    <w:p w14:paraId="7EE6ADB3">
      <w:pPr>
        <w:spacing w:line="600" w:lineRule="exact"/>
        <w:ind w:firstLine="420" w:firstLineChars="200"/>
        <w:jc w:val="left"/>
        <w:rPr>
          <w:rFonts w:hint="eastAsia" w:ascii="仿宋_GB2312" w:eastAsia="仿宋_GB2312"/>
          <w:szCs w:val="21"/>
        </w:rPr>
      </w:pPr>
      <w:r>
        <w:rPr>
          <w:rFonts w:hint="eastAsia" w:ascii="仿宋_GB2312" w:eastAsia="仿宋_GB2312"/>
          <w:szCs w:val="21"/>
        </w:rPr>
        <w:t>（二）媒体报道“真、实、细” ，为七运会增光添彩</w:t>
      </w:r>
    </w:p>
    <w:p w14:paraId="5848C6CB">
      <w:pPr>
        <w:spacing w:line="600" w:lineRule="exact"/>
        <w:ind w:firstLine="420" w:firstLineChars="200"/>
        <w:jc w:val="left"/>
        <w:rPr>
          <w:rFonts w:hint="eastAsia" w:ascii="仿宋_GB2312" w:eastAsia="仿宋_GB2312"/>
          <w:szCs w:val="21"/>
        </w:rPr>
      </w:pPr>
      <w:r>
        <w:rPr>
          <w:rFonts w:hint="eastAsia" w:ascii="仿宋_GB2312" w:eastAsia="仿宋_GB2312"/>
          <w:szCs w:val="21"/>
        </w:rPr>
        <w:t>7月22日至8月6日，昆明市第七届运动会在寻甸县盛大举行，县融媒体中心积极与相关单位对接，落实市七运会宣传报道要求，用镜头和笔触展现每个关键节点、每项工作进展。比赛时间，县融媒体中心充分发挥县主流媒体宣传主阵地作用，运用好寻甸电视台及“寻甸融媒”微信公众号、视频号、抖音、APP等媒体平台，开设“昆明市第七届运动会”专栏，并与昆明电视台、都市时报、掌上春城合作，对市七运会组织领导、积极筹备、统筹推进、运动员集训等情况进行广泛动员和全方位宣传报道，同时，开启倒计时30天宣传。比赛期间，县融媒体中心有组织，有策划，有亮点生产了众多宣传产品，发布相关宣传报道超186篇（条），与昆明电视台及相关单位拍摄制作七运会主题宣传片1部、“相约七运”“寻甸前进”MV 配片2个、系列短视频3条、宣传片预告1条、预热侧记1条、场馆介绍6条。其中发布奖牌榜14期，图集及赛事预告24期，围绕精彩赛事、志愿服务、后勤保障、开幕式等主题制作短视频32个，《寻甸新闻》组织人物专访和赛事报道46条，并第一时间进行推送发布。此外，为让更多群众看到了解市七运会精彩赛项及开幕式，县融媒体中心对人民群众期待度高的比赛项目和开幕仪式进行了高清直播。</w:t>
      </w:r>
    </w:p>
    <w:p w14:paraId="77763ED4">
      <w:pPr>
        <w:spacing w:line="600" w:lineRule="exact"/>
        <w:ind w:firstLine="420" w:firstLineChars="200"/>
        <w:jc w:val="left"/>
        <w:rPr>
          <w:rFonts w:hint="eastAsia" w:ascii="仿宋_GB2312" w:eastAsia="仿宋_GB2312"/>
          <w:szCs w:val="21"/>
        </w:rPr>
      </w:pPr>
      <w:r>
        <w:rPr>
          <w:rFonts w:hint="eastAsia" w:ascii="仿宋_GB2312" w:eastAsia="仿宋_GB2312"/>
          <w:szCs w:val="21"/>
        </w:rPr>
        <w:t>（三）打造一体平台，全媒体矩阵建设显著</w:t>
      </w:r>
    </w:p>
    <w:p w14:paraId="53B7ACAD">
      <w:pPr>
        <w:spacing w:line="600" w:lineRule="exact"/>
        <w:ind w:firstLine="420" w:firstLineChars="200"/>
        <w:jc w:val="left"/>
        <w:rPr>
          <w:rFonts w:hint="eastAsia" w:ascii="仿宋_GB2312" w:eastAsia="仿宋_GB2312"/>
          <w:szCs w:val="21"/>
        </w:rPr>
      </w:pPr>
      <w:r>
        <w:rPr>
          <w:rFonts w:hint="eastAsia" w:ascii="仿宋_GB2312" w:eastAsia="仿宋_GB2312"/>
          <w:szCs w:val="21"/>
        </w:rPr>
        <w:t>2023年，县融媒体中心围绕县委县政府中心工作、服务全县社会经济各项事业发展大局，在各平台上全年直播及推发新闻、信息等数量大幅增长、质量明显提升、影响力逐步扩大。全年推发微信365期，3300余篇，环比增长800余篇；微博推发9000余篇，环比增长2900篇；头条号推发2700余篇，环比增长420篇；抖音发布414篇、快手发布455篇。自“寻甸融媒”视频号开播经典电视剧以来，粉丝数成倍增长，现已由开播前的4万余人突破至年末的11万余人。在此基础上，县融媒体中心还积极策划、主动出击，共制作宣传（专题、汇报）片及各类短视频共230余个、各类直播20余场。其中共制作推发《二十大报告微讲堂》34个、《学习宣传贯彻党的二十大精神系列“微党课”》6期、《山水寻甸》《走近寻甸》《人间难得几回寻》宣传寻甸山川风物、风俗特色系列短视频30余期、《寻才新语》《政协面对面》等电视问政专栏4期，其他各类宣传（专题、汇报）片10余个；MV2个。</w:t>
      </w:r>
    </w:p>
    <w:p w14:paraId="7BF20896">
      <w:pPr>
        <w:spacing w:line="600" w:lineRule="exact"/>
        <w:ind w:firstLine="420" w:firstLineChars="200"/>
        <w:jc w:val="left"/>
        <w:rPr>
          <w:rFonts w:hint="eastAsia" w:ascii="仿宋_GB2312" w:eastAsia="仿宋_GB2312"/>
          <w:szCs w:val="21"/>
        </w:rPr>
      </w:pPr>
      <w:r>
        <w:rPr>
          <w:rFonts w:hint="eastAsia" w:ascii="仿宋_GB2312" w:eastAsia="仿宋_GB2312"/>
          <w:szCs w:val="21"/>
        </w:rPr>
        <w:t>（四）强化制度细化措施，实现安全播出无事故</w:t>
      </w:r>
    </w:p>
    <w:p w14:paraId="27893ED3">
      <w:pPr>
        <w:spacing w:line="600" w:lineRule="exact"/>
        <w:ind w:firstLine="420" w:firstLineChars="200"/>
        <w:jc w:val="left"/>
        <w:rPr>
          <w:rFonts w:hint="eastAsia" w:ascii="仿宋_GB2312" w:eastAsia="仿宋_GB2312"/>
          <w:szCs w:val="21"/>
        </w:rPr>
      </w:pPr>
      <w:r>
        <w:rPr>
          <w:rFonts w:hint="eastAsia" w:ascii="仿宋_GB2312" w:eastAsia="仿宋_GB2312"/>
          <w:szCs w:val="21"/>
        </w:rPr>
        <w:t>县融媒体中心把防范安全播出事故作为日常工作的重中之重，始终按照国家广电总局关于安全播出的工作要求，牢固树立政治意识、大局意识、安全意识，明确工作职责，规范机房管理、值班备勤、安全管理、供配电管理、维护检修、技术档案管理等一系列制度，修改了突发事件协调、事故处置等应急预案，完善了安全播出指挥系统，切实把安全播出、网络安全、安全保卫等各个环节工作做严、做细、做深、做实，形成了“全面动员、全员参与、上下联动、齐抓共管”的责任体系。今年县融媒体中心组织了1次安全播出演练学习，1次网络安全知识学习，2场次直播，完成两次索尼设备全面检修，完成各项设备的调试工作，完成各重保期重保任务，实现高标清同步播出，解决CCTCV1备用信号接入难题，新接入一路电信CCTV1备用信号。</w:t>
      </w:r>
    </w:p>
    <w:p w14:paraId="4C61A6CC">
      <w:pPr>
        <w:spacing w:line="600" w:lineRule="exact"/>
        <w:ind w:firstLine="420" w:firstLineChars="200"/>
        <w:jc w:val="left"/>
        <w:rPr>
          <w:rFonts w:hint="eastAsia" w:ascii="仿宋_GB2312" w:eastAsia="仿宋_GB2312"/>
          <w:szCs w:val="21"/>
        </w:rPr>
      </w:pPr>
      <w:r>
        <w:rPr>
          <w:rFonts w:hint="eastAsia" w:ascii="仿宋_GB2312" w:eastAsia="仿宋_GB2312"/>
          <w:szCs w:val="21"/>
        </w:rPr>
        <w:t>（五）打通数据对接，助推应急广播发展</w:t>
      </w:r>
    </w:p>
    <w:p w14:paraId="05FBBB1D">
      <w:pPr>
        <w:spacing w:line="600" w:lineRule="exact"/>
        <w:ind w:firstLine="420" w:firstLineChars="200"/>
        <w:jc w:val="left"/>
        <w:rPr>
          <w:rFonts w:hint="eastAsia" w:ascii="仿宋_GB2312" w:eastAsia="仿宋_GB2312"/>
          <w:szCs w:val="21"/>
        </w:rPr>
      </w:pPr>
      <w:r>
        <w:rPr>
          <w:rFonts w:hint="eastAsia" w:ascii="仿宋_GB2312" w:eastAsia="仿宋_GB2312"/>
          <w:szCs w:val="21"/>
        </w:rPr>
        <w:t>2023年2月1日县融媒体中心和寻甸广电局做了工作交接，2月2日正式开始运营应急广播，自接管应急广播以来，县融媒体中心持续加强应急广播体系建设，从公益广告库、寻甸融媒产品库、学期强国下载上传致富故事汇、食品安全宣传、电信诈骗、二十大知识小课堂、相约七运等栏目，在全县各自然村（社区）共计1002个应急广播端口，每天中午11：30—12:00，下午</w:t>
      </w:r>
      <w:r>
        <w:rPr>
          <w:rFonts w:hint="eastAsia" w:ascii="仿宋_GB2312" w:eastAsia="仿宋_GB2312"/>
          <w:szCs w:val="21"/>
          <w:lang w:val="en-US" w:eastAsia="zh-CN"/>
        </w:rPr>
        <w:t>6</w:t>
      </w:r>
      <w:r>
        <w:rPr>
          <w:rFonts w:hint="eastAsia" w:ascii="仿宋_GB2312" w:eastAsia="仿宋_GB2312"/>
          <w:szCs w:val="21"/>
        </w:rPr>
        <w:t>:00—</w:t>
      </w:r>
      <w:r>
        <w:rPr>
          <w:rFonts w:hint="eastAsia" w:ascii="仿宋_GB2312" w:eastAsia="仿宋_GB2312"/>
          <w:szCs w:val="21"/>
          <w:lang w:val="en-US" w:eastAsia="zh-CN"/>
        </w:rPr>
        <w:t>6</w:t>
      </w:r>
      <w:r>
        <w:rPr>
          <w:rFonts w:hint="eastAsia" w:ascii="仿宋_GB2312" w:eastAsia="仿宋_GB2312"/>
          <w:szCs w:val="21"/>
        </w:rPr>
        <w:t>:30准时进行播放，保证了全县应急广播一日2次正常播、安全播，播出时长月计30小时以上。同时，完成“七个一”宣传任务，为党和国家宣传党政方针，为人民群众排忧解难，被上级定为全省应急广播宣传“七个一”试点。</w:t>
      </w:r>
      <w:bookmarkStart w:id="2" w:name="_GoBack"/>
      <w:bookmarkEnd w:id="2"/>
    </w:p>
    <w:p w14:paraId="37A8FFB6">
      <w:pPr>
        <w:spacing w:line="600" w:lineRule="exact"/>
        <w:ind w:firstLine="420" w:firstLineChars="200"/>
        <w:jc w:val="left"/>
        <w:rPr>
          <w:rFonts w:hint="eastAsia" w:ascii="仿宋_GB2312" w:eastAsia="仿宋_GB2312"/>
          <w:szCs w:val="21"/>
        </w:rPr>
      </w:pPr>
      <w:r>
        <w:rPr>
          <w:rFonts w:hint="eastAsia" w:ascii="仿宋_GB2312" w:eastAsia="仿宋_GB2312"/>
          <w:szCs w:val="21"/>
        </w:rPr>
        <w:t>（六）强攻外宣成果显著，努力提升寻甸形象</w:t>
      </w:r>
    </w:p>
    <w:p w14:paraId="1A6E5E10">
      <w:pPr>
        <w:spacing w:line="600" w:lineRule="exact"/>
        <w:ind w:firstLine="420" w:firstLineChars="200"/>
        <w:jc w:val="left"/>
        <w:rPr>
          <w:rFonts w:hint="eastAsia" w:ascii="仿宋_GB2312" w:eastAsia="仿宋_GB2312"/>
          <w:szCs w:val="21"/>
        </w:rPr>
      </w:pPr>
      <w:r>
        <w:rPr>
          <w:rFonts w:hint="eastAsia" w:ascii="仿宋_GB2312" w:eastAsia="仿宋_GB2312"/>
          <w:szCs w:val="21"/>
        </w:rPr>
        <w:t>今年，融媒体中心围绕县委、县政府重大决策部署，持续聚焦社会热点，收集全县各单位报送宣传部的各类信息进行筛选修改，向国家、省、市各级媒体投稿，截至10月份，共收集到各类信息3000余条，报送各级媒体信息1200余条。收集到各级媒体刊发的关于寻甸县的各类报道2050余条，其中国家级媒体报道300余条，省级媒体报道1000余条，市级媒体报道750余条。</w:t>
      </w:r>
    </w:p>
    <w:p w14:paraId="1AFC28E0">
      <w:pPr>
        <w:spacing w:line="600" w:lineRule="exact"/>
        <w:ind w:firstLine="420" w:firstLineChars="200"/>
        <w:jc w:val="left"/>
        <w:rPr>
          <w:rFonts w:hint="eastAsia" w:ascii="仿宋_GB2312" w:eastAsia="仿宋_GB2312"/>
          <w:szCs w:val="21"/>
        </w:rPr>
      </w:pPr>
      <w:r>
        <w:rPr>
          <w:rFonts w:hint="eastAsia" w:ascii="仿宋_GB2312" w:eastAsia="仿宋_GB2312"/>
          <w:szCs w:val="21"/>
        </w:rPr>
        <w:t>（七）狠抓作风建设、加强内部管理监督</w:t>
      </w:r>
    </w:p>
    <w:p w14:paraId="07DA4F00">
      <w:pPr>
        <w:spacing w:line="600" w:lineRule="exact"/>
        <w:ind w:firstLine="420" w:firstLineChars="200"/>
        <w:jc w:val="left"/>
        <w:rPr>
          <w:rFonts w:hint="eastAsia" w:ascii="仿宋_GB2312" w:eastAsia="仿宋_GB2312"/>
          <w:szCs w:val="21"/>
        </w:rPr>
      </w:pPr>
      <w:r>
        <w:rPr>
          <w:rFonts w:hint="eastAsia" w:ascii="仿宋_GB2312" w:eastAsia="仿宋_GB2312"/>
          <w:szCs w:val="21"/>
        </w:rPr>
        <w:t>今年来，县融媒体中心针对单位工作的实际情况，一是完善和实施了《劳务派遣人员绩效管理考核办法（试行）》《加强全媒体传播体系建设调研工作实施方案》《内部管理制度》等制度。在落实、各项规章制度的过程中，基本上做到了以章为据、严格考勤、不徇私情、一视同仁。二是加强党风廉政建设责任，进一步增强干部廉洁自律意识。切实落实党风廉政建设责任制，领导班子成员带头履行“一岗双责”，坚持一级抓一级、层层抓落实。健全党风廉政建设责任制考核机制，做到党风廉政建设工作与各项业务工作同部署、同实施、同检查。坚持开展党风党纪教育，认真组织学习上级各项规定，教育引导党员干部自觉遵守党纪党规，进一步教育引导党员干部坚定理想信念，强化法治意识，明确红线，守住底线，坚决不触碰通电的高压线。</w:t>
      </w:r>
    </w:p>
    <w:p w14:paraId="0EF2B2C4">
      <w:pPr>
        <w:spacing w:line="600" w:lineRule="exact"/>
        <w:ind w:firstLine="422" w:firstLineChars="200"/>
        <w:jc w:val="left"/>
        <w:rPr>
          <w:rFonts w:ascii="仿宋_GB2312" w:hAnsi="黑体" w:eastAsia="仿宋_GB2312" w:cs="黑体"/>
          <w:b/>
          <w:bCs/>
          <w:szCs w:val="21"/>
        </w:rPr>
      </w:pPr>
      <w:r>
        <w:rPr>
          <w:rFonts w:hint="eastAsia" w:ascii="仿宋_GB2312" w:hAnsi="黑体" w:eastAsia="仿宋_GB2312" w:cs="黑体"/>
          <w:b/>
          <w:bCs/>
          <w:szCs w:val="21"/>
        </w:rPr>
        <w:t>二、存在问题</w:t>
      </w:r>
    </w:p>
    <w:p w14:paraId="07E5DB52">
      <w:pPr>
        <w:spacing w:line="600" w:lineRule="exact"/>
        <w:ind w:firstLine="420" w:firstLineChars="200"/>
        <w:jc w:val="left"/>
        <w:rPr>
          <w:rFonts w:hint="eastAsia" w:ascii="仿宋_GB2312" w:eastAsia="仿宋_GB2312"/>
          <w:szCs w:val="21"/>
        </w:rPr>
      </w:pPr>
      <w:r>
        <w:rPr>
          <w:rFonts w:hint="eastAsia" w:ascii="仿宋_GB2312" w:eastAsia="仿宋_GB2312"/>
          <w:szCs w:val="21"/>
        </w:rPr>
        <w:t>2023年，县融媒体中心在新闻宣传、安全播出、制度建设、运营创收等方面均取得了一定成绩，但仍然存在着一些不足，主要表现在媒体深度融合认识不足、学习和工作主动性不够；宣传力量尚显薄弱、平台影响力不均衡；队伍能力水平参差不齐，主动策划、创新意识不强；宣传机制和激励机制不够完善，无法有效调动工作积极性。在2024年，县融媒体中心将一如既往地坚持追求真实、客观、准确和有价值的新闻宣传报道，不断探索和创新报道方式，向受众全面展示寻甸发展成效，讲好寻甸故事。</w:t>
      </w:r>
    </w:p>
    <w:p w14:paraId="0E2E73B5">
      <w:pPr>
        <w:spacing w:line="600" w:lineRule="exact"/>
        <w:ind w:firstLine="420" w:firstLineChars="200"/>
        <w:jc w:val="left"/>
        <w:rPr>
          <w:rFonts w:hint="eastAsia" w:ascii="仿宋_GB2312" w:hAnsi="黑体" w:eastAsia="仿宋_GB2312" w:cs="仿宋"/>
          <w:color w:val="000000"/>
          <w:szCs w:val="21"/>
        </w:rPr>
      </w:pPr>
      <w:r>
        <w:rPr>
          <w:rFonts w:hint="eastAsia" w:ascii="仿宋_GB2312" w:hAnsi="黑体" w:eastAsia="仿宋_GB2312" w:cs="仿宋"/>
          <w:color w:val="000000"/>
          <w:szCs w:val="21"/>
        </w:rPr>
        <w:t>三、202</w:t>
      </w:r>
      <w:r>
        <w:rPr>
          <w:rFonts w:hint="eastAsia" w:ascii="仿宋_GB2312" w:hAnsi="黑体" w:eastAsia="仿宋_GB2312" w:cs="仿宋"/>
          <w:color w:val="000000"/>
          <w:szCs w:val="21"/>
          <w:lang w:val="en-US" w:eastAsia="zh-CN"/>
        </w:rPr>
        <w:t>3</w:t>
      </w:r>
      <w:r>
        <w:rPr>
          <w:rFonts w:hint="eastAsia" w:ascii="仿宋_GB2312" w:hAnsi="黑体" w:eastAsia="仿宋_GB2312" w:cs="仿宋"/>
          <w:color w:val="000000"/>
          <w:szCs w:val="21"/>
        </w:rPr>
        <w:t>年工作打算</w:t>
      </w:r>
    </w:p>
    <w:p w14:paraId="14B7ECDD">
      <w:pPr>
        <w:spacing w:line="600" w:lineRule="exact"/>
        <w:ind w:firstLine="420" w:firstLineChars="200"/>
        <w:jc w:val="left"/>
        <w:rPr>
          <w:rFonts w:hint="eastAsia" w:ascii="仿宋_GB2312" w:eastAsia="仿宋_GB2312"/>
          <w:szCs w:val="21"/>
          <w:lang w:val="en-US" w:eastAsia="zh-CN"/>
        </w:rPr>
      </w:pPr>
      <w:r>
        <w:rPr>
          <w:rFonts w:hint="eastAsia" w:ascii="仿宋_GB2312" w:eastAsia="仿宋_GB2312"/>
          <w:szCs w:val="21"/>
          <w:lang w:eastAsia="zh-CN"/>
        </w:rPr>
        <w:t>（一）</w:t>
      </w:r>
      <w:r>
        <w:rPr>
          <w:rFonts w:hint="eastAsia" w:ascii="仿宋_GB2312" w:eastAsia="仿宋_GB2312"/>
          <w:szCs w:val="21"/>
          <w:lang w:val="en-US" w:eastAsia="zh-CN"/>
        </w:rPr>
        <w:t>聚力创新</w:t>
      </w:r>
      <w:r>
        <w:rPr>
          <w:rFonts w:hint="default" w:ascii="仿宋_GB2312" w:eastAsia="仿宋_GB2312"/>
          <w:szCs w:val="21"/>
          <w:lang w:val="en-US" w:eastAsia="zh-CN"/>
        </w:rPr>
        <w:t>，提高新闻宣传效果</w:t>
      </w:r>
    </w:p>
    <w:p w14:paraId="7707D1EF">
      <w:pPr>
        <w:spacing w:line="600" w:lineRule="exact"/>
        <w:ind w:firstLine="420" w:firstLineChars="200"/>
        <w:jc w:val="left"/>
        <w:rPr>
          <w:rFonts w:hint="default" w:ascii="仿宋_GB2312" w:eastAsia="仿宋_GB2312"/>
          <w:szCs w:val="21"/>
          <w:lang w:val="en-US" w:eastAsia="zh-CN"/>
        </w:rPr>
      </w:pPr>
      <w:r>
        <w:rPr>
          <w:rFonts w:hint="default" w:ascii="仿宋_GB2312" w:eastAsia="仿宋_GB2312"/>
          <w:szCs w:val="21"/>
          <w:lang w:val="en-US" w:eastAsia="zh-CN"/>
        </w:rPr>
        <w:t>以推进媒体</w:t>
      </w:r>
      <w:r>
        <w:rPr>
          <w:rFonts w:hint="eastAsia" w:ascii="仿宋_GB2312" w:eastAsia="仿宋_GB2312"/>
          <w:szCs w:val="21"/>
          <w:lang w:val="en-US" w:eastAsia="zh-CN"/>
        </w:rPr>
        <w:t>融合</w:t>
      </w:r>
      <w:r>
        <w:rPr>
          <w:rFonts w:hint="default" w:ascii="仿宋_GB2312" w:eastAsia="仿宋_GB2312"/>
          <w:szCs w:val="21"/>
          <w:lang w:val="en-US" w:eastAsia="zh-CN"/>
        </w:rPr>
        <w:t>创新发展为主线，秉持“新闻+”的发展理念，深入探索融合发展的最佳方向最优路径，围绕中心、服务大局，全力以赴抓好新闻宣传报道工作，开创</w:t>
      </w:r>
      <w:r>
        <w:rPr>
          <w:rFonts w:hint="eastAsia" w:ascii="仿宋_GB2312" w:eastAsia="仿宋_GB2312"/>
          <w:szCs w:val="21"/>
          <w:lang w:val="en-US" w:eastAsia="zh-CN"/>
        </w:rPr>
        <w:t>寻甸</w:t>
      </w:r>
      <w:r>
        <w:rPr>
          <w:rFonts w:hint="default" w:ascii="仿宋_GB2312" w:eastAsia="仿宋_GB2312"/>
          <w:szCs w:val="21"/>
          <w:lang w:val="en-US" w:eastAsia="zh-CN"/>
        </w:rPr>
        <w:t>融媒高质量发展</w:t>
      </w:r>
      <w:r>
        <w:rPr>
          <w:rFonts w:hint="eastAsia" w:ascii="仿宋_GB2312" w:eastAsia="仿宋_GB2312"/>
          <w:szCs w:val="21"/>
          <w:lang w:val="en-US" w:eastAsia="zh-CN"/>
        </w:rPr>
        <w:t>，</w:t>
      </w:r>
      <w:r>
        <w:rPr>
          <w:rFonts w:hint="default" w:ascii="仿宋_GB2312" w:eastAsia="仿宋_GB2312"/>
          <w:szCs w:val="21"/>
          <w:lang w:val="en-US" w:eastAsia="zh-CN"/>
        </w:rPr>
        <w:t>推动全</w:t>
      </w:r>
      <w:r>
        <w:rPr>
          <w:rFonts w:hint="eastAsia" w:ascii="仿宋_GB2312" w:eastAsia="仿宋_GB2312"/>
          <w:szCs w:val="21"/>
          <w:lang w:val="en-US" w:eastAsia="zh-CN"/>
        </w:rPr>
        <w:t>县</w:t>
      </w:r>
      <w:r>
        <w:rPr>
          <w:rFonts w:hint="default" w:ascii="仿宋_GB2312" w:eastAsia="仿宋_GB2312"/>
          <w:szCs w:val="21"/>
          <w:lang w:val="en-US" w:eastAsia="zh-CN"/>
        </w:rPr>
        <w:t>新闻宣传工作跃上新台阶。</w:t>
      </w:r>
    </w:p>
    <w:p w14:paraId="34BD4C58">
      <w:pPr>
        <w:spacing w:line="600" w:lineRule="exact"/>
        <w:ind w:firstLine="420" w:firstLineChars="200"/>
        <w:jc w:val="left"/>
        <w:rPr>
          <w:rFonts w:hint="eastAsia" w:ascii="仿宋_GB2312" w:eastAsia="仿宋_GB2312"/>
          <w:szCs w:val="21"/>
          <w:lang w:val="en-US" w:eastAsia="zh-CN"/>
        </w:rPr>
      </w:pPr>
      <w:r>
        <w:rPr>
          <w:rFonts w:hint="eastAsia" w:ascii="仿宋_GB2312" w:eastAsia="仿宋_GB2312"/>
          <w:szCs w:val="21"/>
          <w:lang w:val="en-US" w:eastAsia="zh-CN"/>
        </w:rPr>
        <w:t>1.加强阵地建设。充分发挥融媒体中心平台作用，积极推进传统媒体和新媒体在内容、渠道、技术、平台、经营管理等方面的深度融合。一是建立并完善电视新闻基础工作，除了保障好全县时政新闻的准确报道外，将加强与县级其他单位和乡镇（街道）的对接工作，加强信息的收集和分析，把“触角”更多深入基层，注重调研和采访，确保新闻报道的准确性和专业性。同时，我们也将注重挖掘更多人文、科技、旅游等主题的采访报道，提供丰富多样的新闻内容。在基层素材采访报道中探索打破单一报道形式，推出更多专题策划，为基层工作者提供更具互动性和参与性的内容，让他们和我们的主播更好地互动起来，讲出心中所想，提出心中疑问，积极参与话题讨论，促进观众间思想的交流和共鸣。二是做强以微博、微信、手机客户端等平台为依托的全媒体宣传平台，以互联网思维、全媒体视角审视和谋划新闻宣传的内容、对象、方法、手段，以内容优势赢得传播强势，生产出更多让百姓喜闻乐见的新闻作品，以工匠精神打造更多原创新闻精品，实现新闻数量、质量逐年提升。</w:t>
      </w:r>
    </w:p>
    <w:p w14:paraId="2D83B1CA">
      <w:pPr>
        <w:spacing w:line="600" w:lineRule="exact"/>
        <w:ind w:firstLine="420" w:firstLineChars="200"/>
        <w:jc w:val="left"/>
        <w:rPr>
          <w:rFonts w:hint="eastAsia" w:ascii="仿宋_GB2312" w:eastAsia="仿宋_GB2312"/>
          <w:szCs w:val="21"/>
          <w:lang w:val="en-US" w:eastAsia="zh-CN"/>
        </w:rPr>
      </w:pPr>
      <w:r>
        <w:rPr>
          <w:rFonts w:hint="eastAsia" w:ascii="仿宋_GB2312" w:eastAsia="仿宋_GB2312"/>
          <w:szCs w:val="21"/>
          <w:lang w:val="en-US" w:eastAsia="zh-CN"/>
        </w:rPr>
        <w:t>2.做好重大主题宣传。围绕县委县政府工作思路，策划组织系列重大主题宣传，切实做好宣传舆论引导工作，做好县委全会、县“两会”、乡村振兴等重大活动的宣传报道，唱响大美寻甸的美好旋律。</w:t>
      </w:r>
    </w:p>
    <w:p w14:paraId="2EBDA819">
      <w:pPr>
        <w:spacing w:line="600" w:lineRule="exact"/>
        <w:ind w:firstLine="420" w:firstLineChars="200"/>
        <w:jc w:val="left"/>
        <w:rPr>
          <w:rFonts w:hint="eastAsia" w:ascii="仿宋_GB2312" w:eastAsia="仿宋_GB2312"/>
          <w:szCs w:val="21"/>
          <w:lang w:val="en-US" w:eastAsia="zh-CN"/>
        </w:rPr>
      </w:pPr>
      <w:r>
        <w:rPr>
          <w:rFonts w:hint="eastAsia" w:ascii="仿宋_GB2312" w:eastAsia="仿宋_GB2312"/>
          <w:szCs w:val="21"/>
          <w:lang w:val="en-US" w:eastAsia="zh-CN"/>
        </w:rPr>
        <w:t>3.强化对外宣传。继续发力外宣，努力“走出去”“深下去”，把对外宣传工作作为工作的重点，在宣传力度、宣传方式、宣传平台等方面进行巩固、创新、强化，密切与市级以上各大媒体的联系，争取在市级以上报、刊、台、网站的发稿量有大突破，做好与上级媒体的信息对接和亮点新闻挖掘，展示更多寻甸的亮点做法和正能量故事，有力有效地传播“大美寻甸”的真、善、美。</w:t>
      </w:r>
    </w:p>
    <w:p w14:paraId="5EA6A294">
      <w:pPr>
        <w:spacing w:line="600" w:lineRule="exact"/>
        <w:ind w:firstLine="420" w:firstLineChars="200"/>
        <w:jc w:val="left"/>
        <w:rPr>
          <w:rFonts w:hint="eastAsia" w:ascii="仿宋_GB2312" w:eastAsia="仿宋_GB2312"/>
          <w:szCs w:val="21"/>
        </w:rPr>
      </w:pPr>
      <w:r>
        <w:rPr>
          <w:rFonts w:hint="eastAsia" w:ascii="仿宋_GB2312" w:eastAsia="仿宋_GB2312"/>
          <w:szCs w:val="21"/>
          <w:lang w:eastAsia="zh-CN"/>
        </w:rPr>
        <w:t>（</w:t>
      </w:r>
      <w:r>
        <w:rPr>
          <w:rFonts w:hint="eastAsia" w:ascii="仿宋_GB2312" w:eastAsia="仿宋_GB2312"/>
          <w:szCs w:val="21"/>
          <w:lang w:val="en-US" w:eastAsia="zh-CN"/>
        </w:rPr>
        <w:t>二</w:t>
      </w:r>
      <w:r>
        <w:rPr>
          <w:rFonts w:hint="eastAsia" w:ascii="仿宋_GB2312" w:eastAsia="仿宋_GB2312"/>
          <w:szCs w:val="21"/>
          <w:lang w:eastAsia="zh-CN"/>
        </w:rPr>
        <w:t>）</w:t>
      </w:r>
      <w:r>
        <w:rPr>
          <w:rFonts w:hint="eastAsia" w:ascii="仿宋_GB2312" w:eastAsia="仿宋_GB2312"/>
          <w:szCs w:val="21"/>
        </w:rPr>
        <w:t>担当实干，推进融媒事业跨越发展</w:t>
      </w:r>
    </w:p>
    <w:p w14:paraId="66769712">
      <w:pPr>
        <w:spacing w:line="600" w:lineRule="exact"/>
        <w:ind w:firstLine="420" w:firstLineChars="200"/>
        <w:jc w:val="left"/>
        <w:rPr>
          <w:rFonts w:hint="eastAsia" w:ascii="仿宋_GB2312" w:eastAsia="仿宋_GB2312"/>
          <w:szCs w:val="21"/>
        </w:rPr>
      </w:pPr>
      <w:r>
        <w:rPr>
          <w:rFonts w:hint="eastAsia" w:ascii="仿宋_GB2312" w:eastAsia="仿宋_GB2312"/>
          <w:szCs w:val="21"/>
        </w:rPr>
        <w:t>1</w:t>
      </w:r>
      <w:r>
        <w:rPr>
          <w:rFonts w:hint="eastAsia" w:ascii="仿宋_GB2312" w:eastAsia="仿宋_GB2312"/>
          <w:szCs w:val="21"/>
          <w:lang w:val="en-US" w:eastAsia="zh-CN"/>
        </w:rPr>
        <w:t>.</w:t>
      </w:r>
      <w:r>
        <w:rPr>
          <w:rFonts w:hint="eastAsia" w:ascii="仿宋_GB2312" w:eastAsia="仿宋_GB2312"/>
          <w:szCs w:val="21"/>
        </w:rPr>
        <w:t>加快媒体融合发展。加强内容创新和策划，整体提升新媒体传播力、竞争力，运用现代理念和技术，努力提高节目摄录制播质量</w:t>
      </w:r>
      <w:r>
        <w:rPr>
          <w:rFonts w:hint="eastAsia" w:ascii="仿宋_GB2312" w:eastAsia="仿宋_GB2312"/>
          <w:szCs w:val="21"/>
          <w:lang w:eastAsia="zh-CN"/>
        </w:rPr>
        <w:t>。保障《</w:t>
      </w:r>
      <w:r>
        <w:rPr>
          <w:rFonts w:hint="eastAsia" w:ascii="仿宋_GB2312" w:eastAsia="仿宋_GB2312"/>
          <w:szCs w:val="21"/>
          <w:lang w:val="en-US" w:eastAsia="zh-CN"/>
        </w:rPr>
        <w:t>寻才新语</w:t>
      </w:r>
      <w:r>
        <w:rPr>
          <w:rFonts w:hint="eastAsia" w:ascii="仿宋_GB2312" w:eastAsia="仿宋_GB2312"/>
          <w:szCs w:val="21"/>
          <w:lang w:eastAsia="zh-CN"/>
        </w:rPr>
        <w:t>》《</w:t>
      </w:r>
      <w:r>
        <w:rPr>
          <w:rFonts w:hint="eastAsia" w:ascii="仿宋_GB2312" w:eastAsia="仿宋_GB2312"/>
          <w:szCs w:val="21"/>
          <w:lang w:val="en-US" w:eastAsia="zh-CN"/>
        </w:rPr>
        <w:t>政协面对面</w:t>
      </w:r>
      <w:r>
        <w:rPr>
          <w:rFonts w:hint="eastAsia" w:ascii="仿宋_GB2312" w:eastAsia="仿宋_GB2312"/>
          <w:szCs w:val="21"/>
          <w:lang w:eastAsia="zh-CN"/>
        </w:rPr>
        <w:t>》</w:t>
      </w:r>
      <w:r>
        <w:rPr>
          <w:rFonts w:hint="eastAsia" w:ascii="仿宋_GB2312" w:eastAsia="仿宋_GB2312"/>
          <w:szCs w:val="21"/>
          <w:lang w:val="en-US" w:eastAsia="zh-CN"/>
        </w:rPr>
        <w:t>等</w:t>
      </w:r>
      <w:r>
        <w:rPr>
          <w:rFonts w:hint="eastAsia" w:ascii="仿宋_GB2312" w:eastAsia="仿宋_GB2312"/>
          <w:szCs w:val="21"/>
          <w:lang w:eastAsia="zh-CN"/>
        </w:rPr>
        <w:t>栏目</w:t>
      </w:r>
      <w:r>
        <w:rPr>
          <w:rFonts w:hint="eastAsia" w:ascii="仿宋_GB2312" w:eastAsia="仿宋_GB2312"/>
          <w:szCs w:val="21"/>
          <w:lang w:val="en-US" w:eastAsia="zh-CN"/>
        </w:rPr>
        <w:t>的制作</w:t>
      </w:r>
      <w:r>
        <w:rPr>
          <w:rFonts w:hint="eastAsia" w:ascii="仿宋_GB2312" w:eastAsia="仿宋_GB2312"/>
          <w:szCs w:val="21"/>
          <w:lang w:eastAsia="zh-CN"/>
        </w:rPr>
        <w:t>播出，努力按时完成每</w:t>
      </w:r>
      <w:r>
        <w:rPr>
          <w:rFonts w:hint="eastAsia" w:ascii="仿宋_GB2312" w:eastAsia="仿宋_GB2312"/>
          <w:szCs w:val="21"/>
          <w:lang w:val="en-US" w:eastAsia="zh-CN"/>
        </w:rPr>
        <w:t>个时期、每个重要节点</w:t>
      </w:r>
      <w:r>
        <w:rPr>
          <w:rFonts w:hint="eastAsia" w:ascii="仿宋_GB2312" w:eastAsia="仿宋_GB2312"/>
          <w:szCs w:val="21"/>
          <w:lang w:eastAsia="zh-CN"/>
        </w:rPr>
        <w:t>《走近寻甸》《</w:t>
      </w:r>
      <w:r>
        <w:rPr>
          <w:rFonts w:hint="eastAsia" w:ascii="仿宋_GB2312" w:eastAsia="仿宋_GB2312"/>
          <w:szCs w:val="21"/>
          <w:lang w:val="en-US" w:eastAsia="zh-CN"/>
        </w:rPr>
        <w:t>山水寻甸</w:t>
      </w:r>
      <w:r>
        <w:rPr>
          <w:rFonts w:hint="eastAsia" w:ascii="仿宋_GB2312" w:eastAsia="仿宋_GB2312"/>
          <w:szCs w:val="21"/>
          <w:lang w:eastAsia="zh-CN"/>
        </w:rPr>
        <w:t>》栏目拍摄制作</w:t>
      </w:r>
      <w:r>
        <w:rPr>
          <w:rFonts w:hint="eastAsia" w:ascii="仿宋_GB2312" w:eastAsia="仿宋_GB2312"/>
          <w:szCs w:val="21"/>
          <w:lang w:val="en-US" w:eastAsia="zh-CN"/>
        </w:rPr>
        <w:t>推发。持续做好新媒体平台的管理维护工作，对数量下滑的平台进行自检自查，对症下药，针对存在问题采取有效措施，力争实现质与量的双提升，</w:t>
      </w:r>
      <w:r>
        <w:rPr>
          <w:rFonts w:hint="eastAsia" w:ascii="仿宋_GB2312" w:eastAsia="仿宋_GB2312"/>
          <w:szCs w:val="21"/>
        </w:rPr>
        <w:t>推进媒体深度融合，聚力建设以内容建设为根本、先进技术为支撑、创新管理为保障的全媒体传播体系。</w:t>
      </w:r>
    </w:p>
    <w:p w14:paraId="252A7B6E">
      <w:pPr>
        <w:spacing w:line="600" w:lineRule="exact"/>
        <w:ind w:firstLine="420" w:firstLineChars="200"/>
        <w:jc w:val="left"/>
        <w:rPr>
          <w:rFonts w:hint="eastAsia" w:ascii="仿宋_GB2312" w:eastAsia="仿宋_GB2312"/>
          <w:szCs w:val="21"/>
        </w:rPr>
      </w:pPr>
      <w:r>
        <w:rPr>
          <w:rFonts w:hint="eastAsia" w:ascii="仿宋_GB2312" w:eastAsia="仿宋_GB2312"/>
          <w:szCs w:val="21"/>
        </w:rPr>
        <w:t>2</w:t>
      </w:r>
      <w:r>
        <w:rPr>
          <w:rFonts w:hint="eastAsia" w:ascii="仿宋_GB2312" w:eastAsia="仿宋_GB2312"/>
          <w:szCs w:val="21"/>
          <w:lang w:val="en-US" w:eastAsia="zh-CN"/>
        </w:rPr>
        <w:t>.</w:t>
      </w:r>
      <w:r>
        <w:rPr>
          <w:rFonts w:hint="eastAsia" w:ascii="仿宋_GB2312" w:eastAsia="仿宋_GB2312"/>
          <w:szCs w:val="21"/>
        </w:rPr>
        <w:t>做好经营创收工作。创新广告经营思路，科学安排广告承载量，强化广告内容的监审力度，规范广播电视广告播出秩序，改善广告结构，</w:t>
      </w:r>
      <w:r>
        <w:rPr>
          <w:rFonts w:hint="eastAsia" w:ascii="仿宋_GB2312" w:eastAsia="仿宋_GB2312"/>
          <w:szCs w:val="21"/>
          <w:lang w:val="en-US" w:eastAsia="zh-CN"/>
        </w:rPr>
        <w:t>尽可能地多发展有意向的广告合作方，并建立长期合作关系，完成各类广告策划拍摄制作工作，</w:t>
      </w:r>
      <w:r>
        <w:rPr>
          <w:rFonts w:hint="eastAsia" w:ascii="仿宋_GB2312" w:eastAsia="仿宋_GB2312"/>
          <w:szCs w:val="21"/>
        </w:rPr>
        <w:t>在树立良好社会形象的前提下，较大幅度地增加广告收入</w:t>
      </w:r>
      <w:r>
        <w:rPr>
          <w:rFonts w:hint="eastAsia" w:ascii="仿宋_GB2312" w:eastAsia="仿宋_GB2312"/>
          <w:szCs w:val="21"/>
          <w:lang w:eastAsia="zh-CN"/>
        </w:rPr>
        <w:t>，</w:t>
      </w:r>
      <w:r>
        <w:rPr>
          <w:rFonts w:hint="eastAsia" w:ascii="仿宋_GB2312" w:eastAsia="仿宋_GB2312"/>
          <w:szCs w:val="21"/>
          <w:lang w:val="en-US" w:eastAsia="zh-CN"/>
        </w:rPr>
        <w:t>加速偿还建房欠账</w:t>
      </w:r>
      <w:r>
        <w:rPr>
          <w:rFonts w:hint="eastAsia" w:ascii="仿宋_GB2312" w:eastAsia="仿宋_GB2312"/>
          <w:szCs w:val="21"/>
        </w:rPr>
        <w:t>。</w:t>
      </w:r>
    </w:p>
    <w:p w14:paraId="71E3F9EE">
      <w:pPr>
        <w:spacing w:line="600" w:lineRule="exact"/>
        <w:ind w:firstLine="420" w:firstLineChars="200"/>
        <w:jc w:val="left"/>
        <w:rPr>
          <w:rFonts w:hint="eastAsia" w:ascii="仿宋_GB2312" w:eastAsia="仿宋_GB2312"/>
          <w:szCs w:val="21"/>
          <w:lang w:eastAsia="zh-CN"/>
        </w:rPr>
      </w:pPr>
      <w:r>
        <w:rPr>
          <w:rFonts w:hint="eastAsia" w:ascii="仿宋_GB2312" w:eastAsia="仿宋_GB2312"/>
          <w:szCs w:val="21"/>
          <w:lang w:eastAsia="zh-CN"/>
        </w:rPr>
        <w:t>（</w:t>
      </w:r>
      <w:r>
        <w:rPr>
          <w:rFonts w:hint="eastAsia" w:ascii="仿宋_GB2312" w:eastAsia="仿宋_GB2312"/>
          <w:szCs w:val="21"/>
          <w:lang w:val="en-US" w:eastAsia="zh-CN"/>
        </w:rPr>
        <w:t>三</w:t>
      </w:r>
      <w:r>
        <w:rPr>
          <w:rFonts w:hint="eastAsia" w:ascii="仿宋_GB2312" w:eastAsia="仿宋_GB2312"/>
          <w:szCs w:val="21"/>
          <w:lang w:eastAsia="zh-CN"/>
        </w:rPr>
        <w:t>）凝心聚力，加强干部队伍建设</w:t>
      </w:r>
    </w:p>
    <w:p w14:paraId="15CE6633">
      <w:pPr>
        <w:spacing w:line="600" w:lineRule="exact"/>
        <w:ind w:firstLine="420" w:firstLineChars="200"/>
        <w:jc w:val="left"/>
        <w:rPr>
          <w:rFonts w:hint="eastAsia" w:ascii="仿宋_GB2312" w:eastAsia="仿宋_GB2312"/>
          <w:szCs w:val="21"/>
        </w:rPr>
      </w:pPr>
      <w:r>
        <w:rPr>
          <w:rFonts w:hint="eastAsia" w:ascii="仿宋_GB2312" w:eastAsia="仿宋_GB2312"/>
          <w:szCs w:val="21"/>
          <w:lang w:eastAsia="zh-CN"/>
        </w:rPr>
        <w:t>始终</w:t>
      </w:r>
      <w:r>
        <w:rPr>
          <w:rFonts w:hint="eastAsia" w:ascii="仿宋_GB2312" w:eastAsia="仿宋_GB2312"/>
          <w:szCs w:val="21"/>
        </w:rPr>
        <w:t>坚持把</w:t>
      </w:r>
      <w:r>
        <w:rPr>
          <w:rFonts w:hint="eastAsia" w:ascii="仿宋_GB2312" w:eastAsia="仿宋_GB2312"/>
          <w:szCs w:val="21"/>
          <w:lang w:val="en-US" w:eastAsia="zh-CN"/>
        </w:rPr>
        <w:t>宣传</w:t>
      </w:r>
      <w:r>
        <w:rPr>
          <w:rFonts w:hint="eastAsia" w:ascii="仿宋_GB2312" w:eastAsia="仿宋_GB2312"/>
          <w:szCs w:val="21"/>
        </w:rPr>
        <w:t>队伍建设放在重要位置，注重新闻实践锻炼，突出干事忠诚导向，打造一支“政治过硬、素质过硬、业绩过硬”的新闻铁军。一方面坚持党建引领，发挥党支部战斗堡垒和党员先锋模范作用，着力构建党建工作与队伍建设同向发力、同频共振的良好局面；另一方面坚持实战练兵，强化“业务+队伍”意识，提升队伍的“团队+新闻”能力，实现队伍和业务“双提升”目标。</w:t>
      </w:r>
    </w:p>
    <w:p w14:paraId="7A8C5887">
      <w:pPr>
        <w:pStyle w:val="2"/>
        <w:rPr>
          <w:rFonts w:ascii="Times New Roman" w:hAnsi="Times New Roman" w:eastAsia="仿宋_GB2312" w:cs="Times New Roman"/>
          <w:color w:val="000000" w:themeColor="text1"/>
          <w:szCs w:val="21"/>
        </w:rPr>
      </w:pPr>
    </w:p>
    <w:p w14:paraId="0569655F">
      <w:pPr>
        <w:pStyle w:val="2"/>
        <w:rPr>
          <w:rFonts w:ascii="Times New Roman" w:hAnsi="Times New Roman" w:eastAsia="仿宋_GB2312" w:cs="Times New Roman"/>
          <w:color w:val="000000" w:themeColor="text1"/>
          <w:szCs w:val="21"/>
        </w:rPr>
      </w:pPr>
    </w:p>
    <w:p w14:paraId="149F8B18">
      <w:pPr>
        <w:pStyle w:val="2"/>
        <w:rPr>
          <w:rFonts w:ascii="Times New Roman" w:hAnsi="Times New Roman" w:eastAsia="仿宋_GB2312" w:cs="Times New Roman"/>
          <w:color w:val="000000" w:themeColor="text1"/>
          <w:szCs w:val="21"/>
        </w:rPr>
      </w:pPr>
    </w:p>
    <w:p w14:paraId="457995DA">
      <w:pPr>
        <w:pStyle w:val="2"/>
        <w:rPr>
          <w:rFonts w:ascii="Times New Roman" w:hAnsi="Times New Roman" w:eastAsia="仿宋_GB2312" w:cs="Times New Roman"/>
          <w:color w:val="000000" w:themeColor="text1"/>
          <w:szCs w:val="21"/>
        </w:rPr>
      </w:pPr>
    </w:p>
    <w:p w14:paraId="22373154">
      <w:pPr>
        <w:pStyle w:val="2"/>
        <w:rPr>
          <w:rFonts w:ascii="Times New Roman" w:hAnsi="Times New Roman" w:eastAsia="仿宋_GB2312" w:cs="Times New Roman"/>
          <w:color w:val="000000" w:themeColor="text1"/>
          <w:szCs w:val="21"/>
        </w:rPr>
      </w:pPr>
    </w:p>
    <w:p w14:paraId="032F67CC">
      <w:pPr>
        <w:pStyle w:val="2"/>
        <w:rPr>
          <w:rFonts w:ascii="Times New Roman" w:hAnsi="Times New Roman" w:eastAsia="仿宋_GB2312" w:cs="Times New Roman"/>
          <w:color w:val="000000" w:themeColor="text1"/>
          <w:szCs w:val="21"/>
        </w:rPr>
      </w:pPr>
    </w:p>
    <w:p w14:paraId="4676655F">
      <w:pPr>
        <w:pStyle w:val="2"/>
        <w:rPr>
          <w:rFonts w:ascii="Times New Roman" w:hAnsi="Times New Roman" w:eastAsia="仿宋_GB2312" w:cs="Times New Roman"/>
          <w:color w:val="000000" w:themeColor="text1"/>
          <w:szCs w:val="21"/>
        </w:rPr>
      </w:pPr>
    </w:p>
    <w:p w14:paraId="60E5D83B">
      <w:pPr>
        <w:pStyle w:val="2"/>
        <w:rPr>
          <w:rFonts w:ascii="Times New Roman" w:hAnsi="Times New Roman" w:eastAsia="仿宋_GB2312" w:cs="Times New Roman"/>
          <w:color w:val="000000" w:themeColor="text1"/>
          <w:szCs w:val="21"/>
        </w:rPr>
      </w:pPr>
    </w:p>
    <w:p w14:paraId="0778B085">
      <w:pPr>
        <w:spacing w:line="520" w:lineRule="exact"/>
        <w:rPr>
          <w:rFonts w:ascii="Times New Roman" w:hAnsi="Times New Roman" w:eastAsia="仿宋_GB2312" w:cs="Times New Roman"/>
          <w:color w:val="000000" w:themeColor="text1"/>
        </w:rPr>
      </w:pPr>
      <w:r>
        <w:rPr>
          <w:rFonts w:hint="eastAsia" w:ascii="Times New Roman" w:hAnsi="Times New Roman" w:eastAsia="仿宋_GB2312" w:cs="Times New Roman"/>
          <w:color w:val="000000" w:themeColor="text1"/>
        </w:rPr>
        <w:t>附件</w:t>
      </w:r>
      <w:r>
        <w:rPr>
          <w:rFonts w:ascii="Times New Roman" w:hAnsi="Times New Roman" w:eastAsia="仿宋_GB2312" w:cs="Times New Roman"/>
          <w:color w:val="000000" w:themeColor="text1"/>
        </w:rPr>
        <w:t xml:space="preserve">3 </w:t>
      </w:r>
    </w:p>
    <w:p w14:paraId="35AE621C">
      <w:pPr>
        <w:spacing w:line="520" w:lineRule="exact"/>
        <w:ind w:left="630" w:hanging="630" w:hangingChars="300"/>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寻甸回族彝族自治县</w:t>
      </w:r>
      <w:r>
        <w:rPr>
          <w:rFonts w:hint="eastAsia" w:ascii="Times New Roman" w:hAnsi="Times New Roman" w:eastAsia="仿宋_GB2312" w:cs="Times New Roman"/>
          <w:color w:val="000000" w:themeColor="text1"/>
        </w:rPr>
        <w:t>融媒体中心</w:t>
      </w:r>
      <w:r>
        <w:rPr>
          <w:rFonts w:hint="eastAsia" w:ascii="Times New Roman" w:hAnsi="Times New Roman" w:eastAsia="仿宋_GB2312" w:cs="Times New Roman"/>
          <w:color w:val="000000" w:themeColor="text1"/>
          <w:lang w:eastAsia="zh-CN"/>
        </w:rPr>
        <w:t>2023</w:t>
      </w:r>
      <w:r>
        <w:rPr>
          <w:rFonts w:ascii="Times New Roman" w:hAnsi="Times New Roman" w:eastAsia="仿宋_GB2312" w:cs="Times New Roman"/>
          <w:color w:val="000000" w:themeColor="text1"/>
        </w:rPr>
        <w:t>年部门整体支出绩效评价指标体系</w:t>
      </w:r>
    </w:p>
    <w:tbl>
      <w:tblPr>
        <w:tblStyle w:val="8"/>
        <w:tblW w:w="9972" w:type="dxa"/>
        <w:jc w:val="center"/>
        <w:tblLayout w:type="fixed"/>
        <w:tblCellMar>
          <w:top w:w="0" w:type="dxa"/>
          <w:left w:w="30" w:type="dxa"/>
          <w:bottom w:w="0" w:type="dxa"/>
          <w:right w:w="30" w:type="dxa"/>
        </w:tblCellMar>
      </w:tblPr>
      <w:tblGrid>
        <w:gridCol w:w="551"/>
        <w:gridCol w:w="650"/>
        <w:gridCol w:w="1336"/>
        <w:gridCol w:w="521"/>
        <w:gridCol w:w="600"/>
        <w:gridCol w:w="2195"/>
        <w:gridCol w:w="2747"/>
        <w:gridCol w:w="1372"/>
      </w:tblGrid>
      <w:tr w14:paraId="3320AE60">
        <w:tblPrEx>
          <w:tblCellMar>
            <w:top w:w="0" w:type="dxa"/>
            <w:left w:w="30" w:type="dxa"/>
            <w:bottom w:w="0" w:type="dxa"/>
            <w:right w:w="30" w:type="dxa"/>
          </w:tblCellMar>
        </w:tblPrEx>
        <w:trPr>
          <w:trHeight w:val="45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309A223B">
            <w:pPr>
              <w:autoSpaceDE w:val="0"/>
              <w:autoSpaceDN w:val="0"/>
              <w:adjustRightInd w:val="0"/>
              <w:jc w:val="center"/>
              <w:rPr>
                <w:rFonts w:ascii="Times New Roman" w:hAnsi="Times New Roman" w:eastAsia="黑体" w:cs="Times New Roman"/>
                <w:b/>
                <w:bCs/>
                <w:color w:val="000000" w:themeColor="text1"/>
                <w:kern w:val="0"/>
                <w:szCs w:val="21"/>
              </w:rPr>
            </w:pPr>
            <w:r>
              <w:rPr>
                <w:rFonts w:ascii="Times New Roman" w:hAnsi="Times New Roman" w:eastAsia="黑体" w:cs="Times New Roman"/>
                <w:b/>
                <w:bCs/>
                <w:color w:val="000000" w:themeColor="text1"/>
                <w:kern w:val="0"/>
                <w:szCs w:val="21"/>
              </w:rPr>
              <w:t>一级指标</w:t>
            </w:r>
          </w:p>
        </w:tc>
        <w:tc>
          <w:tcPr>
            <w:tcW w:w="650" w:type="dxa"/>
            <w:tcBorders>
              <w:top w:val="single" w:color="auto" w:sz="6" w:space="0"/>
              <w:left w:val="single" w:color="auto" w:sz="6" w:space="0"/>
              <w:bottom w:val="single" w:color="auto" w:sz="6" w:space="0"/>
              <w:right w:val="single" w:color="auto" w:sz="6" w:space="0"/>
            </w:tcBorders>
            <w:vAlign w:val="center"/>
          </w:tcPr>
          <w:p w14:paraId="78904959">
            <w:pPr>
              <w:autoSpaceDE w:val="0"/>
              <w:autoSpaceDN w:val="0"/>
              <w:adjustRightInd w:val="0"/>
              <w:jc w:val="center"/>
              <w:rPr>
                <w:rFonts w:ascii="Times New Roman" w:hAnsi="Times New Roman" w:eastAsia="黑体" w:cs="Times New Roman"/>
                <w:b/>
                <w:bCs/>
                <w:color w:val="000000" w:themeColor="text1"/>
                <w:kern w:val="0"/>
                <w:szCs w:val="21"/>
              </w:rPr>
            </w:pPr>
            <w:r>
              <w:rPr>
                <w:rFonts w:ascii="Times New Roman" w:hAnsi="Times New Roman" w:eastAsia="黑体" w:cs="Times New Roman"/>
                <w:b/>
                <w:bCs/>
                <w:color w:val="000000" w:themeColor="text1"/>
                <w:kern w:val="0"/>
                <w:szCs w:val="21"/>
              </w:rPr>
              <w:t>二级  指标</w:t>
            </w:r>
          </w:p>
        </w:tc>
        <w:tc>
          <w:tcPr>
            <w:tcW w:w="1336" w:type="dxa"/>
            <w:tcBorders>
              <w:top w:val="single" w:color="auto" w:sz="6" w:space="0"/>
              <w:left w:val="single" w:color="auto" w:sz="6" w:space="0"/>
              <w:bottom w:val="single" w:color="auto" w:sz="6" w:space="0"/>
              <w:right w:val="single" w:color="auto" w:sz="6" w:space="0"/>
            </w:tcBorders>
            <w:vAlign w:val="center"/>
          </w:tcPr>
          <w:p w14:paraId="7D6FE34D">
            <w:pPr>
              <w:autoSpaceDE w:val="0"/>
              <w:autoSpaceDN w:val="0"/>
              <w:adjustRightInd w:val="0"/>
              <w:jc w:val="center"/>
              <w:rPr>
                <w:rFonts w:ascii="Times New Roman" w:hAnsi="Times New Roman" w:eastAsia="黑体" w:cs="Times New Roman"/>
                <w:b/>
                <w:bCs/>
                <w:color w:val="000000" w:themeColor="text1"/>
                <w:kern w:val="0"/>
                <w:szCs w:val="21"/>
              </w:rPr>
            </w:pPr>
            <w:r>
              <w:rPr>
                <w:rFonts w:ascii="Times New Roman" w:hAnsi="Times New Roman" w:eastAsia="黑体" w:cs="Times New Roman"/>
                <w:b/>
                <w:bCs/>
                <w:color w:val="000000" w:themeColor="text1"/>
                <w:kern w:val="0"/>
                <w:szCs w:val="21"/>
              </w:rPr>
              <w:t>三级指标</w:t>
            </w:r>
          </w:p>
        </w:tc>
        <w:tc>
          <w:tcPr>
            <w:tcW w:w="521" w:type="dxa"/>
            <w:tcBorders>
              <w:top w:val="single" w:color="auto" w:sz="6" w:space="0"/>
              <w:left w:val="single" w:color="auto" w:sz="6" w:space="0"/>
              <w:bottom w:val="single" w:color="auto" w:sz="6" w:space="0"/>
              <w:right w:val="single" w:color="auto" w:sz="6" w:space="0"/>
            </w:tcBorders>
            <w:vAlign w:val="center"/>
          </w:tcPr>
          <w:p w14:paraId="7D3C869B">
            <w:pPr>
              <w:autoSpaceDE w:val="0"/>
              <w:autoSpaceDN w:val="0"/>
              <w:adjustRightInd w:val="0"/>
              <w:jc w:val="center"/>
              <w:rPr>
                <w:rFonts w:ascii="Times New Roman" w:hAnsi="Times New Roman" w:eastAsia="黑体" w:cs="Times New Roman"/>
                <w:b/>
                <w:bCs/>
                <w:color w:val="000000" w:themeColor="text1"/>
                <w:kern w:val="0"/>
                <w:szCs w:val="21"/>
              </w:rPr>
            </w:pPr>
            <w:r>
              <w:rPr>
                <w:rFonts w:ascii="Times New Roman" w:hAnsi="Times New Roman" w:eastAsia="黑体" w:cs="Times New Roman"/>
                <w:b/>
                <w:bCs/>
                <w:color w:val="000000" w:themeColor="text1"/>
                <w:kern w:val="0"/>
                <w:szCs w:val="21"/>
              </w:rPr>
              <w:t>指标   分值</w:t>
            </w:r>
          </w:p>
        </w:tc>
        <w:tc>
          <w:tcPr>
            <w:tcW w:w="600" w:type="dxa"/>
            <w:tcBorders>
              <w:top w:val="single" w:color="auto" w:sz="6" w:space="0"/>
              <w:left w:val="single" w:color="auto" w:sz="6" w:space="0"/>
              <w:bottom w:val="single" w:color="auto" w:sz="6" w:space="0"/>
              <w:right w:val="single" w:color="auto" w:sz="6" w:space="0"/>
            </w:tcBorders>
            <w:vAlign w:val="center"/>
          </w:tcPr>
          <w:p w14:paraId="310B8BDB">
            <w:pPr>
              <w:autoSpaceDE w:val="0"/>
              <w:autoSpaceDN w:val="0"/>
              <w:adjustRightInd w:val="0"/>
              <w:jc w:val="center"/>
              <w:rPr>
                <w:rFonts w:ascii="Times New Roman" w:hAnsi="Times New Roman" w:eastAsia="黑体" w:cs="Times New Roman"/>
                <w:b/>
                <w:bCs/>
                <w:color w:val="000000" w:themeColor="text1"/>
                <w:kern w:val="0"/>
                <w:szCs w:val="21"/>
              </w:rPr>
            </w:pPr>
            <w:r>
              <w:rPr>
                <w:rFonts w:ascii="Times New Roman" w:hAnsi="Times New Roman" w:eastAsia="黑体" w:cs="Times New Roman"/>
                <w:b/>
                <w:bCs/>
                <w:color w:val="000000" w:themeColor="text1"/>
                <w:kern w:val="0"/>
                <w:szCs w:val="21"/>
              </w:rPr>
              <w:t>得分</w:t>
            </w:r>
          </w:p>
        </w:tc>
        <w:tc>
          <w:tcPr>
            <w:tcW w:w="2195" w:type="dxa"/>
            <w:tcBorders>
              <w:top w:val="single" w:color="auto" w:sz="6" w:space="0"/>
              <w:left w:val="single" w:color="auto" w:sz="6" w:space="0"/>
              <w:bottom w:val="single" w:color="auto" w:sz="6" w:space="0"/>
              <w:right w:val="single" w:color="auto" w:sz="6" w:space="0"/>
            </w:tcBorders>
            <w:vAlign w:val="center"/>
          </w:tcPr>
          <w:p w14:paraId="67D42188">
            <w:pPr>
              <w:autoSpaceDE w:val="0"/>
              <w:autoSpaceDN w:val="0"/>
              <w:adjustRightInd w:val="0"/>
              <w:jc w:val="center"/>
              <w:rPr>
                <w:rFonts w:ascii="Times New Roman" w:hAnsi="Times New Roman" w:eastAsia="黑体" w:cs="Times New Roman"/>
                <w:b/>
                <w:bCs/>
                <w:color w:val="000000" w:themeColor="text1"/>
                <w:kern w:val="0"/>
                <w:szCs w:val="21"/>
              </w:rPr>
            </w:pPr>
            <w:r>
              <w:rPr>
                <w:rFonts w:ascii="Times New Roman" w:hAnsi="Times New Roman" w:eastAsia="黑体" w:cs="Times New Roman"/>
                <w:b/>
                <w:bCs/>
                <w:color w:val="000000" w:themeColor="text1"/>
                <w:kern w:val="0"/>
                <w:szCs w:val="21"/>
              </w:rPr>
              <w:t>指标解释</w:t>
            </w:r>
          </w:p>
        </w:tc>
        <w:tc>
          <w:tcPr>
            <w:tcW w:w="2747" w:type="dxa"/>
            <w:tcBorders>
              <w:top w:val="single" w:color="auto" w:sz="6" w:space="0"/>
              <w:left w:val="single" w:color="auto" w:sz="6" w:space="0"/>
              <w:bottom w:val="single" w:color="auto" w:sz="6" w:space="0"/>
              <w:right w:val="single" w:color="auto" w:sz="6" w:space="0"/>
            </w:tcBorders>
            <w:vAlign w:val="center"/>
          </w:tcPr>
          <w:p w14:paraId="007EBF4A">
            <w:pPr>
              <w:autoSpaceDE w:val="0"/>
              <w:autoSpaceDN w:val="0"/>
              <w:adjustRightInd w:val="0"/>
              <w:jc w:val="center"/>
              <w:rPr>
                <w:rFonts w:ascii="Times New Roman" w:hAnsi="Times New Roman" w:eastAsia="黑体" w:cs="Times New Roman"/>
                <w:b/>
                <w:bCs/>
                <w:color w:val="000000" w:themeColor="text1"/>
                <w:kern w:val="0"/>
                <w:szCs w:val="21"/>
              </w:rPr>
            </w:pPr>
            <w:r>
              <w:rPr>
                <w:rFonts w:ascii="Times New Roman" w:hAnsi="Times New Roman" w:eastAsia="黑体" w:cs="Times New Roman"/>
                <w:b/>
                <w:bCs/>
                <w:color w:val="000000" w:themeColor="text1"/>
                <w:kern w:val="0"/>
                <w:szCs w:val="21"/>
              </w:rPr>
              <w:t>指标评分细则</w:t>
            </w:r>
          </w:p>
        </w:tc>
        <w:tc>
          <w:tcPr>
            <w:tcW w:w="1372" w:type="dxa"/>
            <w:tcBorders>
              <w:top w:val="single" w:color="auto" w:sz="6" w:space="0"/>
              <w:left w:val="single" w:color="auto" w:sz="6" w:space="0"/>
              <w:bottom w:val="single" w:color="auto" w:sz="6" w:space="0"/>
              <w:right w:val="single" w:color="auto" w:sz="6" w:space="0"/>
            </w:tcBorders>
            <w:vAlign w:val="center"/>
          </w:tcPr>
          <w:p w14:paraId="6110D5AA">
            <w:pPr>
              <w:autoSpaceDE w:val="0"/>
              <w:autoSpaceDN w:val="0"/>
              <w:adjustRightInd w:val="0"/>
              <w:jc w:val="center"/>
              <w:rPr>
                <w:rFonts w:ascii="Times New Roman" w:hAnsi="Times New Roman" w:eastAsia="黑体" w:cs="Times New Roman"/>
                <w:b/>
                <w:bCs/>
                <w:color w:val="000000" w:themeColor="text1"/>
                <w:kern w:val="0"/>
                <w:szCs w:val="21"/>
              </w:rPr>
            </w:pPr>
            <w:r>
              <w:rPr>
                <w:rFonts w:ascii="Times New Roman" w:hAnsi="Times New Roman" w:eastAsia="黑体" w:cs="Times New Roman"/>
                <w:b/>
                <w:bCs/>
                <w:color w:val="000000" w:themeColor="text1"/>
                <w:kern w:val="0"/>
                <w:szCs w:val="21"/>
              </w:rPr>
              <w:t>数据来源</w:t>
            </w:r>
          </w:p>
        </w:tc>
      </w:tr>
      <w:tr w14:paraId="072DDDED">
        <w:tblPrEx>
          <w:tblCellMar>
            <w:top w:w="0" w:type="dxa"/>
            <w:left w:w="30" w:type="dxa"/>
            <w:bottom w:w="0" w:type="dxa"/>
            <w:right w:w="30" w:type="dxa"/>
          </w:tblCellMar>
        </w:tblPrEx>
        <w:trPr>
          <w:trHeight w:val="114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580E6BD8">
            <w:pPr>
              <w:autoSpaceDE w:val="0"/>
              <w:autoSpaceDN w:val="0"/>
              <w:adjustRightInd w:val="0"/>
              <w:rPr>
                <w:rFonts w:ascii="Times New Roman" w:hAnsi="Times New Roman" w:eastAsia="仿宋_GB2312" w:cs="Times New Roman"/>
                <w:b/>
                <w:bCs/>
                <w:color w:val="000000" w:themeColor="text1"/>
                <w:kern w:val="0"/>
                <w:szCs w:val="21"/>
              </w:rPr>
            </w:pPr>
            <w:r>
              <w:rPr>
                <w:rFonts w:ascii="Times New Roman" w:hAnsi="Times New Roman" w:eastAsia="仿宋_GB2312" w:cs="Times New Roman"/>
                <w:b/>
                <w:bCs/>
                <w:color w:val="000000" w:themeColor="text1"/>
                <w:kern w:val="0"/>
                <w:szCs w:val="21"/>
              </w:rPr>
              <w:t>A部门决策（35分）</w:t>
            </w:r>
          </w:p>
        </w:tc>
        <w:tc>
          <w:tcPr>
            <w:tcW w:w="650" w:type="dxa"/>
            <w:tcBorders>
              <w:top w:val="single" w:color="auto" w:sz="6" w:space="0"/>
              <w:left w:val="single" w:color="auto" w:sz="6" w:space="0"/>
              <w:bottom w:val="single" w:color="auto" w:sz="6" w:space="0"/>
              <w:right w:val="single" w:color="auto" w:sz="6" w:space="0"/>
            </w:tcBorders>
            <w:vAlign w:val="center"/>
          </w:tcPr>
          <w:p w14:paraId="2209188B">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A1部门目标（12分）</w:t>
            </w:r>
          </w:p>
        </w:tc>
        <w:tc>
          <w:tcPr>
            <w:tcW w:w="1336" w:type="dxa"/>
            <w:tcBorders>
              <w:top w:val="single" w:color="auto" w:sz="6" w:space="0"/>
              <w:left w:val="single" w:color="auto" w:sz="6" w:space="0"/>
              <w:bottom w:val="single" w:color="auto" w:sz="6" w:space="0"/>
              <w:right w:val="single" w:color="auto" w:sz="6" w:space="0"/>
            </w:tcBorders>
            <w:vAlign w:val="center"/>
          </w:tcPr>
          <w:p w14:paraId="14EDA8AD">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A11部门中长期规划目标的明确性与合理性（2分）</w:t>
            </w:r>
          </w:p>
        </w:tc>
        <w:tc>
          <w:tcPr>
            <w:tcW w:w="521" w:type="dxa"/>
            <w:tcBorders>
              <w:top w:val="single" w:color="auto" w:sz="6" w:space="0"/>
              <w:left w:val="single" w:color="auto" w:sz="6" w:space="0"/>
              <w:bottom w:val="single" w:color="auto" w:sz="6" w:space="0"/>
              <w:right w:val="single" w:color="auto" w:sz="6" w:space="0"/>
            </w:tcBorders>
            <w:vAlign w:val="center"/>
          </w:tcPr>
          <w:p w14:paraId="494063E5">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2</w:t>
            </w:r>
          </w:p>
        </w:tc>
        <w:tc>
          <w:tcPr>
            <w:tcW w:w="600" w:type="dxa"/>
            <w:tcBorders>
              <w:top w:val="single" w:color="auto" w:sz="6" w:space="0"/>
              <w:left w:val="single" w:color="auto" w:sz="6" w:space="0"/>
              <w:bottom w:val="single" w:color="auto" w:sz="6" w:space="0"/>
              <w:right w:val="single" w:color="auto" w:sz="6" w:space="0"/>
            </w:tcBorders>
            <w:vAlign w:val="center"/>
          </w:tcPr>
          <w:p w14:paraId="34804984">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2</w:t>
            </w:r>
          </w:p>
        </w:tc>
        <w:tc>
          <w:tcPr>
            <w:tcW w:w="2195" w:type="dxa"/>
            <w:tcBorders>
              <w:top w:val="single" w:color="auto" w:sz="6" w:space="0"/>
              <w:left w:val="single" w:color="auto" w:sz="6" w:space="0"/>
              <w:bottom w:val="single" w:color="auto" w:sz="6" w:space="0"/>
              <w:right w:val="single" w:color="auto" w:sz="6" w:space="0"/>
            </w:tcBorders>
            <w:vAlign w:val="center"/>
          </w:tcPr>
          <w:p w14:paraId="15E2AF88">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部门（单位）中长期规划目标的设定情况；中长期规划目标应设定明确，应与政府中长期规划目标相适应，且应与部门职能相适应。</w:t>
            </w:r>
          </w:p>
        </w:tc>
        <w:tc>
          <w:tcPr>
            <w:tcW w:w="2747" w:type="dxa"/>
            <w:tcBorders>
              <w:top w:val="single" w:color="auto" w:sz="6" w:space="0"/>
              <w:left w:val="single" w:color="auto" w:sz="6" w:space="0"/>
              <w:bottom w:val="single" w:color="auto" w:sz="6" w:space="0"/>
              <w:right w:val="single" w:color="auto" w:sz="6" w:space="0"/>
            </w:tcBorders>
            <w:vAlign w:val="center"/>
          </w:tcPr>
          <w:p w14:paraId="264A25D4">
            <w:pPr>
              <w:autoSpaceDE w:val="0"/>
              <w:autoSpaceDN w:val="0"/>
              <w:adjustRightInd w:val="0"/>
              <w:rPr>
                <w:rFonts w:ascii="Times New Roman" w:hAnsi="Times New Roman" w:eastAsia="仿宋_GB2312" w:cs="Times New Roman"/>
                <w:color w:val="000000" w:themeColor="text1"/>
                <w:kern w:val="0"/>
                <w:szCs w:val="21"/>
              </w:rPr>
            </w:pPr>
            <w:r>
              <w:rPr>
                <w:rFonts w:hint="eastAsia" w:ascii="宋体" w:hAnsi="宋体" w:eastAsia="宋体" w:cs="宋体"/>
                <w:color w:val="000000" w:themeColor="text1"/>
                <w:kern w:val="0"/>
                <w:szCs w:val="21"/>
              </w:rPr>
              <w:t>①</w:t>
            </w:r>
            <w:r>
              <w:rPr>
                <w:rFonts w:ascii="Times New Roman" w:hAnsi="Times New Roman" w:eastAsia="仿宋_GB2312" w:cs="Times New Roman"/>
                <w:color w:val="000000" w:themeColor="text1"/>
                <w:kern w:val="0"/>
                <w:szCs w:val="21"/>
              </w:rPr>
              <w:t>设定了部门中长期规划目标，得0.5分；</w:t>
            </w:r>
            <w:r>
              <w:rPr>
                <w:rFonts w:hint="eastAsia" w:ascii="宋体" w:hAnsi="宋体" w:eastAsia="宋体" w:cs="宋体"/>
                <w:color w:val="000000" w:themeColor="text1"/>
                <w:kern w:val="0"/>
                <w:szCs w:val="21"/>
              </w:rPr>
              <w:t>②</w:t>
            </w:r>
            <w:r>
              <w:rPr>
                <w:rFonts w:ascii="Times New Roman" w:hAnsi="Times New Roman" w:eastAsia="仿宋_GB2312" w:cs="Times New Roman"/>
                <w:color w:val="000000" w:themeColor="text1"/>
                <w:kern w:val="0"/>
                <w:szCs w:val="21"/>
              </w:rPr>
              <w:t>设定的部门中长期规划目标明确，得0.5分；</w:t>
            </w:r>
            <w:r>
              <w:rPr>
                <w:rFonts w:hint="eastAsia" w:ascii="宋体" w:hAnsi="宋体" w:eastAsia="宋体" w:cs="宋体"/>
                <w:color w:val="000000" w:themeColor="text1"/>
                <w:kern w:val="0"/>
                <w:szCs w:val="21"/>
              </w:rPr>
              <w:t>③</w:t>
            </w:r>
            <w:r>
              <w:rPr>
                <w:rFonts w:ascii="Times New Roman" w:hAnsi="Times New Roman" w:eastAsia="仿宋_GB2312" w:cs="Times New Roman"/>
                <w:color w:val="000000" w:themeColor="text1"/>
                <w:kern w:val="0"/>
                <w:szCs w:val="21"/>
              </w:rPr>
              <w:t>能够适应市、县政府相关规划，得0.5分；</w:t>
            </w:r>
            <w:r>
              <w:rPr>
                <w:rFonts w:hint="eastAsia" w:ascii="宋体" w:hAnsi="宋体" w:eastAsia="宋体" w:cs="宋体"/>
                <w:color w:val="000000" w:themeColor="text1"/>
                <w:kern w:val="0"/>
                <w:szCs w:val="21"/>
              </w:rPr>
              <w:t>④</w:t>
            </w:r>
            <w:r>
              <w:rPr>
                <w:rFonts w:ascii="Times New Roman" w:hAnsi="Times New Roman" w:eastAsia="仿宋_GB2312" w:cs="Times New Roman"/>
                <w:color w:val="000000" w:themeColor="text1"/>
                <w:kern w:val="0"/>
                <w:szCs w:val="21"/>
              </w:rPr>
              <w:t>能够与部门职能相适应，得0.5分。</w:t>
            </w:r>
          </w:p>
        </w:tc>
        <w:tc>
          <w:tcPr>
            <w:tcW w:w="1372" w:type="dxa"/>
            <w:tcBorders>
              <w:top w:val="single" w:color="auto" w:sz="6" w:space="0"/>
              <w:left w:val="single" w:color="auto" w:sz="6" w:space="0"/>
              <w:bottom w:val="single" w:color="auto" w:sz="6" w:space="0"/>
              <w:right w:val="single" w:color="auto" w:sz="6" w:space="0"/>
            </w:tcBorders>
            <w:vAlign w:val="center"/>
          </w:tcPr>
          <w:p w14:paraId="341D4CA2">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部门中长期规划目标、市、县政府相关规划、部门“三定”方案、部门职能文件。</w:t>
            </w:r>
          </w:p>
        </w:tc>
      </w:tr>
      <w:tr w14:paraId="22546754">
        <w:tblPrEx>
          <w:tblCellMar>
            <w:top w:w="0" w:type="dxa"/>
            <w:left w:w="30" w:type="dxa"/>
            <w:bottom w:w="0" w:type="dxa"/>
            <w:right w:w="30" w:type="dxa"/>
          </w:tblCellMar>
        </w:tblPrEx>
        <w:trPr>
          <w:trHeight w:val="583"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7D64E326">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604F4C2C">
            <w:pPr>
              <w:autoSpaceDE w:val="0"/>
              <w:autoSpaceDN w:val="0"/>
              <w:adjustRightInd w:val="0"/>
              <w:rPr>
                <w:rFonts w:ascii="Times New Roman" w:hAnsi="Times New Roman" w:eastAsia="仿宋_GB2312" w:cs="Times New Roman"/>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vAlign w:val="center"/>
          </w:tcPr>
          <w:p w14:paraId="334A969A">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A12年度工作目标的明确性与合理性（2分）</w:t>
            </w:r>
          </w:p>
        </w:tc>
        <w:tc>
          <w:tcPr>
            <w:tcW w:w="521" w:type="dxa"/>
            <w:tcBorders>
              <w:top w:val="single" w:color="auto" w:sz="6" w:space="0"/>
              <w:left w:val="single" w:color="auto" w:sz="6" w:space="0"/>
              <w:bottom w:val="single" w:color="auto" w:sz="6" w:space="0"/>
              <w:right w:val="single" w:color="auto" w:sz="6" w:space="0"/>
            </w:tcBorders>
            <w:vAlign w:val="center"/>
          </w:tcPr>
          <w:p w14:paraId="17FD7B60">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2</w:t>
            </w:r>
          </w:p>
        </w:tc>
        <w:tc>
          <w:tcPr>
            <w:tcW w:w="600" w:type="dxa"/>
            <w:tcBorders>
              <w:top w:val="single" w:color="auto" w:sz="6" w:space="0"/>
              <w:left w:val="single" w:color="auto" w:sz="6" w:space="0"/>
              <w:bottom w:val="single" w:color="auto" w:sz="6" w:space="0"/>
              <w:right w:val="single" w:color="auto" w:sz="6" w:space="0"/>
            </w:tcBorders>
            <w:vAlign w:val="center"/>
          </w:tcPr>
          <w:p w14:paraId="7D58DB24">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2</w:t>
            </w:r>
          </w:p>
        </w:tc>
        <w:tc>
          <w:tcPr>
            <w:tcW w:w="2195" w:type="dxa"/>
            <w:tcBorders>
              <w:top w:val="single" w:color="auto" w:sz="6" w:space="0"/>
              <w:left w:val="single" w:color="auto" w:sz="6" w:space="0"/>
              <w:bottom w:val="single" w:color="auto" w:sz="6" w:space="0"/>
              <w:right w:val="single" w:color="auto" w:sz="6" w:space="0"/>
            </w:tcBorders>
            <w:vAlign w:val="center"/>
          </w:tcPr>
          <w:p w14:paraId="734EF5E5">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部门年度工作目标的设定是否明确合理</w:t>
            </w:r>
          </w:p>
        </w:tc>
        <w:tc>
          <w:tcPr>
            <w:tcW w:w="2747" w:type="dxa"/>
            <w:tcBorders>
              <w:top w:val="single" w:color="auto" w:sz="6" w:space="0"/>
              <w:left w:val="single" w:color="auto" w:sz="6" w:space="0"/>
              <w:bottom w:val="single" w:color="auto" w:sz="6" w:space="0"/>
              <w:right w:val="single" w:color="auto" w:sz="6" w:space="0"/>
            </w:tcBorders>
            <w:vAlign w:val="center"/>
          </w:tcPr>
          <w:p w14:paraId="1D625F5C">
            <w:pPr>
              <w:autoSpaceDE w:val="0"/>
              <w:autoSpaceDN w:val="0"/>
              <w:adjustRightInd w:val="0"/>
              <w:rPr>
                <w:rFonts w:ascii="Times New Roman" w:hAnsi="Times New Roman" w:eastAsia="仿宋_GB2312" w:cs="Times New Roman"/>
                <w:color w:val="000000" w:themeColor="text1"/>
                <w:kern w:val="0"/>
                <w:szCs w:val="21"/>
              </w:rPr>
            </w:pPr>
            <w:r>
              <w:rPr>
                <w:rFonts w:hint="eastAsia" w:ascii="宋体" w:hAnsi="宋体" w:eastAsia="宋体" w:cs="宋体"/>
                <w:color w:val="000000" w:themeColor="text1"/>
                <w:kern w:val="0"/>
                <w:szCs w:val="21"/>
              </w:rPr>
              <w:t>①</w:t>
            </w:r>
            <w:r>
              <w:rPr>
                <w:rFonts w:ascii="Times New Roman" w:hAnsi="Times New Roman" w:eastAsia="仿宋_GB2312" w:cs="Times New Roman"/>
                <w:color w:val="000000" w:themeColor="text1"/>
                <w:kern w:val="0"/>
                <w:szCs w:val="21"/>
              </w:rPr>
              <w:t>部门年度工作目标明确设定，得1分；</w:t>
            </w:r>
            <w:r>
              <w:rPr>
                <w:rFonts w:hint="eastAsia" w:ascii="宋体" w:hAnsi="宋体" w:eastAsia="宋体" w:cs="宋体"/>
                <w:color w:val="000000" w:themeColor="text1"/>
                <w:kern w:val="0"/>
                <w:szCs w:val="21"/>
              </w:rPr>
              <w:t>②</w:t>
            </w:r>
            <w:r>
              <w:rPr>
                <w:rFonts w:ascii="Times New Roman" w:hAnsi="Times New Roman" w:eastAsia="仿宋_GB2312" w:cs="Times New Roman"/>
                <w:color w:val="000000" w:themeColor="text1"/>
                <w:kern w:val="0"/>
                <w:szCs w:val="21"/>
              </w:rPr>
              <w:t>年度工作目标与部门中长期规划目标一致，得1分。</w:t>
            </w:r>
          </w:p>
        </w:tc>
        <w:tc>
          <w:tcPr>
            <w:tcW w:w="1372" w:type="dxa"/>
            <w:tcBorders>
              <w:top w:val="single" w:color="auto" w:sz="6" w:space="0"/>
              <w:left w:val="single" w:color="auto" w:sz="6" w:space="0"/>
              <w:bottom w:val="single" w:color="auto" w:sz="6" w:space="0"/>
              <w:right w:val="single" w:color="auto" w:sz="6" w:space="0"/>
            </w:tcBorders>
            <w:vAlign w:val="center"/>
          </w:tcPr>
          <w:p w14:paraId="53BA3863">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年度工作目标与部门中长期规划文件</w:t>
            </w:r>
          </w:p>
        </w:tc>
      </w:tr>
      <w:tr w14:paraId="39CC43CD">
        <w:tblPrEx>
          <w:tblCellMar>
            <w:top w:w="0" w:type="dxa"/>
            <w:left w:w="30" w:type="dxa"/>
            <w:bottom w:w="0" w:type="dxa"/>
            <w:right w:w="30" w:type="dxa"/>
          </w:tblCellMar>
        </w:tblPrEx>
        <w:trPr>
          <w:trHeight w:val="557"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7C1EE9C8">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1D40C846">
            <w:pPr>
              <w:autoSpaceDE w:val="0"/>
              <w:autoSpaceDN w:val="0"/>
              <w:adjustRightInd w:val="0"/>
              <w:rPr>
                <w:rFonts w:ascii="Times New Roman" w:hAnsi="Times New Roman" w:eastAsia="仿宋_GB2312" w:cs="Times New Roman"/>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vAlign w:val="center"/>
          </w:tcPr>
          <w:p w14:paraId="6A66ECF8">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A13年度工作计划与年度工作目标的一致性（2分）</w:t>
            </w:r>
          </w:p>
        </w:tc>
        <w:tc>
          <w:tcPr>
            <w:tcW w:w="521" w:type="dxa"/>
            <w:tcBorders>
              <w:top w:val="single" w:color="auto" w:sz="6" w:space="0"/>
              <w:left w:val="single" w:color="auto" w:sz="6" w:space="0"/>
              <w:bottom w:val="single" w:color="auto" w:sz="6" w:space="0"/>
              <w:right w:val="single" w:color="auto" w:sz="6" w:space="0"/>
            </w:tcBorders>
            <w:vAlign w:val="center"/>
          </w:tcPr>
          <w:p w14:paraId="1BBC5907">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2</w:t>
            </w:r>
          </w:p>
        </w:tc>
        <w:tc>
          <w:tcPr>
            <w:tcW w:w="600" w:type="dxa"/>
            <w:tcBorders>
              <w:top w:val="single" w:color="auto" w:sz="6" w:space="0"/>
              <w:left w:val="single" w:color="auto" w:sz="6" w:space="0"/>
              <w:bottom w:val="single" w:color="auto" w:sz="6" w:space="0"/>
              <w:right w:val="single" w:color="auto" w:sz="6" w:space="0"/>
            </w:tcBorders>
            <w:vAlign w:val="center"/>
          </w:tcPr>
          <w:p w14:paraId="14B32287">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1.8</w:t>
            </w:r>
          </w:p>
        </w:tc>
        <w:tc>
          <w:tcPr>
            <w:tcW w:w="2195" w:type="dxa"/>
            <w:tcBorders>
              <w:top w:val="single" w:color="auto" w:sz="6" w:space="0"/>
              <w:left w:val="single" w:color="auto" w:sz="6" w:space="0"/>
              <w:bottom w:val="single" w:color="auto" w:sz="6" w:space="0"/>
              <w:right w:val="single" w:color="auto" w:sz="6" w:space="0"/>
            </w:tcBorders>
            <w:vAlign w:val="center"/>
          </w:tcPr>
          <w:p w14:paraId="14D2EFDD">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部门年度工作计划是否与部门年度工作目标相一致。</w:t>
            </w:r>
          </w:p>
        </w:tc>
        <w:tc>
          <w:tcPr>
            <w:tcW w:w="2747" w:type="dxa"/>
            <w:tcBorders>
              <w:top w:val="single" w:color="auto" w:sz="6" w:space="0"/>
              <w:left w:val="single" w:color="auto" w:sz="6" w:space="0"/>
              <w:bottom w:val="single" w:color="auto" w:sz="6" w:space="0"/>
              <w:right w:val="single" w:color="auto" w:sz="6" w:space="0"/>
            </w:tcBorders>
            <w:vAlign w:val="center"/>
          </w:tcPr>
          <w:p w14:paraId="121C0C61">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将部门详细工作计划与年度工作目标对应匹配，视匹配情况酌情得0-2分。</w:t>
            </w:r>
          </w:p>
        </w:tc>
        <w:tc>
          <w:tcPr>
            <w:tcW w:w="1372" w:type="dxa"/>
            <w:tcBorders>
              <w:top w:val="single" w:color="auto" w:sz="6" w:space="0"/>
              <w:left w:val="single" w:color="auto" w:sz="6" w:space="0"/>
              <w:bottom w:val="single" w:color="auto" w:sz="6" w:space="0"/>
              <w:right w:val="single" w:color="auto" w:sz="6" w:space="0"/>
            </w:tcBorders>
            <w:vAlign w:val="center"/>
          </w:tcPr>
          <w:p w14:paraId="45E249EF">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年度工作计划与年度工作目标文件</w:t>
            </w:r>
          </w:p>
        </w:tc>
      </w:tr>
      <w:tr w14:paraId="4C6C9810">
        <w:tblPrEx>
          <w:tblCellMar>
            <w:top w:w="0" w:type="dxa"/>
            <w:left w:w="30" w:type="dxa"/>
            <w:bottom w:w="0" w:type="dxa"/>
            <w:right w:w="30" w:type="dxa"/>
          </w:tblCellMar>
        </w:tblPrEx>
        <w:trPr>
          <w:trHeight w:val="76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02A54F3C">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0DB28829">
            <w:pPr>
              <w:autoSpaceDE w:val="0"/>
              <w:autoSpaceDN w:val="0"/>
              <w:adjustRightInd w:val="0"/>
              <w:rPr>
                <w:rFonts w:ascii="Times New Roman" w:hAnsi="Times New Roman" w:eastAsia="仿宋_GB2312" w:cs="Times New Roman"/>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vAlign w:val="center"/>
          </w:tcPr>
          <w:p w14:paraId="5607ADD6">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A14绩效目标合理性（3分）</w:t>
            </w:r>
          </w:p>
        </w:tc>
        <w:tc>
          <w:tcPr>
            <w:tcW w:w="521" w:type="dxa"/>
            <w:tcBorders>
              <w:top w:val="single" w:color="auto" w:sz="6" w:space="0"/>
              <w:left w:val="single" w:color="auto" w:sz="6" w:space="0"/>
              <w:bottom w:val="single" w:color="auto" w:sz="6" w:space="0"/>
              <w:right w:val="single" w:color="auto" w:sz="6" w:space="0"/>
            </w:tcBorders>
            <w:vAlign w:val="center"/>
          </w:tcPr>
          <w:p w14:paraId="1B7CDA6B">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3</w:t>
            </w:r>
          </w:p>
        </w:tc>
        <w:tc>
          <w:tcPr>
            <w:tcW w:w="600" w:type="dxa"/>
            <w:tcBorders>
              <w:top w:val="single" w:color="auto" w:sz="6" w:space="0"/>
              <w:left w:val="single" w:color="auto" w:sz="6" w:space="0"/>
              <w:bottom w:val="single" w:color="auto" w:sz="6" w:space="0"/>
              <w:right w:val="single" w:color="auto" w:sz="6" w:space="0"/>
            </w:tcBorders>
            <w:vAlign w:val="center"/>
          </w:tcPr>
          <w:p w14:paraId="06D45300">
            <w:pPr>
              <w:autoSpaceDE w:val="0"/>
              <w:autoSpaceDN w:val="0"/>
              <w:adjustRightInd w:val="0"/>
              <w:jc w:val="center"/>
              <w:rPr>
                <w:rFonts w:hint="eastAsia" w:ascii="Times New Roman" w:hAnsi="Times New Roman" w:eastAsia="仿宋_GB2312" w:cs="Times New Roman"/>
                <w:color w:val="000000" w:themeColor="text1"/>
                <w:kern w:val="0"/>
                <w:szCs w:val="21"/>
                <w:lang w:eastAsia="zh-CN"/>
              </w:rPr>
            </w:pPr>
            <w:r>
              <w:rPr>
                <w:rFonts w:ascii="Times New Roman" w:hAnsi="Times New Roman" w:eastAsia="仿宋_GB2312" w:cs="Times New Roman"/>
                <w:color w:val="000000" w:themeColor="text1"/>
                <w:kern w:val="0"/>
                <w:szCs w:val="21"/>
              </w:rPr>
              <w:t>2.</w:t>
            </w:r>
            <w:r>
              <w:rPr>
                <w:rFonts w:hint="eastAsia" w:ascii="Times New Roman" w:hAnsi="Times New Roman" w:eastAsia="仿宋_GB2312" w:cs="Times New Roman"/>
                <w:color w:val="000000" w:themeColor="text1"/>
                <w:kern w:val="0"/>
                <w:szCs w:val="21"/>
                <w:lang w:val="en-US" w:eastAsia="zh-CN"/>
              </w:rPr>
              <w:t>7</w:t>
            </w:r>
          </w:p>
        </w:tc>
        <w:tc>
          <w:tcPr>
            <w:tcW w:w="2195" w:type="dxa"/>
            <w:tcBorders>
              <w:top w:val="single" w:color="auto" w:sz="6" w:space="0"/>
              <w:left w:val="single" w:color="auto" w:sz="6" w:space="0"/>
              <w:bottom w:val="single" w:color="auto" w:sz="6" w:space="0"/>
              <w:right w:val="single" w:color="auto" w:sz="6" w:space="0"/>
            </w:tcBorders>
            <w:vAlign w:val="center"/>
          </w:tcPr>
          <w:p w14:paraId="03249AD9">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用以反映和考核部门整体绩效目标与部门职能、年度工作目标的一致性。</w:t>
            </w:r>
          </w:p>
        </w:tc>
        <w:tc>
          <w:tcPr>
            <w:tcW w:w="2747" w:type="dxa"/>
            <w:tcBorders>
              <w:top w:val="single" w:color="auto" w:sz="6" w:space="0"/>
              <w:left w:val="single" w:color="auto" w:sz="6" w:space="0"/>
              <w:bottom w:val="single" w:color="auto" w:sz="6" w:space="0"/>
              <w:right w:val="single" w:color="auto" w:sz="6" w:space="0"/>
            </w:tcBorders>
            <w:vAlign w:val="center"/>
          </w:tcPr>
          <w:p w14:paraId="3C0F02CA">
            <w:pPr>
              <w:autoSpaceDE w:val="0"/>
              <w:autoSpaceDN w:val="0"/>
              <w:adjustRightInd w:val="0"/>
              <w:rPr>
                <w:rFonts w:ascii="Times New Roman" w:hAnsi="Times New Roman" w:eastAsia="仿宋_GB2312" w:cs="Times New Roman"/>
                <w:color w:val="000000" w:themeColor="text1"/>
                <w:kern w:val="0"/>
                <w:szCs w:val="21"/>
              </w:rPr>
            </w:pPr>
            <w:r>
              <w:rPr>
                <w:rFonts w:hint="eastAsia" w:ascii="宋体" w:hAnsi="宋体" w:eastAsia="宋体" w:cs="宋体"/>
                <w:color w:val="000000" w:themeColor="text1"/>
                <w:kern w:val="0"/>
                <w:szCs w:val="21"/>
              </w:rPr>
              <w:t>①</w:t>
            </w:r>
            <w:r>
              <w:rPr>
                <w:rFonts w:ascii="Times New Roman" w:hAnsi="Times New Roman" w:eastAsia="仿宋_GB2312" w:cs="Times New Roman"/>
                <w:color w:val="000000" w:themeColor="text1"/>
                <w:kern w:val="0"/>
                <w:szCs w:val="21"/>
              </w:rPr>
              <w:t>符合部门制定的中长期实施规划计1分；</w:t>
            </w:r>
            <w:r>
              <w:rPr>
                <w:rFonts w:hint="eastAsia" w:ascii="宋体" w:hAnsi="宋体" w:eastAsia="宋体" w:cs="宋体"/>
                <w:color w:val="000000" w:themeColor="text1"/>
                <w:kern w:val="0"/>
                <w:szCs w:val="21"/>
              </w:rPr>
              <w:t>②</w:t>
            </w:r>
            <w:r>
              <w:rPr>
                <w:rFonts w:ascii="Times New Roman" w:hAnsi="Times New Roman" w:eastAsia="仿宋_GB2312" w:cs="Times New Roman"/>
                <w:color w:val="000000" w:themeColor="text1"/>
                <w:kern w:val="0"/>
                <w:szCs w:val="21"/>
              </w:rPr>
              <w:t>符合部门“三定”方案确定的职责计1分；</w:t>
            </w:r>
            <w:r>
              <w:rPr>
                <w:rFonts w:hint="eastAsia" w:ascii="宋体" w:hAnsi="宋体" w:eastAsia="宋体" w:cs="宋体"/>
                <w:color w:val="000000" w:themeColor="text1"/>
                <w:kern w:val="0"/>
                <w:szCs w:val="21"/>
              </w:rPr>
              <w:t>③</w:t>
            </w:r>
            <w:r>
              <w:rPr>
                <w:rFonts w:ascii="Times New Roman" w:hAnsi="Times New Roman" w:eastAsia="仿宋_GB2312" w:cs="Times New Roman"/>
                <w:color w:val="000000" w:themeColor="text1"/>
                <w:kern w:val="0"/>
                <w:szCs w:val="21"/>
              </w:rPr>
              <w:t>与部门年度工作目标、任务相一致计1分。</w:t>
            </w:r>
          </w:p>
        </w:tc>
        <w:tc>
          <w:tcPr>
            <w:tcW w:w="1372" w:type="dxa"/>
            <w:tcBorders>
              <w:top w:val="single" w:color="auto" w:sz="6" w:space="0"/>
              <w:left w:val="single" w:color="auto" w:sz="6" w:space="0"/>
              <w:bottom w:val="single" w:color="auto" w:sz="6" w:space="0"/>
              <w:right w:val="single" w:color="auto" w:sz="6" w:space="0"/>
            </w:tcBorders>
            <w:vAlign w:val="center"/>
          </w:tcPr>
          <w:p w14:paraId="1C6DADE1">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部门中长期规划、部门“三定”方案、年度重点工作任务与工作计划</w:t>
            </w:r>
          </w:p>
        </w:tc>
      </w:tr>
      <w:tr w14:paraId="04917D03">
        <w:tblPrEx>
          <w:tblCellMar>
            <w:top w:w="0" w:type="dxa"/>
            <w:left w:w="30" w:type="dxa"/>
            <w:bottom w:w="0" w:type="dxa"/>
            <w:right w:w="30" w:type="dxa"/>
          </w:tblCellMar>
        </w:tblPrEx>
        <w:trPr>
          <w:trHeight w:val="111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2BFB5AB0">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199C1DB8">
            <w:pPr>
              <w:autoSpaceDE w:val="0"/>
              <w:autoSpaceDN w:val="0"/>
              <w:adjustRightInd w:val="0"/>
              <w:rPr>
                <w:rFonts w:ascii="Times New Roman" w:hAnsi="Times New Roman" w:eastAsia="仿宋_GB2312" w:cs="Times New Roman"/>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vAlign w:val="center"/>
          </w:tcPr>
          <w:p w14:paraId="1D5BA7D5">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A15绩效指标明确性（3分）</w:t>
            </w:r>
          </w:p>
        </w:tc>
        <w:tc>
          <w:tcPr>
            <w:tcW w:w="521" w:type="dxa"/>
            <w:tcBorders>
              <w:top w:val="single" w:color="auto" w:sz="6" w:space="0"/>
              <w:left w:val="single" w:color="auto" w:sz="6" w:space="0"/>
              <w:bottom w:val="single" w:color="auto" w:sz="6" w:space="0"/>
              <w:right w:val="single" w:color="auto" w:sz="6" w:space="0"/>
            </w:tcBorders>
            <w:vAlign w:val="center"/>
          </w:tcPr>
          <w:p w14:paraId="0E6C6A97">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3</w:t>
            </w:r>
          </w:p>
        </w:tc>
        <w:tc>
          <w:tcPr>
            <w:tcW w:w="600" w:type="dxa"/>
            <w:tcBorders>
              <w:top w:val="single" w:color="auto" w:sz="6" w:space="0"/>
              <w:left w:val="single" w:color="auto" w:sz="6" w:space="0"/>
              <w:bottom w:val="single" w:color="auto" w:sz="6" w:space="0"/>
              <w:right w:val="single" w:color="auto" w:sz="6" w:space="0"/>
            </w:tcBorders>
            <w:vAlign w:val="center"/>
          </w:tcPr>
          <w:p w14:paraId="0F5BB898">
            <w:pPr>
              <w:autoSpaceDE w:val="0"/>
              <w:autoSpaceDN w:val="0"/>
              <w:adjustRightInd w:val="0"/>
              <w:jc w:val="center"/>
              <w:rPr>
                <w:rFonts w:hint="eastAsia" w:ascii="Times New Roman" w:hAnsi="Times New Roman" w:eastAsia="仿宋_GB2312" w:cs="Times New Roman"/>
                <w:color w:val="000000" w:themeColor="text1"/>
                <w:kern w:val="0"/>
                <w:szCs w:val="21"/>
                <w:lang w:eastAsia="zh-CN"/>
              </w:rPr>
            </w:pPr>
            <w:r>
              <w:rPr>
                <w:rFonts w:ascii="Times New Roman" w:hAnsi="Times New Roman" w:eastAsia="仿宋_GB2312" w:cs="Times New Roman"/>
                <w:color w:val="000000" w:themeColor="text1"/>
                <w:kern w:val="0"/>
                <w:szCs w:val="21"/>
              </w:rPr>
              <w:t>2</w:t>
            </w:r>
            <w:r>
              <w:rPr>
                <w:rFonts w:hint="eastAsia" w:ascii="Times New Roman" w:hAnsi="Times New Roman" w:eastAsia="仿宋_GB2312" w:cs="Times New Roman"/>
                <w:color w:val="000000" w:themeColor="text1"/>
                <w:kern w:val="0"/>
                <w:szCs w:val="21"/>
              </w:rPr>
              <w:t>.</w:t>
            </w:r>
            <w:r>
              <w:rPr>
                <w:rFonts w:hint="eastAsia" w:ascii="Times New Roman" w:hAnsi="Times New Roman" w:eastAsia="仿宋_GB2312" w:cs="Times New Roman"/>
                <w:color w:val="000000" w:themeColor="text1"/>
                <w:kern w:val="0"/>
                <w:szCs w:val="21"/>
                <w:lang w:val="en-US" w:eastAsia="zh-CN"/>
              </w:rPr>
              <w:t>6</w:t>
            </w:r>
          </w:p>
        </w:tc>
        <w:tc>
          <w:tcPr>
            <w:tcW w:w="2195" w:type="dxa"/>
            <w:tcBorders>
              <w:top w:val="single" w:color="auto" w:sz="6" w:space="0"/>
              <w:left w:val="single" w:color="auto" w:sz="6" w:space="0"/>
              <w:bottom w:val="single" w:color="auto" w:sz="6" w:space="0"/>
              <w:right w:val="single" w:color="auto" w:sz="6" w:space="0"/>
            </w:tcBorders>
            <w:vAlign w:val="center"/>
          </w:tcPr>
          <w:p w14:paraId="34C6A371">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整体绩效目标所设定的绩效指标是否依据部门工作目标和工作任务进行细化、量化，绩效指标是否可衡量。</w:t>
            </w:r>
          </w:p>
        </w:tc>
        <w:tc>
          <w:tcPr>
            <w:tcW w:w="2747" w:type="dxa"/>
            <w:tcBorders>
              <w:top w:val="single" w:color="auto" w:sz="6" w:space="0"/>
              <w:left w:val="single" w:color="auto" w:sz="6" w:space="0"/>
              <w:bottom w:val="single" w:color="auto" w:sz="6" w:space="0"/>
              <w:right w:val="single" w:color="auto" w:sz="6" w:space="0"/>
            </w:tcBorders>
            <w:vAlign w:val="center"/>
          </w:tcPr>
          <w:p w14:paraId="16AB1B3A">
            <w:pPr>
              <w:autoSpaceDE w:val="0"/>
              <w:autoSpaceDN w:val="0"/>
              <w:adjustRightInd w:val="0"/>
              <w:rPr>
                <w:rFonts w:ascii="Times New Roman" w:hAnsi="Times New Roman" w:eastAsia="仿宋_GB2312" w:cs="Times New Roman"/>
                <w:color w:val="000000" w:themeColor="text1"/>
                <w:kern w:val="0"/>
                <w:szCs w:val="21"/>
              </w:rPr>
            </w:pPr>
            <w:r>
              <w:rPr>
                <w:rFonts w:hint="eastAsia" w:ascii="宋体" w:hAnsi="宋体" w:eastAsia="宋体" w:cs="宋体"/>
                <w:color w:val="000000" w:themeColor="text1"/>
                <w:kern w:val="0"/>
                <w:szCs w:val="21"/>
              </w:rPr>
              <w:t>①</w:t>
            </w:r>
            <w:r>
              <w:rPr>
                <w:rFonts w:ascii="Times New Roman" w:hAnsi="Times New Roman" w:eastAsia="仿宋_GB2312" w:cs="Times New Roman"/>
                <w:color w:val="000000" w:themeColor="text1"/>
                <w:kern w:val="0"/>
                <w:szCs w:val="21"/>
              </w:rPr>
              <w:t>将部门整体的绩效目标细化分解为具体的工作任务计1分；</w:t>
            </w:r>
            <w:r>
              <w:rPr>
                <w:rFonts w:hint="eastAsia" w:ascii="宋体" w:hAnsi="宋体" w:eastAsia="宋体" w:cs="宋体"/>
                <w:color w:val="000000" w:themeColor="text1"/>
                <w:kern w:val="0"/>
                <w:szCs w:val="21"/>
              </w:rPr>
              <w:t>②</w:t>
            </w:r>
            <w:r>
              <w:rPr>
                <w:rFonts w:ascii="Times New Roman" w:hAnsi="Times New Roman" w:eastAsia="仿宋_GB2312" w:cs="Times New Roman"/>
                <w:color w:val="000000" w:themeColor="text1"/>
                <w:kern w:val="0"/>
                <w:szCs w:val="21"/>
              </w:rPr>
              <w:t>通过清晰、可衡量的指标值予以体现计0.5分。</w:t>
            </w:r>
            <w:r>
              <w:rPr>
                <w:rFonts w:hint="eastAsia" w:ascii="宋体" w:hAnsi="宋体" w:eastAsia="宋体" w:cs="宋体"/>
                <w:color w:val="000000" w:themeColor="text1"/>
                <w:kern w:val="0"/>
                <w:szCs w:val="21"/>
              </w:rPr>
              <w:t>③</w:t>
            </w:r>
            <w:r>
              <w:rPr>
                <w:rFonts w:ascii="Times New Roman" w:hAnsi="Times New Roman" w:eastAsia="仿宋_GB2312" w:cs="Times New Roman"/>
                <w:color w:val="000000" w:themeColor="text1"/>
                <w:kern w:val="0"/>
                <w:szCs w:val="21"/>
              </w:rPr>
              <w:t>与部门年度的任务数或计划数相对应计0.5分；</w:t>
            </w:r>
            <w:r>
              <w:rPr>
                <w:rFonts w:hint="eastAsia" w:ascii="宋体" w:hAnsi="宋体" w:eastAsia="宋体" w:cs="宋体"/>
                <w:color w:val="000000" w:themeColor="text1"/>
                <w:kern w:val="0"/>
                <w:szCs w:val="21"/>
              </w:rPr>
              <w:t>④</w:t>
            </w:r>
            <w:r>
              <w:rPr>
                <w:rFonts w:ascii="Times New Roman" w:hAnsi="Times New Roman" w:eastAsia="仿宋_GB2312" w:cs="Times New Roman"/>
                <w:color w:val="000000" w:themeColor="text1"/>
                <w:kern w:val="0"/>
                <w:szCs w:val="21"/>
              </w:rPr>
              <w:t>与本年度部门预算资金相匹配计1分。</w:t>
            </w:r>
          </w:p>
        </w:tc>
        <w:tc>
          <w:tcPr>
            <w:tcW w:w="1372" w:type="dxa"/>
            <w:tcBorders>
              <w:top w:val="single" w:color="auto" w:sz="6" w:space="0"/>
              <w:left w:val="single" w:color="auto" w:sz="6" w:space="0"/>
              <w:bottom w:val="single" w:color="auto" w:sz="6" w:space="0"/>
              <w:right w:val="single" w:color="auto" w:sz="6" w:space="0"/>
            </w:tcBorders>
            <w:vAlign w:val="center"/>
          </w:tcPr>
          <w:p w14:paraId="669C36FA">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部门年度重点工作任务与工作计划。</w:t>
            </w:r>
          </w:p>
        </w:tc>
      </w:tr>
      <w:tr w14:paraId="5D0D4644">
        <w:tblPrEx>
          <w:tblCellMar>
            <w:top w:w="0" w:type="dxa"/>
            <w:left w:w="30" w:type="dxa"/>
            <w:bottom w:w="0" w:type="dxa"/>
            <w:right w:w="30" w:type="dxa"/>
          </w:tblCellMar>
        </w:tblPrEx>
        <w:trPr>
          <w:trHeight w:val="76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21D6C9F2">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1C320443">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A2部门职能（10分）</w:t>
            </w:r>
          </w:p>
        </w:tc>
        <w:tc>
          <w:tcPr>
            <w:tcW w:w="1336" w:type="dxa"/>
            <w:tcBorders>
              <w:top w:val="single" w:color="auto" w:sz="6" w:space="0"/>
              <w:left w:val="single" w:color="auto" w:sz="6" w:space="0"/>
              <w:bottom w:val="single" w:color="auto" w:sz="6" w:space="0"/>
              <w:right w:val="single" w:color="auto" w:sz="6" w:space="0"/>
            </w:tcBorders>
            <w:vAlign w:val="center"/>
          </w:tcPr>
          <w:p w14:paraId="39AF21D8">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A21部门职能的明确性与科学性（1分）</w:t>
            </w:r>
          </w:p>
        </w:tc>
        <w:tc>
          <w:tcPr>
            <w:tcW w:w="521" w:type="dxa"/>
            <w:tcBorders>
              <w:top w:val="single" w:color="auto" w:sz="6" w:space="0"/>
              <w:left w:val="single" w:color="auto" w:sz="6" w:space="0"/>
              <w:bottom w:val="single" w:color="auto" w:sz="6" w:space="0"/>
              <w:right w:val="single" w:color="auto" w:sz="6" w:space="0"/>
            </w:tcBorders>
            <w:vAlign w:val="center"/>
          </w:tcPr>
          <w:p w14:paraId="2DF8C506">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600" w:type="dxa"/>
            <w:tcBorders>
              <w:top w:val="single" w:color="auto" w:sz="6" w:space="0"/>
              <w:left w:val="single" w:color="auto" w:sz="6" w:space="0"/>
              <w:bottom w:val="single" w:color="auto" w:sz="6" w:space="0"/>
              <w:right w:val="single" w:color="auto" w:sz="6" w:space="0"/>
            </w:tcBorders>
            <w:vAlign w:val="center"/>
          </w:tcPr>
          <w:p w14:paraId="7A324069">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2195" w:type="dxa"/>
            <w:tcBorders>
              <w:top w:val="single" w:color="auto" w:sz="6" w:space="0"/>
              <w:left w:val="single" w:color="auto" w:sz="6" w:space="0"/>
              <w:bottom w:val="single" w:color="auto" w:sz="6" w:space="0"/>
              <w:right w:val="single" w:color="auto" w:sz="6" w:space="0"/>
            </w:tcBorders>
            <w:vAlign w:val="center"/>
          </w:tcPr>
          <w:p w14:paraId="736DE7F7">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考察部门职能界定是否明确科学，是否有相关文件。</w:t>
            </w:r>
          </w:p>
        </w:tc>
        <w:tc>
          <w:tcPr>
            <w:tcW w:w="2747" w:type="dxa"/>
            <w:tcBorders>
              <w:top w:val="single" w:color="auto" w:sz="6" w:space="0"/>
              <w:left w:val="single" w:color="auto" w:sz="6" w:space="0"/>
              <w:bottom w:val="single" w:color="auto" w:sz="6" w:space="0"/>
              <w:right w:val="single" w:color="auto" w:sz="6" w:space="0"/>
            </w:tcBorders>
            <w:vAlign w:val="center"/>
          </w:tcPr>
          <w:p w14:paraId="559EEF02">
            <w:pPr>
              <w:autoSpaceDE w:val="0"/>
              <w:autoSpaceDN w:val="0"/>
              <w:adjustRightInd w:val="0"/>
              <w:rPr>
                <w:rFonts w:ascii="Times New Roman" w:hAnsi="Times New Roman" w:eastAsia="仿宋_GB2312" w:cs="Times New Roman"/>
                <w:color w:val="000000" w:themeColor="text1"/>
                <w:kern w:val="0"/>
                <w:szCs w:val="21"/>
              </w:rPr>
            </w:pPr>
            <w:r>
              <w:rPr>
                <w:rFonts w:hint="eastAsia" w:ascii="宋体" w:hAnsi="宋体" w:eastAsia="宋体" w:cs="宋体"/>
                <w:color w:val="000000" w:themeColor="text1"/>
                <w:kern w:val="0"/>
                <w:szCs w:val="21"/>
              </w:rPr>
              <w:t>①</w:t>
            </w:r>
            <w:r>
              <w:rPr>
                <w:rFonts w:ascii="Times New Roman" w:hAnsi="Times New Roman" w:eastAsia="仿宋_GB2312" w:cs="Times New Roman"/>
                <w:color w:val="000000" w:themeColor="text1"/>
                <w:kern w:val="0"/>
                <w:szCs w:val="21"/>
              </w:rPr>
              <w:t>职能明确、设定依据充分，得1分；</w:t>
            </w:r>
            <w:r>
              <w:rPr>
                <w:rFonts w:hint="eastAsia" w:ascii="宋体" w:hAnsi="宋体" w:eastAsia="宋体" w:cs="宋体"/>
                <w:color w:val="000000" w:themeColor="text1"/>
                <w:kern w:val="0"/>
                <w:szCs w:val="21"/>
              </w:rPr>
              <w:t>②</w:t>
            </w:r>
            <w:r>
              <w:rPr>
                <w:rFonts w:ascii="Times New Roman" w:hAnsi="Times New Roman" w:eastAsia="仿宋_GB2312" w:cs="Times New Roman"/>
                <w:color w:val="000000" w:themeColor="text1"/>
                <w:kern w:val="0"/>
                <w:szCs w:val="21"/>
              </w:rPr>
              <w:t>有“三定”文件，但职能描述不明确，得0.5分;</w:t>
            </w:r>
            <w:r>
              <w:rPr>
                <w:rFonts w:hint="eastAsia" w:ascii="宋体" w:hAnsi="宋体" w:eastAsia="宋体" w:cs="宋体"/>
                <w:color w:val="000000" w:themeColor="text1"/>
                <w:kern w:val="0"/>
                <w:szCs w:val="21"/>
              </w:rPr>
              <w:t>③</w:t>
            </w:r>
            <w:r>
              <w:rPr>
                <w:rFonts w:ascii="Times New Roman" w:hAnsi="Times New Roman" w:eastAsia="仿宋_GB2312" w:cs="Times New Roman"/>
                <w:color w:val="000000" w:themeColor="text1"/>
                <w:kern w:val="0"/>
                <w:szCs w:val="21"/>
              </w:rPr>
              <w:t>没有职能设定的文件依据且职能不清，得0分</w:t>
            </w:r>
          </w:p>
        </w:tc>
        <w:tc>
          <w:tcPr>
            <w:tcW w:w="1372" w:type="dxa"/>
            <w:tcBorders>
              <w:top w:val="single" w:color="auto" w:sz="6" w:space="0"/>
              <w:left w:val="single" w:color="auto" w:sz="6" w:space="0"/>
              <w:bottom w:val="single" w:color="auto" w:sz="6" w:space="0"/>
              <w:right w:val="single" w:color="auto" w:sz="6" w:space="0"/>
            </w:tcBorders>
            <w:vAlign w:val="center"/>
          </w:tcPr>
          <w:p w14:paraId="6C4B59BC">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部门职能描述、“三定”文件</w:t>
            </w:r>
          </w:p>
        </w:tc>
      </w:tr>
      <w:tr w14:paraId="60F9F3DB">
        <w:tblPrEx>
          <w:tblCellMar>
            <w:top w:w="0" w:type="dxa"/>
            <w:left w:w="30" w:type="dxa"/>
            <w:bottom w:w="0" w:type="dxa"/>
            <w:right w:w="30" w:type="dxa"/>
          </w:tblCellMar>
        </w:tblPrEx>
        <w:trPr>
          <w:trHeight w:val="612"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7D6EBFF2">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6A6CBA9D">
            <w:pPr>
              <w:autoSpaceDE w:val="0"/>
              <w:autoSpaceDN w:val="0"/>
              <w:adjustRightInd w:val="0"/>
              <w:rPr>
                <w:rFonts w:ascii="Times New Roman" w:hAnsi="Times New Roman" w:eastAsia="仿宋_GB2312" w:cs="Times New Roman"/>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vAlign w:val="center"/>
          </w:tcPr>
          <w:p w14:paraId="6EDD4AA5">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A22年度工作目标与部门职能的适应性（4分）</w:t>
            </w:r>
          </w:p>
        </w:tc>
        <w:tc>
          <w:tcPr>
            <w:tcW w:w="521" w:type="dxa"/>
            <w:tcBorders>
              <w:top w:val="single" w:color="auto" w:sz="6" w:space="0"/>
              <w:left w:val="single" w:color="auto" w:sz="6" w:space="0"/>
              <w:bottom w:val="single" w:color="auto" w:sz="6" w:space="0"/>
              <w:right w:val="single" w:color="auto" w:sz="6" w:space="0"/>
            </w:tcBorders>
            <w:vAlign w:val="center"/>
          </w:tcPr>
          <w:p w14:paraId="524A168F">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4</w:t>
            </w:r>
          </w:p>
        </w:tc>
        <w:tc>
          <w:tcPr>
            <w:tcW w:w="600" w:type="dxa"/>
            <w:tcBorders>
              <w:top w:val="single" w:color="auto" w:sz="6" w:space="0"/>
              <w:left w:val="single" w:color="auto" w:sz="6" w:space="0"/>
              <w:bottom w:val="single" w:color="auto" w:sz="6" w:space="0"/>
              <w:right w:val="single" w:color="auto" w:sz="6" w:space="0"/>
            </w:tcBorders>
            <w:vAlign w:val="center"/>
          </w:tcPr>
          <w:p w14:paraId="42CE6A5E">
            <w:pPr>
              <w:autoSpaceDE w:val="0"/>
              <w:autoSpaceDN w:val="0"/>
              <w:adjustRightInd w:val="0"/>
              <w:jc w:val="center"/>
              <w:rPr>
                <w:rFonts w:hint="default" w:ascii="Times New Roman" w:hAnsi="Times New Roman" w:eastAsia="仿宋_GB2312" w:cs="Times New Roman"/>
                <w:color w:val="000000" w:themeColor="text1"/>
                <w:kern w:val="0"/>
                <w:szCs w:val="21"/>
                <w:lang w:val="en-US" w:eastAsia="zh-CN"/>
              </w:rPr>
            </w:pPr>
            <w:r>
              <w:rPr>
                <w:rFonts w:hint="eastAsia" w:ascii="Times New Roman" w:hAnsi="Times New Roman" w:eastAsia="仿宋_GB2312" w:cs="Times New Roman"/>
                <w:color w:val="000000" w:themeColor="text1"/>
                <w:kern w:val="0"/>
                <w:szCs w:val="21"/>
                <w:lang w:val="en-US" w:eastAsia="zh-CN"/>
              </w:rPr>
              <w:t>3.5</w:t>
            </w:r>
          </w:p>
        </w:tc>
        <w:tc>
          <w:tcPr>
            <w:tcW w:w="2195" w:type="dxa"/>
            <w:tcBorders>
              <w:top w:val="single" w:color="auto" w:sz="6" w:space="0"/>
              <w:left w:val="single" w:color="auto" w:sz="6" w:space="0"/>
              <w:bottom w:val="single" w:color="auto" w:sz="6" w:space="0"/>
              <w:right w:val="single" w:color="auto" w:sz="6" w:space="0"/>
            </w:tcBorders>
            <w:vAlign w:val="center"/>
          </w:tcPr>
          <w:p w14:paraId="340B30E1">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部门所设定的具体目标是否与部门职能相适应。</w:t>
            </w:r>
          </w:p>
        </w:tc>
        <w:tc>
          <w:tcPr>
            <w:tcW w:w="2747" w:type="dxa"/>
            <w:tcBorders>
              <w:top w:val="single" w:color="auto" w:sz="6" w:space="0"/>
              <w:left w:val="single" w:color="auto" w:sz="6" w:space="0"/>
              <w:bottom w:val="single" w:color="auto" w:sz="6" w:space="0"/>
              <w:right w:val="single" w:color="auto" w:sz="6" w:space="0"/>
            </w:tcBorders>
            <w:vAlign w:val="center"/>
          </w:tcPr>
          <w:p w14:paraId="67241E81">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将部门详细工作目标与部门职能对应匹配，视匹配情况酌情得0-4分。</w:t>
            </w:r>
          </w:p>
        </w:tc>
        <w:tc>
          <w:tcPr>
            <w:tcW w:w="1372" w:type="dxa"/>
            <w:tcBorders>
              <w:top w:val="single" w:color="auto" w:sz="6" w:space="0"/>
              <w:left w:val="single" w:color="auto" w:sz="6" w:space="0"/>
              <w:bottom w:val="single" w:color="auto" w:sz="6" w:space="0"/>
              <w:right w:val="single" w:color="auto" w:sz="6" w:space="0"/>
            </w:tcBorders>
            <w:vAlign w:val="center"/>
          </w:tcPr>
          <w:p w14:paraId="74C19339">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部门年度工作目标、部门职能</w:t>
            </w:r>
          </w:p>
        </w:tc>
      </w:tr>
      <w:tr w14:paraId="24DCD91D">
        <w:tblPrEx>
          <w:tblCellMar>
            <w:top w:w="0" w:type="dxa"/>
            <w:left w:w="30" w:type="dxa"/>
            <w:bottom w:w="0" w:type="dxa"/>
            <w:right w:w="30" w:type="dxa"/>
          </w:tblCellMar>
        </w:tblPrEx>
        <w:trPr>
          <w:trHeight w:val="593"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2262C173">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0C767B06">
            <w:pPr>
              <w:autoSpaceDE w:val="0"/>
              <w:autoSpaceDN w:val="0"/>
              <w:adjustRightInd w:val="0"/>
              <w:rPr>
                <w:rFonts w:ascii="Times New Roman" w:hAnsi="Times New Roman" w:eastAsia="仿宋_GB2312" w:cs="Times New Roman"/>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vAlign w:val="center"/>
          </w:tcPr>
          <w:p w14:paraId="37F98B69">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A23年度具体工作与部门职能的匹配性（4分）</w:t>
            </w:r>
          </w:p>
        </w:tc>
        <w:tc>
          <w:tcPr>
            <w:tcW w:w="521" w:type="dxa"/>
            <w:tcBorders>
              <w:top w:val="single" w:color="auto" w:sz="6" w:space="0"/>
              <w:left w:val="single" w:color="auto" w:sz="6" w:space="0"/>
              <w:bottom w:val="single" w:color="auto" w:sz="6" w:space="0"/>
              <w:right w:val="single" w:color="auto" w:sz="6" w:space="0"/>
            </w:tcBorders>
            <w:vAlign w:val="center"/>
          </w:tcPr>
          <w:p w14:paraId="3E942EE9">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4</w:t>
            </w:r>
          </w:p>
        </w:tc>
        <w:tc>
          <w:tcPr>
            <w:tcW w:w="600" w:type="dxa"/>
            <w:tcBorders>
              <w:top w:val="single" w:color="auto" w:sz="6" w:space="0"/>
              <w:left w:val="single" w:color="auto" w:sz="6" w:space="0"/>
              <w:bottom w:val="single" w:color="auto" w:sz="6" w:space="0"/>
              <w:right w:val="single" w:color="auto" w:sz="6" w:space="0"/>
            </w:tcBorders>
            <w:vAlign w:val="center"/>
          </w:tcPr>
          <w:p w14:paraId="6C1DF045">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4</w:t>
            </w:r>
          </w:p>
        </w:tc>
        <w:tc>
          <w:tcPr>
            <w:tcW w:w="2195" w:type="dxa"/>
            <w:tcBorders>
              <w:top w:val="single" w:color="auto" w:sz="6" w:space="0"/>
              <w:left w:val="single" w:color="auto" w:sz="6" w:space="0"/>
              <w:bottom w:val="single" w:color="auto" w:sz="6" w:space="0"/>
              <w:right w:val="single" w:color="auto" w:sz="6" w:space="0"/>
            </w:tcBorders>
            <w:vAlign w:val="center"/>
          </w:tcPr>
          <w:p w14:paraId="0B613754">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部门年度各类具体工作是否与部门职能相匹配。</w:t>
            </w:r>
          </w:p>
        </w:tc>
        <w:tc>
          <w:tcPr>
            <w:tcW w:w="2747" w:type="dxa"/>
            <w:tcBorders>
              <w:top w:val="single" w:color="auto" w:sz="6" w:space="0"/>
              <w:left w:val="single" w:color="auto" w:sz="6" w:space="0"/>
              <w:bottom w:val="single" w:color="auto" w:sz="6" w:space="0"/>
              <w:right w:val="single" w:color="auto" w:sz="6" w:space="0"/>
            </w:tcBorders>
            <w:vAlign w:val="center"/>
          </w:tcPr>
          <w:p w14:paraId="2D9F0CD8">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将部门年度具体工作与部门职能对应匹配，视匹配情况酌情得0-4分。</w:t>
            </w:r>
          </w:p>
        </w:tc>
        <w:tc>
          <w:tcPr>
            <w:tcW w:w="1372" w:type="dxa"/>
            <w:tcBorders>
              <w:top w:val="single" w:color="auto" w:sz="6" w:space="0"/>
              <w:left w:val="single" w:color="auto" w:sz="6" w:space="0"/>
              <w:bottom w:val="single" w:color="auto" w:sz="6" w:space="0"/>
              <w:right w:val="single" w:color="auto" w:sz="6" w:space="0"/>
            </w:tcBorders>
            <w:vAlign w:val="center"/>
          </w:tcPr>
          <w:p w14:paraId="1EE462E3">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部门年度各项具体工作，部门职能</w:t>
            </w:r>
          </w:p>
        </w:tc>
      </w:tr>
      <w:tr w14:paraId="284ED8A1">
        <w:tblPrEx>
          <w:tblCellMar>
            <w:top w:w="0" w:type="dxa"/>
            <w:left w:w="30" w:type="dxa"/>
            <w:bottom w:w="0" w:type="dxa"/>
            <w:right w:w="30" w:type="dxa"/>
          </w:tblCellMar>
        </w:tblPrEx>
        <w:trPr>
          <w:trHeight w:val="593"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007D67B0">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590A0ABD">
            <w:pPr>
              <w:autoSpaceDE w:val="0"/>
              <w:autoSpaceDN w:val="0"/>
              <w:adjustRightInd w:val="0"/>
              <w:rPr>
                <w:rFonts w:ascii="Times New Roman" w:hAnsi="Times New Roman" w:eastAsia="仿宋_GB2312" w:cs="Times New Roman"/>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vAlign w:val="center"/>
          </w:tcPr>
          <w:p w14:paraId="2E732BD4">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A24部门内设科室及下属单位职责的明确性（1分）</w:t>
            </w:r>
          </w:p>
        </w:tc>
        <w:tc>
          <w:tcPr>
            <w:tcW w:w="521" w:type="dxa"/>
            <w:tcBorders>
              <w:top w:val="single" w:color="auto" w:sz="6" w:space="0"/>
              <w:left w:val="single" w:color="auto" w:sz="6" w:space="0"/>
              <w:bottom w:val="single" w:color="auto" w:sz="6" w:space="0"/>
              <w:right w:val="single" w:color="auto" w:sz="6" w:space="0"/>
            </w:tcBorders>
            <w:vAlign w:val="center"/>
          </w:tcPr>
          <w:p w14:paraId="78E4766D">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600" w:type="dxa"/>
            <w:tcBorders>
              <w:top w:val="single" w:color="auto" w:sz="6" w:space="0"/>
              <w:left w:val="single" w:color="auto" w:sz="6" w:space="0"/>
              <w:bottom w:val="single" w:color="auto" w:sz="6" w:space="0"/>
              <w:right w:val="single" w:color="auto" w:sz="6" w:space="0"/>
            </w:tcBorders>
            <w:vAlign w:val="center"/>
          </w:tcPr>
          <w:p w14:paraId="293FD58A">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2195" w:type="dxa"/>
            <w:tcBorders>
              <w:top w:val="single" w:color="auto" w:sz="6" w:space="0"/>
              <w:left w:val="single" w:color="auto" w:sz="6" w:space="0"/>
              <w:bottom w:val="single" w:color="auto" w:sz="6" w:space="0"/>
              <w:right w:val="single" w:color="auto" w:sz="6" w:space="0"/>
            </w:tcBorders>
            <w:vAlign w:val="center"/>
          </w:tcPr>
          <w:p w14:paraId="7DBAE3D7">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部门内设科室及下属单位具体职责是否明确</w:t>
            </w:r>
          </w:p>
        </w:tc>
        <w:tc>
          <w:tcPr>
            <w:tcW w:w="2747" w:type="dxa"/>
            <w:tcBorders>
              <w:top w:val="single" w:color="auto" w:sz="6" w:space="0"/>
              <w:left w:val="single" w:color="auto" w:sz="6" w:space="0"/>
              <w:bottom w:val="single" w:color="auto" w:sz="6" w:space="0"/>
              <w:right w:val="single" w:color="auto" w:sz="6" w:space="0"/>
            </w:tcBorders>
            <w:vAlign w:val="center"/>
          </w:tcPr>
          <w:p w14:paraId="76424FEC">
            <w:pPr>
              <w:autoSpaceDE w:val="0"/>
              <w:autoSpaceDN w:val="0"/>
              <w:adjustRightInd w:val="0"/>
              <w:rPr>
                <w:rFonts w:ascii="Times New Roman" w:hAnsi="Times New Roman" w:eastAsia="仿宋_GB2312" w:cs="Times New Roman"/>
                <w:color w:val="000000" w:themeColor="text1"/>
                <w:kern w:val="0"/>
                <w:szCs w:val="21"/>
              </w:rPr>
            </w:pPr>
            <w:r>
              <w:rPr>
                <w:rFonts w:hint="eastAsia" w:ascii="宋体" w:hAnsi="宋体" w:eastAsia="宋体" w:cs="宋体"/>
                <w:color w:val="000000" w:themeColor="text1"/>
                <w:kern w:val="0"/>
                <w:szCs w:val="21"/>
              </w:rPr>
              <w:t>①</w:t>
            </w:r>
            <w:r>
              <w:rPr>
                <w:rFonts w:ascii="Times New Roman" w:hAnsi="Times New Roman" w:eastAsia="仿宋_GB2312" w:cs="Times New Roman"/>
                <w:color w:val="000000" w:themeColor="text1"/>
                <w:kern w:val="0"/>
                <w:szCs w:val="21"/>
              </w:rPr>
              <w:t>有职责文件制度规定部门各科（室）及下属单位具体职责，得0.5分；</w:t>
            </w:r>
            <w:r>
              <w:rPr>
                <w:rFonts w:hint="eastAsia" w:ascii="宋体" w:hAnsi="宋体" w:eastAsia="宋体" w:cs="宋体"/>
                <w:color w:val="000000" w:themeColor="text1"/>
                <w:kern w:val="0"/>
                <w:szCs w:val="21"/>
              </w:rPr>
              <w:t>②</w:t>
            </w:r>
            <w:r>
              <w:rPr>
                <w:rFonts w:ascii="Times New Roman" w:hAnsi="Times New Roman" w:eastAsia="仿宋_GB2312" w:cs="Times New Roman"/>
                <w:color w:val="000000" w:themeColor="text1"/>
                <w:kern w:val="0"/>
                <w:szCs w:val="21"/>
              </w:rPr>
              <w:t>具体职责明确，得0.5分。</w:t>
            </w:r>
          </w:p>
        </w:tc>
        <w:tc>
          <w:tcPr>
            <w:tcW w:w="1372" w:type="dxa"/>
            <w:tcBorders>
              <w:top w:val="single" w:color="auto" w:sz="6" w:space="0"/>
              <w:left w:val="single" w:color="auto" w:sz="6" w:space="0"/>
              <w:bottom w:val="single" w:color="auto" w:sz="6" w:space="0"/>
              <w:right w:val="single" w:color="auto" w:sz="6" w:space="0"/>
            </w:tcBorders>
            <w:vAlign w:val="center"/>
          </w:tcPr>
          <w:p w14:paraId="3E10B2E7">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内设科室及下属单位职责文件</w:t>
            </w:r>
          </w:p>
        </w:tc>
      </w:tr>
      <w:tr w14:paraId="6EA28A7F">
        <w:tblPrEx>
          <w:tblCellMar>
            <w:top w:w="0" w:type="dxa"/>
            <w:left w:w="30" w:type="dxa"/>
            <w:bottom w:w="0" w:type="dxa"/>
            <w:right w:w="30" w:type="dxa"/>
          </w:tblCellMar>
        </w:tblPrEx>
        <w:trPr>
          <w:trHeight w:val="576"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6D2A4C63">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4B3259C2">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A3资源配置（13分）</w:t>
            </w:r>
          </w:p>
        </w:tc>
        <w:tc>
          <w:tcPr>
            <w:tcW w:w="1336" w:type="dxa"/>
            <w:tcBorders>
              <w:top w:val="single" w:color="auto" w:sz="6" w:space="0"/>
              <w:left w:val="single" w:color="auto" w:sz="6" w:space="0"/>
              <w:bottom w:val="single" w:color="auto" w:sz="6" w:space="0"/>
              <w:right w:val="single" w:color="auto" w:sz="6" w:space="0"/>
            </w:tcBorders>
            <w:vAlign w:val="center"/>
          </w:tcPr>
          <w:p w14:paraId="3FC8DACF">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A31基本支出预算合理性（2分）</w:t>
            </w:r>
          </w:p>
        </w:tc>
        <w:tc>
          <w:tcPr>
            <w:tcW w:w="521" w:type="dxa"/>
            <w:tcBorders>
              <w:top w:val="single" w:color="auto" w:sz="6" w:space="0"/>
              <w:left w:val="single" w:color="auto" w:sz="6" w:space="0"/>
              <w:bottom w:val="single" w:color="auto" w:sz="6" w:space="0"/>
              <w:right w:val="single" w:color="auto" w:sz="6" w:space="0"/>
            </w:tcBorders>
            <w:vAlign w:val="center"/>
          </w:tcPr>
          <w:p w14:paraId="3E493890">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2</w:t>
            </w:r>
          </w:p>
        </w:tc>
        <w:tc>
          <w:tcPr>
            <w:tcW w:w="600" w:type="dxa"/>
            <w:tcBorders>
              <w:top w:val="single" w:color="auto" w:sz="6" w:space="0"/>
              <w:left w:val="single" w:color="auto" w:sz="6" w:space="0"/>
              <w:bottom w:val="single" w:color="auto" w:sz="6" w:space="0"/>
              <w:right w:val="single" w:color="auto" w:sz="6" w:space="0"/>
            </w:tcBorders>
            <w:vAlign w:val="center"/>
          </w:tcPr>
          <w:p w14:paraId="5AEE0B1C">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1.5</w:t>
            </w:r>
          </w:p>
        </w:tc>
        <w:tc>
          <w:tcPr>
            <w:tcW w:w="2195" w:type="dxa"/>
            <w:tcBorders>
              <w:top w:val="single" w:color="auto" w:sz="6" w:space="0"/>
              <w:left w:val="single" w:color="auto" w:sz="6" w:space="0"/>
              <w:bottom w:val="single" w:color="auto" w:sz="6" w:space="0"/>
              <w:right w:val="single" w:color="auto" w:sz="6" w:space="0"/>
            </w:tcBorders>
            <w:vAlign w:val="center"/>
          </w:tcPr>
          <w:p w14:paraId="51BDFC52">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用以反映部门年度基本支出预算是否根据人员经费、公用经费标准进行合理编制。</w:t>
            </w:r>
          </w:p>
        </w:tc>
        <w:tc>
          <w:tcPr>
            <w:tcW w:w="2747" w:type="dxa"/>
            <w:tcBorders>
              <w:top w:val="single" w:color="auto" w:sz="6" w:space="0"/>
              <w:left w:val="single" w:color="auto" w:sz="6" w:space="0"/>
              <w:bottom w:val="single" w:color="auto" w:sz="6" w:space="0"/>
              <w:right w:val="single" w:color="auto" w:sz="6" w:space="0"/>
            </w:tcBorders>
            <w:vAlign w:val="center"/>
          </w:tcPr>
          <w:p w14:paraId="69510560">
            <w:pPr>
              <w:autoSpaceDE w:val="0"/>
              <w:autoSpaceDN w:val="0"/>
              <w:adjustRightInd w:val="0"/>
              <w:rPr>
                <w:rFonts w:ascii="Times New Roman" w:hAnsi="Times New Roman" w:eastAsia="仿宋_GB2312" w:cs="Times New Roman"/>
                <w:color w:val="000000" w:themeColor="text1"/>
                <w:kern w:val="0"/>
                <w:szCs w:val="21"/>
              </w:rPr>
            </w:pPr>
            <w:r>
              <w:rPr>
                <w:rFonts w:hint="eastAsia" w:ascii="宋体" w:hAnsi="宋体" w:eastAsia="宋体" w:cs="宋体"/>
                <w:color w:val="000000" w:themeColor="text1"/>
                <w:kern w:val="0"/>
                <w:szCs w:val="21"/>
              </w:rPr>
              <w:t>①</w:t>
            </w:r>
            <w:r>
              <w:rPr>
                <w:rFonts w:ascii="Times New Roman" w:hAnsi="Times New Roman" w:eastAsia="仿宋_GB2312" w:cs="Times New Roman"/>
                <w:color w:val="000000" w:themeColor="text1"/>
                <w:kern w:val="0"/>
                <w:szCs w:val="21"/>
              </w:rPr>
              <w:t>如实核定人员基数，得1分；</w:t>
            </w:r>
            <w:r>
              <w:rPr>
                <w:rFonts w:hint="eastAsia" w:ascii="宋体" w:hAnsi="宋体" w:eastAsia="宋体" w:cs="宋体"/>
                <w:color w:val="000000" w:themeColor="text1"/>
                <w:kern w:val="0"/>
                <w:szCs w:val="21"/>
              </w:rPr>
              <w:t>②</w:t>
            </w:r>
            <w:r>
              <w:rPr>
                <w:rFonts w:ascii="Times New Roman" w:hAnsi="Times New Roman" w:eastAsia="仿宋_GB2312" w:cs="Times New Roman"/>
                <w:color w:val="000000" w:themeColor="text1"/>
                <w:kern w:val="0"/>
                <w:szCs w:val="21"/>
              </w:rPr>
              <w:t>根据基本预算标准进行编制，得1分。</w:t>
            </w:r>
          </w:p>
        </w:tc>
        <w:tc>
          <w:tcPr>
            <w:tcW w:w="1372" w:type="dxa"/>
            <w:tcBorders>
              <w:top w:val="single" w:color="auto" w:sz="6" w:space="0"/>
              <w:left w:val="single" w:color="auto" w:sz="6" w:space="0"/>
              <w:bottom w:val="single" w:color="auto" w:sz="6" w:space="0"/>
              <w:right w:val="single" w:color="auto" w:sz="6" w:space="0"/>
            </w:tcBorders>
            <w:vAlign w:val="center"/>
          </w:tcPr>
          <w:p w14:paraId="0DA6A20C">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部门基本支出预算标准、基本支出预算</w:t>
            </w:r>
          </w:p>
        </w:tc>
      </w:tr>
      <w:tr w14:paraId="772597C3">
        <w:tblPrEx>
          <w:tblCellMar>
            <w:top w:w="0" w:type="dxa"/>
            <w:left w:w="30" w:type="dxa"/>
            <w:bottom w:w="0" w:type="dxa"/>
            <w:right w:w="30" w:type="dxa"/>
          </w:tblCellMar>
        </w:tblPrEx>
        <w:trPr>
          <w:trHeight w:val="802"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473D6D3A">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3E9F7156">
            <w:pPr>
              <w:autoSpaceDE w:val="0"/>
              <w:autoSpaceDN w:val="0"/>
              <w:adjustRightInd w:val="0"/>
              <w:rPr>
                <w:rFonts w:ascii="Times New Roman" w:hAnsi="Times New Roman" w:eastAsia="仿宋_GB2312" w:cs="Times New Roman"/>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vAlign w:val="center"/>
          </w:tcPr>
          <w:p w14:paraId="239FBC9C">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A32项目支出预算合理性（4分）</w:t>
            </w:r>
          </w:p>
        </w:tc>
        <w:tc>
          <w:tcPr>
            <w:tcW w:w="521" w:type="dxa"/>
            <w:tcBorders>
              <w:top w:val="single" w:color="auto" w:sz="6" w:space="0"/>
              <w:left w:val="single" w:color="auto" w:sz="6" w:space="0"/>
              <w:bottom w:val="single" w:color="auto" w:sz="6" w:space="0"/>
              <w:right w:val="single" w:color="auto" w:sz="6" w:space="0"/>
            </w:tcBorders>
            <w:vAlign w:val="center"/>
          </w:tcPr>
          <w:p w14:paraId="78648D8E">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4</w:t>
            </w:r>
          </w:p>
        </w:tc>
        <w:tc>
          <w:tcPr>
            <w:tcW w:w="600" w:type="dxa"/>
            <w:tcBorders>
              <w:top w:val="single" w:color="auto" w:sz="6" w:space="0"/>
              <w:left w:val="single" w:color="auto" w:sz="6" w:space="0"/>
              <w:bottom w:val="single" w:color="auto" w:sz="6" w:space="0"/>
              <w:right w:val="single" w:color="auto" w:sz="6" w:space="0"/>
            </w:tcBorders>
            <w:vAlign w:val="center"/>
          </w:tcPr>
          <w:p w14:paraId="7BC7F89C">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4</w:t>
            </w:r>
          </w:p>
        </w:tc>
        <w:tc>
          <w:tcPr>
            <w:tcW w:w="2195" w:type="dxa"/>
            <w:tcBorders>
              <w:top w:val="single" w:color="auto" w:sz="6" w:space="0"/>
              <w:left w:val="single" w:color="auto" w:sz="6" w:space="0"/>
              <w:bottom w:val="single" w:color="auto" w:sz="6" w:space="0"/>
              <w:right w:val="single" w:color="auto" w:sz="6" w:space="0"/>
            </w:tcBorders>
            <w:vAlign w:val="center"/>
          </w:tcPr>
          <w:p w14:paraId="0D5F9B11">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用以反映部门年度项目支出预算程序、预算依据、适用范围的合理性。</w:t>
            </w:r>
          </w:p>
        </w:tc>
        <w:tc>
          <w:tcPr>
            <w:tcW w:w="2747" w:type="dxa"/>
            <w:tcBorders>
              <w:top w:val="single" w:color="auto" w:sz="6" w:space="0"/>
              <w:left w:val="single" w:color="auto" w:sz="6" w:space="0"/>
              <w:bottom w:val="single" w:color="auto" w:sz="6" w:space="0"/>
              <w:right w:val="single" w:color="auto" w:sz="6" w:space="0"/>
            </w:tcBorders>
            <w:vAlign w:val="center"/>
          </w:tcPr>
          <w:p w14:paraId="043A709C">
            <w:pPr>
              <w:autoSpaceDE w:val="0"/>
              <w:autoSpaceDN w:val="0"/>
              <w:adjustRightInd w:val="0"/>
              <w:rPr>
                <w:rFonts w:ascii="Times New Roman" w:hAnsi="Times New Roman" w:eastAsia="仿宋_GB2312" w:cs="Times New Roman"/>
                <w:color w:val="000000" w:themeColor="text1"/>
                <w:kern w:val="0"/>
                <w:szCs w:val="21"/>
              </w:rPr>
            </w:pPr>
            <w:r>
              <w:rPr>
                <w:rFonts w:hint="eastAsia" w:ascii="宋体" w:hAnsi="宋体" w:eastAsia="宋体" w:cs="宋体"/>
                <w:color w:val="000000" w:themeColor="text1"/>
                <w:kern w:val="0"/>
                <w:szCs w:val="21"/>
              </w:rPr>
              <w:t>①</w:t>
            </w:r>
            <w:r>
              <w:rPr>
                <w:rFonts w:ascii="Times New Roman" w:hAnsi="Times New Roman" w:eastAsia="仿宋_GB2312" w:cs="Times New Roman"/>
                <w:color w:val="000000" w:themeColor="text1"/>
                <w:kern w:val="0"/>
                <w:szCs w:val="21"/>
              </w:rPr>
              <w:t>预算程序合理，得1分；</w:t>
            </w:r>
            <w:r>
              <w:rPr>
                <w:rFonts w:hint="eastAsia" w:ascii="宋体" w:hAnsi="宋体" w:eastAsia="宋体" w:cs="宋体"/>
                <w:color w:val="000000" w:themeColor="text1"/>
                <w:kern w:val="0"/>
                <w:szCs w:val="21"/>
              </w:rPr>
              <w:t>②</w:t>
            </w:r>
            <w:r>
              <w:rPr>
                <w:rFonts w:ascii="Times New Roman" w:hAnsi="Times New Roman" w:eastAsia="仿宋_GB2312" w:cs="Times New Roman"/>
                <w:color w:val="000000" w:themeColor="text1"/>
                <w:kern w:val="0"/>
                <w:szCs w:val="21"/>
              </w:rPr>
              <w:t>预算依据充分，得2分；</w:t>
            </w:r>
            <w:r>
              <w:rPr>
                <w:rFonts w:hint="eastAsia" w:ascii="宋体" w:hAnsi="宋体" w:eastAsia="宋体" w:cs="宋体"/>
                <w:color w:val="000000" w:themeColor="text1"/>
                <w:kern w:val="0"/>
                <w:szCs w:val="21"/>
              </w:rPr>
              <w:t>③</w:t>
            </w:r>
            <w:r>
              <w:rPr>
                <w:rFonts w:ascii="Times New Roman" w:hAnsi="Times New Roman" w:eastAsia="仿宋_GB2312" w:cs="Times New Roman"/>
                <w:color w:val="000000" w:themeColor="text1"/>
                <w:kern w:val="0"/>
                <w:szCs w:val="21"/>
              </w:rPr>
              <w:t>符合资金使用范围，得1分。</w:t>
            </w:r>
          </w:p>
        </w:tc>
        <w:tc>
          <w:tcPr>
            <w:tcW w:w="1372" w:type="dxa"/>
            <w:tcBorders>
              <w:top w:val="single" w:color="auto" w:sz="6" w:space="0"/>
              <w:left w:val="single" w:color="auto" w:sz="6" w:space="0"/>
              <w:bottom w:val="single" w:color="auto" w:sz="6" w:space="0"/>
              <w:right w:val="single" w:color="auto" w:sz="6" w:space="0"/>
            </w:tcBorders>
            <w:vAlign w:val="center"/>
          </w:tcPr>
          <w:p w14:paraId="7E6E3832">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部门项目支出预算编制详细资料，访谈、文件梳理等、其他资料</w:t>
            </w:r>
          </w:p>
        </w:tc>
      </w:tr>
      <w:tr w14:paraId="2AEABF13">
        <w:tblPrEx>
          <w:tblCellMar>
            <w:top w:w="0" w:type="dxa"/>
            <w:left w:w="30" w:type="dxa"/>
            <w:bottom w:w="0" w:type="dxa"/>
            <w:right w:w="30" w:type="dxa"/>
          </w:tblCellMar>
        </w:tblPrEx>
        <w:trPr>
          <w:trHeight w:val="605"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4B7602EF">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5455D7F4">
            <w:pPr>
              <w:autoSpaceDE w:val="0"/>
              <w:autoSpaceDN w:val="0"/>
              <w:adjustRightInd w:val="0"/>
              <w:rPr>
                <w:rFonts w:ascii="Times New Roman" w:hAnsi="Times New Roman" w:eastAsia="仿宋_GB2312" w:cs="Times New Roman"/>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vAlign w:val="center"/>
          </w:tcPr>
          <w:p w14:paraId="63F05B96">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A33人力资源投入合理性（2分）</w:t>
            </w:r>
          </w:p>
        </w:tc>
        <w:tc>
          <w:tcPr>
            <w:tcW w:w="521" w:type="dxa"/>
            <w:tcBorders>
              <w:top w:val="single" w:color="auto" w:sz="6" w:space="0"/>
              <w:left w:val="single" w:color="auto" w:sz="6" w:space="0"/>
              <w:bottom w:val="single" w:color="auto" w:sz="6" w:space="0"/>
              <w:right w:val="single" w:color="auto" w:sz="6" w:space="0"/>
            </w:tcBorders>
            <w:vAlign w:val="center"/>
          </w:tcPr>
          <w:p w14:paraId="440C1118">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2</w:t>
            </w:r>
          </w:p>
        </w:tc>
        <w:tc>
          <w:tcPr>
            <w:tcW w:w="600" w:type="dxa"/>
            <w:tcBorders>
              <w:top w:val="single" w:color="auto" w:sz="6" w:space="0"/>
              <w:left w:val="single" w:color="auto" w:sz="6" w:space="0"/>
              <w:bottom w:val="single" w:color="auto" w:sz="6" w:space="0"/>
              <w:right w:val="single" w:color="auto" w:sz="6" w:space="0"/>
            </w:tcBorders>
            <w:vAlign w:val="center"/>
          </w:tcPr>
          <w:p w14:paraId="24F5F649">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r>
              <w:rPr>
                <w:rFonts w:hint="eastAsia" w:ascii="Times New Roman" w:hAnsi="Times New Roman" w:eastAsia="仿宋_GB2312" w:cs="Times New Roman"/>
                <w:color w:val="000000" w:themeColor="text1"/>
                <w:kern w:val="0"/>
                <w:szCs w:val="21"/>
              </w:rPr>
              <w:t>5</w:t>
            </w:r>
          </w:p>
        </w:tc>
        <w:tc>
          <w:tcPr>
            <w:tcW w:w="2195" w:type="dxa"/>
            <w:tcBorders>
              <w:top w:val="single" w:color="auto" w:sz="6" w:space="0"/>
              <w:left w:val="single" w:color="auto" w:sz="6" w:space="0"/>
              <w:bottom w:val="single" w:color="auto" w:sz="6" w:space="0"/>
              <w:right w:val="single" w:color="auto" w:sz="6" w:space="0"/>
            </w:tcBorders>
            <w:vAlign w:val="center"/>
          </w:tcPr>
          <w:p w14:paraId="698F8B5D">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用以反映部门核定人员的编制与部门工作内容的合理性</w:t>
            </w:r>
          </w:p>
        </w:tc>
        <w:tc>
          <w:tcPr>
            <w:tcW w:w="2747" w:type="dxa"/>
            <w:tcBorders>
              <w:top w:val="single" w:color="auto" w:sz="6" w:space="0"/>
              <w:left w:val="single" w:color="auto" w:sz="6" w:space="0"/>
              <w:bottom w:val="single" w:color="auto" w:sz="6" w:space="0"/>
              <w:right w:val="single" w:color="auto" w:sz="6" w:space="0"/>
            </w:tcBorders>
            <w:vAlign w:val="center"/>
          </w:tcPr>
          <w:p w14:paraId="3EBD7E63">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通过问卷及访谈调研,分析人员的工作量和工作时长，视匹配情况得0-2分。</w:t>
            </w:r>
          </w:p>
        </w:tc>
        <w:tc>
          <w:tcPr>
            <w:tcW w:w="1372" w:type="dxa"/>
            <w:tcBorders>
              <w:top w:val="single" w:color="auto" w:sz="6" w:space="0"/>
              <w:left w:val="single" w:color="auto" w:sz="6" w:space="0"/>
              <w:bottom w:val="single" w:color="auto" w:sz="6" w:space="0"/>
              <w:right w:val="single" w:color="auto" w:sz="6" w:space="0"/>
            </w:tcBorders>
            <w:vAlign w:val="center"/>
          </w:tcPr>
          <w:p w14:paraId="4337BABE">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人员编制文件、调研</w:t>
            </w:r>
          </w:p>
        </w:tc>
      </w:tr>
      <w:tr w14:paraId="4570F321">
        <w:tblPrEx>
          <w:tblCellMar>
            <w:top w:w="0" w:type="dxa"/>
            <w:left w:w="30" w:type="dxa"/>
            <w:bottom w:w="0" w:type="dxa"/>
            <w:right w:w="30" w:type="dxa"/>
          </w:tblCellMar>
        </w:tblPrEx>
        <w:trPr>
          <w:trHeight w:val="45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30EC5673">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7466601D">
            <w:pPr>
              <w:autoSpaceDE w:val="0"/>
              <w:autoSpaceDN w:val="0"/>
              <w:adjustRightInd w:val="0"/>
              <w:rPr>
                <w:rFonts w:ascii="Times New Roman" w:hAnsi="Times New Roman" w:eastAsia="仿宋_GB2312" w:cs="Times New Roman"/>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vAlign w:val="center"/>
          </w:tcPr>
          <w:p w14:paraId="45F7172E">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A34办公资源投入合理性（2分）</w:t>
            </w:r>
          </w:p>
        </w:tc>
        <w:tc>
          <w:tcPr>
            <w:tcW w:w="521" w:type="dxa"/>
            <w:tcBorders>
              <w:top w:val="single" w:color="auto" w:sz="6" w:space="0"/>
              <w:left w:val="single" w:color="auto" w:sz="6" w:space="0"/>
              <w:bottom w:val="single" w:color="auto" w:sz="6" w:space="0"/>
              <w:right w:val="single" w:color="auto" w:sz="6" w:space="0"/>
            </w:tcBorders>
            <w:vAlign w:val="center"/>
          </w:tcPr>
          <w:p w14:paraId="3EAFDB3E">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2</w:t>
            </w:r>
          </w:p>
        </w:tc>
        <w:tc>
          <w:tcPr>
            <w:tcW w:w="600" w:type="dxa"/>
            <w:tcBorders>
              <w:top w:val="single" w:color="auto" w:sz="6" w:space="0"/>
              <w:left w:val="single" w:color="auto" w:sz="6" w:space="0"/>
              <w:bottom w:val="single" w:color="auto" w:sz="6" w:space="0"/>
              <w:right w:val="single" w:color="auto" w:sz="6" w:space="0"/>
            </w:tcBorders>
            <w:vAlign w:val="center"/>
          </w:tcPr>
          <w:p w14:paraId="45151295">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2</w:t>
            </w:r>
          </w:p>
        </w:tc>
        <w:tc>
          <w:tcPr>
            <w:tcW w:w="2195" w:type="dxa"/>
            <w:tcBorders>
              <w:top w:val="single" w:color="auto" w:sz="6" w:space="0"/>
              <w:left w:val="single" w:color="auto" w:sz="6" w:space="0"/>
              <w:bottom w:val="single" w:color="auto" w:sz="6" w:space="0"/>
              <w:right w:val="single" w:color="auto" w:sz="6" w:space="0"/>
            </w:tcBorders>
            <w:vAlign w:val="center"/>
          </w:tcPr>
          <w:p w14:paraId="3AD83EDC">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用以反映部门现有办公资源能否满足部门日常工作需求</w:t>
            </w:r>
          </w:p>
        </w:tc>
        <w:tc>
          <w:tcPr>
            <w:tcW w:w="2747" w:type="dxa"/>
            <w:tcBorders>
              <w:top w:val="single" w:color="auto" w:sz="6" w:space="0"/>
              <w:left w:val="single" w:color="auto" w:sz="6" w:space="0"/>
              <w:bottom w:val="single" w:color="auto" w:sz="6" w:space="0"/>
              <w:right w:val="single" w:color="auto" w:sz="6" w:space="0"/>
            </w:tcBorders>
            <w:vAlign w:val="center"/>
          </w:tcPr>
          <w:p w14:paraId="3D516F71">
            <w:pPr>
              <w:autoSpaceDE w:val="0"/>
              <w:autoSpaceDN w:val="0"/>
              <w:adjustRightInd w:val="0"/>
              <w:rPr>
                <w:rFonts w:ascii="Times New Roman" w:hAnsi="Times New Roman" w:eastAsia="仿宋_GB2312" w:cs="Times New Roman"/>
                <w:color w:val="000000" w:themeColor="text1"/>
                <w:kern w:val="0"/>
                <w:szCs w:val="21"/>
              </w:rPr>
            </w:pPr>
            <w:r>
              <w:rPr>
                <w:rFonts w:hint="eastAsia" w:ascii="宋体" w:hAnsi="宋体" w:eastAsia="宋体" w:cs="宋体"/>
                <w:color w:val="000000" w:themeColor="text1"/>
                <w:kern w:val="0"/>
                <w:szCs w:val="21"/>
              </w:rPr>
              <w:t>①</w:t>
            </w:r>
            <w:r>
              <w:rPr>
                <w:rFonts w:ascii="Times New Roman" w:hAnsi="Times New Roman" w:eastAsia="仿宋_GB2312" w:cs="Times New Roman"/>
                <w:color w:val="000000" w:themeColor="text1"/>
                <w:kern w:val="0"/>
                <w:szCs w:val="21"/>
              </w:rPr>
              <w:t>办公资源经费保障充足，得1分；</w:t>
            </w:r>
            <w:r>
              <w:rPr>
                <w:rFonts w:hint="eastAsia" w:ascii="宋体" w:hAnsi="宋体" w:eastAsia="宋体" w:cs="宋体"/>
                <w:color w:val="000000" w:themeColor="text1"/>
                <w:kern w:val="0"/>
                <w:szCs w:val="21"/>
              </w:rPr>
              <w:t>②</w:t>
            </w:r>
            <w:r>
              <w:rPr>
                <w:rFonts w:ascii="Times New Roman" w:hAnsi="Times New Roman" w:eastAsia="仿宋_GB2312" w:cs="Times New Roman"/>
                <w:color w:val="000000" w:themeColor="text1"/>
                <w:kern w:val="0"/>
                <w:szCs w:val="21"/>
              </w:rPr>
              <w:t>办公资源配置合理，得1分。</w:t>
            </w:r>
          </w:p>
        </w:tc>
        <w:tc>
          <w:tcPr>
            <w:tcW w:w="1372" w:type="dxa"/>
            <w:tcBorders>
              <w:top w:val="single" w:color="auto" w:sz="6" w:space="0"/>
              <w:left w:val="single" w:color="auto" w:sz="6" w:space="0"/>
              <w:bottom w:val="single" w:color="auto" w:sz="6" w:space="0"/>
              <w:right w:val="single" w:color="auto" w:sz="6" w:space="0"/>
            </w:tcBorders>
            <w:vAlign w:val="center"/>
          </w:tcPr>
          <w:p w14:paraId="3AD750E6">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部门办公资源配置情况、调研等资料</w:t>
            </w:r>
          </w:p>
        </w:tc>
      </w:tr>
      <w:tr w14:paraId="0BC85570">
        <w:tblPrEx>
          <w:tblCellMar>
            <w:top w:w="0" w:type="dxa"/>
            <w:left w:w="30" w:type="dxa"/>
            <w:bottom w:w="0" w:type="dxa"/>
            <w:right w:w="30" w:type="dxa"/>
          </w:tblCellMar>
        </w:tblPrEx>
        <w:trPr>
          <w:trHeight w:val="127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114AF44B">
            <w:pPr>
              <w:autoSpaceDE w:val="0"/>
              <w:autoSpaceDN w:val="0"/>
              <w:adjustRightInd w:val="0"/>
              <w:rPr>
                <w:rFonts w:ascii="Times New Roman" w:hAnsi="Times New Roman" w:eastAsia="仿宋_GB2312" w:cs="Times New Roman"/>
                <w:b/>
                <w:bCs/>
                <w:color w:val="000000" w:themeColor="text1"/>
                <w:kern w:val="0"/>
                <w:szCs w:val="21"/>
              </w:rPr>
            </w:pPr>
            <w:r>
              <w:rPr>
                <w:rFonts w:ascii="Times New Roman" w:hAnsi="Times New Roman" w:eastAsia="仿宋_GB2312" w:cs="Times New Roman"/>
                <w:b/>
                <w:bCs/>
                <w:color w:val="000000" w:themeColor="text1"/>
                <w:kern w:val="0"/>
                <w:szCs w:val="21"/>
              </w:rPr>
              <w:t>A部门决策（35分）</w:t>
            </w:r>
          </w:p>
        </w:tc>
        <w:tc>
          <w:tcPr>
            <w:tcW w:w="650" w:type="dxa"/>
            <w:tcBorders>
              <w:top w:val="single" w:color="auto" w:sz="6" w:space="0"/>
              <w:left w:val="single" w:color="auto" w:sz="6" w:space="0"/>
              <w:bottom w:val="single" w:color="auto" w:sz="6" w:space="0"/>
              <w:right w:val="single" w:color="auto" w:sz="6" w:space="0"/>
            </w:tcBorders>
            <w:vAlign w:val="center"/>
          </w:tcPr>
          <w:p w14:paraId="5338EF98">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A3资源配置（13分）</w:t>
            </w:r>
          </w:p>
        </w:tc>
        <w:tc>
          <w:tcPr>
            <w:tcW w:w="1336" w:type="dxa"/>
            <w:tcBorders>
              <w:top w:val="single" w:color="auto" w:sz="6" w:space="0"/>
              <w:left w:val="single" w:color="auto" w:sz="6" w:space="0"/>
              <w:bottom w:val="single" w:color="auto" w:sz="6" w:space="0"/>
              <w:right w:val="single" w:color="auto" w:sz="6" w:space="0"/>
            </w:tcBorders>
            <w:vAlign w:val="center"/>
          </w:tcPr>
          <w:p w14:paraId="689F5397">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A35重点项目资源分配合理性（3分）</w:t>
            </w:r>
          </w:p>
        </w:tc>
        <w:tc>
          <w:tcPr>
            <w:tcW w:w="521" w:type="dxa"/>
            <w:tcBorders>
              <w:top w:val="single" w:color="auto" w:sz="6" w:space="0"/>
              <w:left w:val="single" w:color="auto" w:sz="6" w:space="0"/>
              <w:bottom w:val="single" w:color="auto" w:sz="6" w:space="0"/>
              <w:right w:val="single" w:color="auto" w:sz="6" w:space="0"/>
            </w:tcBorders>
            <w:vAlign w:val="center"/>
          </w:tcPr>
          <w:p w14:paraId="15771695">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3</w:t>
            </w:r>
          </w:p>
        </w:tc>
        <w:tc>
          <w:tcPr>
            <w:tcW w:w="600" w:type="dxa"/>
            <w:tcBorders>
              <w:top w:val="single" w:color="auto" w:sz="6" w:space="0"/>
              <w:left w:val="single" w:color="auto" w:sz="6" w:space="0"/>
              <w:bottom w:val="single" w:color="auto" w:sz="6" w:space="0"/>
              <w:right w:val="single" w:color="auto" w:sz="6" w:space="0"/>
            </w:tcBorders>
            <w:vAlign w:val="center"/>
          </w:tcPr>
          <w:p w14:paraId="656FECCB">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3</w:t>
            </w:r>
          </w:p>
        </w:tc>
        <w:tc>
          <w:tcPr>
            <w:tcW w:w="2195" w:type="dxa"/>
            <w:tcBorders>
              <w:top w:val="single" w:color="auto" w:sz="6" w:space="0"/>
              <w:left w:val="single" w:color="auto" w:sz="6" w:space="0"/>
              <w:bottom w:val="single" w:color="auto" w:sz="6" w:space="0"/>
              <w:right w:val="single" w:color="auto" w:sz="6" w:space="0"/>
            </w:tcBorders>
            <w:vAlign w:val="center"/>
          </w:tcPr>
          <w:p w14:paraId="3B3963BA">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部门本年度预算安排的重点项目支出与部门项目总支出的比率，用以反映和考核部门对履行主要职责或完成重点任务的保障程度。</w:t>
            </w:r>
          </w:p>
        </w:tc>
        <w:tc>
          <w:tcPr>
            <w:tcW w:w="2747" w:type="dxa"/>
            <w:tcBorders>
              <w:top w:val="single" w:color="auto" w:sz="6" w:space="0"/>
              <w:left w:val="single" w:color="auto" w:sz="6" w:space="0"/>
              <w:bottom w:val="single" w:color="auto" w:sz="6" w:space="0"/>
              <w:right w:val="single" w:color="auto" w:sz="6" w:space="0"/>
            </w:tcBorders>
            <w:vAlign w:val="center"/>
          </w:tcPr>
          <w:p w14:paraId="61814B34">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根据重点项目资源分配，对重点项目完成实施的保障程度进行评分。能够保障重点项目顺利实施、全面完成当年工作目标任务的得满分，每有一项重点项目因资金不足无法完成，按权重（3分）的1/3扣分，扣完为止。</w:t>
            </w:r>
          </w:p>
        </w:tc>
        <w:tc>
          <w:tcPr>
            <w:tcW w:w="1372" w:type="dxa"/>
            <w:tcBorders>
              <w:top w:val="single" w:color="auto" w:sz="6" w:space="0"/>
              <w:left w:val="single" w:color="auto" w:sz="6" w:space="0"/>
              <w:bottom w:val="single" w:color="auto" w:sz="6" w:space="0"/>
              <w:right w:val="single" w:color="auto" w:sz="6" w:space="0"/>
            </w:tcBorders>
            <w:vAlign w:val="center"/>
          </w:tcPr>
          <w:p w14:paraId="77DEC159">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重点项目相关资料</w:t>
            </w:r>
          </w:p>
        </w:tc>
      </w:tr>
      <w:tr w14:paraId="422411D5">
        <w:tblPrEx>
          <w:tblCellMar>
            <w:top w:w="0" w:type="dxa"/>
            <w:left w:w="30" w:type="dxa"/>
            <w:bottom w:w="0" w:type="dxa"/>
            <w:right w:w="30" w:type="dxa"/>
          </w:tblCellMar>
        </w:tblPrEx>
        <w:trPr>
          <w:trHeight w:val="1394"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14FD04E5">
            <w:pPr>
              <w:autoSpaceDE w:val="0"/>
              <w:autoSpaceDN w:val="0"/>
              <w:adjustRightInd w:val="0"/>
              <w:rPr>
                <w:rFonts w:ascii="Times New Roman" w:hAnsi="Times New Roman" w:eastAsia="仿宋_GB2312" w:cs="Times New Roman"/>
                <w:b/>
                <w:bCs/>
                <w:color w:val="000000" w:themeColor="text1"/>
                <w:kern w:val="0"/>
                <w:szCs w:val="21"/>
              </w:rPr>
            </w:pPr>
            <w:r>
              <w:rPr>
                <w:rFonts w:ascii="Times New Roman" w:hAnsi="Times New Roman" w:eastAsia="仿宋_GB2312" w:cs="Times New Roman"/>
                <w:b/>
                <w:bCs/>
                <w:color w:val="000000" w:themeColor="text1"/>
                <w:kern w:val="0"/>
                <w:szCs w:val="21"/>
              </w:rPr>
              <w:t>B部门管理（20分）</w:t>
            </w:r>
          </w:p>
        </w:tc>
        <w:tc>
          <w:tcPr>
            <w:tcW w:w="650" w:type="dxa"/>
            <w:tcBorders>
              <w:top w:val="single" w:color="auto" w:sz="6" w:space="0"/>
              <w:left w:val="single" w:color="auto" w:sz="6" w:space="0"/>
              <w:bottom w:val="single" w:color="auto" w:sz="6" w:space="0"/>
              <w:right w:val="single" w:color="auto" w:sz="6" w:space="0"/>
            </w:tcBorders>
            <w:vAlign w:val="center"/>
          </w:tcPr>
          <w:p w14:paraId="2B8AF4F9">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B1预算管理（7分）</w:t>
            </w:r>
          </w:p>
        </w:tc>
        <w:tc>
          <w:tcPr>
            <w:tcW w:w="1336" w:type="dxa"/>
            <w:tcBorders>
              <w:top w:val="single" w:color="auto" w:sz="6" w:space="0"/>
              <w:left w:val="single" w:color="auto" w:sz="6" w:space="0"/>
              <w:bottom w:val="single" w:color="auto" w:sz="6" w:space="0"/>
              <w:right w:val="single" w:color="auto" w:sz="6" w:space="0"/>
            </w:tcBorders>
            <w:vAlign w:val="center"/>
          </w:tcPr>
          <w:p w14:paraId="4800ADC1">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B11基本支出预算执行率（1分）</w:t>
            </w:r>
          </w:p>
        </w:tc>
        <w:tc>
          <w:tcPr>
            <w:tcW w:w="521" w:type="dxa"/>
            <w:tcBorders>
              <w:top w:val="single" w:color="auto" w:sz="6" w:space="0"/>
              <w:left w:val="single" w:color="auto" w:sz="6" w:space="0"/>
              <w:bottom w:val="single" w:color="auto" w:sz="6" w:space="0"/>
              <w:right w:val="single" w:color="auto" w:sz="6" w:space="0"/>
            </w:tcBorders>
            <w:vAlign w:val="center"/>
          </w:tcPr>
          <w:p w14:paraId="54A65497">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600" w:type="dxa"/>
            <w:tcBorders>
              <w:top w:val="single" w:color="auto" w:sz="6" w:space="0"/>
              <w:left w:val="single" w:color="auto" w:sz="6" w:space="0"/>
              <w:bottom w:val="single" w:color="auto" w:sz="6" w:space="0"/>
              <w:right w:val="single" w:color="auto" w:sz="6" w:space="0"/>
            </w:tcBorders>
            <w:vAlign w:val="center"/>
          </w:tcPr>
          <w:p w14:paraId="20C4427E">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2195" w:type="dxa"/>
            <w:tcBorders>
              <w:top w:val="single" w:color="auto" w:sz="6" w:space="0"/>
              <w:left w:val="single" w:color="auto" w:sz="6" w:space="0"/>
              <w:bottom w:val="single" w:color="auto" w:sz="6" w:space="0"/>
              <w:right w:val="single" w:color="auto" w:sz="6" w:space="0"/>
            </w:tcBorders>
            <w:vAlign w:val="center"/>
          </w:tcPr>
          <w:p w14:paraId="2439D6D4">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部门基本支出本年度决算数与预算数的比率，用以反映和考核部门（单位）基本支出预算执行程度。</w:t>
            </w:r>
          </w:p>
        </w:tc>
        <w:tc>
          <w:tcPr>
            <w:tcW w:w="2747" w:type="dxa"/>
            <w:tcBorders>
              <w:top w:val="single" w:color="auto" w:sz="6" w:space="0"/>
              <w:left w:val="single" w:color="auto" w:sz="6" w:space="0"/>
              <w:bottom w:val="single" w:color="auto" w:sz="6" w:space="0"/>
              <w:right w:val="single" w:color="auto" w:sz="6" w:space="0"/>
            </w:tcBorders>
            <w:vAlign w:val="center"/>
          </w:tcPr>
          <w:p w14:paraId="0C1600FE">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预算执行率=部门基本支出决算/部门基本支出预算×100%。决算数：部门本年度基本支出实际支出资金数。预算数：财政部门批复的本年度部门基本支出预算数以及当年批复的调整数。预算完成率≥95%得满分，未达到的每低于1%扣0.1分，扣完为止。</w:t>
            </w:r>
          </w:p>
        </w:tc>
        <w:tc>
          <w:tcPr>
            <w:tcW w:w="1372" w:type="dxa"/>
            <w:tcBorders>
              <w:top w:val="single" w:color="auto" w:sz="6" w:space="0"/>
              <w:left w:val="single" w:color="auto" w:sz="6" w:space="0"/>
              <w:bottom w:val="single" w:color="auto" w:sz="6" w:space="0"/>
              <w:right w:val="single" w:color="auto" w:sz="6" w:space="0"/>
            </w:tcBorders>
            <w:vAlign w:val="center"/>
          </w:tcPr>
          <w:p w14:paraId="4B8A6040">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基本支出预算批复，预算调整批复、预算编制等其他资料</w:t>
            </w:r>
          </w:p>
        </w:tc>
      </w:tr>
      <w:tr w14:paraId="4928EFEC">
        <w:tblPrEx>
          <w:tblCellMar>
            <w:top w:w="0" w:type="dxa"/>
            <w:left w:w="30" w:type="dxa"/>
            <w:bottom w:w="0" w:type="dxa"/>
            <w:right w:w="30" w:type="dxa"/>
          </w:tblCellMar>
        </w:tblPrEx>
        <w:trPr>
          <w:trHeight w:val="144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59A972C6">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0A1F38E5">
            <w:pPr>
              <w:autoSpaceDE w:val="0"/>
              <w:autoSpaceDN w:val="0"/>
              <w:adjustRightInd w:val="0"/>
              <w:rPr>
                <w:rFonts w:ascii="Times New Roman" w:hAnsi="Times New Roman" w:eastAsia="仿宋_GB2312" w:cs="Times New Roman"/>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vAlign w:val="center"/>
          </w:tcPr>
          <w:p w14:paraId="6D97F392">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B12项目支出预算执行率（4分）</w:t>
            </w:r>
          </w:p>
        </w:tc>
        <w:tc>
          <w:tcPr>
            <w:tcW w:w="521" w:type="dxa"/>
            <w:tcBorders>
              <w:top w:val="single" w:color="auto" w:sz="6" w:space="0"/>
              <w:left w:val="single" w:color="auto" w:sz="6" w:space="0"/>
              <w:bottom w:val="single" w:color="auto" w:sz="6" w:space="0"/>
              <w:right w:val="single" w:color="auto" w:sz="6" w:space="0"/>
            </w:tcBorders>
            <w:vAlign w:val="center"/>
          </w:tcPr>
          <w:p w14:paraId="5C7C9037">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4</w:t>
            </w:r>
          </w:p>
        </w:tc>
        <w:tc>
          <w:tcPr>
            <w:tcW w:w="600" w:type="dxa"/>
            <w:tcBorders>
              <w:top w:val="single" w:color="auto" w:sz="6" w:space="0"/>
              <w:left w:val="single" w:color="auto" w:sz="6" w:space="0"/>
              <w:bottom w:val="single" w:color="auto" w:sz="6" w:space="0"/>
              <w:right w:val="single" w:color="auto" w:sz="6" w:space="0"/>
            </w:tcBorders>
            <w:vAlign w:val="center"/>
          </w:tcPr>
          <w:p w14:paraId="37BAF46B">
            <w:pPr>
              <w:autoSpaceDE w:val="0"/>
              <w:autoSpaceDN w:val="0"/>
              <w:adjustRightInd w:val="0"/>
              <w:jc w:val="center"/>
              <w:rPr>
                <w:rFonts w:hint="default" w:ascii="Times New Roman" w:hAnsi="Times New Roman" w:eastAsia="仿宋_GB2312" w:cs="Times New Roman"/>
                <w:color w:val="000000" w:themeColor="text1"/>
                <w:kern w:val="0"/>
                <w:szCs w:val="21"/>
                <w:lang w:val="en-US"/>
              </w:rPr>
            </w:pPr>
            <w:r>
              <w:rPr>
                <w:rFonts w:hint="eastAsia" w:ascii="Times New Roman" w:hAnsi="Times New Roman" w:eastAsia="仿宋_GB2312" w:cs="Times New Roman"/>
                <w:color w:val="000000" w:themeColor="text1"/>
                <w:kern w:val="0"/>
                <w:szCs w:val="21"/>
                <w:lang w:val="en-US" w:eastAsia="zh-CN"/>
              </w:rPr>
              <w:t>3.36</w:t>
            </w:r>
          </w:p>
        </w:tc>
        <w:tc>
          <w:tcPr>
            <w:tcW w:w="2195" w:type="dxa"/>
            <w:tcBorders>
              <w:top w:val="single" w:color="auto" w:sz="6" w:space="0"/>
              <w:left w:val="single" w:color="auto" w:sz="6" w:space="0"/>
              <w:bottom w:val="single" w:color="auto" w:sz="6" w:space="0"/>
              <w:right w:val="single" w:color="auto" w:sz="6" w:space="0"/>
            </w:tcBorders>
            <w:vAlign w:val="center"/>
          </w:tcPr>
          <w:p w14:paraId="3A0CA753">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部门项目支出本年度决算数与预算数的比率，用以反映和考核部门项目支出预算执行程度。</w:t>
            </w:r>
          </w:p>
        </w:tc>
        <w:tc>
          <w:tcPr>
            <w:tcW w:w="2747" w:type="dxa"/>
            <w:tcBorders>
              <w:top w:val="single" w:color="auto" w:sz="6" w:space="0"/>
              <w:left w:val="single" w:color="auto" w:sz="6" w:space="0"/>
              <w:bottom w:val="single" w:color="auto" w:sz="6" w:space="0"/>
              <w:right w:val="single" w:color="auto" w:sz="6" w:space="0"/>
            </w:tcBorders>
            <w:vAlign w:val="center"/>
          </w:tcPr>
          <w:p w14:paraId="5CA09C32">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预算执行率=部门项目支出决算/部门项目支出预算×100%。决算数：部门（单位）本年度项目支出实际支出资金数。预算数：财政部门批复的本年度部门（单位）项目支出预算数以及当年批复的调整数。预算完成率≥95%得满分，每低于1%扣0.2分，扣完为止。</w:t>
            </w:r>
          </w:p>
        </w:tc>
        <w:tc>
          <w:tcPr>
            <w:tcW w:w="1372" w:type="dxa"/>
            <w:tcBorders>
              <w:top w:val="single" w:color="auto" w:sz="6" w:space="0"/>
              <w:left w:val="single" w:color="auto" w:sz="6" w:space="0"/>
              <w:bottom w:val="single" w:color="auto" w:sz="6" w:space="0"/>
              <w:right w:val="single" w:color="auto" w:sz="6" w:space="0"/>
            </w:tcBorders>
            <w:vAlign w:val="center"/>
          </w:tcPr>
          <w:p w14:paraId="2DCA1634">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项目支出预算批复，预算调整批复、预算编制等其他资料</w:t>
            </w:r>
          </w:p>
        </w:tc>
      </w:tr>
      <w:tr w14:paraId="7D1B7446">
        <w:tblPrEx>
          <w:tblCellMar>
            <w:top w:w="0" w:type="dxa"/>
            <w:left w:w="30" w:type="dxa"/>
            <w:bottom w:w="0" w:type="dxa"/>
            <w:right w:w="30" w:type="dxa"/>
          </w:tblCellMar>
        </w:tblPrEx>
        <w:trPr>
          <w:trHeight w:val="1478"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3162C7A4">
            <w:pPr>
              <w:autoSpaceDE w:val="0"/>
              <w:autoSpaceDN w:val="0"/>
              <w:adjustRightInd w:val="0"/>
              <w:rPr>
                <w:rFonts w:ascii="Times New Roman" w:hAnsi="Times New Roman" w:eastAsia="仿宋_GB2312" w:cs="Times New Roman"/>
                <w:b/>
                <w:bCs/>
                <w:color w:val="000000" w:themeColor="text1"/>
                <w:kern w:val="0"/>
                <w:szCs w:val="21"/>
              </w:rPr>
            </w:pPr>
            <w:r>
              <w:rPr>
                <w:rFonts w:ascii="Times New Roman" w:hAnsi="Times New Roman" w:eastAsia="仿宋_GB2312" w:cs="Times New Roman"/>
                <w:b/>
                <w:bCs/>
                <w:color w:val="000000" w:themeColor="text1"/>
                <w:kern w:val="0"/>
                <w:szCs w:val="21"/>
              </w:rPr>
              <w:t>B部门管理（20分）</w:t>
            </w:r>
          </w:p>
        </w:tc>
        <w:tc>
          <w:tcPr>
            <w:tcW w:w="650" w:type="dxa"/>
            <w:tcBorders>
              <w:top w:val="single" w:color="auto" w:sz="6" w:space="0"/>
              <w:left w:val="single" w:color="auto" w:sz="6" w:space="0"/>
              <w:bottom w:val="nil"/>
              <w:right w:val="single" w:color="auto" w:sz="6" w:space="0"/>
            </w:tcBorders>
            <w:vAlign w:val="center"/>
          </w:tcPr>
          <w:p w14:paraId="5EA50CBD">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B1预算管理（7分）</w:t>
            </w:r>
          </w:p>
        </w:tc>
        <w:tc>
          <w:tcPr>
            <w:tcW w:w="1336" w:type="dxa"/>
            <w:tcBorders>
              <w:top w:val="single" w:color="auto" w:sz="6" w:space="0"/>
              <w:left w:val="single" w:color="auto" w:sz="6" w:space="0"/>
              <w:bottom w:val="single" w:color="auto" w:sz="6" w:space="0"/>
              <w:right w:val="single" w:color="auto" w:sz="6" w:space="0"/>
            </w:tcBorders>
            <w:vAlign w:val="center"/>
          </w:tcPr>
          <w:p w14:paraId="78F47E63">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B13“三公经费”控制率（1分）</w:t>
            </w:r>
          </w:p>
        </w:tc>
        <w:tc>
          <w:tcPr>
            <w:tcW w:w="521" w:type="dxa"/>
            <w:tcBorders>
              <w:top w:val="single" w:color="auto" w:sz="6" w:space="0"/>
              <w:left w:val="single" w:color="auto" w:sz="6" w:space="0"/>
              <w:bottom w:val="single" w:color="auto" w:sz="6" w:space="0"/>
              <w:right w:val="single" w:color="auto" w:sz="6" w:space="0"/>
            </w:tcBorders>
            <w:vAlign w:val="center"/>
          </w:tcPr>
          <w:p w14:paraId="717D1E68">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600" w:type="dxa"/>
            <w:tcBorders>
              <w:top w:val="single" w:color="auto" w:sz="6" w:space="0"/>
              <w:left w:val="single" w:color="auto" w:sz="6" w:space="0"/>
              <w:bottom w:val="single" w:color="auto" w:sz="6" w:space="0"/>
              <w:right w:val="single" w:color="auto" w:sz="6" w:space="0"/>
            </w:tcBorders>
            <w:vAlign w:val="center"/>
          </w:tcPr>
          <w:p w14:paraId="6B478C47">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2195" w:type="dxa"/>
            <w:tcBorders>
              <w:top w:val="single" w:color="auto" w:sz="6" w:space="0"/>
              <w:left w:val="single" w:color="auto" w:sz="6" w:space="0"/>
              <w:bottom w:val="single" w:color="auto" w:sz="6" w:space="0"/>
              <w:right w:val="single" w:color="auto" w:sz="6" w:space="0"/>
            </w:tcBorders>
            <w:vAlign w:val="center"/>
          </w:tcPr>
          <w:p w14:paraId="1E1D61AA">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部门本年度“三公”经费预算数与上年度“三公”经费预算数的变动比率，用以反映和考核部门（单位）对控制行政成本的努力程度。</w:t>
            </w:r>
          </w:p>
        </w:tc>
        <w:tc>
          <w:tcPr>
            <w:tcW w:w="2747" w:type="dxa"/>
            <w:tcBorders>
              <w:top w:val="single" w:color="auto" w:sz="6" w:space="0"/>
              <w:left w:val="single" w:color="auto" w:sz="6" w:space="0"/>
              <w:bottom w:val="single" w:color="auto" w:sz="6" w:space="0"/>
              <w:right w:val="single" w:color="auto" w:sz="6" w:space="0"/>
            </w:tcBorders>
            <w:vAlign w:val="center"/>
          </w:tcPr>
          <w:p w14:paraId="22F9DE0D">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三公”经费控制率=（本年度“三公”经费总额/上年度“三公”经费总额）×100%。“三公”经费：年度预算安排的因公出国（境）费、公务用车购置及运行费和公务接待费。三公经费控制率≤100%得满分，≥120%得0分，区间内按权重进行扣分。</w:t>
            </w:r>
          </w:p>
        </w:tc>
        <w:tc>
          <w:tcPr>
            <w:tcW w:w="1372" w:type="dxa"/>
            <w:tcBorders>
              <w:top w:val="single" w:color="auto" w:sz="6" w:space="0"/>
              <w:left w:val="single" w:color="auto" w:sz="6" w:space="0"/>
              <w:bottom w:val="single" w:color="auto" w:sz="6" w:space="0"/>
              <w:right w:val="single" w:color="auto" w:sz="6" w:space="0"/>
            </w:tcBorders>
            <w:vAlign w:val="center"/>
          </w:tcPr>
          <w:p w14:paraId="26890A09">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三公经费使用情况</w:t>
            </w:r>
          </w:p>
        </w:tc>
      </w:tr>
      <w:tr w14:paraId="40A1D117">
        <w:tblPrEx>
          <w:tblCellMar>
            <w:top w:w="0" w:type="dxa"/>
            <w:left w:w="30" w:type="dxa"/>
            <w:bottom w:w="0" w:type="dxa"/>
            <w:right w:w="30" w:type="dxa"/>
          </w:tblCellMar>
        </w:tblPrEx>
        <w:trPr>
          <w:trHeight w:val="605"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02D355D8">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nil"/>
              <w:left w:val="single" w:color="auto" w:sz="6" w:space="0"/>
              <w:bottom w:val="single" w:color="auto" w:sz="6" w:space="0"/>
              <w:right w:val="single" w:color="auto" w:sz="6" w:space="0"/>
            </w:tcBorders>
            <w:vAlign w:val="center"/>
          </w:tcPr>
          <w:p w14:paraId="4036DF14">
            <w:pPr>
              <w:autoSpaceDE w:val="0"/>
              <w:autoSpaceDN w:val="0"/>
              <w:adjustRightInd w:val="0"/>
              <w:rPr>
                <w:rFonts w:ascii="Times New Roman" w:hAnsi="Times New Roman" w:eastAsia="仿宋_GB2312" w:cs="Times New Roman"/>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vAlign w:val="center"/>
          </w:tcPr>
          <w:p w14:paraId="2444FC53">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B14预算调整情况（1分）</w:t>
            </w:r>
          </w:p>
        </w:tc>
        <w:tc>
          <w:tcPr>
            <w:tcW w:w="521" w:type="dxa"/>
            <w:tcBorders>
              <w:top w:val="single" w:color="auto" w:sz="6" w:space="0"/>
              <w:left w:val="single" w:color="auto" w:sz="6" w:space="0"/>
              <w:bottom w:val="single" w:color="auto" w:sz="6" w:space="0"/>
              <w:right w:val="single" w:color="auto" w:sz="6" w:space="0"/>
            </w:tcBorders>
            <w:vAlign w:val="center"/>
          </w:tcPr>
          <w:p w14:paraId="69479583">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600" w:type="dxa"/>
            <w:tcBorders>
              <w:top w:val="single" w:color="auto" w:sz="6" w:space="0"/>
              <w:left w:val="single" w:color="auto" w:sz="6" w:space="0"/>
              <w:bottom w:val="single" w:color="auto" w:sz="6" w:space="0"/>
              <w:right w:val="single" w:color="auto" w:sz="6" w:space="0"/>
            </w:tcBorders>
            <w:vAlign w:val="center"/>
          </w:tcPr>
          <w:p w14:paraId="31D1E33C">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2195" w:type="dxa"/>
            <w:tcBorders>
              <w:top w:val="single" w:color="auto" w:sz="6" w:space="0"/>
              <w:left w:val="single" w:color="auto" w:sz="6" w:space="0"/>
              <w:bottom w:val="single" w:color="auto" w:sz="6" w:space="0"/>
              <w:right w:val="single" w:color="auto" w:sz="6" w:space="0"/>
            </w:tcBorders>
            <w:vAlign w:val="center"/>
          </w:tcPr>
          <w:p w14:paraId="47B8454C">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用以反映预算单位是否根据年中预算实际执行情况及时合规进行预算调整。</w:t>
            </w:r>
          </w:p>
        </w:tc>
        <w:tc>
          <w:tcPr>
            <w:tcW w:w="2747" w:type="dxa"/>
            <w:tcBorders>
              <w:top w:val="single" w:color="auto" w:sz="6" w:space="0"/>
              <w:left w:val="single" w:color="auto" w:sz="6" w:space="0"/>
              <w:bottom w:val="single" w:color="auto" w:sz="6" w:space="0"/>
              <w:right w:val="single" w:color="auto" w:sz="6" w:space="0"/>
            </w:tcBorders>
            <w:vAlign w:val="center"/>
          </w:tcPr>
          <w:p w14:paraId="6928A152">
            <w:pPr>
              <w:autoSpaceDE w:val="0"/>
              <w:autoSpaceDN w:val="0"/>
              <w:adjustRightInd w:val="0"/>
              <w:rPr>
                <w:rFonts w:ascii="Times New Roman" w:hAnsi="Times New Roman" w:eastAsia="仿宋_GB2312" w:cs="Times New Roman"/>
                <w:color w:val="000000" w:themeColor="text1"/>
                <w:kern w:val="0"/>
                <w:szCs w:val="21"/>
              </w:rPr>
            </w:pPr>
            <w:r>
              <w:rPr>
                <w:rFonts w:hint="eastAsia" w:ascii="宋体" w:hAnsi="宋体" w:eastAsia="宋体" w:cs="宋体"/>
                <w:color w:val="000000" w:themeColor="text1"/>
                <w:kern w:val="0"/>
                <w:szCs w:val="21"/>
              </w:rPr>
              <w:t>①</w:t>
            </w:r>
            <w:r>
              <w:rPr>
                <w:rFonts w:ascii="Times New Roman" w:hAnsi="Times New Roman" w:eastAsia="仿宋_GB2312" w:cs="Times New Roman"/>
                <w:color w:val="000000" w:themeColor="text1"/>
                <w:kern w:val="0"/>
                <w:szCs w:val="21"/>
              </w:rPr>
              <w:t>根据年中预算执行情况及时申请预算调整，得0.5分；</w:t>
            </w:r>
            <w:r>
              <w:rPr>
                <w:rFonts w:hint="eastAsia" w:ascii="宋体" w:hAnsi="宋体" w:eastAsia="宋体" w:cs="宋体"/>
                <w:color w:val="000000" w:themeColor="text1"/>
                <w:kern w:val="0"/>
                <w:szCs w:val="21"/>
              </w:rPr>
              <w:t>②</w:t>
            </w:r>
            <w:r>
              <w:rPr>
                <w:rFonts w:ascii="Times New Roman" w:hAnsi="Times New Roman" w:eastAsia="仿宋_GB2312" w:cs="Times New Roman"/>
                <w:color w:val="000000" w:themeColor="text1"/>
                <w:kern w:val="0"/>
                <w:szCs w:val="21"/>
              </w:rPr>
              <w:t>按规定程序进行预算调整，得0.5分</w:t>
            </w:r>
          </w:p>
        </w:tc>
        <w:tc>
          <w:tcPr>
            <w:tcW w:w="1372" w:type="dxa"/>
            <w:tcBorders>
              <w:top w:val="single" w:color="auto" w:sz="6" w:space="0"/>
              <w:left w:val="single" w:color="auto" w:sz="6" w:space="0"/>
              <w:bottom w:val="single" w:color="auto" w:sz="6" w:space="0"/>
              <w:right w:val="single" w:color="auto" w:sz="6" w:space="0"/>
            </w:tcBorders>
            <w:vAlign w:val="center"/>
          </w:tcPr>
          <w:p w14:paraId="654C00BC">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预算调整相关资料</w:t>
            </w:r>
          </w:p>
        </w:tc>
      </w:tr>
      <w:tr w14:paraId="17E11241">
        <w:tblPrEx>
          <w:tblCellMar>
            <w:top w:w="0" w:type="dxa"/>
            <w:left w:w="30" w:type="dxa"/>
            <w:bottom w:w="0" w:type="dxa"/>
            <w:right w:w="30" w:type="dxa"/>
          </w:tblCellMar>
        </w:tblPrEx>
        <w:trPr>
          <w:trHeight w:val="111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3B773333">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083D1B4A">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B2财务管理（6分）</w:t>
            </w:r>
          </w:p>
        </w:tc>
        <w:tc>
          <w:tcPr>
            <w:tcW w:w="1336" w:type="dxa"/>
            <w:tcBorders>
              <w:top w:val="single" w:color="auto" w:sz="6" w:space="0"/>
              <w:left w:val="single" w:color="auto" w:sz="6" w:space="0"/>
              <w:bottom w:val="single" w:color="auto" w:sz="6" w:space="0"/>
              <w:right w:val="single" w:color="auto" w:sz="6" w:space="0"/>
            </w:tcBorders>
            <w:vAlign w:val="center"/>
          </w:tcPr>
          <w:p w14:paraId="37390F25">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B21财务管理制度健全性及执行情况（1分）</w:t>
            </w:r>
          </w:p>
        </w:tc>
        <w:tc>
          <w:tcPr>
            <w:tcW w:w="521" w:type="dxa"/>
            <w:tcBorders>
              <w:top w:val="single" w:color="auto" w:sz="6" w:space="0"/>
              <w:left w:val="single" w:color="auto" w:sz="6" w:space="0"/>
              <w:bottom w:val="single" w:color="auto" w:sz="6" w:space="0"/>
              <w:right w:val="single" w:color="auto" w:sz="6" w:space="0"/>
            </w:tcBorders>
            <w:vAlign w:val="center"/>
          </w:tcPr>
          <w:p w14:paraId="6EACDDBD">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600" w:type="dxa"/>
            <w:tcBorders>
              <w:top w:val="single" w:color="auto" w:sz="6" w:space="0"/>
              <w:left w:val="single" w:color="auto" w:sz="6" w:space="0"/>
              <w:bottom w:val="single" w:color="auto" w:sz="6" w:space="0"/>
              <w:right w:val="single" w:color="auto" w:sz="6" w:space="0"/>
            </w:tcBorders>
            <w:vAlign w:val="center"/>
          </w:tcPr>
          <w:p w14:paraId="6D29DB3F">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0.9</w:t>
            </w:r>
          </w:p>
        </w:tc>
        <w:tc>
          <w:tcPr>
            <w:tcW w:w="2195" w:type="dxa"/>
            <w:tcBorders>
              <w:top w:val="single" w:color="auto" w:sz="6" w:space="0"/>
              <w:left w:val="single" w:color="auto" w:sz="6" w:space="0"/>
              <w:bottom w:val="single" w:color="auto" w:sz="6" w:space="0"/>
              <w:right w:val="single" w:color="auto" w:sz="6" w:space="0"/>
            </w:tcBorders>
            <w:vAlign w:val="center"/>
          </w:tcPr>
          <w:p w14:paraId="37610029">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部门为加强预算管理、规范财务行为而制定的财务管理制度是否健全完整。用以反映和考核部门预算管理制度对完成主要职责或促进事业发展的保障情况。</w:t>
            </w:r>
          </w:p>
        </w:tc>
        <w:tc>
          <w:tcPr>
            <w:tcW w:w="2747" w:type="dxa"/>
            <w:tcBorders>
              <w:top w:val="single" w:color="auto" w:sz="6" w:space="0"/>
              <w:left w:val="single" w:color="auto" w:sz="6" w:space="0"/>
              <w:bottom w:val="single" w:color="auto" w:sz="6" w:space="0"/>
              <w:right w:val="single" w:color="auto" w:sz="6" w:space="0"/>
            </w:tcBorders>
            <w:vAlign w:val="center"/>
          </w:tcPr>
          <w:p w14:paraId="6BDA9B0D">
            <w:pPr>
              <w:autoSpaceDE w:val="0"/>
              <w:autoSpaceDN w:val="0"/>
              <w:adjustRightInd w:val="0"/>
              <w:rPr>
                <w:rFonts w:ascii="Times New Roman" w:hAnsi="Times New Roman" w:eastAsia="仿宋_GB2312" w:cs="Times New Roman"/>
                <w:color w:val="000000" w:themeColor="text1"/>
                <w:kern w:val="0"/>
                <w:szCs w:val="21"/>
              </w:rPr>
            </w:pPr>
            <w:r>
              <w:rPr>
                <w:rFonts w:hint="eastAsia" w:ascii="宋体" w:hAnsi="宋体" w:eastAsia="宋体" w:cs="宋体"/>
                <w:color w:val="000000" w:themeColor="text1"/>
                <w:kern w:val="0"/>
                <w:szCs w:val="21"/>
              </w:rPr>
              <w:t>①</w:t>
            </w:r>
            <w:r>
              <w:rPr>
                <w:rFonts w:ascii="Times New Roman" w:hAnsi="Times New Roman" w:eastAsia="仿宋_GB2312" w:cs="Times New Roman"/>
                <w:color w:val="000000" w:themeColor="text1"/>
                <w:kern w:val="0"/>
                <w:szCs w:val="21"/>
              </w:rPr>
              <w:t>是否已制定预算资金管理办法、内部财务管理制度、会计核算制度等管理制度，0.25分；</w:t>
            </w:r>
            <w:r>
              <w:rPr>
                <w:rFonts w:hint="eastAsia" w:ascii="宋体" w:hAnsi="宋体" w:eastAsia="宋体" w:cs="宋体"/>
                <w:color w:val="000000" w:themeColor="text1"/>
                <w:kern w:val="0"/>
                <w:szCs w:val="21"/>
              </w:rPr>
              <w:t>②</w:t>
            </w:r>
            <w:r>
              <w:rPr>
                <w:rFonts w:ascii="Times New Roman" w:hAnsi="Times New Roman" w:eastAsia="仿宋_GB2312" w:cs="Times New Roman"/>
                <w:color w:val="000000" w:themeColor="text1"/>
                <w:kern w:val="0"/>
                <w:szCs w:val="21"/>
              </w:rPr>
              <w:t>相关管理制度是否合法、合规、完整，0.25分；</w:t>
            </w:r>
            <w:r>
              <w:rPr>
                <w:rFonts w:hint="eastAsia" w:ascii="宋体" w:hAnsi="宋体" w:eastAsia="宋体" w:cs="宋体"/>
                <w:color w:val="000000" w:themeColor="text1"/>
                <w:kern w:val="0"/>
                <w:szCs w:val="21"/>
              </w:rPr>
              <w:t>③</w:t>
            </w:r>
            <w:r>
              <w:rPr>
                <w:rFonts w:ascii="Times New Roman" w:hAnsi="Times New Roman" w:eastAsia="仿宋_GB2312" w:cs="Times New Roman"/>
                <w:color w:val="000000" w:themeColor="text1"/>
                <w:kern w:val="0"/>
                <w:szCs w:val="21"/>
              </w:rPr>
              <w:t>相关管理制度是否得到有效执行，0.5分。</w:t>
            </w:r>
          </w:p>
        </w:tc>
        <w:tc>
          <w:tcPr>
            <w:tcW w:w="1372" w:type="dxa"/>
            <w:tcBorders>
              <w:top w:val="single" w:color="auto" w:sz="6" w:space="0"/>
              <w:left w:val="single" w:color="auto" w:sz="6" w:space="0"/>
              <w:bottom w:val="single" w:color="auto" w:sz="6" w:space="0"/>
              <w:right w:val="single" w:color="auto" w:sz="6" w:space="0"/>
            </w:tcBorders>
            <w:vAlign w:val="center"/>
          </w:tcPr>
          <w:p w14:paraId="0EB49248">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财务管理相关制度及执行情况调研</w:t>
            </w:r>
          </w:p>
        </w:tc>
      </w:tr>
      <w:tr w14:paraId="3DBE215B">
        <w:tblPrEx>
          <w:tblCellMar>
            <w:top w:w="0" w:type="dxa"/>
            <w:left w:w="30" w:type="dxa"/>
            <w:bottom w:w="0" w:type="dxa"/>
            <w:right w:w="30" w:type="dxa"/>
          </w:tblCellMar>
        </w:tblPrEx>
        <w:trPr>
          <w:trHeight w:val="1517"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3CF6A4F9">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461C65FD">
            <w:pPr>
              <w:autoSpaceDE w:val="0"/>
              <w:autoSpaceDN w:val="0"/>
              <w:adjustRightInd w:val="0"/>
              <w:rPr>
                <w:rFonts w:ascii="Times New Roman" w:hAnsi="Times New Roman" w:eastAsia="仿宋_GB2312" w:cs="Times New Roman"/>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vAlign w:val="center"/>
          </w:tcPr>
          <w:p w14:paraId="43115931">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B22资金使用合规性（4分）</w:t>
            </w:r>
          </w:p>
        </w:tc>
        <w:tc>
          <w:tcPr>
            <w:tcW w:w="521" w:type="dxa"/>
            <w:tcBorders>
              <w:top w:val="single" w:color="auto" w:sz="6" w:space="0"/>
              <w:left w:val="single" w:color="auto" w:sz="6" w:space="0"/>
              <w:bottom w:val="single" w:color="auto" w:sz="6" w:space="0"/>
              <w:right w:val="single" w:color="auto" w:sz="6" w:space="0"/>
            </w:tcBorders>
            <w:vAlign w:val="center"/>
          </w:tcPr>
          <w:p w14:paraId="3C815A89">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4</w:t>
            </w:r>
          </w:p>
        </w:tc>
        <w:tc>
          <w:tcPr>
            <w:tcW w:w="600" w:type="dxa"/>
            <w:tcBorders>
              <w:top w:val="single" w:color="auto" w:sz="6" w:space="0"/>
              <w:left w:val="single" w:color="auto" w:sz="6" w:space="0"/>
              <w:bottom w:val="single" w:color="auto" w:sz="6" w:space="0"/>
              <w:right w:val="single" w:color="auto" w:sz="6" w:space="0"/>
            </w:tcBorders>
            <w:vAlign w:val="center"/>
          </w:tcPr>
          <w:p w14:paraId="3E525D7B">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4</w:t>
            </w:r>
          </w:p>
        </w:tc>
        <w:tc>
          <w:tcPr>
            <w:tcW w:w="2195" w:type="dxa"/>
            <w:tcBorders>
              <w:top w:val="single" w:color="auto" w:sz="6" w:space="0"/>
              <w:left w:val="single" w:color="auto" w:sz="6" w:space="0"/>
              <w:bottom w:val="single" w:color="auto" w:sz="6" w:space="0"/>
              <w:right w:val="single" w:color="auto" w:sz="6" w:space="0"/>
            </w:tcBorders>
            <w:vAlign w:val="center"/>
          </w:tcPr>
          <w:p w14:paraId="44F2442E">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部门使用预算资金是否符合相关财务管理制度的规定，用以反映和考核部门预算资金的规范运行情况。</w:t>
            </w:r>
          </w:p>
        </w:tc>
        <w:tc>
          <w:tcPr>
            <w:tcW w:w="2747" w:type="dxa"/>
            <w:tcBorders>
              <w:top w:val="single" w:color="auto" w:sz="6" w:space="0"/>
              <w:left w:val="single" w:color="auto" w:sz="6" w:space="0"/>
              <w:bottom w:val="single" w:color="auto" w:sz="6" w:space="0"/>
              <w:right w:val="single" w:color="auto" w:sz="6" w:space="0"/>
            </w:tcBorders>
            <w:vAlign w:val="center"/>
          </w:tcPr>
          <w:p w14:paraId="64594C12">
            <w:pPr>
              <w:autoSpaceDE w:val="0"/>
              <w:autoSpaceDN w:val="0"/>
              <w:adjustRightInd w:val="0"/>
              <w:rPr>
                <w:rFonts w:ascii="Times New Roman" w:hAnsi="Times New Roman" w:eastAsia="仿宋_GB2312" w:cs="Times New Roman"/>
                <w:color w:val="000000" w:themeColor="text1"/>
                <w:kern w:val="0"/>
                <w:szCs w:val="21"/>
              </w:rPr>
            </w:pPr>
            <w:r>
              <w:rPr>
                <w:rFonts w:hint="eastAsia" w:ascii="宋体" w:hAnsi="宋体" w:eastAsia="宋体" w:cs="宋体"/>
                <w:color w:val="000000" w:themeColor="text1"/>
                <w:kern w:val="0"/>
                <w:szCs w:val="21"/>
              </w:rPr>
              <w:t>①</w:t>
            </w:r>
            <w:r>
              <w:rPr>
                <w:rFonts w:ascii="Times New Roman" w:hAnsi="Times New Roman" w:eastAsia="仿宋_GB2312" w:cs="Times New Roman"/>
                <w:color w:val="000000" w:themeColor="text1"/>
                <w:kern w:val="0"/>
                <w:szCs w:val="21"/>
              </w:rPr>
              <w:t>符合国家财经法规和财务管理制度规定以及有关专项资金管理办法的规定,1分；</w:t>
            </w:r>
            <w:r>
              <w:rPr>
                <w:rFonts w:hint="eastAsia" w:ascii="宋体" w:hAnsi="宋体" w:eastAsia="宋体" w:cs="宋体"/>
                <w:color w:val="000000" w:themeColor="text1"/>
                <w:kern w:val="0"/>
                <w:szCs w:val="21"/>
              </w:rPr>
              <w:t>②</w:t>
            </w:r>
            <w:r>
              <w:rPr>
                <w:rFonts w:ascii="Times New Roman" w:hAnsi="Times New Roman" w:eastAsia="仿宋_GB2312" w:cs="Times New Roman"/>
                <w:color w:val="000000" w:themeColor="text1"/>
                <w:kern w:val="0"/>
                <w:szCs w:val="21"/>
              </w:rPr>
              <w:t>资金的拨付有完整的审批程序和手续，1分；</w:t>
            </w:r>
            <w:r>
              <w:rPr>
                <w:rFonts w:hint="eastAsia" w:ascii="宋体" w:hAnsi="宋体" w:eastAsia="宋体" w:cs="宋体"/>
                <w:color w:val="000000" w:themeColor="text1"/>
                <w:kern w:val="0"/>
                <w:szCs w:val="21"/>
              </w:rPr>
              <w:t>③</w:t>
            </w:r>
            <w:r>
              <w:rPr>
                <w:rFonts w:ascii="Times New Roman" w:hAnsi="Times New Roman" w:eastAsia="仿宋_GB2312" w:cs="Times New Roman"/>
                <w:color w:val="000000" w:themeColor="text1"/>
                <w:kern w:val="0"/>
                <w:szCs w:val="21"/>
              </w:rPr>
              <w:t>项目的重大开支经过专题论证，1分；</w:t>
            </w:r>
            <w:r>
              <w:rPr>
                <w:rFonts w:hint="eastAsia" w:ascii="宋体" w:hAnsi="宋体" w:eastAsia="宋体" w:cs="宋体"/>
                <w:color w:val="000000" w:themeColor="text1"/>
                <w:kern w:val="0"/>
                <w:szCs w:val="21"/>
              </w:rPr>
              <w:t>④</w:t>
            </w:r>
            <w:r>
              <w:rPr>
                <w:rFonts w:ascii="Times New Roman" w:hAnsi="Times New Roman" w:eastAsia="仿宋_GB2312" w:cs="Times New Roman"/>
                <w:color w:val="000000" w:themeColor="text1"/>
                <w:kern w:val="0"/>
                <w:szCs w:val="21"/>
              </w:rPr>
              <w:t>符合部门预算批复的用途，1分；</w:t>
            </w:r>
            <w:r>
              <w:rPr>
                <w:rFonts w:hint="eastAsia" w:ascii="宋体" w:hAnsi="宋体" w:eastAsia="宋体" w:cs="宋体"/>
                <w:color w:val="000000" w:themeColor="text1"/>
                <w:kern w:val="0"/>
                <w:szCs w:val="21"/>
              </w:rPr>
              <w:t>⑤</w:t>
            </w:r>
            <w:r>
              <w:rPr>
                <w:rFonts w:ascii="Times New Roman" w:hAnsi="Times New Roman" w:eastAsia="仿宋_GB2312" w:cs="Times New Roman"/>
                <w:color w:val="000000" w:themeColor="text1"/>
                <w:kern w:val="0"/>
                <w:szCs w:val="21"/>
              </w:rPr>
              <w:t>是否存在截留、挤占、挪用、虚列支出等情况，一旦存在该指标不得分。</w:t>
            </w:r>
          </w:p>
        </w:tc>
        <w:tc>
          <w:tcPr>
            <w:tcW w:w="1372" w:type="dxa"/>
            <w:tcBorders>
              <w:top w:val="single" w:color="auto" w:sz="6" w:space="0"/>
              <w:left w:val="single" w:color="auto" w:sz="6" w:space="0"/>
              <w:bottom w:val="single" w:color="auto" w:sz="6" w:space="0"/>
              <w:right w:val="single" w:color="auto" w:sz="6" w:space="0"/>
            </w:tcBorders>
            <w:vAlign w:val="center"/>
          </w:tcPr>
          <w:p w14:paraId="2A88C478">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资金支出相关凭证、流程梳理等</w:t>
            </w:r>
          </w:p>
        </w:tc>
      </w:tr>
      <w:tr w14:paraId="1E6B8344">
        <w:tblPrEx>
          <w:tblCellMar>
            <w:top w:w="0" w:type="dxa"/>
            <w:left w:w="30" w:type="dxa"/>
            <w:bottom w:w="0" w:type="dxa"/>
            <w:right w:w="30" w:type="dxa"/>
          </w:tblCellMar>
        </w:tblPrEx>
        <w:trPr>
          <w:trHeight w:val="773"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5F923804">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0927DDA5">
            <w:pPr>
              <w:autoSpaceDE w:val="0"/>
              <w:autoSpaceDN w:val="0"/>
              <w:adjustRightInd w:val="0"/>
              <w:rPr>
                <w:rFonts w:ascii="Times New Roman" w:hAnsi="Times New Roman" w:eastAsia="仿宋_GB2312" w:cs="Times New Roman"/>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vAlign w:val="center"/>
          </w:tcPr>
          <w:p w14:paraId="7EA177A2">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B23财务监控的有效性（1分）</w:t>
            </w:r>
          </w:p>
        </w:tc>
        <w:tc>
          <w:tcPr>
            <w:tcW w:w="521" w:type="dxa"/>
            <w:tcBorders>
              <w:top w:val="single" w:color="auto" w:sz="6" w:space="0"/>
              <w:left w:val="single" w:color="auto" w:sz="6" w:space="0"/>
              <w:bottom w:val="single" w:color="auto" w:sz="6" w:space="0"/>
              <w:right w:val="single" w:color="auto" w:sz="6" w:space="0"/>
            </w:tcBorders>
            <w:vAlign w:val="center"/>
          </w:tcPr>
          <w:p w14:paraId="3E57675B">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600" w:type="dxa"/>
            <w:tcBorders>
              <w:top w:val="single" w:color="auto" w:sz="6" w:space="0"/>
              <w:left w:val="single" w:color="auto" w:sz="6" w:space="0"/>
              <w:bottom w:val="single" w:color="auto" w:sz="6" w:space="0"/>
              <w:right w:val="single" w:color="auto" w:sz="6" w:space="0"/>
            </w:tcBorders>
            <w:vAlign w:val="center"/>
          </w:tcPr>
          <w:p w14:paraId="42A405AE">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0.8</w:t>
            </w:r>
          </w:p>
        </w:tc>
        <w:tc>
          <w:tcPr>
            <w:tcW w:w="2195" w:type="dxa"/>
            <w:tcBorders>
              <w:top w:val="single" w:color="auto" w:sz="6" w:space="0"/>
              <w:left w:val="single" w:color="auto" w:sz="6" w:space="0"/>
              <w:bottom w:val="single" w:color="auto" w:sz="6" w:space="0"/>
              <w:right w:val="single" w:color="auto" w:sz="6" w:space="0"/>
            </w:tcBorders>
            <w:vAlign w:val="center"/>
          </w:tcPr>
          <w:p w14:paraId="7D1EA6E0">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用以反映部门财务监控监督工作的有效性，包括监控、监督措施的制定及执行等方面。</w:t>
            </w:r>
          </w:p>
        </w:tc>
        <w:tc>
          <w:tcPr>
            <w:tcW w:w="2747" w:type="dxa"/>
            <w:tcBorders>
              <w:top w:val="single" w:color="auto" w:sz="6" w:space="0"/>
              <w:left w:val="single" w:color="auto" w:sz="6" w:space="0"/>
              <w:bottom w:val="single" w:color="auto" w:sz="6" w:space="0"/>
              <w:right w:val="single" w:color="auto" w:sz="6" w:space="0"/>
            </w:tcBorders>
            <w:vAlign w:val="center"/>
          </w:tcPr>
          <w:p w14:paraId="7A5B9331">
            <w:pPr>
              <w:autoSpaceDE w:val="0"/>
              <w:autoSpaceDN w:val="0"/>
              <w:adjustRightInd w:val="0"/>
              <w:rPr>
                <w:rFonts w:ascii="Times New Roman" w:hAnsi="Times New Roman" w:eastAsia="仿宋_GB2312" w:cs="Times New Roman"/>
                <w:color w:val="000000" w:themeColor="text1"/>
                <w:kern w:val="0"/>
                <w:szCs w:val="21"/>
              </w:rPr>
            </w:pPr>
            <w:r>
              <w:rPr>
                <w:rFonts w:hint="eastAsia" w:ascii="宋体" w:hAnsi="宋体" w:eastAsia="宋体" w:cs="宋体"/>
                <w:color w:val="000000" w:themeColor="text1"/>
                <w:kern w:val="0"/>
                <w:szCs w:val="21"/>
              </w:rPr>
              <w:t>①</w:t>
            </w:r>
            <w:r>
              <w:rPr>
                <w:rFonts w:ascii="Times New Roman" w:hAnsi="Times New Roman" w:eastAsia="仿宋_GB2312" w:cs="Times New Roman"/>
                <w:color w:val="000000" w:themeColor="text1"/>
                <w:kern w:val="0"/>
                <w:szCs w:val="21"/>
              </w:rPr>
              <w:t>制定明确的财务监控监督措施，得0.5分；</w:t>
            </w:r>
            <w:r>
              <w:rPr>
                <w:rFonts w:hint="eastAsia" w:ascii="宋体" w:hAnsi="宋体" w:eastAsia="宋体" w:cs="宋体"/>
                <w:color w:val="000000" w:themeColor="text1"/>
                <w:kern w:val="0"/>
                <w:szCs w:val="21"/>
              </w:rPr>
              <w:t>②</w:t>
            </w:r>
            <w:r>
              <w:rPr>
                <w:rFonts w:ascii="Times New Roman" w:hAnsi="Times New Roman" w:eastAsia="仿宋_GB2312" w:cs="Times New Roman"/>
                <w:color w:val="000000" w:themeColor="text1"/>
                <w:kern w:val="0"/>
                <w:szCs w:val="21"/>
              </w:rPr>
              <w:t>监控、监督措施执行有效，得0.5分；</w:t>
            </w:r>
          </w:p>
        </w:tc>
        <w:tc>
          <w:tcPr>
            <w:tcW w:w="1372" w:type="dxa"/>
            <w:tcBorders>
              <w:top w:val="single" w:color="auto" w:sz="6" w:space="0"/>
              <w:left w:val="single" w:color="auto" w:sz="6" w:space="0"/>
              <w:bottom w:val="single" w:color="auto" w:sz="6" w:space="0"/>
              <w:right w:val="single" w:color="auto" w:sz="6" w:space="0"/>
            </w:tcBorders>
            <w:vAlign w:val="center"/>
          </w:tcPr>
          <w:p w14:paraId="619C5264">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财务监控监督相关办法及条款，实际执行情况资料</w:t>
            </w:r>
          </w:p>
        </w:tc>
      </w:tr>
      <w:tr w14:paraId="189B0F1B">
        <w:tblPrEx>
          <w:tblCellMar>
            <w:top w:w="0" w:type="dxa"/>
            <w:left w:w="30" w:type="dxa"/>
            <w:bottom w:w="0" w:type="dxa"/>
            <w:right w:w="30" w:type="dxa"/>
          </w:tblCellMar>
        </w:tblPrEx>
        <w:trPr>
          <w:trHeight w:val="131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1B8EF916">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38A9E59A">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B3人力资源管理（2分）</w:t>
            </w:r>
          </w:p>
        </w:tc>
        <w:tc>
          <w:tcPr>
            <w:tcW w:w="1336" w:type="dxa"/>
            <w:tcBorders>
              <w:top w:val="single" w:color="auto" w:sz="6" w:space="0"/>
              <w:left w:val="single" w:color="auto" w:sz="6" w:space="0"/>
              <w:bottom w:val="single" w:color="auto" w:sz="6" w:space="0"/>
              <w:right w:val="single" w:color="auto" w:sz="6" w:space="0"/>
            </w:tcBorders>
            <w:vAlign w:val="center"/>
          </w:tcPr>
          <w:p w14:paraId="34CC058E">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B31在职人员控制率（1分）</w:t>
            </w:r>
          </w:p>
        </w:tc>
        <w:tc>
          <w:tcPr>
            <w:tcW w:w="521" w:type="dxa"/>
            <w:tcBorders>
              <w:top w:val="single" w:color="auto" w:sz="6" w:space="0"/>
              <w:left w:val="single" w:color="auto" w:sz="6" w:space="0"/>
              <w:bottom w:val="single" w:color="auto" w:sz="6" w:space="0"/>
              <w:right w:val="single" w:color="auto" w:sz="6" w:space="0"/>
            </w:tcBorders>
            <w:vAlign w:val="center"/>
          </w:tcPr>
          <w:p w14:paraId="12665D33">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600" w:type="dxa"/>
            <w:tcBorders>
              <w:top w:val="single" w:color="auto" w:sz="6" w:space="0"/>
              <w:left w:val="single" w:color="auto" w:sz="6" w:space="0"/>
              <w:bottom w:val="single" w:color="auto" w:sz="6" w:space="0"/>
              <w:right w:val="single" w:color="auto" w:sz="6" w:space="0"/>
            </w:tcBorders>
            <w:vAlign w:val="center"/>
          </w:tcPr>
          <w:p w14:paraId="2ABFD2AB">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2195" w:type="dxa"/>
            <w:tcBorders>
              <w:top w:val="single" w:color="auto" w:sz="6" w:space="0"/>
              <w:left w:val="single" w:color="auto" w:sz="6" w:space="0"/>
              <w:bottom w:val="single" w:color="auto" w:sz="6" w:space="0"/>
              <w:right w:val="single" w:color="auto" w:sz="6" w:space="0"/>
            </w:tcBorders>
            <w:vAlign w:val="center"/>
          </w:tcPr>
          <w:p w14:paraId="3ABAC4B3">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部门本年度实际在职人员数与编制数的比率，用以反映和考核部门对人员成本的控制程度。</w:t>
            </w:r>
          </w:p>
        </w:tc>
        <w:tc>
          <w:tcPr>
            <w:tcW w:w="2747" w:type="dxa"/>
            <w:tcBorders>
              <w:top w:val="single" w:color="auto" w:sz="6" w:space="0"/>
              <w:left w:val="single" w:color="auto" w:sz="6" w:space="0"/>
              <w:bottom w:val="single" w:color="auto" w:sz="6" w:space="0"/>
              <w:right w:val="single" w:color="auto" w:sz="6" w:space="0"/>
            </w:tcBorders>
            <w:vAlign w:val="center"/>
          </w:tcPr>
          <w:p w14:paraId="3BA9D1E6">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在职人员控制率=（在职人员数/编制数）×100%。在职人员数：部门（单位）实际在职人数，以财政部门确定的部门决算编制口径为准。编制数：机构编制部门核定批复的部门人员编制数。在职人员控制率≤100%得满分，有超出不得分。</w:t>
            </w:r>
          </w:p>
        </w:tc>
        <w:tc>
          <w:tcPr>
            <w:tcW w:w="1372" w:type="dxa"/>
            <w:tcBorders>
              <w:top w:val="single" w:color="auto" w:sz="6" w:space="0"/>
              <w:left w:val="single" w:color="auto" w:sz="6" w:space="0"/>
              <w:bottom w:val="single" w:color="auto" w:sz="6" w:space="0"/>
              <w:right w:val="single" w:color="auto" w:sz="6" w:space="0"/>
            </w:tcBorders>
            <w:vAlign w:val="center"/>
          </w:tcPr>
          <w:p w14:paraId="70CDD223">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部门编制数、在职人数、年内变化情况</w:t>
            </w:r>
          </w:p>
        </w:tc>
      </w:tr>
      <w:tr w14:paraId="44C1BDBB">
        <w:tblPrEx>
          <w:tblCellMar>
            <w:top w:w="0" w:type="dxa"/>
            <w:left w:w="30" w:type="dxa"/>
            <w:bottom w:w="0" w:type="dxa"/>
            <w:right w:w="30" w:type="dxa"/>
          </w:tblCellMar>
        </w:tblPrEx>
        <w:trPr>
          <w:trHeight w:val="972"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16EDF3A1">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405B37BA">
            <w:pPr>
              <w:autoSpaceDE w:val="0"/>
              <w:autoSpaceDN w:val="0"/>
              <w:adjustRightInd w:val="0"/>
              <w:rPr>
                <w:rFonts w:ascii="Times New Roman" w:hAnsi="Times New Roman" w:eastAsia="仿宋_GB2312" w:cs="Times New Roman"/>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vAlign w:val="center"/>
          </w:tcPr>
          <w:p w14:paraId="7B411D80">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B32人力资源管理执行情况（1分）</w:t>
            </w:r>
          </w:p>
        </w:tc>
        <w:tc>
          <w:tcPr>
            <w:tcW w:w="521" w:type="dxa"/>
            <w:tcBorders>
              <w:top w:val="single" w:color="auto" w:sz="6" w:space="0"/>
              <w:left w:val="single" w:color="auto" w:sz="6" w:space="0"/>
              <w:bottom w:val="single" w:color="auto" w:sz="6" w:space="0"/>
              <w:right w:val="single" w:color="auto" w:sz="6" w:space="0"/>
            </w:tcBorders>
            <w:vAlign w:val="center"/>
          </w:tcPr>
          <w:p w14:paraId="6DF20DA1">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600" w:type="dxa"/>
            <w:tcBorders>
              <w:top w:val="single" w:color="auto" w:sz="6" w:space="0"/>
              <w:left w:val="single" w:color="auto" w:sz="6" w:space="0"/>
              <w:bottom w:val="single" w:color="auto" w:sz="6" w:space="0"/>
              <w:right w:val="single" w:color="auto" w:sz="6" w:space="0"/>
            </w:tcBorders>
            <w:vAlign w:val="center"/>
          </w:tcPr>
          <w:p w14:paraId="6CBC6229">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0.8</w:t>
            </w:r>
          </w:p>
        </w:tc>
        <w:tc>
          <w:tcPr>
            <w:tcW w:w="2195" w:type="dxa"/>
            <w:tcBorders>
              <w:top w:val="single" w:color="auto" w:sz="6" w:space="0"/>
              <w:left w:val="single" w:color="auto" w:sz="6" w:space="0"/>
              <w:bottom w:val="single" w:color="auto" w:sz="6" w:space="0"/>
              <w:right w:val="single" w:color="auto" w:sz="6" w:space="0"/>
            </w:tcBorders>
            <w:vAlign w:val="center"/>
          </w:tcPr>
          <w:p w14:paraId="6625EB6F">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考察部门人力资源管理的健全性及执行规范性，包括在编、派遣、临时员工的管理，包括招聘、培训、工资发放及考核等。</w:t>
            </w:r>
          </w:p>
        </w:tc>
        <w:tc>
          <w:tcPr>
            <w:tcW w:w="2747" w:type="dxa"/>
            <w:tcBorders>
              <w:top w:val="single" w:color="auto" w:sz="6" w:space="0"/>
              <w:left w:val="single" w:color="auto" w:sz="6" w:space="0"/>
              <w:bottom w:val="single" w:color="auto" w:sz="6" w:space="0"/>
              <w:right w:val="single" w:color="auto" w:sz="6" w:space="0"/>
            </w:tcBorders>
            <w:vAlign w:val="center"/>
          </w:tcPr>
          <w:p w14:paraId="79FE25C4">
            <w:pPr>
              <w:autoSpaceDE w:val="0"/>
              <w:autoSpaceDN w:val="0"/>
              <w:adjustRightInd w:val="0"/>
              <w:rPr>
                <w:rFonts w:ascii="Times New Roman" w:hAnsi="Times New Roman" w:eastAsia="仿宋_GB2312" w:cs="Times New Roman"/>
                <w:color w:val="000000" w:themeColor="text1"/>
                <w:kern w:val="0"/>
                <w:szCs w:val="21"/>
              </w:rPr>
            </w:pPr>
            <w:r>
              <w:rPr>
                <w:rFonts w:hint="eastAsia" w:ascii="宋体" w:hAnsi="宋体" w:eastAsia="宋体" w:cs="宋体"/>
                <w:color w:val="000000" w:themeColor="text1"/>
                <w:kern w:val="0"/>
                <w:szCs w:val="21"/>
              </w:rPr>
              <w:t>①</w:t>
            </w:r>
            <w:r>
              <w:rPr>
                <w:rFonts w:ascii="Times New Roman" w:hAnsi="Times New Roman" w:eastAsia="仿宋_GB2312" w:cs="Times New Roman"/>
                <w:color w:val="000000" w:themeColor="text1"/>
                <w:kern w:val="0"/>
                <w:szCs w:val="21"/>
              </w:rPr>
              <w:t>有具体的人力资源管理制度文件或参照文件，得0.5分；</w:t>
            </w:r>
            <w:r>
              <w:rPr>
                <w:rFonts w:hint="eastAsia" w:ascii="宋体" w:hAnsi="宋体" w:eastAsia="宋体" w:cs="宋体"/>
                <w:color w:val="000000" w:themeColor="text1"/>
                <w:kern w:val="0"/>
                <w:szCs w:val="21"/>
              </w:rPr>
              <w:t>②</w:t>
            </w:r>
            <w:r>
              <w:rPr>
                <w:rFonts w:ascii="Times New Roman" w:hAnsi="Times New Roman" w:eastAsia="仿宋_GB2312" w:cs="Times New Roman"/>
                <w:color w:val="000000" w:themeColor="text1"/>
                <w:kern w:val="0"/>
                <w:szCs w:val="21"/>
              </w:rPr>
              <w:t>严格按照相关文件对各类型人员进行管理和考核，得0.5分</w:t>
            </w:r>
          </w:p>
        </w:tc>
        <w:tc>
          <w:tcPr>
            <w:tcW w:w="1372" w:type="dxa"/>
            <w:tcBorders>
              <w:top w:val="single" w:color="auto" w:sz="6" w:space="0"/>
              <w:left w:val="single" w:color="auto" w:sz="6" w:space="0"/>
              <w:bottom w:val="single" w:color="auto" w:sz="6" w:space="0"/>
              <w:right w:val="single" w:color="auto" w:sz="6" w:space="0"/>
            </w:tcBorders>
            <w:vAlign w:val="center"/>
          </w:tcPr>
          <w:p w14:paraId="3FC22FE4">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人力资源管理相关文件及实施情况</w:t>
            </w:r>
          </w:p>
        </w:tc>
      </w:tr>
      <w:tr w14:paraId="3A43F416">
        <w:tblPrEx>
          <w:tblCellMar>
            <w:top w:w="0" w:type="dxa"/>
            <w:left w:w="30" w:type="dxa"/>
            <w:bottom w:w="0" w:type="dxa"/>
            <w:right w:w="30" w:type="dxa"/>
          </w:tblCellMar>
        </w:tblPrEx>
        <w:trPr>
          <w:trHeight w:val="1128"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75603B81">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6FD53C7F">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B4资产管理（2分）</w:t>
            </w:r>
          </w:p>
        </w:tc>
        <w:tc>
          <w:tcPr>
            <w:tcW w:w="1336" w:type="dxa"/>
            <w:tcBorders>
              <w:top w:val="single" w:color="auto" w:sz="6" w:space="0"/>
              <w:left w:val="single" w:color="auto" w:sz="6" w:space="0"/>
              <w:bottom w:val="single" w:color="auto" w:sz="6" w:space="0"/>
              <w:right w:val="single" w:color="auto" w:sz="6" w:space="0"/>
            </w:tcBorders>
            <w:vAlign w:val="center"/>
          </w:tcPr>
          <w:p w14:paraId="72869D19">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B41资产管理制度健全性及执行情况（1分）</w:t>
            </w:r>
          </w:p>
        </w:tc>
        <w:tc>
          <w:tcPr>
            <w:tcW w:w="521" w:type="dxa"/>
            <w:tcBorders>
              <w:top w:val="single" w:color="auto" w:sz="6" w:space="0"/>
              <w:left w:val="single" w:color="auto" w:sz="6" w:space="0"/>
              <w:bottom w:val="single" w:color="auto" w:sz="6" w:space="0"/>
              <w:right w:val="single" w:color="auto" w:sz="6" w:space="0"/>
            </w:tcBorders>
            <w:vAlign w:val="center"/>
          </w:tcPr>
          <w:p w14:paraId="54B02801">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600" w:type="dxa"/>
            <w:tcBorders>
              <w:top w:val="single" w:color="auto" w:sz="6" w:space="0"/>
              <w:left w:val="single" w:color="auto" w:sz="6" w:space="0"/>
              <w:bottom w:val="single" w:color="auto" w:sz="6" w:space="0"/>
              <w:right w:val="single" w:color="auto" w:sz="6" w:space="0"/>
            </w:tcBorders>
            <w:vAlign w:val="center"/>
          </w:tcPr>
          <w:p w14:paraId="2C3CCD01">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2195" w:type="dxa"/>
            <w:tcBorders>
              <w:top w:val="single" w:color="auto" w:sz="6" w:space="0"/>
              <w:left w:val="single" w:color="auto" w:sz="6" w:space="0"/>
              <w:bottom w:val="single" w:color="auto" w:sz="6" w:space="0"/>
              <w:right w:val="single" w:color="auto" w:sz="6" w:space="0"/>
            </w:tcBorders>
            <w:vAlign w:val="center"/>
          </w:tcPr>
          <w:p w14:paraId="62E092F9">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部门为加强资产管理、规范资产使用而制定的资产管理制度是否健全完整，用以反映和考核部门资产管理制度对完成主要职责或促进事业发展的保障情况。</w:t>
            </w:r>
          </w:p>
        </w:tc>
        <w:tc>
          <w:tcPr>
            <w:tcW w:w="2747" w:type="dxa"/>
            <w:tcBorders>
              <w:top w:val="single" w:color="auto" w:sz="6" w:space="0"/>
              <w:left w:val="single" w:color="auto" w:sz="6" w:space="0"/>
              <w:bottom w:val="single" w:color="auto" w:sz="6" w:space="0"/>
              <w:right w:val="single" w:color="auto" w:sz="6" w:space="0"/>
            </w:tcBorders>
            <w:vAlign w:val="center"/>
          </w:tcPr>
          <w:p w14:paraId="5CE6B8A8">
            <w:pPr>
              <w:autoSpaceDE w:val="0"/>
              <w:autoSpaceDN w:val="0"/>
              <w:adjustRightInd w:val="0"/>
              <w:rPr>
                <w:rFonts w:ascii="Times New Roman" w:hAnsi="Times New Roman" w:eastAsia="仿宋_GB2312" w:cs="Times New Roman"/>
                <w:color w:val="000000" w:themeColor="text1"/>
                <w:kern w:val="0"/>
                <w:szCs w:val="21"/>
              </w:rPr>
            </w:pPr>
            <w:r>
              <w:rPr>
                <w:rFonts w:hint="eastAsia" w:ascii="宋体" w:hAnsi="宋体" w:eastAsia="宋体" w:cs="宋体"/>
                <w:color w:val="000000" w:themeColor="text1"/>
                <w:kern w:val="0"/>
                <w:szCs w:val="21"/>
              </w:rPr>
              <w:t>①</w:t>
            </w:r>
            <w:r>
              <w:rPr>
                <w:rFonts w:ascii="Times New Roman" w:hAnsi="Times New Roman" w:eastAsia="仿宋_GB2312" w:cs="Times New Roman"/>
                <w:color w:val="000000" w:themeColor="text1"/>
                <w:kern w:val="0"/>
                <w:szCs w:val="21"/>
              </w:rPr>
              <w:t>是否已制定或具有固定资产管理办法、资产使用办法等管理制度，得0.25分；</w:t>
            </w:r>
            <w:r>
              <w:rPr>
                <w:rFonts w:hint="eastAsia" w:ascii="宋体" w:hAnsi="宋体" w:eastAsia="宋体" w:cs="宋体"/>
                <w:color w:val="000000" w:themeColor="text1"/>
                <w:kern w:val="0"/>
                <w:szCs w:val="21"/>
              </w:rPr>
              <w:t>②</w:t>
            </w:r>
            <w:r>
              <w:rPr>
                <w:rFonts w:ascii="Times New Roman" w:hAnsi="Times New Roman" w:eastAsia="仿宋_GB2312" w:cs="Times New Roman"/>
                <w:color w:val="000000" w:themeColor="text1"/>
                <w:kern w:val="0"/>
                <w:szCs w:val="21"/>
              </w:rPr>
              <w:t>相关管理制度是否合法、合规、完整，得0.25分；</w:t>
            </w:r>
            <w:r>
              <w:rPr>
                <w:rFonts w:hint="eastAsia" w:ascii="宋体" w:hAnsi="宋体" w:eastAsia="宋体" w:cs="宋体"/>
                <w:color w:val="000000" w:themeColor="text1"/>
                <w:kern w:val="0"/>
                <w:szCs w:val="21"/>
              </w:rPr>
              <w:t>③</w:t>
            </w:r>
            <w:r>
              <w:rPr>
                <w:rFonts w:ascii="Times New Roman" w:hAnsi="Times New Roman" w:eastAsia="仿宋_GB2312" w:cs="Times New Roman"/>
                <w:color w:val="000000" w:themeColor="text1"/>
                <w:kern w:val="0"/>
                <w:szCs w:val="21"/>
              </w:rPr>
              <w:t>相关管理制度是否得到有效执行，得0.5分。</w:t>
            </w:r>
          </w:p>
        </w:tc>
        <w:tc>
          <w:tcPr>
            <w:tcW w:w="1372" w:type="dxa"/>
            <w:tcBorders>
              <w:top w:val="single" w:color="auto" w:sz="6" w:space="0"/>
              <w:left w:val="single" w:color="auto" w:sz="6" w:space="0"/>
              <w:bottom w:val="single" w:color="auto" w:sz="6" w:space="0"/>
              <w:right w:val="single" w:color="auto" w:sz="6" w:space="0"/>
            </w:tcBorders>
            <w:vAlign w:val="center"/>
          </w:tcPr>
          <w:p w14:paraId="7A583895">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资产管理相关办法</w:t>
            </w:r>
          </w:p>
        </w:tc>
      </w:tr>
      <w:tr w14:paraId="18D68898">
        <w:tblPrEx>
          <w:tblCellMar>
            <w:top w:w="0" w:type="dxa"/>
            <w:left w:w="30" w:type="dxa"/>
            <w:bottom w:w="0" w:type="dxa"/>
            <w:right w:w="30" w:type="dxa"/>
          </w:tblCellMar>
        </w:tblPrEx>
        <w:trPr>
          <w:trHeight w:val="914"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302D8C20">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03194D2E">
            <w:pPr>
              <w:autoSpaceDE w:val="0"/>
              <w:autoSpaceDN w:val="0"/>
              <w:adjustRightInd w:val="0"/>
              <w:rPr>
                <w:rFonts w:ascii="Times New Roman" w:hAnsi="Times New Roman" w:eastAsia="仿宋_GB2312" w:cs="Times New Roman"/>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vAlign w:val="center"/>
          </w:tcPr>
          <w:p w14:paraId="37FDB679">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B42固定资产在用率（1分）</w:t>
            </w:r>
          </w:p>
        </w:tc>
        <w:tc>
          <w:tcPr>
            <w:tcW w:w="521" w:type="dxa"/>
            <w:tcBorders>
              <w:top w:val="single" w:color="auto" w:sz="6" w:space="0"/>
              <w:left w:val="single" w:color="auto" w:sz="6" w:space="0"/>
              <w:bottom w:val="single" w:color="auto" w:sz="6" w:space="0"/>
              <w:right w:val="single" w:color="auto" w:sz="6" w:space="0"/>
            </w:tcBorders>
            <w:vAlign w:val="center"/>
          </w:tcPr>
          <w:p w14:paraId="1F85DFD3">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600" w:type="dxa"/>
            <w:tcBorders>
              <w:top w:val="single" w:color="auto" w:sz="6" w:space="0"/>
              <w:left w:val="single" w:color="auto" w:sz="6" w:space="0"/>
              <w:bottom w:val="single" w:color="auto" w:sz="6" w:space="0"/>
              <w:right w:val="single" w:color="auto" w:sz="6" w:space="0"/>
            </w:tcBorders>
            <w:vAlign w:val="center"/>
          </w:tcPr>
          <w:p w14:paraId="1E8B72A3">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2195" w:type="dxa"/>
            <w:tcBorders>
              <w:top w:val="single" w:color="auto" w:sz="6" w:space="0"/>
              <w:left w:val="single" w:color="auto" w:sz="6" w:space="0"/>
              <w:bottom w:val="single" w:color="auto" w:sz="6" w:space="0"/>
              <w:right w:val="single" w:color="auto" w:sz="6" w:space="0"/>
            </w:tcBorders>
            <w:vAlign w:val="center"/>
          </w:tcPr>
          <w:p w14:paraId="278EDF5B">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部门实际在用固定资产总额与所有固定资产总额的比率，用以反映和考核部门固定资产使用效率及程度。</w:t>
            </w:r>
          </w:p>
        </w:tc>
        <w:tc>
          <w:tcPr>
            <w:tcW w:w="2747" w:type="dxa"/>
            <w:tcBorders>
              <w:top w:val="single" w:color="auto" w:sz="6" w:space="0"/>
              <w:left w:val="single" w:color="auto" w:sz="6" w:space="0"/>
              <w:bottom w:val="single" w:color="auto" w:sz="6" w:space="0"/>
              <w:right w:val="single" w:color="auto" w:sz="6" w:space="0"/>
            </w:tcBorders>
            <w:vAlign w:val="center"/>
          </w:tcPr>
          <w:p w14:paraId="20AA1B43">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固定资产在用率=（实际在用固定资产总额/所有固定资产总额）×100%。固定资产在用率达到95%以上得满分.每降低1%扣权重分（1分）的5%，扣完为止。</w:t>
            </w:r>
          </w:p>
        </w:tc>
        <w:tc>
          <w:tcPr>
            <w:tcW w:w="1372" w:type="dxa"/>
            <w:tcBorders>
              <w:top w:val="single" w:color="auto" w:sz="6" w:space="0"/>
              <w:left w:val="single" w:color="auto" w:sz="6" w:space="0"/>
              <w:bottom w:val="single" w:color="auto" w:sz="6" w:space="0"/>
              <w:right w:val="single" w:color="auto" w:sz="6" w:space="0"/>
            </w:tcBorders>
            <w:vAlign w:val="center"/>
          </w:tcPr>
          <w:p w14:paraId="2AC6DC40">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固定资产卡片、固定资产使用信息等</w:t>
            </w:r>
          </w:p>
        </w:tc>
      </w:tr>
      <w:tr w14:paraId="5A99E0F4">
        <w:tblPrEx>
          <w:tblCellMar>
            <w:top w:w="0" w:type="dxa"/>
            <w:left w:w="30" w:type="dxa"/>
            <w:bottom w:w="0" w:type="dxa"/>
            <w:right w:w="30" w:type="dxa"/>
          </w:tblCellMar>
        </w:tblPrEx>
        <w:trPr>
          <w:trHeight w:val="111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484B7E64">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14454892">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B5业务管理（3分）</w:t>
            </w:r>
          </w:p>
        </w:tc>
        <w:tc>
          <w:tcPr>
            <w:tcW w:w="1336" w:type="dxa"/>
            <w:tcBorders>
              <w:top w:val="single" w:color="auto" w:sz="6" w:space="0"/>
              <w:left w:val="single" w:color="auto" w:sz="6" w:space="0"/>
              <w:bottom w:val="single" w:color="auto" w:sz="6" w:space="0"/>
              <w:right w:val="single" w:color="auto" w:sz="6" w:space="0"/>
            </w:tcBorders>
            <w:vAlign w:val="center"/>
          </w:tcPr>
          <w:p w14:paraId="07FD22A9">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B51业务管理制度健全性及执行情况（1分）</w:t>
            </w:r>
          </w:p>
        </w:tc>
        <w:tc>
          <w:tcPr>
            <w:tcW w:w="521" w:type="dxa"/>
            <w:tcBorders>
              <w:top w:val="single" w:color="auto" w:sz="6" w:space="0"/>
              <w:left w:val="single" w:color="auto" w:sz="6" w:space="0"/>
              <w:bottom w:val="single" w:color="auto" w:sz="6" w:space="0"/>
              <w:right w:val="single" w:color="auto" w:sz="6" w:space="0"/>
            </w:tcBorders>
            <w:vAlign w:val="center"/>
          </w:tcPr>
          <w:p w14:paraId="204353B7">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600" w:type="dxa"/>
            <w:tcBorders>
              <w:top w:val="single" w:color="auto" w:sz="6" w:space="0"/>
              <w:left w:val="single" w:color="auto" w:sz="6" w:space="0"/>
              <w:bottom w:val="single" w:color="auto" w:sz="6" w:space="0"/>
              <w:right w:val="single" w:color="auto" w:sz="6" w:space="0"/>
            </w:tcBorders>
            <w:vAlign w:val="center"/>
          </w:tcPr>
          <w:p w14:paraId="6D03CD75">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0.9</w:t>
            </w:r>
          </w:p>
        </w:tc>
        <w:tc>
          <w:tcPr>
            <w:tcW w:w="2195" w:type="dxa"/>
            <w:tcBorders>
              <w:top w:val="single" w:color="auto" w:sz="6" w:space="0"/>
              <w:left w:val="single" w:color="auto" w:sz="6" w:space="0"/>
              <w:bottom w:val="single" w:color="auto" w:sz="6" w:space="0"/>
              <w:right w:val="single" w:color="auto" w:sz="6" w:space="0"/>
            </w:tcBorders>
            <w:vAlign w:val="center"/>
          </w:tcPr>
          <w:p w14:paraId="1A9B7ED4">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部门为加强业务管理、规范业务执行而制定的管理制度是否健全完整，用以反映和考核部门业务管理制度对完成主要职责或促进事业发展的保障情况。</w:t>
            </w:r>
          </w:p>
        </w:tc>
        <w:tc>
          <w:tcPr>
            <w:tcW w:w="2747" w:type="dxa"/>
            <w:tcBorders>
              <w:top w:val="single" w:color="auto" w:sz="6" w:space="0"/>
              <w:left w:val="single" w:color="auto" w:sz="6" w:space="0"/>
              <w:bottom w:val="single" w:color="auto" w:sz="6" w:space="0"/>
              <w:right w:val="single" w:color="auto" w:sz="6" w:space="0"/>
            </w:tcBorders>
            <w:vAlign w:val="center"/>
          </w:tcPr>
          <w:p w14:paraId="18A4FF64">
            <w:pPr>
              <w:autoSpaceDE w:val="0"/>
              <w:autoSpaceDN w:val="0"/>
              <w:adjustRightInd w:val="0"/>
              <w:rPr>
                <w:rFonts w:ascii="Times New Roman" w:hAnsi="Times New Roman" w:eastAsia="仿宋_GB2312" w:cs="Times New Roman"/>
                <w:color w:val="000000" w:themeColor="text1"/>
                <w:kern w:val="0"/>
                <w:szCs w:val="21"/>
              </w:rPr>
            </w:pPr>
            <w:r>
              <w:rPr>
                <w:rFonts w:hint="eastAsia" w:ascii="宋体" w:hAnsi="宋体" w:eastAsia="宋体" w:cs="宋体"/>
                <w:color w:val="000000" w:themeColor="text1"/>
                <w:kern w:val="0"/>
                <w:szCs w:val="21"/>
              </w:rPr>
              <w:t>①</w:t>
            </w:r>
            <w:r>
              <w:rPr>
                <w:rFonts w:ascii="Times New Roman" w:hAnsi="Times New Roman" w:eastAsia="仿宋_GB2312" w:cs="Times New Roman"/>
                <w:color w:val="000000" w:themeColor="text1"/>
                <w:kern w:val="0"/>
                <w:szCs w:val="21"/>
              </w:rPr>
              <w:t>已制定或具有业务管理、项目管理等管理制度，得0.25分；</w:t>
            </w:r>
            <w:r>
              <w:rPr>
                <w:rFonts w:hint="eastAsia" w:ascii="宋体" w:hAnsi="宋体" w:eastAsia="宋体" w:cs="宋体"/>
                <w:color w:val="000000" w:themeColor="text1"/>
                <w:kern w:val="0"/>
                <w:szCs w:val="21"/>
              </w:rPr>
              <w:t>②</w:t>
            </w:r>
            <w:r>
              <w:rPr>
                <w:rFonts w:ascii="Times New Roman" w:hAnsi="Times New Roman" w:eastAsia="仿宋_GB2312" w:cs="Times New Roman"/>
                <w:color w:val="000000" w:themeColor="text1"/>
                <w:kern w:val="0"/>
                <w:szCs w:val="21"/>
              </w:rPr>
              <w:t>相关管理制度合法、合规、完整，得0.25分；</w:t>
            </w:r>
            <w:r>
              <w:rPr>
                <w:rFonts w:hint="eastAsia" w:ascii="宋体" w:hAnsi="宋体" w:eastAsia="宋体" w:cs="宋体"/>
                <w:color w:val="000000" w:themeColor="text1"/>
                <w:kern w:val="0"/>
                <w:szCs w:val="21"/>
              </w:rPr>
              <w:t>③</w:t>
            </w:r>
            <w:r>
              <w:rPr>
                <w:rFonts w:ascii="Times New Roman" w:hAnsi="Times New Roman" w:eastAsia="仿宋_GB2312" w:cs="Times New Roman"/>
                <w:color w:val="000000" w:themeColor="text1"/>
                <w:kern w:val="0"/>
                <w:szCs w:val="21"/>
              </w:rPr>
              <w:t>相关管理制度得到有效执行，得0.5分。</w:t>
            </w:r>
          </w:p>
        </w:tc>
        <w:tc>
          <w:tcPr>
            <w:tcW w:w="1372" w:type="dxa"/>
            <w:tcBorders>
              <w:top w:val="single" w:color="auto" w:sz="6" w:space="0"/>
              <w:left w:val="single" w:color="auto" w:sz="6" w:space="0"/>
              <w:bottom w:val="single" w:color="auto" w:sz="6" w:space="0"/>
              <w:right w:val="single" w:color="auto" w:sz="6" w:space="0"/>
            </w:tcBorders>
            <w:vAlign w:val="center"/>
          </w:tcPr>
          <w:p w14:paraId="3FBD9277">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业务管理相关办法及执行情况资料</w:t>
            </w:r>
          </w:p>
        </w:tc>
      </w:tr>
      <w:tr w14:paraId="26B9137D">
        <w:tblPrEx>
          <w:tblCellMar>
            <w:top w:w="0" w:type="dxa"/>
            <w:left w:w="30" w:type="dxa"/>
            <w:bottom w:w="0" w:type="dxa"/>
            <w:right w:w="30" w:type="dxa"/>
          </w:tblCellMar>
        </w:tblPrEx>
        <w:trPr>
          <w:trHeight w:val="612"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4F16A771">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353C84AD">
            <w:pPr>
              <w:autoSpaceDE w:val="0"/>
              <w:autoSpaceDN w:val="0"/>
              <w:adjustRightInd w:val="0"/>
              <w:rPr>
                <w:rFonts w:ascii="Times New Roman" w:hAnsi="Times New Roman" w:eastAsia="仿宋_GB2312" w:cs="Times New Roman"/>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vAlign w:val="center"/>
          </w:tcPr>
          <w:p w14:paraId="047993E1">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B52政府采购规范性（1分）</w:t>
            </w:r>
          </w:p>
        </w:tc>
        <w:tc>
          <w:tcPr>
            <w:tcW w:w="521" w:type="dxa"/>
            <w:tcBorders>
              <w:top w:val="single" w:color="auto" w:sz="6" w:space="0"/>
              <w:left w:val="single" w:color="auto" w:sz="6" w:space="0"/>
              <w:bottom w:val="single" w:color="auto" w:sz="6" w:space="0"/>
              <w:right w:val="single" w:color="auto" w:sz="6" w:space="0"/>
            </w:tcBorders>
            <w:vAlign w:val="center"/>
          </w:tcPr>
          <w:p w14:paraId="33804C4D">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600" w:type="dxa"/>
            <w:tcBorders>
              <w:top w:val="single" w:color="auto" w:sz="6" w:space="0"/>
              <w:left w:val="single" w:color="auto" w:sz="6" w:space="0"/>
              <w:bottom w:val="single" w:color="auto" w:sz="6" w:space="0"/>
              <w:right w:val="single" w:color="auto" w:sz="6" w:space="0"/>
            </w:tcBorders>
            <w:vAlign w:val="center"/>
          </w:tcPr>
          <w:p w14:paraId="6704F44D">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2195" w:type="dxa"/>
            <w:tcBorders>
              <w:top w:val="single" w:color="auto" w:sz="6" w:space="0"/>
              <w:left w:val="single" w:color="auto" w:sz="6" w:space="0"/>
              <w:bottom w:val="single" w:color="auto" w:sz="6" w:space="0"/>
              <w:right w:val="single" w:color="auto" w:sz="6" w:space="0"/>
            </w:tcBorders>
            <w:vAlign w:val="center"/>
          </w:tcPr>
          <w:p w14:paraId="175C0704">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考察政府采购项目的采购程序、采购方式的规范性</w:t>
            </w:r>
          </w:p>
        </w:tc>
        <w:tc>
          <w:tcPr>
            <w:tcW w:w="2747" w:type="dxa"/>
            <w:tcBorders>
              <w:top w:val="single" w:color="auto" w:sz="6" w:space="0"/>
              <w:left w:val="single" w:color="auto" w:sz="6" w:space="0"/>
              <w:bottom w:val="single" w:color="auto" w:sz="6" w:space="0"/>
              <w:right w:val="single" w:color="auto" w:sz="6" w:space="0"/>
            </w:tcBorders>
            <w:vAlign w:val="center"/>
          </w:tcPr>
          <w:p w14:paraId="1CE69C66">
            <w:pPr>
              <w:autoSpaceDE w:val="0"/>
              <w:autoSpaceDN w:val="0"/>
              <w:adjustRightInd w:val="0"/>
              <w:rPr>
                <w:rFonts w:ascii="Times New Roman" w:hAnsi="Times New Roman" w:eastAsia="仿宋_GB2312" w:cs="Times New Roman"/>
                <w:color w:val="000000" w:themeColor="text1"/>
                <w:kern w:val="0"/>
                <w:szCs w:val="21"/>
              </w:rPr>
            </w:pPr>
            <w:r>
              <w:rPr>
                <w:rFonts w:hint="eastAsia" w:ascii="宋体" w:hAnsi="宋体" w:eastAsia="宋体" w:cs="宋体"/>
                <w:color w:val="000000" w:themeColor="text1"/>
                <w:kern w:val="0"/>
                <w:szCs w:val="21"/>
              </w:rPr>
              <w:t>①</w:t>
            </w:r>
            <w:r>
              <w:rPr>
                <w:rFonts w:ascii="Times New Roman" w:hAnsi="Times New Roman" w:eastAsia="仿宋_GB2312" w:cs="Times New Roman"/>
                <w:color w:val="000000" w:themeColor="text1"/>
                <w:kern w:val="0"/>
                <w:szCs w:val="21"/>
              </w:rPr>
              <w:t>政府采购方式、程序都规范，得满分；</w:t>
            </w:r>
            <w:r>
              <w:rPr>
                <w:rFonts w:hint="eastAsia" w:ascii="宋体" w:hAnsi="宋体" w:eastAsia="宋体" w:cs="宋体"/>
                <w:color w:val="000000" w:themeColor="text1"/>
                <w:kern w:val="0"/>
                <w:szCs w:val="21"/>
              </w:rPr>
              <w:t>②</w:t>
            </w:r>
            <w:r>
              <w:rPr>
                <w:rFonts w:ascii="Times New Roman" w:hAnsi="Times New Roman" w:eastAsia="仿宋_GB2312" w:cs="Times New Roman"/>
                <w:color w:val="000000" w:themeColor="text1"/>
                <w:kern w:val="0"/>
                <w:szCs w:val="21"/>
              </w:rPr>
              <w:t>采购方式、程序中每有一点不规范，扣0.5分，扣完为止。</w:t>
            </w:r>
          </w:p>
        </w:tc>
        <w:tc>
          <w:tcPr>
            <w:tcW w:w="1372" w:type="dxa"/>
            <w:tcBorders>
              <w:top w:val="single" w:color="auto" w:sz="6" w:space="0"/>
              <w:left w:val="single" w:color="auto" w:sz="6" w:space="0"/>
              <w:bottom w:val="single" w:color="auto" w:sz="6" w:space="0"/>
              <w:right w:val="single" w:color="auto" w:sz="6" w:space="0"/>
            </w:tcBorders>
            <w:vAlign w:val="center"/>
          </w:tcPr>
          <w:p w14:paraId="1922B5A5">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政府采购相关资料</w:t>
            </w:r>
          </w:p>
        </w:tc>
      </w:tr>
      <w:tr w14:paraId="56EC1DB9">
        <w:tblPrEx>
          <w:tblCellMar>
            <w:top w:w="0" w:type="dxa"/>
            <w:left w:w="30" w:type="dxa"/>
            <w:bottom w:w="0" w:type="dxa"/>
            <w:right w:w="30" w:type="dxa"/>
          </w:tblCellMar>
        </w:tblPrEx>
        <w:trPr>
          <w:trHeight w:val="576"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73AFAD50">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3FA69FEE">
            <w:pPr>
              <w:autoSpaceDE w:val="0"/>
              <w:autoSpaceDN w:val="0"/>
              <w:adjustRightInd w:val="0"/>
              <w:rPr>
                <w:rFonts w:ascii="Times New Roman" w:hAnsi="Times New Roman" w:eastAsia="仿宋_GB2312" w:cs="Times New Roman"/>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vAlign w:val="center"/>
          </w:tcPr>
          <w:p w14:paraId="170F5D38">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B53监督考核情况（1分）</w:t>
            </w:r>
          </w:p>
        </w:tc>
        <w:tc>
          <w:tcPr>
            <w:tcW w:w="521" w:type="dxa"/>
            <w:tcBorders>
              <w:top w:val="single" w:color="auto" w:sz="6" w:space="0"/>
              <w:left w:val="single" w:color="auto" w:sz="6" w:space="0"/>
              <w:bottom w:val="single" w:color="auto" w:sz="6" w:space="0"/>
              <w:right w:val="single" w:color="auto" w:sz="6" w:space="0"/>
            </w:tcBorders>
            <w:vAlign w:val="center"/>
          </w:tcPr>
          <w:p w14:paraId="6CBC8B65">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1</w:t>
            </w:r>
          </w:p>
        </w:tc>
        <w:tc>
          <w:tcPr>
            <w:tcW w:w="600" w:type="dxa"/>
            <w:tcBorders>
              <w:top w:val="single" w:color="auto" w:sz="6" w:space="0"/>
              <w:left w:val="single" w:color="auto" w:sz="6" w:space="0"/>
              <w:bottom w:val="single" w:color="auto" w:sz="6" w:space="0"/>
              <w:right w:val="single" w:color="auto" w:sz="6" w:space="0"/>
            </w:tcBorders>
            <w:vAlign w:val="center"/>
          </w:tcPr>
          <w:p w14:paraId="09608B3A">
            <w:pPr>
              <w:autoSpaceDE w:val="0"/>
              <w:autoSpaceDN w:val="0"/>
              <w:adjustRightInd w:val="0"/>
              <w:jc w:val="center"/>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0.8</w:t>
            </w:r>
          </w:p>
        </w:tc>
        <w:tc>
          <w:tcPr>
            <w:tcW w:w="2195" w:type="dxa"/>
            <w:tcBorders>
              <w:top w:val="single" w:color="auto" w:sz="6" w:space="0"/>
              <w:left w:val="single" w:color="auto" w:sz="6" w:space="0"/>
              <w:bottom w:val="single" w:color="auto" w:sz="6" w:space="0"/>
              <w:right w:val="single" w:color="auto" w:sz="6" w:space="0"/>
            </w:tcBorders>
            <w:vAlign w:val="center"/>
          </w:tcPr>
          <w:p w14:paraId="6E6C36EE">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考察部门是否对各所属单位或项目实施主体进行工作监督和定期考核。</w:t>
            </w:r>
          </w:p>
        </w:tc>
        <w:tc>
          <w:tcPr>
            <w:tcW w:w="2747" w:type="dxa"/>
            <w:tcBorders>
              <w:top w:val="single" w:color="auto" w:sz="6" w:space="0"/>
              <w:left w:val="single" w:color="auto" w:sz="6" w:space="0"/>
              <w:bottom w:val="single" w:color="auto" w:sz="6" w:space="0"/>
              <w:right w:val="single" w:color="auto" w:sz="6" w:space="0"/>
            </w:tcBorders>
            <w:vAlign w:val="center"/>
          </w:tcPr>
          <w:p w14:paraId="0B9A629A">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有定期指导记录、考核结果，得1分，缺少项视情况酌情进行扣分。</w:t>
            </w:r>
          </w:p>
        </w:tc>
        <w:tc>
          <w:tcPr>
            <w:tcW w:w="1372" w:type="dxa"/>
            <w:tcBorders>
              <w:top w:val="single" w:color="auto" w:sz="6" w:space="0"/>
              <w:left w:val="single" w:color="auto" w:sz="6" w:space="0"/>
              <w:bottom w:val="single" w:color="auto" w:sz="6" w:space="0"/>
              <w:right w:val="single" w:color="auto" w:sz="6" w:space="0"/>
            </w:tcBorders>
            <w:vAlign w:val="center"/>
          </w:tcPr>
          <w:p w14:paraId="70B4E486">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监督考核记录等</w:t>
            </w:r>
          </w:p>
        </w:tc>
      </w:tr>
      <w:tr w14:paraId="3E642B49">
        <w:tblPrEx>
          <w:tblCellMar>
            <w:top w:w="0" w:type="dxa"/>
            <w:left w:w="30" w:type="dxa"/>
            <w:bottom w:w="0" w:type="dxa"/>
            <w:right w:w="30" w:type="dxa"/>
          </w:tblCellMar>
        </w:tblPrEx>
        <w:trPr>
          <w:trHeight w:val="1298" w:hRule="atLeast"/>
          <w:jc w:val="center"/>
        </w:trPr>
        <w:tc>
          <w:tcPr>
            <w:tcW w:w="551" w:type="dxa"/>
            <w:vMerge w:val="restart"/>
            <w:tcBorders>
              <w:top w:val="single" w:color="auto" w:sz="6" w:space="0"/>
              <w:left w:val="single" w:color="auto" w:sz="6" w:space="0"/>
              <w:right w:val="single" w:color="auto" w:sz="6" w:space="0"/>
            </w:tcBorders>
            <w:vAlign w:val="center"/>
          </w:tcPr>
          <w:p w14:paraId="3C4B0753">
            <w:pPr>
              <w:autoSpaceDE w:val="0"/>
              <w:autoSpaceDN w:val="0"/>
              <w:adjustRightInd w:val="0"/>
              <w:rPr>
                <w:rFonts w:ascii="Times New Roman" w:hAnsi="Times New Roman" w:eastAsia="仿宋_GB2312" w:cs="Times New Roman"/>
                <w:b/>
                <w:bCs/>
                <w:color w:val="000000" w:themeColor="text1"/>
                <w:kern w:val="0"/>
                <w:szCs w:val="21"/>
              </w:rPr>
            </w:pPr>
            <w:r>
              <w:rPr>
                <w:rFonts w:ascii="Times New Roman" w:hAnsi="Times New Roman" w:eastAsia="仿宋_GB2312" w:cs="Times New Roman"/>
                <w:b/>
                <w:bCs/>
                <w:color w:val="000000" w:themeColor="text1"/>
                <w:kern w:val="0"/>
                <w:szCs w:val="21"/>
              </w:rPr>
              <w:t>C部门绩效（45分）</w:t>
            </w:r>
          </w:p>
          <w:p w14:paraId="6F0622FB">
            <w:pPr>
              <w:autoSpaceDE w:val="0"/>
              <w:autoSpaceDN w:val="0"/>
              <w:adjustRightInd w:val="0"/>
              <w:rPr>
                <w:rFonts w:ascii="Times New Roman" w:hAnsi="Times New Roman" w:eastAsia="仿宋_GB2312" w:cs="Times New Roman"/>
                <w:b/>
                <w:bCs/>
                <w:color w:val="000000" w:themeColor="text1"/>
                <w:kern w:val="0"/>
                <w:szCs w:val="21"/>
              </w:rPr>
            </w:pPr>
            <w:r>
              <w:rPr>
                <w:rFonts w:ascii="Times New Roman" w:hAnsi="Times New Roman" w:eastAsia="仿宋_GB2312" w:cs="Times New Roman"/>
                <w:b/>
                <w:bCs/>
                <w:color w:val="000000" w:themeColor="text1"/>
                <w:kern w:val="0"/>
                <w:szCs w:val="21"/>
              </w:rPr>
              <w:t>）</w:t>
            </w:r>
          </w:p>
        </w:tc>
        <w:tc>
          <w:tcPr>
            <w:tcW w:w="650" w:type="dxa"/>
            <w:tcBorders>
              <w:top w:val="single" w:color="auto" w:sz="6" w:space="0"/>
              <w:left w:val="single" w:color="auto" w:sz="6" w:space="0"/>
              <w:bottom w:val="single" w:color="auto" w:sz="6" w:space="0"/>
              <w:right w:val="single" w:color="auto" w:sz="6" w:space="0"/>
            </w:tcBorders>
            <w:vAlign w:val="center"/>
          </w:tcPr>
          <w:p w14:paraId="06A6C9AC">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C1部门产出（18分）</w:t>
            </w:r>
          </w:p>
        </w:tc>
        <w:tc>
          <w:tcPr>
            <w:tcW w:w="1336" w:type="dxa"/>
            <w:tcBorders>
              <w:top w:val="single" w:color="auto" w:sz="6" w:space="0"/>
              <w:left w:val="single" w:color="auto" w:sz="6" w:space="0"/>
              <w:bottom w:val="single" w:color="auto" w:sz="6" w:space="0"/>
              <w:right w:val="single" w:color="auto" w:sz="6" w:space="0"/>
            </w:tcBorders>
            <w:vAlign w:val="center"/>
          </w:tcPr>
          <w:p w14:paraId="097041A6">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C101</w:t>
            </w:r>
            <w:r>
              <w:rPr>
                <w:rFonts w:hint="eastAsia" w:ascii="Times New Roman" w:hAnsi="Times New Roman" w:eastAsia="仿宋_GB2312" w:cs="Times New Roman"/>
                <w:color w:val="000000" w:themeColor="text1"/>
                <w:kern w:val="0"/>
                <w:szCs w:val="21"/>
              </w:rPr>
              <w:t>经济效益</w:t>
            </w:r>
            <w:r>
              <w:rPr>
                <w:rFonts w:ascii="Times New Roman" w:hAnsi="Times New Roman" w:eastAsia="仿宋_GB2312" w:cs="Times New Roman"/>
                <w:color w:val="000000" w:themeColor="text1"/>
                <w:kern w:val="0"/>
                <w:szCs w:val="21"/>
              </w:rPr>
              <w:t>完成情况（</w:t>
            </w:r>
            <w:r>
              <w:rPr>
                <w:rFonts w:hint="eastAsia" w:ascii="Times New Roman" w:hAnsi="Times New Roman" w:eastAsia="仿宋_GB2312" w:cs="Times New Roman"/>
                <w:color w:val="000000" w:themeColor="text1"/>
                <w:kern w:val="0"/>
                <w:szCs w:val="21"/>
              </w:rPr>
              <w:t>18</w:t>
            </w:r>
            <w:r>
              <w:rPr>
                <w:rFonts w:ascii="Times New Roman" w:hAnsi="Times New Roman" w:eastAsia="仿宋_GB2312" w:cs="Times New Roman"/>
                <w:color w:val="000000" w:themeColor="text1"/>
                <w:kern w:val="0"/>
                <w:szCs w:val="21"/>
              </w:rPr>
              <w:t>分）</w:t>
            </w:r>
          </w:p>
        </w:tc>
        <w:tc>
          <w:tcPr>
            <w:tcW w:w="521" w:type="dxa"/>
            <w:tcBorders>
              <w:top w:val="single" w:color="auto" w:sz="6" w:space="0"/>
              <w:left w:val="single" w:color="auto" w:sz="6" w:space="0"/>
              <w:bottom w:val="single" w:color="auto" w:sz="6" w:space="0"/>
              <w:right w:val="single" w:color="auto" w:sz="6" w:space="0"/>
            </w:tcBorders>
            <w:vAlign w:val="center"/>
          </w:tcPr>
          <w:p w14:paraId="5A63B560">
            <w:pPr>
              <w:autoSpaceDE w:val="0"/>
              <w:autoSpaceDN w:val="0"/>
              <w:adjustRightInd w:val="0"/>
              <w:jc w:val="center"/>
              <w:rPr>
                <w:rFonts w:ascii="Times New Roman" w:hAnsi="Times New Roman" w:eastAsia="仿宋_GB2312" w:cs="Times New Roman"/>
                <w:color w:val="000000" w:themeColor="text1"/>
                <w:kern w:val="0"/>
                <w:szCs w:val="21"/>
              </w:rPr>
            </w:pPr>
            <w:r>
              <w:rPr>
                <w:rFonts w:hint="eastAsia" w:ascii="Times New Roman" w:hAnsi="Times New Roman" w:eastAsia="仿宋_GB2312" w:cs="Times New Roman"/>
                <w:color w:val="000000" w:themeColor="text1"/>
                <w:kern w:val="0"/>
                <w:szCs w:val="21"/>
              </w:rPr>
              <w:t>18</w:t>
            </w:r>
          </w:p>
        </w:tc>
        <w:tc>
          <w:tcPr>
            <w:tcW w:w="600" w:type="dxa"/>
            <w:tcBorders>
              <w:top w:val="single" w:color="auto" w:sz="6" w:space="0"/>
              <w:left w:val="single" w:color="auto" w:sz="6" w:space="0"/>
              <w:bottom w:val="single" w:color="auto" w:sz="6" w:space="0"/>
              <w:right w:val="single" w:color="auto" w:sz="6" w:space="0"/>
            </w:tcBorders>
            <w:vAlign w:val="center"/>
          </w:tcPr>
          <w:p w14:paraId="7094E283">
            <w:pPr>
              <w:autoSpaceDE w:val="0"/>
              <w:autoSpaceDN w:val="0"/>
              <w:adjustRightInd w:val="0"/>
              <w:jc w:val="center"/>
              <w:rPr>
                <w:rFonts w:hint="default" w:ascii="Times New Roman" w:hAnsi="Times New Roman" w:eastAsia="仿宋_GB2312" w:cs="Times New Roman"/>
                <w:color w:val="000000" w:themeColor="text1"/>
                <w:kern w:val="0"/>
                <w:szCs w:val="21"/>
                <w:lang w:val="en-US" w:eastAsia="zh-CN"/>
              </w:rPr>
            </w:pPr>
            <w:r>
              <w:rPr>
                <w:rFonts w:hint="eastAsia" w:ascii="Times New Roman" w:hAnsi="Times New Roman" w:eastAsia="仿宋_GB2312" w:cs="Times New Roman"/>
                <w:color w:val="000000" w:themeColor="text1"/>
                <w:kern w:val="0"/>
                <w:szCs w:val="21"/>
                <w:lang w:val="en-US" w:eastAsia="zh-CN"/>
              </w:rPr>
              <w:t>16.5</w:t>
            </w:r>
          </w:p>
        </w:tc>
        <w:tc>
          <w:tcPr>
            <w:tcW w:w="2195" w:type="dxa"/>
            <w:tcBorders>
              <w:top w:val="single" w:color="auto" w:sz="6" w:space="0"/>
              <w:left w:val="single" w:color="auto" w:sz="6" w:space="0"/>
              <w:bottom w:val="single" w:color="auto" w:sz="6" w:space="0"/>
              <w:right w:val="single" w:color="auto" w:sz="6" w:space="0"/>
            </w:tcBorders>
            <w:vAlign w:val="center"/>
          </w:tcPr>
          <w:p w14:paraId="7186D10E">
            <w:pPr>
              <w:autoSpaceDE w:val="0"/>
              <w:autoSpaceDN w:val="0"/>
              <w:adjustRightInd w:val="0"/>
              <w:rPr>
                <w:rFonts w:ascii="仿宋_GB2312" w:hAnsi="Times New Roman" w:eastAsia="仿宋_GB2312" w:cs="Times New Roman"/>
                <w:color w:val="000000" w:themeColor="text1"/>
                <w:kern w:val="0"/>
                <w:szCs w:val="21"/>
              </w:rPr>
            </w:pPr>
            <w:r>
              <w:rPr>
                <w:rFonts w:hint="eastAsia" w:ascii="仿宋_GB2312" w:hAnsi="宋体" w:eastAsia="仿宋_GB2312" w:cs="宋体"/>
                <w:kern w:val="0"/>
                <w:szCs w:val="21"/>
              </w:rPr>
              <w:t>根据项目实际，标识所产生的直接或间接的经济效益</w:t>
            </w:r>
          </w:p>
        </w:tc>
        <w:tc>
          <w:tcPr>
            <w:tcW w:w="2747" w:type="dxa"/>
            <w:tcBorders>
              <w:top w:val="single" w:color="auto" w:sz="6" w:space="0"/>
              <w:left w:val="single" w:color="auto" w:sz="6" w:space="0"/>
              <w:bottom w:val="single" w:color="auto" w:sz="6" w:space="0"/>
              <w:right w:val="single" w:color="auto" w:sz="6" w:space="0"/>
            </w:tcBorders>
            <w:vAlign w:val="center"/>
          </w:tcPr>
          <w:p w14:paraId="6A00EDA4">
            <w:pPr>
              <w:autoSpaceDE w:val="0"/>
              <w:autoSpaceDN w:val="0"/>
              <w:adjustRightInd w:val="0"/>
              <w:rPr>
                <w:rFonts w:ascii="仿宋_GB2312" w:hAnsi="Times New Roman" w:eastAsia="仿宋_GB2312" w:cs="Times New Roman"/>
                <w:color w:val="000000" w:themeColor="text1"/>
                <w:kern w:val="0"/>
                <w:szCs w:val="21"/>
              </w:rPr>
            </w:pPr>
            <w:r>
              <w:rPr>
                <w:rFonts w:hint="eastAsia" w:ascii="仿宋_GB2312" w:hAnsi="宋体" w:eastAsia="仿宋_GB2312" w:cs="宋体"/>
                <w:kern w:val="0"/>
                <w:szCs w:val="21"/>
              </w:rPr>
              <w:t>对照绩效目标，按经济效益实现程度计算得分</w:t>
            </w:r>
          </w:p>
        </w:tc>
        <w:tc>
          <w:tcPr>
            <w:tcW w:w="1372" w:type="dxa"/>
            <w:tcBorders>
              <w:top w:val="single" w:color="auto" w:sz="6" w:space="0"/>
              <w:left w:val="single" w:color="auto" w:sz="6" w:space="0"/>
              <w:bottom w:val="single" w:color="auto" w:sz="6" w:space="0"/>
              <w:right w:val="single" w:color="auto" w:sz="6" w:space="0"/>
            </w:tcBorders>
            <w:vAlign w:val="center"/>
          </w:tcPr>
          <w:p w14:paraId="2F985BB4">
            <w:pPr>
              <w:autoSpaceDE w:val="0"/>
              <w:autoSpaceDN w:val="0"/>
              <w:adjustRightInd w:val="0"/>
              <w:rPr>
                <w:rFonts w:ascii="Times New Roman" w:hAnsi="Times New Roman" w:eastAsia="仿宋_GB2312" w:cs="Times New Roman"/>
                <w:color w:val="000000" w:themeColor="text1"/>
                <w:kern w:val="0"/>
                <w:szCs w:val="21"/>
              </w:rPr>
            </w:pPr>
            <w:r>
              <w:rPr>
                <w:rFonts w:hint="eastAsia" w:ascii="Times New Roman" w:hAnsi="Times New Roman" w:eastAsia="仿宋_GB2312" w:cs="Times New Roman"/>
                <w:color w:val="000000" w:themeColor="text1"/>
                <w:kern w:val="0"/>
                <w:szCs w:val="21"/>
              </w:rPr>
              <w:t>经济效益实施情况资料</w:t>
            </w:r>
          </w:p>
        </w:tc>
      </w:tr>
      <w:tr w14:paraId="42587C03">
        <w:tblPrEx>
          <w:tblCellMar>
            <w:top w:w="0" w:type="dxa"/>
            <w:left w:w="30" w:type="dxa"/>
            <w:bottom w:w="0" w:type="dxa"/>
            <w:right w:w="30" w:type="dxa"/>
          </w:tblCellMar>
        </w:tblPrEx>
        <w:trPr>
          <w:trHeight w:val="809" w:hRule="atLeast"/>
          <w:jc w:val="center"/>
        </w:trPr>
        <w:tc>
          <w:tcPr>
            <w:tcW w:w="551" w:type="dxa"/>
            <w:vMerge w:val="continue"/>
            <w:tcBorders>
              <w:left w:val="single" w:color="auto" w:sz="6" w:space="0"/>
              <w:right w:val="single" w:color="auto" w:sz="6" w:space="0"/>
            </w:tcBorders>
            <w:vAlign w:val="center"/>
          </w:tcPr>
          <w:p w14:paraId="1918CA67">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61B2A26E">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C1部门产出（</w:t>
            </w:r>
            <w:r>
              <w:rPr>
                <w:rFonts w:hint="eastAsia" w:ascii="Times New Roman" w:hAnsi="Times New Roman" w:eastAsia="仿宋_GB2312" w:cs="Times New Roman"/>
                <w:color w:val="000000" w:themeColor="text1"/>
                <w:kern w:val="0"/>
                <w:szCs w:val="21"/>
              </w:rPr>
              <w:t>9</w:t>
            </w:r>
            <w:r>
              <w:rPr>
                <w:rFonts w:ascii="Times New Roman" w:hAnsi="Times New Roman" w:eastAsia="仿宋_GB2312" w:cs="Times New Roman"/>
                <w:color w:val="000000" w:themeColor="text1"/>
                <w:kern w:val="0"/>
                <w:szCs w:val="21"/>
              </w:rPr>
              <w:t>分）</w:t>
            </w:r>
          </w:p>
        </w:tc>
        <w:tc>
          <w:tcPr>
            <w:tcW w:w="1336" w:type="dxa"/>
            <w:tcBorders>
              <w:top w:val="single" w:color="auto" w:sz="6" w:space="0"/>
              <w:left w:val="single" w:color="auto" w:sz="6" w:space="0"/>
              <w:bottom w:val="single" w:color="auto" w:sz="6" w:space="0"/>
              <w:right w:val="single" w:color="auto" w:sz="6" w:space="0"/>
            </w:tcBorders>
            <w:vAlign w:val="center"/>
          </w:tcPr>
          <w:p w14:paraId="527FC44A">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C102</w:t>
            </w:r>
            <w:r>
              <w:rPr>
                <w:rFonts w:hint="eastAsia" w:ascii="Times New Roman" w:hAnsi="Times New Roman" w:eastAsia="仿宋_GB2312" w:cs="Times New Roman"/>
                <w:color w:val="000000" w:themeColor="text1"/>
                <w:kern w:val="0"/>
                <w:szCs w:val="21"/>
              </w:rPr>
              <w:t>社会公众和服务对象满意度</w:t>
            </w:r>
            <w:r>
              <w:rPr>
                <w:rFonts w:ascii="Times New Roman" w:hAnsi="Times New Roman" w:eastAsia="仿宋_GB2312" w:cs="Times New Roman"/>
                <w:color w:val="000000" w:themeColor="text1"/>
                <w:kern w:val="0"/>
                <w:szCs w:val="21"/>
              </w:rPr>
              <w:t>（9分）</w:t>
            </w:r>
          </w:p>
        </w:tc>
        <w:tc>
          <w:tcPr>
            <w:tcW w:w="521" w:type="dxa"/>
            <w:tcBorders>
              <w:top w:val="single" w:color="auto" w:sz="6" w:space="0"/>
              <w:left w:val="single" w:color="auto" w:sz="6" w:space="0"/>
              <w:bottom w:val="single" w:color="auto" w:sz="6" w:space="0"/>
              <w:right w:val="single" w:color="auto" w:sz="6" w:space="0"/>
            </w:tcBorders>
            <w:vAlign w:val="center"/>
          </w:tcPr>
          <w:p w14:paraId="780EA450">
            <w:pPr>
              <w:autoSpaceDE w:val="0"/>
              <w:autoSpaceDN w:val="0"/>
              <w:adjustRightInd w:val="0"/>
              <w:jc w:val="center"/>
              <w:rPr>
                <w:rFonts w:ascii="Times New Roman" w:hAnsi="Times New Roman" w:eastAsia="仿宋_GB2312" w:cs="Times New Roman"/>
                <w:color w:val="000000" w:themeColor="text1"/>
                <w:kern w:val="0"/>
                <w:szCs w:val="21"/>
              </w:rPr>
            </w:pPr>
            <w:r>
              <w:rPr>
                <w:rFonts w:hint="eastAsia" w:ascii="Times New Roman" w:hAnsi="Times New Roman" w:eastAsia="仿宋_GB2312" w:cs="Times New Roman"/>
                <w:color w:val="000000" w:themeColor="text1"/>
                <w:kern w:val="0"/>
                <w:szCs w:val="21"/>
              </w:rPr>
              <w:t>9</w:t>
            </w:r>
          </w:p>
        </w:tc>
        <w:tc>
          <w:tcPr>
            <w:tcW w:w="600" w:type="dxa"/>
            <w:tcBorders>
              <w:top w:val="single" w:color="auto" w:sz="6" w:space="0"/>
              <w:left w:val="single" w:color="auto" w:sz="6" w:space="0"/>
              <w:bottom w:val="single" w:color="auto" w:sz="6" w:space="0"/>
              <w:right w:val="single" w:color="auto" w:sz="6" w:space="0"/>
            </w:tcBorders>
            <w:vAlign w:val="center"/>
          </w:tcPr>
          <w:p w14:paraId="1AE2FF7C">
            <w:pPr>
              <w:autoSpaceDE w:val="0"/>
              <w:autoSpaceDN w:val="0"/>
              <w:adjustRightInd w:val="0"/>
              <w:jc w:val="center"/>
              <w:rPr>
                <w:rFonts w:ascii="Times New Roman" w:hAnsi="Times New Roman" w:eastAsia="仿宋_GB2312" w:cs="Times New Roman"/>
                <w:color w:val="000000" w:themeColor="text1"/>
                <w:kern w:val="0"/>
                <w:szCs w:val="21"/>
              </w:rPr>
            </w:pPr>
            <w:r>
              <w:rPr>
                <w:rFonts w:hint="eastAsia" w:ascii="Times New Roman" w:hAnsi="Times New Roman" w:eastAsia="仿宋_GB2312" w:cs="Times New Roman"/>
                <w:color w:val="000000" w:themeColor="text1"/>
                <w:kern w:val="0"/>
                <w:szCs w:val="21"/>
              </w:rPr>
              <w:t>8.5</w:t>
            </w:r>
          </w:p>
        </w:tc>
        <w:tc>
          <w:tcPr>
            <w:tcW w:w="2195" w:type="dxa"/>
            <w:tcBorders>
              <w:top w:val="single" w:color="auto" w:sz="6" w:space="0"/>
              <w:left w:val="single" w:color="auto" w:sz="6" w:space="0"/>
              <w:bottom w:val="single" w:color="auto" w:sz="6" w:space="0"/>
              <w:right w:val="single" w:color="auto" w:sz="6" w:space="0"/>
            </w:tcBorders>
            <w:vAlign w:val="center"/>
          </w:tcPr>
          <w:p w14:paraId="3EB8C7C6">
            <w:pPr>
              <w:autoSpaceDE w:val="0"/>
              <w:autoSpaceDN w:val="0"/>
              <w:adjustRightInd w:val="0"/>
              <w:rPr>
                <w:rFonts w:ascii="仿宋_GB2312" w:hAnsi="Times New Roman" w:eastAsia="仿宋_GB2312" w:cs="Times New Roman"/>
                <w:color w:val="000000" w:themeColor="text1"/>
                <w:kern w:val="0"/>
                <w:szCs w:val="21"/>
              </w:rPr>
            </w:pPr>
            <w:r>
              <w:rPr>
                <w:rFonts w:hint="eastAsia" w:ascii="仿宋_GB2312" w:hAnsi="宋体" w:eastAsia="仿宋_GB2312" w:cs="宋体"/>
                <w:kern w:val="0"/>
                <w:szCs w:val="21"/>
              </w:rPr>
              <w:t>项目预期服务对象对项目实施的满意程度</w:t>
            </w:r>
          </w:p>
        </w:tc>
        <w:tc>
          <w:tcPr>
            <w:tcW w:w="2747" w:type="dxa"/>
            <w:tcBorders>
              <w:top w:val="single" w:color="auto" w:sz="6" w:space="0"/>
              <w:left w:val="single" w:color="auto" w:sz="6" w:space="0"/>
              <w:bottom w:val="single" w:color="auto" w:sz="6" w:space="0"/>
              <w:right w:val="single" w:color="auto" w:sz="6" w:space="0"/>
            </w:tcBorders>
            <w:vAlign w:val="center"/>
          </w:tcPr>
          <w:p w14:paraId="246A28FE">
            <w:pPr>
              <w:autoSpaceDE w:val="0"/>
              <w:autoSpaceDN w:val="0"/>
              <w:adjustRightInd w:val="0"/>
              <w:rPr>
                <w:rFonts w:ascii="仿宋_GB2312" w:hAnsi="Times New Roman" w:eastAsia="仿宋_GB2312" w:cs="Times New Roman"/>
                <w:color w:val="000000" w:themeColor="text1"/>
                <w:kern w:val="0"/>
                <w:szCs w:val="21"/>
              </w:rPr>
            </w:pPr>
            <w:r>
              <w:rPr>
                <w:rFonts w:hint="eastAsia" w:ascii="仿宋_GB2312" w:hAnsi="宋体" w:eastAsia="仿宋_GB2312" w:cs="宋体"/>
                <w:kern w:val="0"/>
                <w:szCs w:val="21"/>
              </w:rPr>
              <w:t>按收集到的项目服务对象的满意率计算得分</w:t>
            </w:r>
          </w:p>
        </w:tc>
        <w:tc>
          <w:tcPr>
            <w:tcW w:w="1372" w:type="dxa"/>
            <w:tcBorders>
              <w:top w:val="single" w:color="auto" w:sz="6" w:space="0"/>
              <w:left w:val="single" w:color="auto" w:sz="6" w:space="0"/>
              <w:bottom w:val="single" w:color="auto" w:sz="6" w:space="0"/>
              <w:right w:val="single" w:color="auto" w:sz="6" w:space="0"/>
            </w:tcBorders>
            <w:vAlign w:val="center"/>
          </w:tcPr>
          <w:p w14:paraId="704C3443">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政府采购项目实施情况资料</w:t>
            </w:r>
          </w:p>
        </w:tc>
      </w:tr>
      <w:tr w14:paraId="0FAD1EB8">
        <w:tblPrEx>
          <w:tblCellMar>
            <w:top w:w="0" w:type="dxa"/>
            <w:left w:w="30" w:type="dxa"/>
            <w:bottom w:w="0" w:type="dxa"/>
            <w:right w:w="30" w:type="dxa"/>
          </w:tblCellMar>
        </w:tblPrEx>
        <w:trPr>
          <w:trHeight w:val="1339" w:hRule="atLeast"/>
          <w:jc w:val="center"/>
        </w:trPr>
        <w:tc>
          <w:tcPr>
            <w:tcW w:w="551" w:type="dxa"/>
            <w:vMerge w:val="continue"/>
            <w:tcBorders>
              <w:left w:val="single" w:color="auto" w:sz="6" w:space="0"/>
              <w:bottom w:val="single" w:color="auto" w:sz="6" w:space="0"/>
              <w:right w:val="single" w:color="auto" w:sz="6" w:space="0"/>
            </w:tcBorders>
            <w:vAlign w:val="center"/>
          </w:tcPr>
          <w:p w14:paraId="1C965E25">
            <w:pPr>
              <w:autoSpaceDE w:val="0"/>
              <w:autoSpaceDN w:val="0"/>
              <w:adjustRightInd w:val="0"/>
              <w:rPr>
                <w:rFonts w:ascii="Times New Roman" w:hAnsi="Times New Roman" w:eastAsia="仿宋_GB2312" w:cs="Times New Roman"/>
                <w:b/>
                <w:bCs/>
                <w:color w:val="000000" w:themeColor="text1"/>
                <w:kern w:val="0"/>
                <w:szCs w:val="21"/>
              </w:rPr>
            </w:pPr>
          </w:p>
        </w:tc>
        <w:tc>
          <w:tcPr>
            <w:tcW w:w="650" w:type="dxa"/>
            <w:tcBorders>
              <w:top w:val="single" w:color="auto" w:sz="6" w:space="0"/>
              <w:left w:val="single" w:color="auto" w:sz="6" w:space="0"/>
              <w:bottom w:val="single" w:color="auto" w:sz="6" w:space="0"/>
              <w:right w:val="single" w:color="auto" w:sz="6" w:space="0"/>
            </w:tcBorders>
            <w:vAlign w:val="center"/>
          </w:tcPr>
          <w:p w14:paraId="217D5800">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C1部门产出（18分）</w:t>
            </w:r>
          </w:p>
        </w:tc>
        <w:tc>
          <w:tcPr>
            <w:tcW w:w="1336" w:type="dxa"/>
            <w:tcBorders>
              <w:top w:val="single" w:color="auto" w:sz="6" w:space="0"/>
              <w:left w:val="single" w:color="auto" w:sz="6" w:space="0"/>
              <w:bottom w:val="single" w:color="auto" w:sz="6" w:space="0"/>
              <w:right w:val="single" w:color="auto" w:sz="6" w:space="0"/>
            </w:tcBorders>
            <w:vAlign w:val="center"/>
          </w:tcPr>
          <w:p w14:paraId="0559A0C9">
            <w:pPr>
              <w:autoSpaceDE w:val="0"/>
              <w:autoSpaceDN w:val="0"/>
              <w:adjustRightInd w:val="0"/>
              <w:rPr>
                <w:rFonts w:ascii="Times New Roman" w:hAnsi="Times New Roman" w:eastAsia="仿宋_GB2312" w:cs="Times New Roman"/>
                <w:color w:val="000000" w:themeColor="text1"/>
                <w:kern w:val="0"/>
                <w:szCs w:val="21"/>
              </w:rPr>
            </w:pPr>
            <w:r>
              <w:rPr>
                <w:rFonts w:ascii="Times New Roman" w:hAnsi="Times New Roman" w:eastAsia="仿宋_GB2312" w:cs="Times New Roman"/>
                <w:color w:val="000000" w:themeColor="text1"/>
                <w:kern w:val="0"/>
                <w:szCs w:val="21"/>
              </w:rPr>
              <w:t>C103</w:t>
            </w:r>
            <w:r>
              <w:rPr>
                <w:rFonts w:hint="eastAsia" w:ascii="Times New Roman" w:hAnsi="Times New Roman" w:eastAsia="仿宋_GB2312" w:cs="Times New Roman"/>
                <w:color w:val="000000" w:themeColor="text1"/>
                <w:kern w:val="0"/>
                <w:szCs w:val="21"/>
              </w:rPr>
              <w:t>社会效益</w:t>
            </w:r>
            <w:r>
              <w:rPr>
                <w:rFonts w:ascii="Times New Roman" w:hAnsi="Times New Roman" w:eastAsia="仿宋_GB2312" w:cs="Times New Roman"/>
                <w:color w:val="000000" w:themeColor="text1"/>
                <w:kern w:val="0"/>
                <w:szCs w:val="21"/>
              </w:rPr>
              <w:t>完成情况（</w:t>
            </w:r>
            <w:r>
              <w:rPr>
                <w:rFonts w:hint="eastAsia" w:ascii="Times New Roman" w:hAnsi="Times New Roman" w:eastAsia="仿宋_GB2312" w:cs="Times New Roman"/>
                <w:color w:val="000000" w:themeColor="text1"/>
                <w:kern w:val="0"/>
                <w:szCs w:val="21"/>
              </w:rPr>
              <w:t>18</w:t>
            </w:r>
            <w:r>
              <w:rPr>
                <w:rFonts w:ascii="Times New Roman" w:hAnsi="Times New Roman" w:eastAsia="仿宋_GB2312" w:cs="Times New Roman"/>
                <w:color w:val="000000" w:themeColor="text1"/>
                <w:kern w:val="0"/>
                <w:szCs w:val="21"/>
              </w:rPr>
              <w:t>分）</w:t>
            </w:r>
          </w:p>
        </w:tc>
        <w:tc>
          <w:tcPr>
            <w:tcW w:w="521" w:type="dxa"/>
            <w:tcBorders>
              <w:top w:val="single" w:color="auto" w:sz="6" w:space="0"/>
              <w:left w:val="single" w:color="auto" w:sz="6" w:space="0"/>
              <w:bottom w:val="single" w:color="auto" w:sz="6" w:space="0"/>
              <w:right w:val="single" w:color="auto" w:sz="6" w:space="0"/>
            </w:tcBorders>
            <w:vAlign w:val="center"/>
          </w:tcPr>
          <w:p w14:paraId="527230C1">
            <w:pPr>
              <w:autoSpaceDE w:val="0"/>
              <w:autoSpaceDN w:val="0"/>
              <w:adjustRightInd w:val="0"/>
              <w:jc w:val="center"/>
              <w:rPr>
                <w:rFonts w:ascii="Times New Roman" w:hAnsi="Times New Roman" w:eastAsia="仿宋_GB2312" w:cs="Times New Roman"/>
                <w:color w:val="000000" w:themeColor="text1"/>
                <w:kern w:val="0"/>
                <w:szCs w:val="21"/>
              </w:rPr>
            </w:pPr>
            <w:r>
              <w:rPr>
                <w:rFonts w:hint="eastAsia" w:ascii="Times New Roman" w:hAnsi="Times New Roman" w:eastAsia="仿宋_GB2312" w:cs="Times New Roman"/>
                <w:color w:val="000000" w:themeColor="text1"/>
                <w:kern w:val="0"/>
                <w:szCs w:val="21"/>
              </w:rPr>
              <w:t>18</w:t>
            </w:r>
          </w:p>
        </w:tc>
        <w:tc>
          <w:tcPr>
            <w:tcW w:w="600" w:type="dxa"/>
            <w:tcBorders>
              <w:top w:val="single" w:color="auto" w:sz="6" w:space="0"/>
              <w:left w:val="single" w:color="auto" w:sz="6" w:space="0"/>
              <w:bottom w:val="single" w:color="auto" w:sz="6" w:space="0"/>
              <w:right w:val="single" w:color="auto" w:sz="6" w:space="0"/>
            </w:tcBorders>
            <w:vAlign w:val="center"/>
          </w:tcPr>
          <w:p w14:paraId="668CBD1D">
            <w:pPr>
              <w:autoSpaceDE w:val="0"/>
              <w:autoSpaceDN w:val="0"/>
              <w:adjustRightInd w:val="0"/>
              <w:jc w:val="center"/>
              <w:rPr>
                <w:rFonts w:hint="default" w:ascii="Times New Roman" w:hAnsi="Times New Roman" w:eastAsia="仿宋_GB2312" w:cs="Times New Roman"/>
                <w:color w:val="000000" w:themeColor="text1"/>
                <w:kern w:val="0"/>
                <w:szCs w:val="21"/>
                <w:lang w:val="en-US" w:eastAsia="zh-CN"/>
              </w:rPr>
            </w:pPr>
            <w:r>
              <w:rPr>
                <w:rFonts w:hint="eastAsia" w:ascii="Times New Roman" w:hAnsi="Times New Roman" w:eastAsia="仿宋_GB2312" w:cs="Times New Roman"/>
                <w:color w:val="000000" w:themeColor="text1"/>
                <w:kern w:val="0"/>
                <w:szCs w:val="21"/>
                <w:lang w:val="en-US" w:eastAsia="zh-CN"/>
              </w:rPr>
              <w:t>17.4</w:t>
            </w:r>
          </w:p>
        </w:tc>
        <w:tc>
          <w:tcPr>
            <w:tcW w:w="2195" w:type="dxa"/>
            <w:tcBorders>
              <w:top w:val="single" w:color="auto" w:sz="6" w:space="0"/>
              <w:left w:val="single" w:color="auto" w:sz="6" w:space="0"/>
              <w:bottom w:val="single" w:color="auto" w:sz="6" w:space="0"/>
              <w:right w:val="single" w:color="auto" w:sz="6" w:space="0"/>
            </w:tcBorders>
            <w:vAlign w:val="center"/>
          </w:tcPr>
          <w:p w14:paraId="2223E446">
            <w:pPr>
              <w:autoSpaceDE w:val="0"/>
              <w:autoSpaceDN w:val="0"/>
              <w:adjustRightInd w:val="0"/>
              <w:rPr>
                <w:rFonts w:ascii="仿宋_GB2312" w:hAnsi="Times New Roman" w:eastAsia="仿宋_GB2312" w:cs="Times New Roman"/>
                <w:color w:val="000000" w:themeColor="text1"/>
                <w:kern w:val="0"/>
                <w:szCs w:val="21"/>
              </w:rPr>
            </w:pPr>
            <w:r>
              <w:rPr>
                <w:rFonts w:hint="eastAsia" w:ascii="仿宋_GB2312" w:hAnsi="宋体" w:eastAsia="仿宋_GB2312" w:cs="宋体"/>
                <w:kern w:val="0"/>
                <w:szCs w:val="21"/>
              </w:rPr>
              <w:t>根据项目实际，标识所产生的社会效益</w:t>
            </w:r>
          </w:p>
        </w:tc>
        <w:tc>
          <w:tcPr>
            <w:tcW w:w="2747" w:type="dxa"/>
            <w:tcBorders>
              <w:top w:val="single" w:color="auto" w:sz="6" w:space="0"/>
              <w:left w:val="single" w:color="auto" w:sz="6" w:space="0"/>
              <w:bottom w:val="single" w:color="auto" w:sz="6" w:space="0"/>
              <w:right w:val="single" w:color="auto" w:sz="6" w:space="0"/>
            </w:tcBorders>
            <w:vAlign w:val="center"/>
          </w:tcPr>
          <w:p w14:paraId="23F88931">
            <w:pPr>
              <w:autoSpaceDE w:val="0"/>
              <w:autoSpaceDN w:val="0"/>
              <w:adjustRightInd w:val="0"/>
              <w:rPr>
                <w:rFonts w:ascii="仿宋_GB2312" w:hAnsi="Times New Roman" w:eastAsia="仿宋_GB2312" w:cs="Times New Roman"/>
                <w:color w:val="000000" w:themeColor="text1"/>
                <w:kern w:val="0"/>
                <w:szCs w:val="21"/>
              </w:rPr>
            </w:pPr>
            <w:r>
              <w:rPr>
                <w:rFonts w:hint="eastAsia" w:ascii="仿宋_GB2312" w:hAnsi="宋体" w:eastAsia="仿宋_GB2312" w:cs="宋体"/>
                <w:kern w:val="0"/>
                <w:szCs w:val="21"/>
              </w:rPr>
              <w:t>对照绩效目标，按社会效益实现程度计算得分</w:t>
            </w:r>
          </w:p>
        </w:tc>
        <w:tc>
          <w:tcPr>
            <w:tcW w:w="1372" w:type="dxa"/>
            <w:tcBorders>
              <w:top w:val="single" w:color="auto" w:sz="6" w:space="0"/>
              <w:left w:val="single" w:color="auto" w:sz="6" w:space="0"/>
              <w:bottom w:val="single" w:color="auto" w:sz="6" w:space="0"/>
              <w:right w:val="single" w:color="auto" w:sz="6" w:space="0"/>
            </w:tcBorders>
            <w:vAlign w:val="center"/>
          </w:tcPr>
          <w:p w14:paraId="0CA11A9F">
            <w:pPr>
              <w:autoSpaceDE w:val="0"/>
              <w:autoSpaceDN w:val="0"/>
              <w:adjustRightInd w:val="0"/>
              <w:rPr>
                <w:rFonts w:ascii="Times New Roman" w:hAnsi="Times New Roman" w:eastAsia="仿宋_GB2312" w:cs="Times New Roman"/>
                <w:color w:val="000000" w:themeColor="text1"/>
                <w:kern w:val="0"/>
                <w:szCs w:val="21"/>
              </w:rPr>
            </w:pPr>
            <w:r>
              <w:rPr>
                <w:rFonts w:hint="eastAsia" w:ascii="Times New Roman" w:hAnsi="Times New Roman" w:eastAsia="仿宋_GB2312" w:cs="Times New Roman"/>
                <w:color w:val="000000" w:themeColor="text1"/>
                <w:kern w:val="0"/>
                <w:szCs w:val="21"/>
              </w:rPr>
              <w:t>社会效益</w:t>
            </w:r>
            <w:r>
              <w:rPr>
                <w:rFonts w:ascii="Times New Roman" w:hAnsi="Times New Roman" w:eastAsia="仿宋_GB2312" w:cs="Times New Roman"/>
                <w:color w:val="000000" w:themeColor="text1"/>
                <w:kern w:val="0"/>
                <w:szCs w:val="21"/>
              </w:rPr>
              <w:t>情况资料</w:t>
            </w:r>
          </w:p>
        </w:tc>
      </w:tr>
      <w:tr w14:paraId="02B188AC">
        <w:tblPrEx>
          <w:tblCellMar>
            <w:top w:w="0" w:type="dxa"/>
            <w:left w:w="30" w:type="dxa"/>
            <w:bottom w:w="0" w:type="dxa"/>
            <w:right w:w="30" w:type="dxa"/>
          </w:tblCellMar>
        </w:tblPrEx>
        <w:trPr>
          <w:trHeight w:val="422" w:hRule="atLeast"/>
          <w:jc w:val="center"/>
        </w:trPr>
        <w:tc>
          <w:tcPr>
            <w:tcW w:w="551" w:type="dxa"/>
            <w:tcBorders>
              <w:top w:val="single" w:color="auto" w:sz="6" w:space="0"/>
              <w:left w:val="single" w:color="auto" w:sz="6" w:space="0"/>
              <w:bottom w:val="single" w:color="auto" w:sz="6" w:space="0"/>
              <w:right w:val="single" w:color="auto" w:sz="6" w:space="0"/>
            </w:tcBorders>
          </w:tcPr>
          <w:p w14:paraId="60CF8C83">
            <w:pPr>
              <w:autoSpaceDE w:val="0"/>
              <w:autoSpaceDN w:val="0"/>
              <w:adjustRightInd w:val="0"/>
              <w:jc w:val="center"/>
              <w:rPr>
                <w:rFonts w:ascii="Times New Roman" w:hAnsi="Times New Roman" w:eastAsia="仿宋_GB2312" w:cs="Times New Roman"/>
                <w:b/>
                <w:bCs/>
                <w:color w:val="000000" w:themeColor="text1"/>
                <w:kern w:val="0"/>
                <w:szCs w:val="21"/>
              </w:rPr>
            </w:pPr>
            <w:r>
              <w:rPr>
                <w:rFonts w:ascii="Times New Roman" w:hAnsi="Times New Roman" w:eastAsia="仿宋_GB2312" w:cs="Times New Roman"/>
                <w:b/>
                <w:bCs/>
                <w:color w:val="000000" w:themeColor="text1"/>
                <w:kern w:val="0"/>
                <w:szCs w:val="21"/>
              </w:rPr>
              <w:t>合计</w:t>
            </w:r>
          </w:p>
        </w:tc>
        <w:tc>
          <w:tcPr>
            <w:tcW w:w="650" w:type="dxa"/>
            <w:tcBorders>
              <w:top w:val="single" w:color="auto" w:sz="6" w:space="0"/>
              <w:left w:val="single" w:color="auto" w:sz="6" w:space="0"/>
              <w:bottom w:val="single" w:color="auto" w:sz="6" w:space="0"/>
              <w:right w:val="single" w:color="auto" w:sz="6" w:space="0"/>
            </w:tcBorders>
          </w:tcPr>
          <w:p w14:paraId="639586C1">
            <w:pPr>
              <w:autoSpaceDE w:val="0"/>
              <w:autoSpaceDN w:val="0"/>
              <w:adjustRightInd w:val="0"/>
              <w:jc w:val="center"/>
              <w:rPr>
                <w:rFonts w:ascii="Times New Roman" w:hAnsi="Times New Roman" w:eastAsia="仿宋_GB2312" w:cs="Times New Roman"/>
                <w:b/>
                <w:bCs/>
                <w:color w:val="000000" w:themeColor="text1"/>
                <w:kern w:val="0"/>
                <w:szCs w:val="21"/>
              </w:rPr>
            </w:pPr>
          </w:p>
        </w:tc>
        <w:tc>
          <w:tcPr>
            <w:tcW w:w="1336" w:type="dxa"/>
            <w:tcBorders>
              <w:top w:val="single" w:color="auto" w:sz="6" w:space="0"/>
              <w:left w:val="single" w:color="auto" w:sz="6" w:space="0"/>
              <w:bottom w:val="single" w:color="auto" w:sz="6" w:space="0"/>
              <w:right w:val="single" w:color="auto" w:sz="6" w:space="0"/>
            </w:tcBorders>
          </w:tcPr>
          <w:p w14:paraId="4DAE651A">
            <w:pPr>
              <w:autoSpaceDE w:val="0"/>
              <w:autoSpaceDN w:val="0"/>
              <w:adjustRightInd w:val="0"/>
              <w:jc w:val="center"/>
              <w:rPr>
                <w:rFonts w:ascii="Times New Roman" w:hAnsi="Times New Roman" w:eastAsia="仿宋_GB2312" w:cs="Times New Roman"/>
                <w:b/>
                <w:bCs/>
                <w:color w:val="000000" w:themeColor="text1"/>
                <w:kern w:val="0"/>
                <w:szCs w:val="21"/>
              </w:rPr>
            </w:pPr>
            <w:r>
              <w:rPr>
                <w:rFonts w:ascii="Times New Roman" w:hAnsi="Times New Roman" w:eastAsia="仿宋_GB2312" w:cs="Times New Roman"/>
                <w:b/>
                <w:bCs/>
                <w:color w:val="000000" w:themeColor="text1"/>
                <w:kern w:val="0"/>
                <w:szCs w:val="21"/>
              </w:rPr>
              <w:t>100分</w:t>
            </w:r>
          </w:p>
        </w:tc>
        <w:tc>
          <w:tcPr>
            <w:tcW w:w="521" w:type="dxa"/>
            <w:tcBorders>
              <w:top w:val="single" w:color="auto" w:sz="6" w:space="0"/>
              <w:left w:val="single" w:color="auto" w:sz="6" w:space="0"/>
              <w:bottom w:val="single" w:color="auto" w:sz="6" w:space="0"/>
              <w:right w:val="single" w:color="auto" w:sz="6" w:space="0"/>
            </w:tcBorders>
          </w:tcPr>
          <w:p w14:paraId="2D770C8E">
            <w:pPr>
              <w:autoSpaceDE w:val="0"/>
              <w:autoSpaceDN w:val="0"/>
              <w:adjustRightInd w:val="0"/>
              <w:jc w:val="center"/>
              <w:rPr>
                <w:rFonts w:ascii="Times New Roman" w:hAnsi="Times New Roman" w:eastAsia="仿宋_GB2312" w:cs="Times New Roman"/>
                <w:b/>
                <w:bCs/>
                <w:color w:val="000000" w:themeColor="text1"/>
                <w:kern w:val="0"/>
                <w:szCs w:val="21"/>
              </w:rPr>
            </w:pPr>
            <w:r>
              <w:rPr>
                <w:rFonts w:ascii="Times New Roman" w:hAnsi="Times New Roman" w:eastAsia="仿宋_GB2312" w:cs="Times New Roman"/>
                <w:b/>
                <w:bCs/>
                <w:color w:val="000000" w:themeColor="text1"/>
                <w:kern w:val="0"/>
                <w:szCs w:val="21"/>
              </w:rPr>
              <w:t>100</w:t>
            </w:r>
          </w:p>
        </w:tc>
        <w:tc>
          <w:tcPr>
            <w:tcW w:w="600" w:type="dxa"/>
            <w:tcBorders>
              <w:top w:val="single" w:color="auto" w:sz="6" w:space="0"/>
              <w:left w:val="single" w:color="auto" w:sz="6" w:space="0"/>
              <w:bottom w:val="single" w:color="auto" w:sz="6" w:space="0"/>
              <w:right w:val="single" w:color="auto" w:sz="6" w:space="0"/>
            </w:tcBorders>
          </w:tcPr>
          <w:p w14:paraId="43173A78">
            <w:pPr>
              <w:autoSpaceDE w:val="0"/>
              <w:autoSpaceDN w:val="0"/>
              <w:adjustRightInd w:val="0"/>
              <w:jc w:val="center"/>
              <w:rPr>
                <w:rFonts w:ascii="Times New Roman" w:hAnsi="Times New Roman" w:eastAsia="仿宋_GB2312" w:cs="Times New Roman"/>
                <w:b/>
                <w:bCs/>
                <w:color w:val="000000" w:themeColor="text1"/>
                <w:kern w:val="0"/>
                <w:szCs w:val="21"/>
              </w:rPr>
            </w:pPr>
            <w:r>
              <w:rPr>
                <w:rFonts w:hint="eastAsia" w:ascii="Times New Roman" w:hAnsi="Times New Roman" w:eastAsia="仿宋_GB2312" w:cs="Times New Roman"/>
                <w:b/>
                <w:bCs/>
                <w:color w:val="000000" w:themeColor="text1"/>
                <w:kern w:val="0"/>
                <w:szCs w:val="21"/>
              </w:rPr>
              <w:t>9</w:t>
            </w:r>
            <w:r>
              <w:rPr>
                <w:rFonts w:hint="eastAsia" w:ascii="Times New Roman" w:hAnsi="Times New Roman" w:eastAsia="仿宋_GB2312" w:cs="Times New Roman"/>
                <w:b/>
                <w:bCs/>
                <w:color w:val="000000" w:themeColor="text1"/>
                <w:kern w:val="0"/>
                <w:szCs w:val="21"/>
                <w:lang w:val="en-US" w:eastAsia="zh-CN"/>
              </w:rPr>
              <w:t>3</w:t>
            </w:r>
            <w:r>
              <w:rPr>
                <w:rFonts w:hint="eastAsia" w:ascii="Times New Roman" w:hAnsi="Times New Roman" w:eastAsia="仿宋_GB2312" w:cs="Times New Roman"/>
                <w:b/>
                <w:bCs/>
                <w:color w:val="000000" w:themeColor="text1"/>
                <w:kern w:val="0"/>
                <w:szCs w:val="21"/>
              </w:rPr>
              <w:t>.</w:t>
            </w:r>
            <w:r>
              <w:rPr>
                <w:rFonts w:hint="eastAsia" w:ascii="Times New Roman" w:hAnsi="Times New Roman" w:eastAsia="仿宋_GB2312" w:cs="Times New Roman"/>
                <w:b/>
                <w:bCs/>
                <w:color w:val="000000" w:themeColor="text1"/>
                <w:kern w:val="0"/>
                <w:szCs w:val="21"/>
                <w:lang w:val="en-US" w:eastAsia="zh-CN"/>
              </w:rPr>
              <w:t>5</w:t>
            </w:r>
            <w:r>
              <w:rPr>
                <w:rFonts w:hint="eastAsia" w:ascii="Times New Roman" w:hAnsi="Times New Roman" w:eastAsia="仿宋_GB2312" w:cs="Times New Roman"/>
                <w:b/>
                <w:bCs/>
                <w:color w:val="000000" w:themeColor="text1"/>
                <w:kern w:val="0"/>
                <w:szCs w:val="21"/>
              </w:rPr>
              <w:t>6</w:t>
            </w:r>
          </w:p>
        </w:tc>
        <w:tc>
          <w:tcPr>
            <w:tcW w:w="2195" w:type="dxa"/>
            <w:tcBorders>
              <w:top w:val="single" w:color="auto" w:sz="6" w:space="0"/>
              <w:left w:val="single" w:color="auto" w:sz="6" w:space="0"/>
              <w:bottom w:val="single" w:color="auto" w:sz="6" w:space="0"/>
              <w:right w:val="single" w:color="auto" w:sz="6" w:space="0"/>
            </w:tcBorders>
          </w:tcPr>
          <w:p w14:paraId="0459F0B5">
            <w:pPr>
              <w:autoSpaceDE w:val="0"/>
              <w:autoSpaceDN w:val="0"/>
              <w:adjustRightInd w:val="0"/>
              <w:jc w:val="left"/>
              <w:rPr>
                <w:rFonts w:ascii="Times New Roman" w:hAnsi="Times New Roman" w:eastAsia="仿宋_GB2312" w:cs="Times New Roman"/>
                <w:b/>
                <w:bCs/>
                <w:color w:val="000000" w:themeColor="text1"/>
                <w:kern w:val="0"/>
                <w:szCs w:val="21"/>
              </w:rPr>
            </w:pPr>
          </w:p>
        </w:tc>
        <w:tc>
          <w:tcPr>
            <w:tcW w:w="2747" w:type="dxa"/>
            <w:tcBorders>
              <w:top w:val="single" w:color="auto" w:sz="6" w:space="0"/>
              <w:left w:val="single" w:color="auto" w:sz="6" w:space="0"/>
              <w:bottom w:val="single" w:color="auto" w:sz="6" w:space="0"/>
              <w:right w:val="single" w:color="auto" w:sz="6" w:space="0"/>
            </w:tcBorders>
          </w:tcPr>
          <w:p w14:paraId="7E293E7B">
            <w:pPr>
              <w:autoSpaceDE w:val="0"/>
              <w:autoSpaceDN w:val="0"/>
              <w:adjustRightInd w:val="0"/>
              <w:jc w:val="left"/>
              <w:rPr>
                <w:rFonts w:ascii="Times New Roman" w:hAnsi="Times New Roman" w:eastAsia="仿宋_GB2312" w:cs="Times New Roman"/>
                <w:b/>
                <w:bCs/>
                <w:color w:val="000000" w:themeColor="text1"/>
                <w:kern w:val="0"/>
                <w:szCs w:val="21"/>
              </w:rPr>
            </w:pPr>
          </w:p>
        </w:tc>
        <w:tc>
          <w:tcPr>
            <w:tcW w:w="1372" w:type="dxa"/>
            <w:tcBorders>
              <w:top w:val="single" w:color="auto" w:sz="6" w:space="0"/>
              <w:left w:val="single" w:color="auto" w:sz="6" w:space="0"/>
              <w:bottom w:val="single" w:color="auto" w:sz="6" w:space="0"/>
              <w:right w:val="single" w:color="auto" w:sz="6" w:space="0"/>
            </w:tcBorders>
          </w:tcPr>
          <w:p w14:paraId="59E31288">
            <w:pPr>
              <w:autoSpaceDE w:val="0"/>
              <w:autoSpaceDN w:val="0"/>
              <w:adjustRightInd w:val="0"/>
              <w:jc w:val="left"/>
              <w:rPr>
                <w:rFonts w:ascii="Times New Roman" w:hAnsi="Times New Roman" w:eastAsia="仿宋_GB2312" w:cs="Times New Roman"/>
                <w:b/>
                <w:bCs/>
                <w:color w:val="000000" w:themeColor="text1"/>
                <w:kern w:val="0"/>
                <w:szCs w:val="21"/>
              </w:rPr>
            </w:pPr>
          </w:p>
        </w:tc>
      </w:tr>
    </w:tbl>
    <w:p w14:paraId="302993FC">
      <w:pPr>
        <w:spacing w:line="520" w:lineRule="exact"/>
        <w:ind w:left="630" w:hanging="630" w:hangingChars="300"/>
        <w:jc w:val="left"/>
        <w:rPr>
          <w:rFonts w:ascii="Times New Roman" w:hAnsi="Times New Roman" w:eastAsia="仿宋_GB2312" w:cs="Times New Roman"/>
          <w:color w:val="000000" w:themeColor="text1"/>
        </w:rPr>
      </w:pPr>
    </w:p>
    <w:p w14:paraId="49E79FAF">
      <w:pPr>
        <w:spacing w:line="520" w:lineRule="exact"/>
        <w:ind w:left="630" w:hanging="630" w:hangingChars="300"/>
        <w:jc w:val="left"/>
        <w:rPr>
          <w:rFonts w:ascii="Times New Roman" w:hAnsi="Times New Roman" w:eastAsia="仿宋_GB2312" w:cs="Times New Roman"/>
          <w:color w:val="000000" w:themeColor="text1"/>
        </w:rPr>
      </w:pPr>
    </w:p>
    <w:p w14:paraId="1A33D064">
      <w:pPr>
        <w:spacing w:line="520" w:lineRule="exact"/>
        <w:ind w:left="630" w:hanging="630" w:hangingChars="300"/>
        <w:jc w:val="left"/>
        <w:rPr>
          <w:rFonts w:ascii="Times New Roman" w:hAnsi="Times New Roman" w:eastAsia="仿宋_GB2312" w:cs="Times New Roman"/>
          <w:color w:val="000000" w:themeColor="text1"/>
        </w:rPr>
      </w:pPr>
    </w:p>
    <w:p w14:paraId="3D9D87E3">
      <w:pPr>
        <w:spacing w:line="520" w:lineRule="exact"/>
        <w:jc w:val="left"/>
        <w:rPr>
          <w:rFonts w:ascii="Times New Roman" w:hAnsi="Times New Roman" w:eastAsia="仿宋_GB2312" w:cs="Times New Roman"/>
          <w:color w:val="000000" w:themeColor="text1"/>
        </w:rPr>
      </w:pPr>
    </w:p>
    <w:p w14:paraId="69E12F2F">
      <w:pPr>
        <w:spacing w:line="520" w:lineRule="exact"/>
        <w:ind w:left="630" w:hanging="630" w:hangingChars="300"/>
        <w:jc w:val="left"/>
        <w:rPr>
          <w:rFonts w:ascii="Times New Roman" w:hAnsi="Times New Roman" w:eastAsia="仿宋_GB2312" w:cs="Times New Roman"/>
          <w:color w:val="000000" w:themeColor="text1"/>
        </w:rPr>
      </w:pPr>
    </w:p>
    <w:p w14:paraId="454794E8">
      <w:pPr>
        <w:pStyle w:val="2"/>
        <w:rPr>
          <w:rFonts w:ascii="Times New Roman" w:hAnsi="Times New Roman" w:eastAsia="仿宋_GB2312" w:cs="Times New Roman"/>
          <w:color w:val="000000" w:themeColor="text1"/>
        </w:rPr>
      </w:pPr>
    </w:p>
    <w:p w14:paraId="414833D5">
      <w:pPr>
        <w:pStyle w:val="2"/>
        <w:rPr>
          <w:rFonts w:ascii="Times New Roman" w:hAnsi="Times New Roman" w:eastAsia="仿宋_GB2312" w:cs="Times New Roman"/>
          <w:color w:val="000000" w:themeColor="text1"/>
        </w:rPr>
      </w:pPr>
    </w:p>
    <w:p w14:paraId="5354D3DE">
      <w:pPr>
        <w:pStyle w:val="2"/>
        <w:rPr>
          <w:rFonts w:ascii="Times New Roman" w:hAnsi="Times New Roman" w:eastAsia="仿宋_GB2312" w:cs="Times New Roman"/>
          <w:color w:val="000000" w:themeColor="text1"/>
        </w:rPr>
      </w:pPr>
    </w:p>
    <w:p w14:paraId="30711F9B">
      <w:pPr>
        <w:spacing w:line="520" w:lineRule="exact"/>
        <w:ind w:left="630" w:hanging="630" w:hangingChars="300"/>
        <w:jc w:val="left"/>
        <w:rPr>
          <w:rFonts w:ascii="Times New Roman" w:hAnsi="Times New Roman" w:eastAsia="仿宋_GB2312" w:cs="Times New Roman"/>
          <w:color w:val="000000" w:themeColor="text1"/>
        </w:rPr>
      </w:pPr>
    </w:p>
    <w:p w14:paraId="5EA7A5E4">
      <w:pPr>
        <w:spacing w:line="520" w:lineRule="exact"/>
        <w:ind w:left="630" w:hanging="630" w:hangingChars="300"/>
        <w:jc w:val="left"/>
        <w:rPr>
          <w:rFonts w:ascii="Times New Roman" w:hAnsi="Times New Roman" w:eastAsia="仿宋_GB2312" w:cs="Times New Roman"/>
          <w:color w:val="000000" w:themeColor="text1"/>
        </w:rPr>
      </w:pPr>
      <w:r>
        <w:rPr>
          <w:rFonts w:hint="eastAsia" w:ascii="Times New Roman" w:hAnsi="Times New Roman" w:eastAsia="仿宋_GB2312" w:cs="Times New Roman"/>
          <w:color w:val="000000" w:themeColor="text1"/>
        </w:rPr>
        <w:t>附件</w:t>
      </w:r>
      <w:r>
        <w:rPr>
          <w:rFonts w:ascii="Times New Roman" w:hAnsi="Times New Roman" w:eastAsia="仿宋_GB2312" w:cs="Times New Roman"/>
          <w:color w:val="000000" w:themeColor="text1"/>
        </w:rPr>
        <w:t>4</w:t>
      </w:r>
    </w:p>
    <w:p w14:paraId="0251E872">
      <w:pPr>
        <w:spacing w:line="520" w:lineRule="exact"/>
        <w:ind w:left="630" w:hanging="630" w:hangingChars="300"/>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寻甸回族彝族自治县</w:t>
      </w:r>
      <w:r>
        <w:rPr>
          <w:rFonts w:hint="eastAsia" w:ascii="Times New Roman" w:hAnsi="Times New Roman" w:eastAsia="仿宋_GB2312" w:cs="Times New Roman"/>
          <w:color w:val="000000" w:themeColor="text1"/>
        </w:rPr>
        <w:t>融媒体中心</w:t>
      </w:r>
      <w:r>
        <w:rPr>
          <w:rFonts w:hint="eastAsia" w:ascii="Times New Roman" w:hAnsi="Times New Roman" w:eastAsia="仿宋_GB2312" w:cs="Times New Roman"/>
          <w:color w:val="000000" w:themeColor="text1"/>
          <w:lang w:eastAsia="zh-CN"/>
        </w:rPr>
        <w:t>2023</w:t>
      </w:r>
      <w:r>
        <w:rPr>
          <w:rFonts w:ascii="Times New Roman" w:hAnsi="Times New Roman" w:eastAsia="仿宋_GB2312" w:cs="Times New Roman"/>
          <w:color w:val="000000" w:themeColor="text1"/>
        </w:rPr>
        <w:t>年部门整体支出绩效评价调查问卷（受益人群）</w:t>
      </w:r>
    </w:p>
    <w:p w14:paraId="6A333939">
      <w:pPr>
        <w:spacing w:line="520" w:lineRule="exact"/>
        <w:ind w:left="630" w:hanging="630" w:hangingChars="300"/>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发放问卷:50份  收回问卷：49份  有效问卷：49份</w:t>
      </w:r>
    </w:p>
    <w:tbl>
      <w:tblPr>
        <w:tblStyle w:val="8"/>
        <w:tblW w:w="9260" w:type="dxa"/>
        <w:jc w:val="center"/>
        <w:tblLayout w:type="autofit"/>
        <w:tblCellMar>
          <w:top w:w="0" w:type="dxa"/>
          <w:left w:w="108" w:type="dxa"/>
          <w:bottom w:w="0" w:type="dxa"/>
          <w:right w:w="108" w:type="dxa"/>
        </w:tblCellMar>
      </w:tblPr>
      <w:tblGrid>
        <w:gridCol w:w="940"/>
        <w:gridCol w:w="2820"/>
        <w:gridCol w:w="2460"/>
        <w:gridCol w:w="1380"/>
        <w:gridCol w:w="1660"/>
      </w:tblGrid>
      <w:tr w14:paraId="58C23ECE">
        <w:tblPrEx>
          <w:tblCellMar>
            <w:top w:w="0" w:type="dxa"/>
            <w:left w:w="108" w:type="dxa"/>
            <w:bottom w:w="0" w:type="dxa"/>
            <w:right w:w="108" w:type="dxa"/>
          </w:tblCellMar>
        </w:tblPrEx>
        <w:trPr>
          <w:trHeight w:val="27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E7A58">
            <w:pPr>
              <w:widowControl/>
              <w:jc w:val="center"/>
              <w:rPr>
                <w:rFonts w:ascii="Times New Roman" w:hAnsi="Times New Roman" w:eastAsia="仿宋" w:cs="Times New Roman"/>
                <w:b/>
                <w:bCs/>
                <w:color w:val="000000" w:themeColor="text1"/>
                <w:kern w:val="0"/>
                <w:szCs w:val="21"/>
              </w:rPr>
            </w:pPr>
            <w:r>
              <w:rPr>
                <w:rFonts w:ascii="Times New Roman" w:hAnsi="Times New Roman" w:eastAsia="仿宋" w:cs="Times New Roman"/>
                <w:b/>
                <w:bCs/>
                <w:color w:val="000000" w:themeColor="text1"/>
                <w:kern w:val="0"/>
                <w:szCs w:val="21"/>
              </w:rPr>
              <w:t>标题序号</w:t>
            </w:r>
          </w:p>
        </w:tc>
        <w:tc>
          <w:tcPr>
            <w:tcW w:w="2820" w:type="dxa"/>
            <w:tcBorders>
              <w:top w:val="single" w:color="auto" w:sz="4" w:space="0"/>
              <w:left w:val="nil"/>
              <w:bottom w:val="single" w:color="auto" w:sz="4" w:space="0"/>
              <w:right w:val="single" w:color="auto" w:sz="4" w:space="0"/>
            </w:tcBorders>
            <w:shd w:val="clear" w:color="auto" w:fill="auto"/>
            <w:vAlign w:val="center"/>
          </w:tcPr>
          <w:p w14:paraId="50FCF628">
            <w:pPr>
              <w:widowControl/>
              <w:jc w:val="center"/>
              <w:rPr>
                <w:rFonts w:ascii="Times New Roman" w:hAnsi="Times New Roman" w:eastAsia="仿宋" w:cs="Times New Roman"/>
                <w:b/>
                <w:bCs/>
                <w:color w:val="000000" w:themeColor="text1"/>
                <w:kern w:val="0"/>
                <w:szCs w:val="21"/>
              </w:rPr>
            </w:pPr>
            <w:r>
              <w:rPr>
                <w:rFonts w:ascii="Times New Roman" w:hAnsi="Times New Roman" w:eastAsia="仿宋" w:cs="Times New Roman"/>
                <w:b/>
                <w:bCs/>
                <w:color w:val="000000" w:themeColor="text1"/>
                <w:kern w:val="0"/>
                <w:szCs w:val="21"/>
              </w:rPr>
              <w:t>问题内容</w:t>
            </w:r>
          </w:p>
        </w:tc>
        <w:tc>
          <w:tcPr>
            <w:tcW w:w="2460" w:type="dxa"/>
            <w:tcBorders>
              <w:top w:val="single" w:color="auto" w:sz="4" w:space="0"/>
              <w:left w:val="nil"/>
              <w:bottom w:val="single" w:color="auto" w:sz="4" w:space="0"/>
              <w:right w:val="single" w:color="auto" w:sz="4" w:space="0"/>
            </w:tcBorders>
            <w:shd w:val="clear" w:color="auto" w:fill="auto"/>
            <w:vAlign w:val="center"/>
          </w:tcPr>
          <w:p w14:paraId="0998C528">
            <w:pPr>
              <w:widowControl/>
              <w:jc w:val="center"/>
              <w:rPr>
                <w:rFonts w:ascii="Times New Roman" w:hAnsi="Times New Roman" w:eastAsia="仿宋" w:cs="Times New Roman"/>
                <w:b/>
                <w:bCs/>
                <w:color w:val="000000" w:themeColor="text1"/>
                <w:kern w:val="0"/>
                <w:szCs w:val="21"/>
              </w:rPr>
            </w:pPr>
            <w:r>
              <w:rPr>
                <w:rFonts w:ascii="Times New Roman" w:hAnsi="Times New Roman" w:eastAsia="仿宋" w:cs="Times New Roman"/>
                <w:b/>
                <w:bCs/>
                <w:color w:val="000000" w:themeColor="text1"/>
                <w:kern w:val="0"/>
                <w:szCs w:val="21"/>
              </w:rPr>
              <w:t>选项内容</w:t>
            </w:r>
          </w:p>
        </w:tc>
        <w:tc>
          <w:tcPr>
            <w:tcW w:w="1380" w:type="dxa"/>
            <w:tcBorders>
              <w:top w:val="single" w:color="auto" w:sz="4" w:space="0"/>
              <w:left w:val="nil"/>
              <w:bottom w:val="single" w:color="auto" w:sz="4" w:space="0"/>
              <w:right w:val="single" w:color="auto" w:sz="4" w:space="0"/>
            </w:tcBorders>
            <w:shd w:val="clear" w:color="auto" w:fill="auto"/>
            <w:vAlign w:val="center"/>
          </w:tcPr>
          <w:p w14:paraId="2A2BE4B5">
            <w:pPr>
              <w:widowControl/>
              <w:jc w:val="center"/>
              <w:rPr>
                <w:rFonts w:ascii="Times New Roman" w:hAnsi="Times New Roman" w:eastAsia="仿宋" w:cs="Times New Roman"/>
                <w:b/>
                <w:bCs/>
                <w:color w:val="000000" w:themeColor="text1"/>
                <w:kern w:val="0"/>
                <w:szCs w:val="21"/>
              </w:rPr>
            </w:pPr>
            <w:r>
              <w:rPr>
                <w:rFonts w:ascii="Times New Roman" w:hAnsi="Times New Roman" w:eastAsia="仿宋" w:cs="Times New Roman"/>
                <w:b/>
                <w:bCs/>
                <w:color w:val="000000" w:themeColor="text1"/>
                <w:kern w:val="0"/>
                <w:szCs w:val="21"/>
              </w:rPr>
              <w:t>标准分值</w:t>
            </w:r>
          </w:p>
        </w:tc>
        <w:tc>
          <w:tcPr>
            <w:tcW w:w="1660" w:type="dxa"/>
            <w:tcBorders>
              <w:top w:val="single" w:color="auto" w:sz="4" w:space="0"/>
              <w:left w:val="nil"/>
              <w:bottom w:val="single" w:color="auto" w:sz="4" w:space="0"/>
              <w:right w:val="single" w:color="auto" w:sz="4" w:space="0"/>
            </w:tcBorders>
            <w:shd w:val="clear" w:color="auto" w:fill="auto"/>
            <w:vAlign w:val="center"/>
          </w:tcPr>
          <w:p w14:paraId="54278C73">
            <w:pPr>
              <w:widowControl/>
              <w:jc w:val="center"/>
              <w:rPr>
                <w:rFonts w:ascii="Times New Roman" w:hAnsi="Times New Roman" w:eastAsia="仿宋" w:cs="Times New Roman"/>
                <w:b/>
                <w:bCs/>
                <w:color w:val="000000" w:themeColor="text1"/>
                <w:kern w:val="0"/>
                <w:szCs w:val="21"/>
              </w:rPr>
            </w:pPr>
            <w:r>
              <w:rPr>
                <w:rFonts w:ascii="Times New Roman" w:hAnsi="Times New Roman" w:eastAsia="仿宋" w:cs="Times New Roman"/>
                <w:b/>
                <w:bCs/>
                <w:color w:val="000000" w:themeColor="text1"/>
                <w:kern w:val="0"/>
                <w:szCs w:val="21"/>
              </w:rPr>
              <w:t>融媒体中心问卷数</w:t>
            </w:r>
          </w:p>
        </w:tc>
      </w:tr>
      <w:tr w14:paraId="02BAB6A4">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46599550">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0771B365">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您认为该部门在深入基层调查研究情况方面做的如何？</w:t>
            </w:r>
          </w:p>
        </w:tc>
        <w:tc>
          <w:tcPr>
            <w:tcW w:w="2460" w:type="dxa"/>
            <w:tcBorders>
              <w:top w:val="nil"/>
              <w:left w:val="nil"/>
              <w:bottom w:val="single" w:color="auto" w:sz="4" w:space="0"/>
              <w:right w:val="single" w:color="auto" w:sz="4" w:space="0"/>
            </w:tcBorders>
            <w:shd w:val="clear" w:color="auto" w:fill="auto"/>
            <w:vAlign w:val="center"/>
          </w:tcPr>
          <w:p w14:paraId="2F615C5D">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 xml:space="preserve">A.经常到基层调研 </w:t>
            </w:r>
          </w:p>
        </w:tc>
        <w:tc>
          <w:tcPr>
            <w:tcW w:w="1380" w:type="dxa"/>
            <w:tcBorders>
              <w:top w:val="nil"/>
              <w:left w:val="nil"/>
              <w:bottom w:val="single" w:color="auto" w:sz="4" w:space="0"/>
              <w:right w:val="single" w:color="auto" w:sz="4" w:space="0"/>
            </w:tcBorders>
            <w:shd w:val="clear" w:color="auto" w:fill="auto"/>
            <w:vAlign w:val="center"/>
          </w:tcPr>
          <w:p w14:paraId="2A7B4513">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w:t>
            </w:r>
          </w:p>
        </w:tc>
        <w:tc>
          <w:tcPr>
            <w:tcW w:w="1660" w:type="dxa"/>
            <w:tcBorders>
              <w:top w:val="nil"/>
              <w:left w:val="nil"/>
              <w:bottom w:val="single" w:color="auto" w:sz="4" w:space="0"/>
              <w:right w:val="single" w:color="auto" w:sz="4" w:space="0"/>
            </w:tcBorders>
            <w:shd w:val="clear" w:color="auto" w:fill="auto"/>
            <w:vAlign w:val="center"/>
          </w:tcPr>
          <w:p w14:paraId="012E3D7B">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48</w:t>
            </w:r>
          </w:p>
        </w:tc>
      </w:tr>
      <w:tr w14:paraId="37E32BDE">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3B26885B">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7E3700C5">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vAlign w:val="center"/>
          </w:tcPr>
          <w:p w14:paraId="7389D076">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B.偶尔到基层调研</w:t>
            </w:r>
          </w:p>
        </w:tc>
        <w:tc>
          <w:tcPr>
            <w:tcW w:w="1380" w:type="dxa"/>
            <w:tcBorders>
              <w:top w:val="nil"/>
              <w:left w:val="nil"/>
              <w:bottom w:val="single" w:color="auto" w:sz="4" w:space="0"/>
              <w:right w:val="single" w:color="auto" w:sz="4" w:space="0"/>
            </w:tcBorders>
            <w:shd w:val="clear" w:color="auto" w:fill="auto"/>
            <w:vAlign w:val="center"/>
          </w:tcPr>
          <w:p w14:paraId="56F57614">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w:t>
            </w:r>
          </w:p>
        </w:tc>
        <w:tc>
          <w:tcPr>
            <w:tcW w:w="1660" w:type="dxa"/>
            <w:tcBorders>
              <w:top w:val="nil"/>
              <w:left w:val="nil"/>
              <w:bottom w:val="single" w:color="auto" w:sz="4" w:space="0"/>
              <w:right w:val="single" w:color="auto" w:sz="4" w:space="0"/>
            </w:tcBorders>
            <w:shd w:val="clear" w:color="auto" w:fill="auto"/>
            <w:vAlign w:val="center"/>
          </w:tcPr>
          <w:p w14:paraId="2D0F136B">
            <w:pPr>
              <w:widowControl/>
              <w:jc w:val="center"/>
              <w:rPr>
                <w:rFonts w:ascii="Times New Roman" w:hAnsi="Times New Roman" w:eastAsia="仿宋" w:cs="Times New Roman"/>
                <w:color w:val="000000" w:themeColor="text1"/>
                <w:kern w:val="0"/>
                <w:szCs w:val="21"/>
              </w:rPr>
            </w:pPr>
            <w:r>
              <w:rPr>
                <w:rFonts w:hint="eastAsia" w:ascii="Times New Roman" w:hAnsi="Times New Roman" w:eastAsia="仿宋" w:cs="Times New Roman"/>
                <w:color w:val="000000" w:themeColor="text1"/>
                <w:kern w:val="0"/>
                <w:szCs w:val="21"/>
              </w:rPr>
              <w:t>1</w:t>
            </w:r>
          </w:p>
        </w:tc>
      </w:tr>
      <w:tr w14:paraId="3AC19018">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341FA516">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5439E698">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vAlign w:val="center"/>
          </w:tcPr>
          <w:p w14:paraId="0A798F84">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 xml:space="preserve">C.从不到基层调研  </w:t>
            </w:r>
          </w:p>
        </w:tc>
        <w:tc>
          <w:tcPr>
            <w:tcW w:w="1380" w:type="dxa"/>
            <w:tcBorders>
              <w:top w:val="nil"/>
              <w:left w:val="nil"/>
              <w:bottom w:val="single" w:color="auto" w:sz="4" w:space="0"/>
              <w:right w:val="single" w:color="auto" w:sz="4" w:space="0"/>
            </w:tcBorders>
            <w:shd w:val="clear" w:color="auto" w:fill="auto"/>
            <w:vAlign w:val="center"/>
          </w:tcPr>
          <w:p w14:paraId="66B0A08D">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c>
          <w:tcPr>
            <w:tcW w:w="1660" w:type="dxa"/>
            <w:tcBorders>
              <w:top w:val="nil"/>
              <w:left w:val="nil"/>
              <w:bottom w:val="single" w:color="auto" w:sz="4" w:space="0"/>
              <w:right w:val="single" w:color="auto" w:sz="4" w:space="0"/>
            </w:tcBorders>
            <w:shd w:val="clear" w:color="auto" w:fill="auto"/>
            <w:vAlign w:val="center"/>
          </w:tcPr>
          <w:p w14:paraId="3457E35C">
            <w:pPr>
              <w:widowControl/>
              <w:jc w:val="center"/>
              <w:rPr>
                <w:rFonts w:ascii="Times New Roman" w:hAnsi="Times New Roman" w:eastAsia="仿宋" w:cs="Times New Roman"/>
                <w:color w:val="000000" w:themeColor="text1"/>
                <w:kern w:val="0"/>
                <w:szCs w:val="21"/>
              </w:rPr>
            </w:pPr>
            <w:r>
              <w:rPr>
                <w:rFonts w:hint="eastAsia" w:ascii="Times New Roman" w:hAnsi="Times New Roman" w:eastAsia="仿宋" w:cs="Times New Roman"/>
                <w:color w:val="000000" w:themeColor="text1"/>
                <w:kern w:val="0"/>
                <w:szCs w:val="21"/>
              </w:rPr>
              <w:t>0</w:t>
            </w:r>
          </w:p>
        </w:tc>
      </w:tr>
      <w:tr w14:paraId="50DB49C3">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3920DB84">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2</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6110C528">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 xml:space="preserve">您是否了解该部门收集群众意见的相关渠道？ </w:t>
            </w:r>
          </w:p>
        </w:tc>
        <w:tc>
          <w:tcPr>
            <w:tcW w:w="2460" w:type="dxa"/>
            <w:tcBorders>
              <w:top w:val="nil"/>
              <w:left w:val="nil"/>
              <w:bottom w:val="single" w:color="auto" w:sz="4" w:space="0"/>
              <w:right w:val="single" w:color="auto" w:sz="4" w:space="0"/>
            </w:tcBorders>
            <w:shd w:val="clear" w:color="auto" w:fill="auto"/>
            <w:vAlign w:val="center"/>
          </w:tcPr>
          <w:p w14:paraId="48169DD1">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 xml:space="preserve">A.多渠道反映 </w:t>
            </w:r>
          </w:p>
        </w:tc>
        <w:tc>
          <w:tcPr>
            <w:tcW w:w="1380" w:type="dxa"/>
            <w:tcBorders>
              <w:top w:val="nil"/>
              <w:left w:val="nil"/>
              <w:bottom w:val="single" w:color="auto" w:sz="4" w:space="0"/>
              <w:right w:val="single" w:color="auto" w:sz="4" w:space="0"/>
            </w:tcBorders>
            <w:shd w:val="clear" w:color="auto" w:fill="auto"/>
            <w:vAlign w:val="center"/>
          </w:tcPr>
          <w:p w14:paraId="0691EAEA">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w:t>
            </w:r>
          </w:p>
        </w:tc>
        <w:tc>
          <w:tcPr>
            <w:tcW w:w="1660" w:type="dxa"/>
            <w:tcBorders>
              <w:top w:val="nil"/>
              <w:left w:val="nil"/>
              <w:bottom w:val="single" w:color="auto" w:sz="4" w:space="0"/>
              <w:right w:val="single" w:color="auto" w:sz="4" w:space="0"/>
            </w:tcBorders>
            <w:shd w:val="clear" w:color="auto" w:fill="auto"/>
            <w:vAlign w:val="center"/>
          </w:tcPr>
          <w:p w14:paraId="200E1CA8">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49</w:t>
            </w:r>
          </w:p>
        </w:tc>
      </w:tr>
      <w:tr w14:paraId="0C8FD45A">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177263AD">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1CD2519A">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vAlign w:val="center"/>
          </w:tcPr>
          <w:p w14:paraId="2D715D9B">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 xml:space="preserve">B.单一渠道反映 </w:t>
            </w:r>
          </w:p>
        </w:tc>
        <w:tc>
          <w:tcPr>
            <w:tcW w:w="1380" w:type="dxa"/>
            <w:tcBorders>
              <w:top w:val="nil"/>
              <w:left w:val="nil"/>
              <w:bottom w:val="single" w:color="auto" w:sz="4" w:space="0"/>
              <w:right w:val="single" w:color="auto" w:sz="4" w:space="0"/>
            </w:tcBorders>
            <w:shd w:val="clear" w:color="auto" w:fill="auto"/>
            <w:vAlign w:val="center"/>
          </w:tcPr>
          <w:p w14:paraId="53A340DB">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w:t>
            </w:r>
          </w:p>
        </w:tc>
        <w:tc>
          <w:tcPr>
            <w:tcW w:w="1660" w:type="dxa"/>
            <w:tcBorders>
              <w:top w:val="nil"/>
              <w:left w:val="nil"/>
              <w:bottom w:val="single" w:color="auto" w:sz="4" w:space="0"/>
              <w:right w:val="single" w:color="auto" w:sz="4" w:space="0"/>
            </w:tcBorders>
            <w:shd w:val="clear" w:color="auto" w:fill="auto"/>
            <w:vAlign w:val="center"/>
          </w:tcPr>
          <w:p w14:paraId="0F3AADF7">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r>
      <w:tr w14:paraId="7247BD41">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39A9C6AC">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7F587372">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vAlign w:val="center"/>
          </w:tcPr>
          <w:p w14:paraId="505BD02B">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 xml:space="preserve">C.无渠道反映 </w:t>
            </w:r>
          </w:p>
        </w:tc>
        <w:tc>
          <w:tcPr>
            <w:tcW w:w="1380" w:type="dxa"/>
            <w:tcBorders>
              <w:top w:val="nil"/>
              <w:left w:val="nil"/>
              <w:bottom w:val="single" w:color="auto" w:sz="4" w:space="0"/>
              <w:right w:val="single" w:color="auto" w:sz="4" w:space="0"/>
            </w:tcBorders>
            <w:shd w:val="clear" w:color="auto" w:fill="auto"/>
            <w:vAlign w:val="center"/>
          </w:tcPr>
          <w:p w14:paraId="233D8263">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c>
          <w:tcPr>
            <w:tcW w:w="1660" w:type="dxa"/>
            <w:tcBorders>
              <w:top w:val="nil"/>
              <w:left w:val="nil"/>
              <w:bottom w:val="single" w:color="auto" w:sz="4" w:space="0"/>
              <w:right w:val="single" w:color="auto" w:sz="4" w:space="0"/>
            </w:tcBorders>
            <w:shd w:val="clear" w:color="auto" w:fill="auto"/>
            <w:vAlign w:val="center"/>
          </w:tcPr>
          <w:p w14:paraId="1091FF23">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r>
      <w:tr w14:paraId="6F427886">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6082BE03">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3</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30687420">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 xml:space="preserve">您向该部门反映的问题是否得到反馈？ </w:t>
            </w:r>
          </w:p>
        </w:tc>
        <w:tc>
          <w:tcPr>
            <w:tcW w:w="2460" w:type="dxa"/>
            <w:tcBorders>
              <w:top w:val="nil"/>
              <w:left w:val="nil"/>
              <w:bottom w:val="single" w:color="auto" w:sz="4" w:space="0"/>
              <w:right w:val="single" w:color="auto" w:sz="4" w:space="0"/>
            </w:tcBorders>
            <w:shd w:val="clear" w:color="auto" w:fill="auto"/>
            <w:noWrap/>
            <w:vAlign w:val="center"/>
          </w:tcPr>
          <w:p w14:paraId="324FAABD">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A.及时得到反馈</w:t>
            </w:r>
          </w:p>
        </w:tc>
        <w:tc>
          <w:tcPr>
            <w:tcW w:w="1380" w:type="dxa"/>
            <w:tcBorders>
              <w:top w:val="nil"/>
              <w:left w:val="nil"/>
              <w:bottom w:val="single" w:color="auto" w:sz="4" w:space="0"/>
              <w:right w:val="single" w:color="auto" w:sz="4" w:space="0"/>
            </w:tcBorders>
            <w:shd w:val="clear" w:color="auto" w:fill="auto"/>
            <w:noWrap/>
            <w:vAlign w:val="center"/>
          </w:tcPr>
          <w:p w14:paraId="7302550F">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w:t>
            </w:r>
          </w:p>
        </w:tc>
        <w:tc>
          <w:tcPr>
            <w:tcW w:w="1660" w:type="dxa"/>
            <w:tcBorders>
              <w:top w:val="nil"/>
              <w:left w:val="nil"/>
              <w:bottom w:val="single" w:color="auto" w:sz="4" w:space="0"/>
              <w:right w:val="single" w:color="auto" w:sz="4" w:space="0"/>
            </w:tcBorders>
            <w:shd w:val="clear" w:color="auto" w:fill="auto"/>
            <w:vAlign w:val="center"/>
          </w:tcPr>
          <w:p w14:paraId="22683C24">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49</w:t>
            </w:r>
          </w:p>
        </w:tc>
      </w:tr>
      <w:tr w14:paraId="0437B84B">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54851886">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06BDD5B5">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noWrap/>
            <w:vAlign w:val="center"/>
          </w:tcPr>
          <w:p w14:paraId="56698C6B">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B.反馈但不及时</w:t>
            </w:r>
          </w:p>
        </w:tc>
        <w:tc>
          <w:tcPr>
            <w:tcW w:w="1380" w:type="dxa"/>
            <w:tcBorders>
              <w:top w:val="nil"/>
              <w:left w:val="nil"/>
              <w:bottom w:val="single" w:color="auto" w:sz="4" w:space="0"/>
              <w:right w:val="single" w:color="auto" w:sz="4" w:space="0"/>
            </w:tcBorders>
            <w:shd w:val="clear" w:color="auto" w:fill="auto"/>
            <w:noWrap/>
            <w:vAlign w:val="center"/>
          </w:tcPr>
          <w:p w14:paraId="57ED5D58">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w:t>
            </w:r>
          </w:p>
        </w:tc>
        <w:tc>
          <w:tcPr>
            <w:tcW w:w="1660" w:type="dxa"/>
            <w:tcBorders>
              <w:top w:val="nil"/>
              <w:left w:val="nil"/>
              <w:bottom w:val="single" w:color="auto" w:sz="4" w:space="0"/>
              <w:right w:val="single" w:color="auto" w:sz="4" w:space="0"/>
            </w:tcBorders>
            <w:shd w:val="clear" w:color="auto" w:fill="auto"/>
            <w:vAlign w:val="center"/>
          </w:tcPr>
          <w:p w14:paraId="3EAEE301">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r>
      <w:tr w14:paraId="1454AC5B">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22E0CBF1">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0A8DBE8C">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noWrap/>
            <w:vAlign w:val="center"/>
          </w:tcPr>
          <w:p w14:paraId="70955647">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 xml:space="preserve">C.未反馈 </w:t>
            </w:r>
          </w:p>
        </w:tc>
        <w:tc>
          <w:tcPr>
            <w:tcW w:w="1380" w:type="dxa"/>
            <w:tcBorders>
              <w:top w:val="nil"/>
              <w:left w:val="nil"/>
              <w:bottom w:val="single" w:color="auto" w:sz="4" w:space="0"/>
              <w:right w:val="single" w:color="auto" w:sz="4" w:space="0"/>
            </w:tcBorders>
            <w:shd w:val="clear" w:color="auto" w:fill="auto"/>
            <w:noWrap/>
            <w:vAlign w:val="center"/>
          </w:tcPr>
          <w:p w14:paraId="2C2D34CD">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c>
          <w:tcPr>
            <w:tcW w:w="1660" w:type="dxa"/>
            <w:tcBorders>
              <w:top w:val="nil"/>
              <w:left w:val="nil"/>
              <w:bottom w:val="single" w:color="auto" w:sz="4" w:space="0"/>
              <w:right w:val="single" w:color="auto" w:sz="4" w:space="0"/>
            </w:tcBorders>
            <w:shd w:val="clear" w:color="auto" w:fill="auto"/>
            <w:vAlign w:val="center"/>
          </w:tcPr>
          <w:p w14:paraId="74919CD4">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r>
      <w:tr w14:paraId="2D9CCCEA">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1A652FC6">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617DD1D8">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您认为该部门在廉洁从政方面做的如何？</w:t>
            </w:r>
          </w:p>
        </w:tc>
        <w:tc>
          <w:tcPr>
            <w:tcW w:w="2460" w:type="dxa"/>
            <w:tcBorders>
              <w:top w:val="nil"/>
              <w:left w:val="nil"/>
              <w:bottom w:val="single" w:color="auto" w:sz="4" w:space="0"/>
              <w:right w:val="single" w:color="auto" w:sz="4" w:space="0"/>
            </w:tcBorders>
            <w:shd w:val="clear" w:color="auto" w:fill="auto"/>
            <w:noWrap/>
            <w:vAlign w:val="center"/>
          </w:tcPr>
          <w:p w14:paraId="32B15223">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A.较好</w:t>
            </w:r>
          </w:p>
        </w:tc>
        <w:tc>
          <w:tcPr>
            <w:tcW w:w="1380" w:type="dxa"/>
            <w:tcBorders>
              <w:top w:val="nil"/>
              <w:left w:val="nil"/>
              <w:bottom w:val="single" w:color="auto" w:sz="4" w:space="0"/>
              <w:right w:val="single" w:color="auto" w:sz="4" w:space="0"/>
            </w:tcBorders>
            <w:shd w:val="clear" w:color="auto" w:fill="auto"/>
            <w:noWrap/>
            <w:vAlign w:val="center"/>
          </w:tcPr>
          <w:p w14:paraId="59C6734E">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w:t>
            </w:r>
          </w:p>
        </w:tc>
        <w:tc>
          <w:tcPr>
            <w:tcW w:w="1660" w:type="dxa"/>
            <w:tcBorders>
              <w:top w:val="nil"/>
              <w:left w:val="nil"/>
              <w:bottom w:val="single" w:color="auto" w:sz="4" w:space="0"/>
              <w:right w:val="single" w:color="auto" w:sz="4" w:space="0"/>
            </w:tcBorders>
            <w:shd w:val="clear" w:color="auto" w:fill="auto"/>
            <w:vAlign w:val="center"/>
          </w:tcPr>
          <w:p w14:paraId="6AFCEA50">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49</w:t>
            </w:r>
          </w:p>
        </w:tc>
      </w:tr>
      <w:tr w14:paraId="53F3DA1B">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2AE01F25">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3070F90D">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noWrap/>
            <w:vAlign w:val="center"/>
          </w:tcPr>
          <w:p w14:paraId="46B86F19">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 xml:space="preserve">B.一般 </w:t>
            </w:r>
          </w:p>
        </w:tc>
        <w:tc>
          <w:tcPr>
            <w:tcW w:w="1380" w:type="dxa"/>
            <w:tcBorders>
              <w:top w:val="nil"/>
              <w:left w:val="nil"/>
              <w:bottom w:val="single" w:color="auto" w:sz="4" w:space="0"/>
              <w:right w:val="single" w:color="auto" w:sz="4" w:space="0"/>
            </w:tcBorders>
            <w:shd w:val="clear" w:color="auto" w:fill="auto"/>
            <w:noWrap/>
            <w:vAlign w:val="center"/>
          </w:tcPr>
          <w:p w14:paraId="47E6A18F">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w:t>
            </w:r>
          </w:p>
        </w:tc>
        <w:tc>
          <w:tcPr>
            <w:tcW w:w="1660" w:type="dxa"/>
            <w:tcBorders>
              <w:top w:val="nil"/>
              <w:left w:val="nil"/>
              <w:bottom w:val="single" w:color="auto" w:sz="4" w:space="0"/>
              <w:right w:val="single" w:color="auto" w:sz="4" w:space="0"/>
            </w:tcBorders>
            <w:shd w:val="clear" w:color="auto" w:fill="auto"/>
            <w:vAlign w:val="center"/>
          </w:tcPr>
          <w:p w14:paraId="593D8248">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r>
      <w:tr w14:paraId="27701A66">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6A51A814">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1E287D53">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noWrap/>
            <w:vAlign w:val="center"/>
          </w:tcPr>
          <w:p w14:paraId="2643D2D3">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 xml:space="preserve">C.差 </w:t>
            </w:r>
          </w:p>
        </w:tc>
        <w:tc>
          <w:tcPr>
            <w:tcW w:w="1380" w:type="dxa"/>
            <w:tcBorders>
              <w:top w:val="nil"/>
              <w:left w:val="nil"/>
              <w:bottom w:val="single" w:color="auto" w:sz="4" w:space="0"/>
              <w:right w:val="single" w:color="auto" w:sz="4" w:space="0"/>
            </w:tcBorders>
            <w:shd w:val="clear" w:color="auto" w:fill="auto"/>
            <w:noWrap/>
            <w:vAlign w:val="center"/>
          </w:tcPr>
          <w:p w14:paraId="6530739E">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c>
          <w:tcPr>
            <w:tcW w:w="1660" w:type="dxa"/>
            <w:tcBorders>
              <w:top w:val="nil"/>
              <w:left w:val="nil"/>
              <w:bottom w:val="single" w:color="auto" w:sz="4" w:space="0"/>
              <w:right w:val="single" w:color="auto" w:sz="4" w:space="0"/>
            </w:tcBorders>
            <w:shd w:val="clear" w:color="auto" w:fill="auto"/>
            <w:vAlign w:val="center"/>
          </w:tcPr>
          <w:p w14:paraId="5CEA3D9F">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r>
      <w:tr w14:paraId="5DA1A8A8">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647122E5">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5050567B">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您认为该部门办事程序是否合理？（如结婚证、领养手续、老年优待证等办理）</w:t>
            </w:r>
          </w:p>
        </w:tc>
        <w:tc>
          <w:tcPr>
            <w:tcW w:w="2460" w:type="dxa"/>
            <w:tcBorders>
              <w:top w:val="nil"/>
              <w:left w:val="nil"/>
              <w:bottom w:val="single" w:color="auto" w:sz="4" w:space="0"/>
              <w:right w:val="single" w:color="auto" w:sz="4" w:space="0"/>
            </w:tcBorders>
            <w:shd w:val="clear" w:color="auto" w:fill="auto"/>
            <w:noWrap/>
            <w:vAlign w:val="center"/>
          </w:tcPr>
          <w:p w14:paraId="6E9D53D7">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A.程序比较合理</w:t>
            </w:r>
          </w:p>
        </w:tc>
        <w:tc>
          <w:tcPr>
            <w:tcW w:w="1380" w:type="dxa"/>
            <w:tcBorders>
              <w:top w:val="nil"/>
              <w:left w:val="nil"/>
              <w:bottom w:val="single" w:color="auto" w:sz="4" w:space="0"/>
              <w:right w:val="single" w:color="auto" w:sz="4" w:space="0"/>
            </w:tcBorders>
            <w:shd w:val="clear" w:color="auto" w:fill="auto"/>
            <w:noWrap/>
            <w:vAlign w:val="center"/>
          </w:tcPr>
          <w:p w14:paraId="767D0D2F">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w:t>
            </w:r>
          </w:p>
        </w:tc>
        <w:tc>
          <w:tcPr>
            <w:tcW w:w="1660" w:type="dxa"/>
            <w:tcBorders>
              <w:top w:val="nil"/>
              <w:left w:val="nil"/>
              <w:bottom w:val="single" w:color="auto" w:sz="4" w:space="0"/>
              <w:right w:val="single" w:color="auto" w:sz="4" w:space="0"/>
            </w:tcBorders>
            <w:shd w:val="clear" w:color="auto" w:fill="auto"/>
            <w:vAlign w:val="center"/>
          </w:tcPr>
          <w:p w14:paraId="1FE74B72">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49</w:t>
            </w:r>
          </w:p>
        </w:tc>
      </w:tr>
      <w:tr w14:paraId="6C4D603E">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33891B12">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088040BF">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noWrap/>
            <w:vAlign w:val="center"/>
          </w:tcPr>
          <w:p w14:paraId="5195FA27">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B.程序基本合理</w:t>
            </w:r>
          </w:p>
        </w:tc>
        <w:tc>
          <w:tcPr>
            <w:tcW w:w="1380" w:type="dxa"/>
            <w:tcBorders>
              <w:top w:val="nil"/>
              <w:left w:val="nil"/>
              <w:bottom w:val="single" w:color="auto" w:sz="4" w:space="0"/>
              <w:right w:val="single" w:color="auto" w:sz="4" w:space="0"/>
            </w:tcBorders>
            <w:shd w:val="clear" w:color="auto" w:fill="auto"/>
            <w:noWrap/>
            <w:vAlign w:val="center"/>
          </w:tcPr>
          <w:p w14:paraId="218EA521">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w:t>
            </w:r>
          </w:p>
        </w:tc>
        <w:tc>
          <w:tcPr>
            <w:tcW w:w="1660" w:type="dxa"/>
            <w:tcBorders>
              <w:top w:val="nil"/>
              <w:left w:val="nil"/>
              <w:bottom w:val="single" w:color="auto" w:sz="4" w:space="0"/>
              <w:right w:val="single" w:color="auto" w:sz="4" w:space="0"/>
            </w:tcBorders>
            <w:shd w:val="clear" w:color="auto" w:fill="auto"/>
            <w:vAlign w:val="center"/>
          </w:tcPr>
          <w:p w14:paraId="25E08E37">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r>
      <w:tr w14:paraId="10CA1DE3">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9E5086E">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313C0A31">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noWrap/>
            <w:vAlign w:val="center"/>
          </w:tcPr>
          <w:p w14:paraId="0836A81D">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 xml:space="preserve">C.程序复杂 </w:t>
            </w:r>
          </w:p>
        </w:tc>
        <w:tc>
          <w:tcPr>
            <w:tcW w:w="1380" w:type="dxa"/>
            <w:tcBorders>
              <w:top w:val="nil"/>
              <w:left w:val="nil"/>
              <w:bottom w:val="single" w:color="auto" w:sz="4" w:space="0"/>
              <w:right w:val="single" w:color="auto" w:sz="4" w:space="0"/>
            </w:tcBorders>
            <w:shd w:val="clear" w:color="auto" w:fill="auto"/>
            <w:noWrap/>
            <w:vAlign w:val="center"/>
          </w:tcPr>
          <w:p w14:paraId="2DD0B333">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c>
          <w:tcPr>
            <w:tcW w:w="1660" w:type="dxa"/>
            <w:tcBorders>
              <w:top w:val="nil"/>
              <w:left w:val="nil"/>
              <w:bottom w:val="single" w:color="auto" w:sz="4" w:space="0"/>
              <w:right w:val="single" w:color="auto" w:sz="4" w:space="0"/>
            </w:tcBorders>
            <w:shd w:val="clear" w:color="auto" w:fill="auto"/>
            <w:vAlign w:val="center"/>
          </w:tcPr>
          <w:p w14:paraId="46300254">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r>
      <w:tr w14:paraId="2FF4439B">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1DA67C45">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6</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73320751">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您认为该部门办理事务是否方便？</w:t>
            </w:r>
          </w:p>
        </w:tc>
        <w:tc>
          <w:tcPr>
            <w:tcW w:w="2460" w:type="dxa"/>
            <w:tcBorders>
              <w:top w:val="nil"/>
              <w:left w:val="nil"/>
              <w:bottom w:val="single" w:color="auto" w:sz="4" w:space="0"/>
              <w:right w:val="single" w:color="auto" w:sz="4" w:space="0"/>
            </w:tcBorders>
            <w:shd w:val="clear" w:color="auto" w:fill="auto"/>
            <w:noWrap/>
            <w:vAlign w:val="center"/>
          </w:tcPr>
          <w:p w14:paraId="6A3B9883">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A.方便，高效</w:t>
            </w:r>
          </w:p>
        </w:tc>
        <w:tc>
          <w:tcPr>
            <w:tcW w:w="1380" w:type="dxa"/>
            <w:tcBorders>
              <w:top w:val="nil"/>
              <w:left w:val="nil"/>
              <w:bottom w:val="single" w:color="auto" w:sz="4" w:space="0"/>
              <w:right w:val="single" w:color="auto" w:sz="4" w:space="0"/>
            </w:tcBorders>
            <w:shd w:val="clear" w:color="auto" w:fill="auto"/>
            <w:noWrap/>
            <w:vAlign w:val="center"/>
          </w:tcPr>
          <w:p w14:paraId="683D6B00">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w:t>
            </w:r>
          </w:p>
        </w:tc>
        <w:tc>
          <w:tcPr>
            <w:tcW w:w="1660" w:type="dxa"/>
            <w:tcBorders>
              <w:top w:val="nil"/>
              <w:left w:val="nil"/>
              <w:bottom w:val="single" w:color="auto" w:sz="4" w:space="0"/>
              <w:right w:val="single" w:color="auto" w:sz="4" w:space="0"/>
            </w:tcBorders>
            <w:shd w:val="clear" w:color="auto" w:fill="auto"/>
            <w:vAlign w:val="center"/>
          </w:tcPr>
          <w:p w14:paraId="3F6D0BF6">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w:t>
            </w:r>
            <w:r>
              <w:rPr>
                <w:rFonts w:hint="eastAsia" w:ascii="Times New Roman" w:hAnsi="Times New Roman" w:eastAsia="仿宋" w:cs="Times New Roman"/>
                <w:color w:val="000000" w:themeColor="text1"/>
                <w:kern w:val="0"/>
                <w:szCs w:val="21"/>
              </w:rPr>
              <w:t>6</w:t>
            </w:r>
          </w:p>
        </w:tc>
      </w:tr>
      <w:tr w14:paraId="58211642">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672C7B7">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332B39F0">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noWrap/>
            <w:vAlign w:val="center"/>
          </w:tcPr>
          <w:p w14:paraId="1CB3CE30">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B.方便，效率一般</w:t>
            </w:r>
          </w:p>
        </w:tc>
        <w:tc>
          <w:tcPr>
            <w:tcW w:w="1380" w:type="dxa"/>
            <w:tcBorders>
              <w:top w:val="nil"/>
              <w:left w:val="nil"/>
              <w:bottom w:val="single" w:color="auto" w:sz="4" w:space="0"/>
              <w:right w:val="single" w:color="auto" w:sz="4" w:space="0"/>
            </w:tcBorders>
            <w:shd w:val="clear" w:color="auto" w:fill="auto"/>
            <w:noWrap/>
            <w:vAlign w:val="center"/>
          </w:tcPr>
          <w:p w14:paraId="526C2BAB">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w:t>
            </w:r>
          </w:p>
        </w:tc>
        <w:tc>
          <w:tcPr>
            <w:tcW w:w="1660" w:type="dxa"/>
            <w:tcBorders>
              <w:top w:val="nil"/>
              <w:left w:val="nil"/>
              <w:bottom w:val="single" w:color="auto" w:sz="4" w:space="0"/>
              <w:right w:val="single" w:color="auto" w:sz="4" w:space="0"/>
            </w:tcBorders>
            <w:shd w:val="clear" w:color="auto" w:fill="auto"/>
            <w:vAlign w:val="center"/>
          </w:tcPr>
          <w:p w14:paraId="6159BE3A">
            <w:pPr>
              <w:widowControl/>
              <w:jc w:val="center"/>
              <w:rPr>
                <w:rFonts w:ascii="Times New Roman" w:hAnsi="Times New Roman" w:eastAsia="仿宋" w:cs="Times New Roman"/>
                <w:color w:val="000000" w:themeColor="text1"/>
                <w:kern w:val="0"/>
                <w:szCs w:val="21"/>
              </w:rPr>
            </w:pPr>
            <w:r>
              <w:rPr>
                <w:rFonts w:hint="eastAsia" w:ascii="Times New Roman" w:hAnsi="Times New Roman" w:eastAsia="仿宋" w:cs="Times New Roman"/>
                <w:color w:val="000000" w:themeColor="text1"/>
                <w:kern w:val="0"/>
                <w:szCs w:val="21"/>
              </w:rPr>
              <w:t>3</w:t>
            </w:r>
          </w:p>
        </w:tc>
      </w:tr>
      <w:tr w14:paraId="4ECFBAB4">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6E7C6D2">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197CB1F4">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noWrap/>
            <w:vAlign w:val="center"/>
          </w:tcPr>
          <w:p w14:paraId="0252FDF7">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C.不方便，效率低</w:t>
            </w:r>
          </w:p>
        </w:tc>
        <w:tc>
          <w:tcPr>
            <w:tcW w:w="1380" w:type="dxa"/>
            <w:tcBorders>
              <w:top w:val="nil"/>
              <w:left w:val="nil"/>
              <w:bottom w:val="single" w:color="auto" w:sz="4" w:space="0"/>
              <w:right w:val="single" w:color="auto" w:sz="4" w:space="0"/>
            </w:tcBorders>
            <w:shd w:val="clear" w:color="auto" w:fill="auto"/>
            <w:noWrap/>
            <w:vAlign w:val="center"/>
          </w:tcPr>
          <w:p w14:paraId="63D3A906">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c>
          <w:tcPr>
            <w:tcW w:w="1660" w:type="dxa"/>
            <w:tcBorders>
              <w:top w:val="nil"/>
              <w:left w:val="nil"/>
              <w:bottom w:val="single" w:color="auto" w:sz="4" w:space="0"/>
              <w:right w:val="single" w:color="auto" w:sz="4" w:space="0"/>
            </w:tcBorders>
            <w:shd w:val="clear" w:color="auto" w:fill="auto"/>
            <w:vAlign w:val="center"/>
          </w:tcPr>
          <w:p w14:paraId="6373F402">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r>
      <w:tr w14:paraId="62A2CC85">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3F9EC6C2">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7</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0DBD232F">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您认为该部门在开展救助活动方面做的如何</w:t>
            </w:r>
          </w:p>
        </w:tc>
        <w:tc>
          <w:tcPr>
            <w:tcW w:w="2460" w:type="dxa"/>
            <w:tcBorders>
              <w:top w:val="nil"/>
              <w:left w:val="nil"/>
              <w:bottom w:val="single" w:color="auto" w:sz="4" w:space="0"/>
              <w:right w:val="single" w:color="auto" w:sz="4" w:space="0"/>
            </w:tcBorders>
            <w:shd w:val="clear" w:color="auto" w:fill="auto"/>
            <w:noWrap/>
            <w:vAlign w:val="center"/>
          </w:tcPr>
          <w:p w14:paraId="4255E617">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A.经常开展</w:t>
            </w:r>
          </w:p>
        </w:tc>
        <w:tc>
          <w:tcPr>
            <w:tcW w:w="1380" w:type="dxa"/>
            <w:tcBorders>
              <w:top w:val="nil"/>
              <w:left w:val="nil"/>
              <w:bottom w:val="single" w:color="auto" w:sz="4" w:space="0"/>
              <w:right w:val="single" w:color="auto" w:sz="4" w:space="0"/>
            </w:tcBorders>
            <w:shd w:val="clear" w:color="auto" w:fill="auto"/>
            <w:noWrap/>
            <w:vAlign w:val="center"/>
          </w:tcPr>
          <w:p w14:paraId="0E197F6E">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w:t>
            </w:r>
          </w:p>
        </w:tc>
        <w:tc>
          <w:tcPr>
            <w:tcW w:w="1660" w:type="dxa"/>
            <w:tcBorders>
              <w:top w:val="nil"/>
              <w:left w:val="nil"/>
              <w:bottom w:val="single" w:color="auto" w:sz="4" w:space="0"/>
              <w:right w:val="single" w:color="auto" w:sz="4" w:space="0"/>
            </w:tcBorders>
            <w:shd w:val="clear" w:color="auto" w:fill="auto"/>
            <w:vAlign w:val="center"/>
          </w:tcPr>
          <w:p w14:paraId="138D1927">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w:t>
            </w:r>
            <w:r>
              <w:rPr>
                <w:rFonts w:hint="eastAsia" w:ascii="Times New Roman" w:hAnsi="Times New Roman" w:eastAsia="仿宋" w:cs="Times New Roman"/>
                <w:color w:val="000000" w:themeColor="text1"/>
                <w:kern w:val="0"/>
                <w:szCs w:val="21"/>
              </w:rPr>
              <w:t>7</w:t>
            </w:r>
          </w:p>
        </w:tc>
      </w:tr>
      <w:tr w14:paraId="76B435FE">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560C8B63">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3EBDCB78">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noWrap/>
            <w:vAlign w:val="center"/>
          </w:tcPr>
          <w:p w14:paraId="20BB0702">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B.偶尔开展</w:t>
            </w:r>
          </w:p>
        </w:tc>
        <w:tc>
          <w:tcPr>
            <w:tcW w:w="1380" w:type="dxa"/>
            <w:tcBorders>
              <w:top w:val="nil"/>
              <w:left w:val="nil"/>
              <w:bottom w:val="single" w:color="auto" w:sz="4" w:space="0"/>
              <w:right w:val="single" w:color="auto" w:sz="4" w:space="0"/>
            </w:tcBorders>
            <w:shd w:val="clear" w:color="auto" w:fill="auto"/>
            <w:noWrap/>
            <w:vAlign w:val="center"/>
          </w:tcPr>
          <w:p w14:paraId="49F8E3D1">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w:t>
            </w:r>
          </w:p>
        </w:tc>
        <w:tc>
          <w:tcPr>
            <w:tcW w:w="1660" w:type="dxa"/>
            <w:tcBorders>
              <w:top w:val="nil"/>
              <w:left w:val="nil"/>
              <w:bottom w:val="single" w:color="auto" w:sz="4" w:space="0"/>
              <w:right w:val="single" w:color="auto" w:sz="4" w:space="0"/>
            </w:tcBorders>
            <w:shd w:val="clear" w:color="auto" w:fill="auto"/>
            <w:vAlign w:val="center"/>
          </w:tcPr>
          <w:p w14:paraId="0E87E204">
            <w:pPr>
              <w:widowControl/>
              <w:jc w:val="center"/>
              <w:rPr>
                <w:rFonts w:ascii="Times New Roman" w:hAnsi="Times New Roman" w:eastAsia="仿宋" w:cs="Times New Roman"/>
                <w:color w:val="000000" w:themeColor="text1"/>
                <w:kern w:val="0"/>
                <w:szCs w:val="21"/>
              </w:rPr>
            </w:pPr>
            <w:r>
              <w:rPr>
                <w:rFonts w:hint="eastAsia" w:ascii="Times New Roman" w:hAnsi="Times New Roman" w:eastAsia="仿宋" w:cs="Times New Roman"/>
                <w:color w:val="000000" w:themeColor="text1"/>
                <w:kern w:val="0"/>
                <w:szCs w:val="21"/>
              </w:rPr>
              <w:t>2</w:t>
            </w:r>
          </w:p>
        </w:tc>
      </w:tr>
      <w:tr w14:paraId="33588C58">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729775DC">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3EB3D2FE">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noWrap/>
            <w:vAlign w:val="center"/>
          </w:tcPr>
          <w:p w14:paraId="45734CB1">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C.不开展</w:t>
            </w:r>
          </w:p>
        </w:tc>
        <w:tc>
          <w:tcPr>
            <w:tcW w:w="1380" w:type="dxa"/>
            <w:tcBorders>
              <w:top w:val="nil"/>
              <w:left w:val="nil"/>
              <w:bottom w:val="single" w:color="auto" w:sz="4" w:space="0"/>
              <w:right w:val="single" w:color="auto" w:sz="4" w:space="0"/>
            </w:tcBorders>
            <w:shd w:val="clear" w:color="auto" w:fill="auto"/>
            <w:noWrap/>
            <w:vAlign w:val="center"/>
          </w:tcPr>
          <w:p w14:paraId="428C4843">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c>
          <w:tcPr>
            <w:tcW w:w="1660" w:type="dxa"/>
            <w:tcBorders>
              <w:top w:val="nil"/>
              <w:left w:val="nil"/>
              <w:bottom w:val="single" w:color="auto" w:sz="4" w:space="0"/>
              <w:right w:val="single" w:color="auto" w:sz="4" w:space="0"/>
            </w:tcBorders>
            <w:shd w:val="clear" w:color="auto" w:fill="auto"/>
            <w:vAlign w:val="center"/>
          </w:tcPr>
          <w:p w14:paraId="0A86B9BE">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r>
      <w:tr w14:paraId="3BBDD43B">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43FF324A">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8</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0134F1C7">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您对该部门的服务态度、服务质量是否满意？</w:t>
            </w:r>
          </w:p>
        </w:tc>
        <w:tc>
          <w:tcPr>
            <w:tcW w:w="2460" w:type="dxa"/>
            <w:tcBorders>
              <w:top w:val="nil"/>
              <w:left w:val="nil"/>
              <w:bottom w:val="single" w:color="auto" w:sz="4" w:space="0"/>
              <w:right w:val="single" w:color="auto" w:sz="4" w:space="0"/>
            </w:tcBorders>
            <w:shd w:val="clear" w:color="auto" w:fill="auto"/>
            <w:noWrap/>
            <w:vAlign w:val="center"/>
          </w:tcPr>
          <w:p w14:paraId="3D2D2904">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 xml:space="preserve">A.非常满意 </w:t>
            </w:r>
          </w:p>
        </w:tc>
        <w:tc>
          <w:tcPr>
            <w:tcW w:w="1380" w:type="dxa"/>
            <w:tcBorders>
              <w:top w:val="nil"/>
              <w:left w:val="nil"/>
              <w:bottom w:val="single" w:color="auto" w:sz="4" w:space="0"/>
              <w:right w:val="single" w:color="auto" w:sz="4" w:space="0"/>
            </w:tcBorders>
            <w:shd w:val="clear" w:color="auto" w:fill="auto"/>
            <w:noWrap/>
            <w:vAlign w:val="center"/>
          </w:tcPr>
          <w:p w14:paraId="5C87A175">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w:t>
            </w:r>
          </w:p>
        </w:tc>
        <w:tc>
          <w:tcPr>
            <w:tcW w:w="1660" w:type="dxa"/>
            <w:tcBorders>
              <w:top w:val="nil"/>
              <w:left w:val="nil"/>
              <w:bottom w:val="single" w:color="auto" w:sz="4" w:space="0"/>
              <w:right w:val="single" w:color="auto" w:sz="4" w:space="0"/>
            </w:tcBorders>
            <w:shd w:val="clear" w:color="auto" w:fill="auto"/>
            <w:vAlign w:val="center"/>
          </w:tcPr>
          <w:p w14:paraId="005EEE70">
            <w:pPr>
              <w:widowControl/>
              <w:jc w:val="center"/>
              <w:rPr>
                <w:rFonts w:ascii="Times New Roman" w:hAnsi="Times New Roman" w:eastAsia="仿宋" w:cs="Times New Roman"/>
                <w:color w:val="000000" w:themeColor="text1"/>
                <w:kern w:val="0"/>
                <w:szCs w:val="21"/>
              </w:rPr>
            </w:pPr>
            <w:r>
              <w:rPr>
                <w:rFonts w:hint="eastAsia" w:ascii="Times New Roman" w:hAnsi="Times New Roman" w:eastAsia="仿宋" w:cs="Times New Roman"/>
                <w:color w:val="000000" w:themeColor="text1"/>
                <w:kern w:val="0"/>
                <w:szCs w:val="21"/>
              </w:rPr>
              <w:t>48</w:t>
            </w:r>
          </w:p>
        </w:tc>
      </w:tr>
      <w:tr w14:paraId="04CA5993">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290A3E1D">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357B2522">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noWrap/>
            <w:vAlign w:val="center"/>
          </w:tcPr>
          <w:p w14:paraId="5520067B">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B.基本满意</w:t>
            </w:r>
          </w:p>
        </w:tc>
        <w:tc>
          <w:tcPr>
            <w:tcW w:w="1380" w:type="dxa"/>
            <w:tcBorders>
              <w:top w:val="nil"/>
              <w:left w:val="nil"/>
              <w:bottom w:val="single" w:color="auto" w:sz="4" w:space="0"/>
              <w:right w:val="single" w:color="auto" w:sz="4" w:space="0"/>
            </w:tcBorders>
            <w:shd w:val="clear" w:color="auto" w:fill="auto"/>
            <w:noWrap/>
            <w:vAlign w:val="center"/>
          </w:tcPr>
          <w:p w14:paraId="0FED4C8D">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w:t>
            </w:r>
          </w:p>
        </w:tc>
        <w:tc>
          <w:tcPr>
            <w:tcW w:w="1660" w:type="dxa"/>
            <w:tcBorders>
              <w:top w:val="nil"/>
              <w:left w:val="nil"/>
              <w:bottom w:val="single" w:color="auto" w:sz="4" w:space="0"/>
              <w:right w:val="single" w:color="auto" w:sz="4" w:space="0"/>
            </w:tcBorders>
            <w:shd w:val="clear" w:color="auto" w:fill="auto"/>
            <w:vAlign w:val="center"/>
          </w:tcPr>
          <w:p w14:paraId="03C6773D">
            <w:pPr>
              <w:widowControl/>
              <w:jc w:val="center"/>
              <w:rPr>
                <w:rFonts w:ascii="Times New Roman" w:hAnsi="Times New Roman" w:eastAsia="仿宋" w:cs="Times New Roman"/>
                <w:color w:val="000000" w:themeColor="text1"/>
                <w:kern w:val="0"/>
                <w:szCs w:val="21"/>
              </w:rPr>
            </w:pPr>
            <w:r>
              <w:rPr>
                <w:rFonts w:hint="eastAsia" w:ascii="Times New Roman" w:hAnsi="Times New Roman" w:eastAsia="仿宋" w:cs="Times New Roman"/>
                <w:color w:val="000000" w:themeColor="text1"/>
                <w:kern w:val="0"/>
                <w:szCs w:val="21"/>
              </w:rPr>
              <w:t>1</w:t>
            </w:r>
          </w:p>
        </w:tc>
      </w:tr>
      <w:tr w14:paraId="42018D79">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50E3DD34">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3D43E253">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noWrap/>
            <w:vAlign w:val="center"/>
          </w:tcPr>
          <w:p w14:paraId="268C96E1">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C.不满意</w:t>
            </w:r>
          </w:p>
        </w:tc>
        <w:tc>
          <w:tcPr>
            <w:tcW w:w="1380" w:type="dxa"/>
            <w:tcBorders>
              <w:top w:val="nil"/>
              <w:left w:val="nil"/>
              <w:bottom w:val="single" w:color="auto" w:sz="4" w:space="0"/>
              <w:right w:val="single" w:color="auto" w:sz="4" w:space="0"/>
            </w:tcBorders>
            <w:shd w:val="clear" w:color="auto" w:fill="auto"/>
            <w:noWrap/>
            <w:vAlign w:val="center"/>
          </w:tcPr>
          <w:p w14:paraId="3F7C2C40">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c>
          <w:tcPr>
            <w:tcW w:w="1660" w:type="dxa"/>
            <w:tcBorders>
              <w:top w:val="nil"/>
              <w:left w:val="nil"/>
              <w:bottom w:val="single" w:color="auto" w:sz="4" w:space="0"/>
              <w:right w:val="single" w:color="auto" w:sz="4" w:space="0"/>
            </w:tcBorders>
            <w:shd w:val="clear" w:color="auto" w:fill="auto"/>
            <w:vAlign w:val="center"/>
          </w:tcPr>
          <w:p w14:paraId="04D96A95">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r>
      <w:tr w14:paraId="5E86CFD5">
        <w:tblPrEx>
          <w:tblCellMar>
            <w:top w:w="0" w:type="dxa"/>
            <w:left w:w="108" w:type="dxa"/>
            <w:bottom w:w="0" w:type="dxa"/>
            <w:right w:w="108" w:type="dxa"/>
          </w:tblCellMar>
        </w:tblPrEx>
        <w:trPr>
          <w:trHeight w:val="369"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26B7B957">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9</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54BF6E21">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您对部门在信息公开方面（如党务、政务、办事程序、财务等方面）的评价如何？</w:t>
            </w:r>
          </w:p>
        </w:tc>
        <w:tc>
          <w:tcPr>
            <w:tcW w:w="2460" w:type="dxa"/>
            <w:tcBorders>
              <w:top w:val="nil"/>
              <w:left w:val="nil"/>
              <w:bottom w:val="single" w:color="auto" w:sz="4" w:space="0"/>
              <w:right w:val="single" w:color="auto" w:sz="4" w:space="0"/>
            </w:tcBorders>
            <w:shd w:val="clear" w:color="auto" w:fill="auto"/>
            <w:noWrap/>
            <w:vAlign w:val="center"/>
          </w:tcPr>
          <w:p w14:paraId="5A5D9BF4">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A.非常满意</w:t>
            </w:r>
          </w:p>
        </w:tc>
        <w:tc>
          <w:tcPr>
            <w:tcW w:w="1380" w:type="dxa"/>
            <w:tcBorders>
              <w:top w:val="nil"/>
              <w:left w:val="nil"/>
              <w:bottom w:val="single" w:color="auto" w:sz="4" w:space="0"/>
              <w:right w:val="single" w:color="auto" w:sz="4" w:space="0"/>
            </w:tcBorders>
            <w:shd w:val="clear" w:color="auto" w:fill="auto"/>
            <w:noWrap/>
            <w:vAlign w:val="center"/>
          </w:tcPr>
          <w:p w14:paraId="2899D12D">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w:t>
            </w:r>
          </w:p>
        </w:tc>
        <w:tc>
          <w:tcPr>
            <w:tcW w:w="1660" w:type="dxa"/>
            <w:tcBorders>
              <w:top w:val="nil"/>
              <w:left w:val="nil"/>
              <w:bottom w:val="single" w:color="auto" w:sz="4" w:space="0"/>
              <w:right w:val="single" w:color="auto" w:sz="4" w:space="0"/>
            </w:tcBorders>
            <w:shd w:val="clear" w:color="auto" w:fill="auto"/>
            <w:vAlign w:val="center"/>
          </w:tcPr>
          <w:p w14:paraId="1EFF4485">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45</w:t>
            </w:r>
          </w:p>
        </w:tc>
      </w:tr>
      <w:tr w14:paraId="0135AF4C">
        <w:tblPrEx>
          <w:tblCellMar>
            <w:top w:w="0" w:type="dxa"/>
            <w:left w:w="108" w:type="dxa"/>
            <w:bottom w:w="0" w:type="dxa"/>
            <w:right w:w="108" w:type="dxa"/>
          </w:tblCellMar>
        </w:tblPrEx>
        <w:trPr>
          <w:trHeight w:val="369"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786F6AD9">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2364FA86">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noWrap/>
            <w:vAlign w:val="center"/>
          </w:tcPr>
          <w:p w14:paraId="5DD0B654">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B.基本满意</w:t>
            </w:r>
          </w:p>
        </w:tc>
        <w:tc>
          <w:tcPr>
            <w:tcW w:w="1380" w:type="dxa"/>
            <w:tcBorders>
              <w:top w:val="nil"/>
              <w:left w:val="nil"/>
              <w:bottom w:val="single" w:color="auto" w:sz="4" w:space="0"/>
              <w:right w:val="single" w:color="auto" w:sz="4" w:space="0"/>
            </w:tcBorders>
            <w:shd w:val="clear" w:color="auto" w:fill="auto"/>
            <w:noWrap/>
            <w:vAlign w:val="center"/>
          </w:tcPr>
          <w:p w14:paraId="58503FEB">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w:t>
            </w:r>
          </w:p>
        </w:tc>
        <w:tc>
          <w:tcPr>
            <w:tcW w:w="1660" w:type="dxa"/>
            <w:tcBorders>
              <w:top w:val="nil"/>
              <w:left w:val="nil"/>
              <w:bottom w:val="single" w:color="auto" w:sz="4" w:space="0"/>
              <w:right w:val="single" w:color="auto" w:sz="4" w:space="0"/>
            </w:tcBorders>
            <w:shd w:val="clear" w:color="auto" w:fill="auto"/>
            <w:vAlign w:val="center"/>
          </w:tcPr>
          <w:p w14:paraId="01AAD42D">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w:t>
            </w:r>
          </w:p>
        </w:tc>
      </w:tr>
      <w:tr w14:paraId="75704131">
        <w:tblPrEx>
          <w:tblCellMar>
            <w:top w:w="0" w:type="dxa"/>
            <w:left w:w="108" w:type="dxa"/>
            <w:bottom w:w="0" w:type="dxa"/>
            <w:right w:w="108" w:type="dxa"/>
          </w:tblCellMar>
        </w:tblPrEx>
        <w:trPr>
          <w:trHeight w:val="369"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A5AD1E9">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38910E73">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noWrap/>
            <w:vAlign w:val="center"/>
          </w:tcPr>
          <w:p w14:paraId="0DB9CAEE">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C.不满意</w:t>
            </w:r>
          </w:p>
        </w:tc>
        <w:tc>
          <w:tcPr>
            <w:tcW w:w="1380" w:type="dxa"/>
            <w:tcBorders>
              <w:top w:val="nil"/>
              <w:left w:val="nil"/>
              <w:bottom w:val="single" w:color="auto" w:sz="4" w:space="0"/>
              <w:right w:val="single" w:color="auto" w:sz="4" w:space="0"/>
            </w:tcBorders>
            <w:shd w:val="clear" w:color="auto" w:fill="auto"/>
            <w:noWrap/>
            <w:vAlign w:val="center"/>
          </w:tcPr>
          <w:p w14:paraId="45ECEBAB">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c>
          <w:tcPr>
            <w:tcW w:w="1660" w:type="dxa"/>
            <w:tcBorders>
              <w:top w:val="nil"/>
              <w:left w:val="nil"/>
              <w:bottom w:val="single" w:color="auto" w:sz="4" w:space="0"/>
              <w:right w:val="single" w:color="auto" w:sz="4" w:space="0"/>
            </w:tcBorders>
            <w:shd w:val="clear" w:color="auto" w:fill="auto"/>
            <w:vAlign w:val="center"/>
          </w:tcPr>
          <w:p w14:paraId="0CA07D9E">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r>
      <w:tr w14:paraId="0F836C18">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5468AFE4">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301C6E0E">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您对该部门工作现状的总体评价？</w:t>
            </w:r>
          </w:p>
        </w:tc>
        <w:tc>
          <w:tcPr>
            <w:tcW w:w="2460" w:type="dxa"/>
            <w:tcBorders>
              <w:top w:val="nil"/>
              <w:left w:val="nil"/>
              <w:bottom w:val="single" w:color="auto" w:sz="4" w:space="0"/>
              <w:right w:val="single" w:color="auto" w:sz="4" w:space="0"/>
            </w:tcBorders>
            <w:shd w:val="clear" w:color="auto" w:fill="auto"/>
            <w:noWrap/>
            <w:vAlign w:val="center"/>
          </w:tcPr>
          <w:p w14:paraId="58717D61">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A.非常满意</w:t>
            </w:r>
          </w:p>
        </w:tc>
        <w:tc>
          <w:tcPr>
            <w:tcW w:w="1380" w:type="dxa"/>
            <w:tcBorders>
              <w:top w:val="nil"/>
              <w:left w:val="nil"/>
              <w:bottom w:val="single" w:color="auto" w:sz="4" w:space="0"/>
              <w:right w:val="single" w:color="auto" w:sz="4" w:space="0"/>
            </w:tcBorders>
            <w:shd w:val="clear" w:color="auto" w:fill="auto"/>
            <w:noWrap/>
            <w:vAlign w:val="center"/>
          </w:tcPr>
          <w:p w14:paraId="76191EEE">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w:t>
            </w:r>
          </w:p>
        </w:tc>
        <w:tc>
          <w:tcPr>
            <w:tcW w:w="1660" w:type="dxa"/>
            <w:tcBorders>
              <w:top w:val="nil"/>
              <w:left w:val="nil"/>
              <w:bottom w:val="single" w:color="auto" w:sz="4" w:space="0"/>
              <w:right w:val="single" w:color="auto" w:sz="4" w:space="0"/>
            </w:tcBorders>
            <w:shd w:val="clear" w:color="auto" w:fill="auto"/>
            <w:vAlign w:val="center"/>
          </w:tcPr>
          <w:p w14:paraId="22105B75">
            <w:pPr>
              <w:widowControl/>
              <w:jc w:val="center"/>
              <w:rPr>
                <w:rFonts w:hint="eastAsia" w:ascii="Times New Roman" w:hAnsi="Times New Roman" w:eastAsia="仿宋" w:cs="Times New Roman"/>
                <w:color w:val="000000" w:themeColor="text1"/>
                <w:kern w:val="0"/>
                <w:szCs w:val="21"/>
                <w:lang w:eastAsia="zh-CN"/>
              </w:rPr>
            </w:pPr>
            <w:r>
              <w:rPr>
                <w:rFonts w:ascii="Times New Roman" w:hAnsi="Times New Roman" w:eastAsia="仿宋" w:cs="Times New Roman"/>
                <w:color w:val="000000" w:themeColor="text1"/>
                <w:kern w:val="0"/>
                <w:szCs w:val="21"/>
              </w:rPr>
              <w:t>4</w:t>
            </w:r>
            <w:r>
              <w:rPr>
                <w:rFonts w:hint="eastAsia" w:ascii="Times New Roman" w:hAnsi="Times New Roman" w:eastAsia="仿宋" w:cs="Times New Roman"/>
                <w:color w:val="000000" w:themeColor="text1"/>
                <w:kern w:val="0"/>
                <w:szCs w:val="21"/>
                <w:lang w:val="en-US" w:eastAsia="zh-CN"/>
              </w:rPr>
              <w:t>7</w:t>
            </w:r>
          </w:p>
        </w:tc>
      </w:tr>
      <w:tr w14:paraId="79800363">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52CBBD24">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206D7BB4">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noWrap/>
            <w:vAlign w:val="center"/>
          </w:tcPr>
          <w:p w14:paraId="16059154">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 xml:space="preserve">C.基本满意 </w:t>
            </w:r>
          </w:p>
        </w:tc>
        <w:tc>
          <w:tcPr>
            <w:tcW w:w="1380" w:type="dxa"/>
            <w:tcBorders>
              <w:top w:val="nil"/>
              <w:left w:val="nil"/>
              <w:bottom w:val="single" w:color="auto" w:sz="4" w:space="0"/>
              <w:right w:val="single" w:color="auto" w:sz="4" w:space="0"/>
            </w:tcBorders>
            <w:shd w:val="clear" w:color="auto" w:fill="auto"/>
            <w:noWrap/>
            <w:vAlign w:val="center"/>
          </w:tcPr>
          <w:p w14:paraId="0140103B">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w:t>
            </w:r>
          </w:p>
        </w:tc>
        <w:tc>
          <w:tcPr>
            <w:tcW w:w="1660" w:type="dxa"/>
            <w:tcBorders>
              <w:top w:val="nil"/>
              <w:left w:val="nil"/>
              <w:bottom w:val="single" w:color="auto" w:sz="4" w:space="0"/>
              <w:right w:val="single" w:color="auto" w:sz="4" w:space="0"/>
            </w:tcBorders>
            <w:shd w:val="clear" w:color="auto" w:fill="auto"/>
            <w:vAlign w:val="center"/>
          </w:tcPr>
          <w:p w14:paraId="201F453D">
            <w:pPr>
              <w:widowControl/>
              <w:jc w:val="center"/>
              <w:rPr>
                <w:rFonts w:hint="eastAsia" w:ascii="Times New Roman" w:hAnsi="Times New Roman" w:eastAsia="仿宋" w:cs="Times New Roman"/>
                <w:color w:val="000000" w:themeColor="text1"/>
                <w:kern w:val="0"/>
                <w:szCs w:val="21"/>
                <w:lang w:eastAsia="zh-CN"/>
              </w:rPr>
            </w:pPr>
            <w:r>
              <w:rPr>
                <w:rFonts w:hint="eastAsia" w:ascii="Times New Roman" w:hAnsi="Times New Roman" w:eastAsia="仿宋" w:cs="Times New Roman"/>
                <w:color w:val="000000" w:themeColor="text1"/>
                <w:kern w:val="0"/>
                <w:szCs w:val="21"/>
                <w:lang w:val="en-US" w:eastAsia="zh-CN"/>
              </w:rPr>
              <w:t>2</w:t>
            </w:r>
          </w:p>
        </w:tc>
      </w:tr>
      <w:tr w14:paraId="6062621C">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A2394CD">
            <w:pPr>
              <w:widowControl/>
              <w:jc w:val="left"/>
              <w:rPr>
                <w:rFonts w:ascii="Times New Roman" w:hAnsi="Times New Roman" w:eastAsia="仿宋" w:cs="Times New Roman"/>
                <w:color w:val="000000" w:themeColor="text1"/>
                <w:kern w:val="0"/>
                <w:szCs w:val="21"/>
              </w:rPr>
            </w:pPr>
          </w:p>
        </w:tc>
        <w:tc>
          <w:tcPr>
            <w:tcW w:w="2820" w:type="dxa"/>
            <w:vMerge w:val="continue"/>
            <w:tcBorders>
              <w:top w:val="nil"/>
              <w:left w:val="single" w:color="auto" w:sz="4" w:space="0"/>
              <w:bottom w:val="single" w:color="auto" w:sz="4" w:space="0"/>
              <w:right w:val="single" w:color="auto" w:sz="4" w:space="0"/>
            </w:tcBorders>
            <w:vAlign w:val="center"/>
          </w:tcPr>
          <w:p w14:paraId="74D33FF6">
            <w:pPr>
              <w:widowControl/>
              <w:jc w:val="left"/>
              <w:rPr>
                <w:rFonts w:ascii="Times New Roman" w:hAnsi="Times New Roman" w:eastAsia="仿宋" w:cs="Times New Roman"/>
                <w:color w:val="000000" w:themeColor="text1"/>
                <w:kern w:val="0"/>
                <w:szCs w:val="21"/>
              </w:rPr>
            </w:pPr>
          </w:p>
        </w:tc>
        <w:tc>
          <w:tcPr>
            <w:tcW w:w="2460" w:type="dxa"/>
            <w:tcBorders>
              <w:top w:val="nil"/>
              <w:left w:val="nil"/>
              <w:bottom w:val="single" w:color="auto" w:sz="4" w:space="0"/>
              <w:right w:val="single" w:color="auto" w:sz="4" w:space="0"/>
            </w:tcBorders>
            <w:shd w:val="clear" w:color="auto" w:fill="auto"/>
            <w:noWrap/>
            <w:vAlign w:val="center"/>
          </w:tcPr>
          <w:p w14:paraId="5E9C5C8D">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D.不满意</w:t>
            </w:r>
          </w:p>
        </w:tc>
        <w:tc>
          <w:tcPr>
            <w:tcW w:w="1380" w:type="dxa"/>
            <w:tcBorders>
              <w:top w:val="nil"/>
              <w:left w:val="nil"/>
              <w:bottom w:val="single" w:color="auto" w:sz="4" w:space="0"/>
              <w:right w:val="single" w:color="auto" w:sz="4" w:space="0"/>
            </w:tcBorders>
            <w:shd w:val="clear" w:color="auto" w:fill="auto"/>
            <w:noWrap/>
            <w:vAlign w:val="center"/>
          </w:tcPr>
          <w:p w14:paraId="64F5735A">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c>
          <w:tcPr>
            <w:tcW w:w="1660" w:type="dxa"/>
            <w:tcBorders>
              <w:top w:val="nil"/>
              <w:left w:val="nil"/>
              <w:bottom w:val="single" w:color="auto" w:sz="4" w:space="0"/>
              <w:right w:val="single" w:color="auto" w:sz="4" w:space="0"/>
            </w:tcBorders>
            <w:shd w:val="clear" w:color="auto" w:fill="auto"/>
            <w:vAlign w:val="center"/>
          </w:tcPr>
          <w:p w14:paraId="127A409B">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r>
      <w:tr w14:paraId="11A476BF">
        <w:tblPrEx>
          <w:tblCellMar>
            <w:top w:w="0" w:type="dxa"/>
            <w:left w:w="108" w:type="dxa"/>
            <w:bottom w:w="0" w:type="dxa"/>
            <w:right w:w="108" w:type="dxa"/>
          </w:tblCellMar>
        </w:tblPrEx>
        <w:trPr>
          <w:trHeight w:val="276"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B597B9B">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问卷总分</w:t>
            </w:r>
          </w:p>
        </w:tc>
        <w:tc>
          <w:tcPr>
            <w:tcW w:w="2460" w:type="dxa"/>
            <w:tcBorders>
              <w:top w:val="nil"/>
              <w:left w:val="nil"/>
              <w:bottom w:val="single" w:color="auto" w:sz="4" w:space="0"/>
              <w:right w:val="single" w:color="auto" w:sz="4" w:space="0"/>
            </w:tcBorders>
            <w:shd w:val="clear" w:color="auto" w:fill="auto"/>
            <w:vAlign w:val="center"/>
          </w:tcPr>
          <w:p w14:paraId="5ADFB325">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　</w:t>
            </w:r>
          </w:p>
        </w:tc>
        <w:tc>
          <w:tcPr>
            <w:tcW w:w="1380" w:type="dxa"/>
            <w:tcBorders>
              <w:top w:val="nil"/>
              <w:left w:val="nil"/>
              <w:bottom w:val="single" w:color="auto" w:sz="4" w:space="0"/>
              <w:right w:val="single" w:color="auto" w:sz="4" w:space="0"/>
            </w:tcBorders>
            <w:shd w:val="clear" w:color="auto" w:fill="auto"/>
            <w:vAlign w:val="center"/>
          </w:tcPr>
          <w:p w14:paraId="28CDB45A">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100</w:t>
            </w:r>
          </w:p>
        </w:tc>
        <w:tc>
          <w:tcPr>
            <w:tcW w:w="1660" w:type="dxa"/>
            <w:tcBorders>
              <w:top w:val="nil"/>
              <w:left w:val="nil"/>
              <w:bottom w:val="single" w:color="auto" w:sz="4" w:space="0"/>
              <w:right w:val="single" w:color="auto" w:sz="4" w:space="0"/>
            </w:tcBorders>
            <w:shd w:val="clear" w:color="auto" w:fill="auto"/>
            <w:vAlign w:val="center"/>
          </w:tcPr>
          <w:p w14:paraId="04B0F63E">
            <w:pPr>
              <w:widowControl/>
              <w:jc w:val="center"/>
              <w:rPr>
                <w:rFonts w:hint="default" w:ascii="Times New Roman" w:hAnsi="Times New Roman" w:eastAsia="仿宋" w:cs="Times New Roman"/>
                <w:color w:val="000000" w:themeColor="text1"/>
                <w:kern w:val="0"/>
                <w:szCs w:val="21"/>
                <w:lang w:val="en-US" w:eastAsia="zh-CN"/>
              </w:rPr>
            </w:pPr>
            <w:r>
              <w:rPr>
                <w:rFonts w:ascii="Times New Roman" w:hAnsi="Times New Roman" w:eastAsia="仿宋" w:cs="Times New Roman"/>
                <w:color w:val="000000" w:themeColor="text1"/>
                <w:kern w:val="0"/>
                <w:szCs w:val="21"/>
              </w:rPr>
              <w:t>48</w:t>
            </w:r>
            <w:r>
              <w:rPr>
                <w:rFonts w:hint="eastAsia" w:ascii="Times New Roman" w:hAnsi="Times New Roman" w:eastAsia="仿宋" w:cs="Times New Roman"/>
                <w:color w:val="000000" w:themeColor="text1"/>
                <w:kern w:val="0"/>
                <w:szCs w:val="21"/>
                <w:lang w:val="en-US" w:eastAsia="zh-CN"/>
              </w:rPr>
              <w:t>35</w:t>
            </w:r>
          </w:p>
        </w:tc>
      </w:tr>
      <w:tr w14:paraId="31814D6E">
        <w:tblPrEx>
          <w:tblCellMar>
            <w:top w:w="0" w:type="dxa"/>
            <w:left w:w="108" w:type="dxa"/>
            <w:bottom w:w="0" w:type="dxa"/>
            <w:right w:w="108" w:type="dxa"/>
          </w:tblCellMar>
        </w:tblPrEx>
        <w:trPr>
          <w:trHeight w:val="291"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1F60F37A">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有效问卷份数</w:t>
            </w:r>
          </w:p>
        </w:tc>
        <w:tc>
          <w:tcPr>
            <w:tcW w:w="2460" w:type="dxa"/>
            <w:tcBorders>
              <w:top w:val="nil"/>
              <w:left w:val="nil"/>
              <w:bottom w:val="single" w:color="auto" w:sz="4" w:space="0"/>
              <w:right w:val="single" w:color="auto" w:sz="4" w:space="0"/>
            </w:tcBorders>
            <w:shd w:val="clear" w:color="auto" w:fill="auto"/>
            <w:vAlign w:val="center"/>
          </w:tcPr>
          <w:p w14:paraId="7455B9D6">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　</w:t>
            </w:r>
          </w:p>
        </w:tc>
        <w:tc>
          <w:tcPr>
            <w:tcW w:w="1380" w:type="dxa"/>
            <w:tcBorders>
              <w:top w:val="nil"/>
              <w:left w:val="nil"/>
              <w:bottom w:val="single" w:color="auto" w:sz="4" w:space="0"/>
              <w:right w:val="single" w:color="auto" w:sz="4" w:space="0"/>
            </w:tcBorders>
            <w:shd w:val="clear" w:color="auto" w:fill="auto"/>
            <w:vAlign w:val="center"/>
          </w:tcPr>
          <w:p w14:paraId="26B4C9FA">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　</w:t>
            </w:r>
          </w:p>
        </w:tc>
        <w:tc>
          <w:tcPr>
            <w:tcW w:w="1660" w:type="dxa"/>
            <w:tcBorders>
              <w:top w:val="nil"/>
              <w:left w:val="nil"/>
              <w:bottom w:val="single" w:color="auto" w:sz="4" w:space="0"/>
              <w:right w:val="single" w:color="auto" w:sz="4" w:space="0"/>
            </w:tcBorders>
            <w:shd w:val="clear" w:color="auto" w:fill="auto"/>
            <w:vAlign w:val="center"/>
          </w:tcPr>
          <w:p w14:paraId="12AAAFBC">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49</w:t>
            </w:r>
          </w:p>
        </w:tc>
      </w:tr>
      <w:tr w14:paraId="0B4BBC2D">
        <w:tblPrEx>
          <w:tblCellMar>
            <w:top w:w="0" w:type="dxa"/>
            <w:left w:w="108" w:type="dxa"/>
            <w:bottom w:w="0" w:type="dxa"/>
            <w:right w:w="108" w:type="dxa"/>
          </w:tblCellMar>
        </w:tblPrEx>
        <w:trPr>
          <w:trHeight w:val="291"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FDB2F8D">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问卷综合得分</w:t>
            </w:r>
          </w:p>
        </w:tc>
        <w:tc>
          <w:tcPr>
            <w:tcW w:w="2460" w:type="dxa"/>
            <w:tcBorders>
              <w:top w:val="nil"/>
              <w:left w:val="nil"/>
              <w:bottom w:val="single" w:color="auto" w:sz="4" w:space="0"/>
              <w:right w:val="single" w:color="auto" w:sz="4" w:space="0"/>
            </w:tcBorders>
            <w:shd w:val="clear" w:color="auto" w:fill="auto"/>
            <w:vAlign w:val="center"/>
          </w:tcPr>
          <w:p w14:paraId="2C3CCEF9">
            <w:pPr>
              <w:widowControl/>
              <w:jc w:val="left"/>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　</w:t>
            </w:r>
          </w:p>
        </w:tc>
        <w:tc>
          <w:tcPr>
            <w:tcW w:w="1380" w:type="dxa"/>
            <w:tcBorders>
              <w:top w:val="nil"/>
              <w:left w:val="nil"/>
              <w:bottom w:val="single" w:color="auto" w:sz="4" w:space="0"/>
              <w:right w:val="single" w:color="auto" w:sz="4" w:space="0"/>
            </w:tcBorders>
            <w:shd w:val="clear" w:color="auto" w:fill="auto"/>
            <w:vAlign w:val="center"/>
          </w:tcPr>
          <w:p w14:paraId="3C3FD29F">
            <w:pPr>
              <w:widowControl/>
              <w:jc w:val="center"/>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　</w:t>
            </w:r>
          </w:p>
        </w:tc>
        <w:tc>
          <w:tcPr>
            <w:tcW w:w="1660" w:type="dxa"/>
            <w:tcBorders>
              <w:top w:val="nil"/>
              <w:left w:val="nil"/>
              <w:bottom w:val="single" w:color="auto" w:sz="4" w:space="0"/>
              <w:right w:val="single" w:color="auto" w:sz="4" w:space="0"/>
            </w:tcBorders>
            <w:shd w:val="clear" w:color="auto" w:fill="auto"/>
            <w:vAlign w:val="center"/>
          </w:tcPr>
          <w:p w14:paraId="780A688B">
            <w:pPr>
              <w:widowControl/>
              <w:jc w:val="center"/>
              <w:rPr>
                <w:rFonts w:ascii="Times New Roman" w:hAnsi="Times New Roman" w:eastAsia="仿宋" w:cs="Times New Roman"/>
                <w:color w:val="000000" w:themeColor="text1"/>
                <w:kern w:val="0"/>
                <w:szCs w:val="21"/>
              </w:rPr>
            </w:pPr>
            <w:r>
              <w:rPr>
                <w:rFonts w:hint="eastAsia" w:ascii="Times New Roman" w:hAnsi="Times New Roman" w:eastAsia="仿宋" w:cs="Times New Roman"/>
                <w:color w:val="000000" w:themeColor="text1"/>
                <w:kern w:val="0"/>
                <w:szCs w:val="21"/>
              </w:rPr>
              <w:t>98.</w:t>
            </w:r>
            <w:r>
              <w:rPr>
                <w:rFonts w:hint="eastAsia" w:ascii="Times New Roman" w:hAnsi="Times New Roman" w:eastAsia="仿宋" w:cs="Times New Roman"/>
                <w:color w:val="000000" w:themeColor="text1"/>
                <w:kern w:val="0"/>
                <w:szCs w:val="21"/>
                <w:lang w:val="en-US" w:eastAsia="zh-CN"/>
              </w:rPr>
              <w:t>6</w:t>
            </w:r>
            <w:r>
              <w:rPr>
                <w:rFonts w:hint="eastAsia" w:ascii="Times New Roman" w:hAnsi="Times New Roman" w:eastAsia="仿宋" w:cs="Times New Roman"/>
                <w:color w:val="000000" w:themeColor="text1"/>
                <w:kern w:val="0"/>
                <w:szCs w:val="21"/>
              </w:rPr>
              <w:t>7</w:t>
            </w:r>
          </w:p>
        </w:tc>
      </w:tr>
    </w:tbl>
    <w:p w14:paraId="2FA89A9B">
      <w:pPr>
        <w:spacing w:line="520" w:lineRule="exact"/>
        <w:ind w:left="630" w:hanging="630" w:hangingChars="300"/>
        <w:jc w:val="left"/>
        <w:rPr>
          <w:rFonts w:ascii="Times New Roman" w:hAnsi="Times New Roman" w:eastAsia="仿宋_GB2312" w:cs="Times New Roman"/>
          <w:color w:val="000000" w:themeColor="text1"/>
        </w:rPr>
      </w:pPr>
    </w:p>
    <w:p w14:paraId="07720138">
      <w:pPr>
        <w:spacing w:line="520" w:lineRule="exact"/>
        <w:ind w:left="630" w:hanging="630" w:hangingChars="300"/>
        <w:jc w:val="left"/>
        <w:rPr>
          <w:rFonts w:ascii="Times New Roman" w:hAnsi="Times New Roman" w:eastAsia="仿宋_GB2312" w:cs="Times New Roman"/>
          <w:color w:val="000000" w:themeColor="text1"/>
        </w:rPr>
      </w:pPr>
    </w:p>
    <w:p w14:paraId="08FA9E98">
      <w:pPr>
        <w:spacing w:line="520" w:lineRule="exact"/>
        <w:ind w:left="630" w:hanging="630" w:hangingChars="300"/>
        <w:jc w:val="left"/>
        <w:rPr>
          <w:rFonts w:ascii="Times New Roman" w:hAnsi="Times New Roman" w:eastAsia="仿宋_GB2312" w:cs="Times New Roman"/>
          <w:color w:val="000000" w:themeColor="text1"/>
        </w:rPr>
      </w:pPr>
    </w:p>
    <w:p w14:paraId="735EEFB9">
      <w:pPr>
        <w:spacing w:line="520" w:lineRule="exact"/>
        <w:ind w:left="630" w:hanging="630" w:hangingChars="300"/>
        <w:jc w:val="left"/>
        <w:rPr>
          <w:rFonts w:ascii="Times New Roman" w:hAnsi="Times New Roman" w:eastAsia="仿宋_GB2312" w:cs="Times New Roman"/>
          <w:color w:val="000000" w:themeColor="text1"/>
        </w:rPr>
      </w:pPr>
      <w:r>
        <w:rPr>
          <w:rFonts w:hint="eastAsia" w:ascii="Times New Roman" w:hAnsi="Times New Roman" w:eastAsia="仿宋_GB2312" w:cs="Times New Roman"/>
          <w:color w:val="000000" w:themeColor="text1"/>
        </w:rPr>
        <w:t>附件</w:t>
      </w:r>
      <w:r>
        <w:rPr>
          <w:rFonts w:ascii="Times New Roman" w:hAnsi="Times New Roman" w:eastAsia="仿宋_GB2312" w:cs="Times New Roman"/>
          <w:color w:val="000000" w:themeColor="text1"/>
        </w:rPr>
        <w:t>5</w:t>
      </w:r>
    </w:p>
    <w:p w14:paraId="1570DB36">
      <w:pPr>
        <w:spacing w:line="0" w:lineRule="atLeast"/>
        <w:jc w:val="center"/>
        <w:rPr>
          <w:rFonts w:ascii="Times New Roman" w:hAnsi="Times New Roman" w:eastAsia="方正小标宋_GBK" w:cs="Times New Roman"/>
          <w:color w:val="000000" w:themeColor="text1"/>
          <w:kern w:val="0"/>
          <w:sz w:val="24"/>
          <w:szCs w:val="24"/>
        </w:rPr>
      </w:pPr>
      <w:r>
        <w:rPr>
          <w:rFonts w:ascii="Times New Roman" w:hAnsi="Times New Roman" w:eastAsia="方正小标宋简体" w:cs="Times New Roman"/>
          <w:color w:val="000000" w:themeColor="text1"/>
          <w:kern w:val="0"/>
          <w:sz w:val="32"/>
          <w:szCs w:val="32"/>
        </w:rPr>
        <w:t>工作底稿</w:t>
      </w:r>
    </w:p>
    <w:tbl>
      <w:tblPr>
        <w:tblStyle w:val="8"/>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622"/>
      </w:tblGrid>
      <w:tr w14:paraId="2E0F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2"/>
            <w:tcBorders>
              <w:top w:val="nil"/>
              <w:left w:val="nil"/>
              <w:bottom w:val="nil"/>
              <w:right w:val="nil"/>
            </w:tcBorders>
            <w:vAlign w:val="center"/>
          </w:tcPr>
          <w:p w14:paraId="412B81CE">
            <w:pPr>
              <w:spacing w:line="560" w:lineRule="exact"/>
              <w:jc w:val="center"/>
              <w:rPr>
                <w:rFonts w:ascii="Times New Roman" w:hAnsi="Times New Roman" w:eastAsia="宋体" w:cs="Times New Roman"/>
                <w:b/>
                <w:bCs/>
                <w:color w:val="000000" w:themeColor="text1"/>
                <w:szCs w:val="32"/>
              </w:rPr>
            </w:pPr>
            <w:r>
              <w:rPr>
                <w:rFonts w:ascii="Times New Roman" w:hAnsi="Times New Roman" w:eastAsia="方正小标宋_GBK" w:cs="Times New Roman"/>
                <w:bCs/>
                <w:color w:val="000000" w:themeColor="text1"/>
                <w:szCs w:val="32"/>
              </w:rPr>
              <w:t>A11“</w:t>
            </w:r>
            <w:bookmarkStart w:id="0" w:name="OLE_LINK2"/>
            <w:r>
              <w:rPr>
                <w:rFonts w:ascii="Times New Roman" w:hAnsi="Times New Roman" w:eastAsia="方正小标宋_GBK" w:cs="Times New Roman"/>
                <w:bCs/>
                <w:color w:val="000000" w:themeColor="text1"/>
                <w:szCs w:val="32"/>
              </w:rPr>
              <w:t>部门战略规划目标的明确性与合理</w:t>
            </w:r>
            <w:bookmarkEnd w:id="0"/>
            <w:r>
              <w:rPr>
                <w:rFonts w:ascii="Times New Roman" w:hAnsi="Times New Roman" w:eastAsia="方正小标宋_GBK" w:cs="Times New Roman"/>
                <w:bCs/>
                <w:color w:val="000000" w:themeColor="text1"/>
                <w:szCs w:val="32"/>
              </w:rPr>
              <w:t>性”评价底稿</w:t>
            </w:r>
          </w:p>
        </w:tc>
      </w:tr>
      <w:tr w14:paraId="76B9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tcBorders>
              <w:top w:val="nil"/>
              <w:left w:val="nil"/>
              <w:bottom w:val="nil"/>
              <w:right w:val="nil"/>
            </w:tcBorders>
            <w:vAlign w:val="center"/>
          </w:tcPr>
          <w:p w14:paraId="3467DAAF">
            <w:pPr>
              <w:spacing w:line="560" w:lineRule="exact"/>
              <w:rPr>
                <w:rFonts w:ascii="Times New Roman" w:hAnsi="Times New Roman" w:eastAsia="仿宋_GB2312" w:cs="Times New Roman"/>
                <w:color w:val="000000" w:themeColor="text1"/>
                <w:sz w:val="28"/>
                <w:szCs w:val="28"/>
              </w:rPr>
            </w:pPr>
            <w:bookmarkStart w:id="1" w:name="OLE_LINK1" w:colFirst="0" w:colLast="0"/>
            <w:r>
              <w:rPr>
                <w:rFonts w:ascii="Times New Roman" w:hAnsi="Times New Roman" w:eastAsia="仿宋_GB2312" w:cs="Times New Roman"/>
                <w:color w:val="000000" w:themeColor="text1"/>
                <w:sz w:val="28"/>
                <w:szCs w:val="28"/>
              </w:rPr>
              <w:t>项目名称：寻甸回族彝族自治县</w:t>
            </w:r>
            <w:r>
              <w:rPr>
                <w:rFonts w:hint="eastAsia" w:ascii="Times New Roman" w:hAnsi="Times New Roman" w:eastAsia="仿宋_GB2312" w:cs="Times New Roman"/>
                <w:color w:val="000000" w:themeColor="text1"/>
                <w:sz w:val="28"/>
                <w:szCs w:val="28"/>
              </w:rPr>
              <w:t>融媒体中心</w:t>
            </w:r>
            <w:r>
              <w:rPr>
                <w:rFonts w:hint="eastAsia" w:ascii="Times New Roman" w:hAnsi="Times New Roman" w:eastAsia="仿宋_GB2312" w:cs="Times New Roman"/>
                <w:color w:val="000000" w:themeColor="text1"/>
                <w:sz w:val="28"/>
                <w:szCs w:val="28"/>
                <w:lang w:eastAsia="zh-CN"/>
              </w:rPr>
              <w:t>2023</w:t>
            </w:r>
            <w:r>
              <w:rPr>
                <w:rFonts w:ascii="Times New Roman" w:hAnsi="Times New Roman" w:eastAsia="仿宋_GB2312" w:cs="Times New Roman"/>
                <w:color w:val="000000" w:themeColor="text1"/>
                <w:sz w:val="28"/>
                <w:szCs w:val="28"/>
              </w:rPr>
              <w:t>年部门整体支出</w:t>
            </w:r>
          </w:p>
        </w:tc>
      </w:tr>
      <w:tr w14:paraId="0961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tcBorders>
              <w:top w:val="nil"/>
              <w:left w:val="nil"/>
              <w:right w:val="nil"/>
            </w:tcBorders>
            <w:vAlign w:val="center"/>
          </w:tcPr>
          <w:p w14:paraId="1ADB1824">
            <w:pPr>
              <w:spacing w:line="560" w:lineRule="exac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评价机构：寻甸回族彝族自治县</w:t>
            </w:r>
            <w:r>
              <w:rPr>
                <w:rFonts w:hint="eastAsia" w:ascii="Times New Roman" w:hAnsi="Times New Roman" w:eastAsia="仿宋_GB2312" w:cs="Times New Roman"/>
                <w:color w:val="000000" w:themeColor="text1"/>
                <w:sz w:val="28"/>
                <w:szCs w:val="28"/>
              </w:rPr>
              <w:t>融媒体中心</w:t>
            </w:r>
          </w:p>
        </w:tc>
      </w:tr>
      <w:bookmarkEnd w:id="1"/>
      <w:tr w14:paraId="227E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700" w:type="dxa"/>
            <w:vAlign w:val="center"/>
          </w:tcPr>
          <w:p w14:paraId="3437BFAE">
            <w:pPr>
              <w:adjustRightInd w:val="0"/>
              <w:snapToGrid w:val="0"/>
              <w:spacing w:line="560" w:lineRule="exact"/>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指标解释</w:t>
            </w:r>
          </w:p>
        </w:tc>
        <w:tc>
          <w:tcPr>
            <w:tcW w:w="7622" w:type="dxa"/>
            <w:vAlign w:val="center"/>
          </w:tcPr>
          <w:p w14:paraId="6E4B1C72">
            <w:pPr>
              <w:adjustRightInd w:val="0"/>
              <w:snapToGrid w:val="0"/>
              <w:spacing w:line="560" w:lineRule="exac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按照《附件1：部门整体支出绩效评价共性指标体系框架》中的“指标解释”进行整体预算绩效自评。</w:t>
            </w:r>
          </w:p>
        </w:tc>
      </w:tr>
      <w:tr w14:paraId="72C8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vAlign w:val="center"/>
          </w:tcPr>
          <w:p w14:paraId="4EE0F8CB">
            <w:pPr>
              <w:adjustRightInd w:val="0"/>
              <w:snapToGrid w:val="0"/>
              <w:spacing w:line="560" w:lineRule="exact"/>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指标权重</w:t>
            </w:r>
          </w:p>
        </w:tc>
        <w:tc>
          <w:tcPr>
            <w:tcW w:w="7622" w:type="dxa"/>
            <w:vAlign w:val="center"/>
          </w:tcPr>
          <w:p w14:paraId="17CCC99B">
            <w:pPr>
              <w:adjustRightInd w:val="0"/>
              <w:snapToGrid w:val="0"/>
              <w:spacing w:line="560" w:lineRule="exac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指标权重100分</w:t>
            </w:r>
          </w:p>
        </w:tc>
      </w:tr>
      <w:tr w14:paraId="5F33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14:paraId="0737596C">
            <w:pPr>
              <w:adjustRightInd w:val="0"/>
              <w:snapToGrid w:val="0"/>
              <w:spacing w:line="560" w:lineRule="exact"/>
              <w:jc w:val="center"/>
              <w:rPr>
                <w:rFonts w:ascii="Times New Roman" w:hAnsi="Times New Roman" w:eastAsia="仿宋_GB2312" w:cs="Times New Roman"/>
                <w:color w:val="000000" w:themeColor="text1"/>
                <w:sz w:val="28"/>
                <w:szCs w:val="28"/>
              </w:rPr>
            </w:pPr>
          </w:p>
        </w:tc>
        <w:tc>
          <w:tcPr>
            <w:tcW w:w="7622" w:type="dxa"/>
            <w:vAlign w:val="center"/>
          </w:tcPr>
          <w:p w14:paraId="23478ACC">
            <w:pPr>
              <w:adjustRightInd w:val="0"/>
              <w:snapToGrid w:val="0"/>
              <w:spacing w:line="560" w:lineRule="exac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指标权重设定的依据、理由：参考附件1</w:t>
            </w:r>
          </w:p>
        </w:tc>
      </w:tr>
      <w:tr w14:paraId="5E66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vAlign w:val="center"/>
          </w:tcPr>
          <w:p w14:paraId="7EFBA432">
            <w:pPr>
              <w:adjustRightInd w:val="0"/>
              <w:snapToGrid w:val="0"/>
              <w:spacing w:line="560" w:lineRule="exact"/>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评价标准</w:t>
            </w:r>
          </w:p>
        </w:tc>
        <w:tc>
          <w:tcPr>
            <w:tcW w:w="7622" w:type="dxa"/>
            <w:vAlign w:val="center"/>
          </w:tcPr>
          <w:p w14:paraId="2B0E90E9">
            <w:pPr>
              <w:adjustRightInd w:val="0"/>
              <w:snapToGrid w:val="0"/>
              <w:spacing w:line="560" w:lineRule="exac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指标标杆值：参考附件1</w:t>
            </w:r>
          </w:p>
        </w:tc>
      </w:tr>
      <w:tr w14:paraId="08A8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00" w:type="dxa"/>
            <w:vMerge w:val="continue"/>
            <w:vAlign w:val="center"/>
          </w:tcPr>
          <w:p w14:paraId="2350DF93">
            <w:pPr>
              <w:adjustRightInd w:val="0"/>
              <w:snapToGrid w:val="0"/>
              <w:spacing w:line="560" w:lineRule="exact"/>
              <w:jc w:val="center"/>
              <w:rPr>
                <w:rFonts w:ascii="Times New Roman" w:hAnsi="Times New Roman" w:eastAsia="仿宋_GB2312" w:cs="Times New Roman"/>
                <w:color w:val="000000" w:themeColor="text1"/>
                <w:sz w:val="28"/>
                <w:szCs w:val="28"/>
              </w:rPr>
            </w:pPr>
          </w:p>
        </w:tc>
        <w:tc>
          <w:tcPr>
            <w:tcW w:w="7622" w:type="dxa"/>
            <w:vAlign w:val="center"/>
          </w:tcPr>
          <w:p w14:paraId="2336F1AD">
            <w:pPr>
              <w:adjustRightInd w:val="0"/>
              <w:snapToGrid w:val="0"/>
              <w:spacing w:line="560" w:lineRule="exac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指标标杆值依据：参考附件1</w:t>
            </w:r>
          </w:p>
        </w:tc>
      </w:tr>
      <w:tr w14:paraId="47A5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14:paraId="298E3AC6">
            <w:pPr>
              <w:adjustRightInd w:val="0"/>
              <w:snapToGrid w:val="0"/>
              <w:spacing w:line="560" w:lineRule="exact"/>
              <w:jc w:val="center"/>
              <w:rPr>
                <w:rFonts w:ascii="Times New Roman" w:hAnsi="Times New Roman" w:eastAsia="仿宋_GB2312" w:cs="Times New Roman"/>
                <w:color w:val="000000" w:themeColor="text1"/>
                <w:sz w:val="28"/>
                <w:szCs w:val="28"/>
              </w:rPr>
            </w:pPr>
          </w:p>
        </w:tc>
        <w:tc>
          <w:tcPr>
            <w:tcW w:w="7622" w:type="dxa"/>
            <w:vAlign w:val="center"/>
          </w:tcPr>
          <w:p w14:paraId="7545848D">
            <w:pPr>
              <w:adjustRightInd w:val="0"/>
              <w:snapToGrid w:val="0"/>
              <w:spacing w:line="560" w:lineRule="exac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指标评分细则：参考附件1</w:t>
            </w:r>
          </w:p>
        </w:tc>
      </w:tr>
      <w:tr w14:paraId="6218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157E6382">
            <w:pPr>
              <w:adjustRightInd w:val="0"/>
              <w:snapToGrid w:val="0"/>
              <w:spacing w:line="560" w:lineRule="exact"/>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数据来源及取数方式</w:t>
            </w:r>
          </w:p>
        </w:tc>
        <w:tc>
          <w:tcPr>
            <w:tcW w:w="7622" w:type="dxa"/>
            <w:vAlign w:val="center"/>
          </w:tcPr>
          <w:p w14:paraId="4FB1FBA3">
            <w:pPr>
              <w:topLinePunct/>
              <w:spacing w:line="560" w:lineRule="exact"/>
              <w:ind w:firstLine="480" w:firstLineChars="200"/>
              <w:rPr>
                <w:rFonts w:ascii="Times New Roman" w:hAnsi="Times New Roman" w:eastAsia="仿宋_GB2312" w:cs="Times New Roman"/>
                <w:color w:val="000000" w:themeColor="text1"/>
                <w:sz w:val="28"/>
                <w:szCs w:val="28"/>
              </w:rPr>
            </w:pPr>
            <w:r>
              <w:rPr>
                <w:rFonts w:ascii="Times New Roman" w:hAnsi="Times New Roman" w:eastAsia="仿宋" w:cs="Times New Roman"/>
                <w:color w:val="000000" w:themeColor="text1"/>
                <w:sz w:val="24"/>
                <w:szCs w:val="24"/>
              </w:rPr>
              <w:t>通过评价小组自评的方式，按照附件1的要求，整理好各个项目的基础工作台账，为绩效自评做好评价资料的数据来源，通过绩效自评所需的考评数据指标进行取数，为部门预算绩效自评工作作出公平、公正、有效的自评。</w:t>
            </w:r>
          </w:p>
        </w:tc>
      </w:tr>
      <w:tr w14:paraId="3EF4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vAlign w:val="center"/>
          </w:tcPr>
          <w:p w14:paraId="4301184A">
            <w:pPr>
              <w:adjustRightInd w:val="0"/>
              <w:snapToGrid w:val="0"/>
              <w:spacing w:line="560" w:lineRule="exact"/>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评价结果</w:t>
            </w:r>
          </w:p>
        </w:tc>
        <w:tc>
          <w:tcPr>
            <w:tcW w:w="7622" w:type="dxa"/>
            <w:vAlign w:val="center"/>
          </w:tcPr>
          <w:p w14:paraId="129EC384">
            <w:pPr>
              <w:topLinePunct/>
              <w:spacing w:line="560" w:lineRule="exact"/>
              <w:ind w:firstLine="480" w:firstLineChars="200"/>
              <w:rPr>
                <w:rFonts w:ascii="Times New Roman" w:hAnsi="Times New Roman" w:eastAsia="仿宋_GB2312" w:cs="Times New Roman"/>
                <w:color w:val="000000" w:themeColor="text1"/>
                <w:sz w:val="28"/>
                <w:szCs w:val="28"/>
              </w:rPr>
            </w:pPr>
            <w:r>
              <w:rPr>
                <w:rFonts w:ascii="Times New Roman" w:hAnsi="Times New Roman" w:eastAsia="仿宋" w:cs="Times New Roman"/>
                <w:color w:val="000000" w:themeColor="text1"/>
                <w:sz w:val="24"/>
                <w:szCs w:val="24"/>
              </w:rPr>
              <w:t>寻甸回族彝族自治县</w:t>
            </w:r>
            <w:r>
              <w:rPr>
                <w:rFonts w:hint="eastAsia" w:ascii="Times New Roman" w:hAnsi="Times New Roman" w:eastAsia="仿宋" w:cs="Times New Roman"/>
                <w:color w:val="000000" w:themeColor="text1"/>
                <w:sz w:val="24"/>
                <w:szCs w:val="24"/>
              </w:rPr>
              <w:t>融媒体中心</w:t>
            </w:r>
            <w:r>
              <w:rPr>
                <w:rFonts w:hint="eastAsia" w:ascii="Times New Roman" w:hAnsi="Times New Roman" w:eastAsia="仿宋" w:cs="Times New Roman"/>
                <w:color w:val="000000" w:themeColor="text1"/>
                <w:sz w:val="24"/>
                <w:szCs w:val="24"/>
                <w:lang w:eastAsia="zh-CN"/>
              </w:rPr>
              <w:t>2023</w:t>
            </w:r>
            <w:r>
              <w:rPr>
                <w:rFonts w:ascii="Times New Roman" w:hAnsi="Times New Roman" w:eastAsia="仿宋" w:cs="Times New Roman"/>
                <w:color w:val="000000" w:themeColor="text1"/>
                <w:sz w:val="24"/>
                <w:szCs w:val="24"/>
              </w:rPr>
              <w:t>年目标责任完成情况较好，寻甸回族彝族自治县</w:t>
            </w:r>
            <w:r>
              <w:rPr>
                <w:rFonts w:hint="eastAsia" w:ascii="Times New Roman" w:hAnsi="Times New Roman" w:eastAsia="仿宋" w:cs="Times New Roman"/>
                <w:color w:val="000000" w:themeColor="text1"/>
                <w:sz w:val="24"/>
                <w:szCs w:val="24"/>
              </w:rPr>
              <w:t>融媒体中心</w:t>
            </w:r>
            <w:r>
              <w:rPr>
                <w:rFonts w:hint="eastAsia" w:ascii="Times New Roman" w:hAnsi="Times New Roman" w:eastAsia="仿宋" w:cs="Times New Roman"/>
                <w:color w:val="000000" w:themeColor="text1"/>
                <w:sz w:val="24"/>
                <w:szCs w:val="24"/>
                <w:lang w:eastAsia="zh-CN"/>
              </w:rPr>
              <w:t>2023</w:t>
            </w:r>
            <w:r>
              <w:rPr>
                <w:rFonts w:ascii="Times New Roman" w:hAnsi="Times New Roman" w:eastAsia="仿宋" w:cs="Times New Roman"/>
                <w:color w:val="000000" w:themeColor="text1"/>
                <w:sz w:val="24"/>
                <w:szCs w:val="24"/>
              </w:rPr>
              <w:t>年工作目标管理考核得分</w:t>
            </w:r>
            <w:r>
              <w:rPr>
                <w:rFonts w:hint="eastAsia" w:ascii="Times New Roman" w:hAnsi="Times New Roman" w:eastAsia="仿宋" w:cs="Times New Roman"/>
                <w:color w:val="auto"/>
                <w:sz w:val="24"/>
                <w:szCs w:val="24"/>
                <w:lang w:val="en-US" w:eastAsia="zh-CN"/>
              </w:rPr>
              <w:t>97.71</w:t>
            </w:r>
            <w:r>
              <w:rPr>
                <w:rFonts w:ascii="Times New Roman" w:hAnsi="Times New Roman" w:eastAsia="仿宋" w:cs="Times New Roman"/>
                <w:color w:val="000000" w:themeColor="text1"/>
                <w:sz w:val="24"/>
                <w:szCs w:val="24"/>
              </w:rPr>
              <w:t>分，获得</w:t>
            </w:r>
            <w:r>
              <w:rPr>
                <w:rFonts w:hint="eastAsia" w:ascii="Times New Roman" w:hAnsi="Times New Roman" w:eastAsia="仿宋" w:cs="Times New Roman"/>
                <w:color w:val="000000" w:themeColor="text1"/>
                <w:sz w:val="24"/>
                <w:szCs w:val="24"/>
              </w:rPr>
              <w:t>良好</w:t>
            </w:r>
            <w:r>
              <w:rPr>
                <w:rFonts w:ascii="Times New Roman" w:hAnsi="Times New Roman" w:eastAsia="仿宋" w:cs="Times New Roman"/>
                <w:color w:val="000000" w:themeColor="text1"/>
                <w:sz w:val="24"/>
                <w:szCs w:val="24"/>
              </w:rPr>
              <w:t>等次。寻甸回族彝族自治县</w:t>
            </w:r>
            <w:r>
              <w:rPr>
                <w:rFonts w:hint="eastAsia" w:ascii="Times New Roman" w:hAnsi="Times New Roman" w:eastAsia="仿宋" w:cs="Times New Roman"/>
                <w:color w:val="000000" w:themeColor="text1"/>
                <w:sz w:val="24"/>
                <w:szCs w:val="24"/>
              </w:rPr>
              <w:t>融媒体中心</w:t>
            </w:r>
            <w:r>
              <w:rPr>
                <w:rFonts w:hint="eastAsia" w:ascii="Times New Roman" w:hAnsi="Times New Roman" w:eastAsia="仿宋" w:cs="Times New Roman"/>
                <w:color w:val="000000" w:themeColor="text1"/>
                <w:sz w:val="24"/>
                <w:szCs w:val="24"/>
                <w:lang w:eastAsia="zh-CN"/>
              </w:rPr>
              <w:t>2023</w:t>
            </w:r>
            <w:r>
              <w:rPr>
                <w:rFonts w:ascii="Times New Roman" w:hAnsi="Times New Roman" w:eastAsia="仿宋" w:cs="Times New Roman"/>
                <w:color w:val="000000" w:themeColor="text1"/>
                <w:sz w:val="24"/>
                <w:szCs w:val="24"/>
              </w:rPr>
              <w:t>年度部门总体支出情况良好，目标责任基本完成。根据指标评价体系，本次绩效考核得分</w:t>
            </w:r>
            <w:r>
              <w:rPr>
                <w:rFonts w:hint="eastAsia" w:ascii="Times New Roman" w:hAnsi="Times New Roman" w:eastAsia="仿宋" w:cs="Times New Roman"/>
                <w:color w:val="000000" w:themeColor="text1"/>
                <w:sz w:val="24"/>
                <w:szCs w:val="24"/>
              </w:rPr>
              <w:t>93.</w:t>
            </w:r>
            <w:r>
              <w:rPr>
                <w:rFonts w:hint="eastAsia" w:ascii="Times New Roman" w:hAnsi="Times New Roman" w:eastAsia="仿宋" w:cs="Times New Roman"/>
                <w:color w:val="000000" w:themeColor="text1"/>
                <w:sz w:val="24"/>
                <w:szCs w:val="24"/>
                <w:lang w:val="en-US" w:eastAsia="zh-CN"/>
              </w:rPr>
              <w:t>5</w:t>
            </w:r>
            <w:r>
              <w:rPr>
                <w:rFonts w:hint="eastAsia" w:ascii="Times New Roman" w:hAnsi="Times New Roman" w:eastAsia="仿宋" w:cs="Times New Roman"/>
                <w:color w:val="000000" w:themeColor="text1"/>
                <w:sz w:val="24"/>
                <w:szCs w:val="24"/>
              </w:rPr>
              <w:t>6</w:t>
            </w:r>
            <w:r>
              <w:rPr>
                <w:rFonts w:ascii="Times New Roman" w:hAnsi="Times New Roman" w:eastAsia="仿宋" w:cs="Times New Roman"/>
                <w:color w:val="000000" w:themeColor="text1"/>
                <w:sz w:val="24"/>
                <w:szCs w:val="24"/>
              </w:rPr>
              <w:t>分，评价结果为“优”。</w:t>
            </w:r>
          </w:p>
        </w:tc>
      </w:tr>
      <w:tr w14:paraId="16E5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14:paraId="062CE506">
            <w:pPr>
              <w:spacing w:line="560" w:lineRule="exact"/>
              <w:jc w:val="center"/>
              <w:rPr>
                <w:rFonts w:ascii="Times New Roman" w:hAnsi="Times New Roman" w:eastAsia="仿宋_GB2312" w:cs="Times New Roman"/>
                <w:color w:val="000000" w:themeColor="text1"/>
                <w:sz w:val="28"/>
                <w:szCs w:val="28"/>
              </w:rPr>
            </w:pPr>
          </w:p>
        </w:tc>
        <w:tc>
          <w:tcPr>
            <w:tcW w:w="7622" w:type="dxa"/>
            <w:vAlign w:val="center"/>
          </w:tcPr>
          <w:p w14:paraId="6E5AF5D9">
            <w:pPr>
              <w:spacing w:line="560" w:lineRule="exac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指标得分：</w:t>
            </w:r>
            <w:r>
              <w:rPr>
                <w:rFonts w:hint="eastAsia" w:ascii="Times New Roman" w:hAnsi="Times New Roman" w:eastAsia="仿宋_GB2312" w:cs="Times New Roman"/>
                <w:color w:val="000000" w:themeColor="text1"/>
                <w:sz w:val="28"/>
                <w:szCs w:val="28"/>
              </w:rPr>
              <w:t>93.</w:t>
            </w:r>
            <w:r>
              <w:rPr>
                <w:rFonts w:hint="eastAsia" w:ascii="Times New Roman" w:hAnsi="Times New Roman" w:eastAsia="仿宋_GB2312" w:cs="Times New Roman"/>
                <w:color w:val="000000" w:themeColor="text1"/>
                <w:sz w:val="28"/>
                <w:szCs w:val="28"/>
                <w:lang w:val="en-US" w:eastAsia="zh-CN"/>
              </w:rPr>
              <w:t>5</w:t>
            </w:r>
            <w:r>
              <w:rPr>
                <w:rFonts w:hint="eastAsia" w:ascii="Times New Roman" w:hAnsi="Times New Roman" w:eastAsia="仿宋_GB2312" w:cs="Times New Roman"/>
                <w:color w:val="000000" w:themeColor="text1"/>
                <w:sz w:val="28"/>
                <w:szCs w:val="28"/>
              </w:rPr>
              <w:t>6</w:t>
            </w:r>
            <w:r>
              <w:rPr>
                <w:rFonts w:ascii="Times New Roman" w:hAnsi="Times New Roman" w:eastAsia="仿宋_GB2312" w:cs="Times New Roman"/>
                <w:color w:val="000000" w:themeColor="text1"/>
                <w:sz w:val="28"/>
                <w:szCs w:val="28"/>
              </w:rPr>
              <w:t>分</w:t>
            </w:r>
          </w:p>
        </w:tc>
      </w:tr>
    </w:tbl>
    <w:p w14:paraId="2BBB833C">
      <w:pPr>
        <w:spacing w:line="520" w:lineRule="exact"/>
        <w:ind w:left="630" w:hanging="630" w:hangingChars="300"/>
        <w:jc w:val="left"/>
        <w:rPr>
          <w:rFonts w:ascii="Times New Roman" w:hAnsi="Times New Roman" w:eastAsia="仿宋_GB2312" w:cs="Times New Roman"/>
          <w:color w:val="000000" w:themeColor="text1"/>
        </w:rPr>
      </w:pPr>
    </w:p>
    <w:p w14:paraId="79C3752D">
      <w:pPr>
        <w:spacing w:line="520" w:lineRule="exact"/>
        <w:ind w:left="630" w:hanging="630" w:hangingChars="300"/>
        <w:jc w:val="left"/>
        <w:rPr>
          <w:rFonts w:ascii="Times New Roman" w:hAnsi="Times New Roman" w:eastAsia="仿宋_GB2312" w:cs="Times New Roman"/>
          <w:color w:val="000000" w:themeColor="text1"/>
        </w:rPr>
        <w:sectPr>
          <w:pgSz w:w="11906" w:h="16838"/>
          <w:pgMar w:top="1440" w:right="1797" w:bottom="1440" w:left="1797" w:header="851" w:footer="992" w:gutter="0"/>
          <w:cols w:space="425" w:num="1"/>
          <w:docGrid w:linePitch="312" w:charSpace="0"/>
        </w:sectPr>
      </w:pPr>
    </w:p>
    <w:p w14:paraId="1B6B7016">
      <w:pP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附件6 </w:t>
      </w:r>
    </w:p>
    <w:p w14:paraId="63893712">
      <w:pPr>
        <w:jc w:val="center"/>
        <w:rPr>
          <w:rFonts w:ascii="Times New Roman" w:hAnsi="Times New Roman" w:eastAsia="仿宋_GB2312" w:cs="Times New Roman"/>
          <w:color w:val="000000" w:themeColor="text1"/>
        </w:rPr>
      </w:pPr>
      <w:r>
        <w:rPr>
          <w:rFonts w:hint="eastAsia" w:ascii="Times New Roman" w:hAnsi="Times New Roman" w:eastAsia="仿宋_GB2312" w:cs="Times New Roman"/>
          <w:color w:val="000000" w:themeColor="text1"/>
          <w:lang w:eastAsia="zh-CN"/>
        </w:rPr>
        <w:t>2023</w:t>
      </w:r>
      <w:r>
        <w:rPr>
          <w:rFonts w:ascii="Times New Roman" w:hAnsi="Times New Roman" w:eastAsia="仿宋_GB2312" w:cs="Times New Roman"/>
          <w:color w:val="000000" w:themeColor="text1"/>
        </w:rPr>
        <w:t>年项目收入支出决算表</w:t>
      </w:r>
    </w:p>
    <w:p w14:paraId="4D5C562C">
      <w:pPr>
        <w:jc w:val="right"/>
        <w:rPr>
          <w:rFonts w:ascii="仿宋_GB2312" w:hAnsi="Times New Roman" w:eastAsia="仿宋_GB2312" w:cs="Times New Roman"/>
          <w:color w:val="000000" w:themeColor="text1"/>
          <w:szCs w:val="21"/>
        </w:rPr>
      </w:pPr>
      <w:r>
        <w:rPr>
          <w:rFonts w:hint="eastAsia" w:ascii="仿宋_GB2312" w:hAnsi="Times New Roman" w:eastAsia="仿宋_GB2312" w:cs="Times New Roman"/>
          <w:color w:val="000000" w:themeColor="text1"/>
          <w:szCs w:val="21"/>
        </w:rPr>
        <w:t>单位：元</w:t>
      </w:r>
    </w:p>
    <w:tbl>
      <w:tblPr>
        <w:tblStyle w:val="8"/>
        <w:tblW w:w="13976" w:type="dxa"/>
        <w:tblInd w:w="93" w:type="dxa"/>
        <w:tblLayout w:type="fixed"/>
        <w:tblCellMar>
          <w:top w:w="0" w:type="dxa"/>
          <w:left w:w="108" w:type="dxa"/>
          <w:bottom w:w="0" w:type="dxa"/>
          <w:right w:w="108" w:type="dxa"/>
        </w:tblCellMar>
      </w:tblPr>
      <w:tblGrid>
        <w:gridCol w:w="435"/>
        <w:gridCol w:w="435"/>
        <w:gridCol w:w="435"/>
        <w:gridCol w:w="3564"/>
        <w:gridCol w:w="1041"/>
        <w:gridCol w:w="1339"/>
        <w:gridCol w:w="1041"/>
        <w:gridCol w:w="1395"/>
        <w:gridCol w:w="1289"/>
        <w:gridCol w:w="1277"/>
        <w:gridCol w:w="1210"/>
        <w:gridCol w:w="515"/>
      </w:tblGrid>
      <w:tr w14:paraId="2DDE8279">
        <w:tblPrEx>
          <w:tblCellMar>
            <w:top w:w="0" w:type="dxa"/>
            <w:left w:w="108" w:type="dxa"/>
            <w:bottom w:w="0" w:type="dxa"/>
            <w:right w:w="108" w:type="dxa"/>
          </w:tblCellMar>
        </w:tblPrEx>
        <w:trPr>
          <w:trHeight w:val="206" w:hRule="atLeast"/>
        </w:trPr>
        <w:tc>
          <w:tcPr>
            <w:tcW w:w="4869"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14:paraId="37054C99">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项目</w:t>
            </w:r>
          </w:p>
        </w:tc>
        <w:tc>
          <w:tcPr>
            <w:tcW w:w="3421" w:type="dxa"/>
            <w:gridSpan w:val="3"/>
            <w:tcBorders>
              <w:top w:val="single" w:color="000000" w:sz="4" w:space="0"/>
              <w:left w:val="nil"/>
              <w:bottom w:val="single" w:color="000000" w:sz="4" w:space="0"/>
              <w:right w:val="single" w:color="000000" w:sz="4" w:space="0"/>
            </w:tcBorders>
            <w:shd w:val="clear" w:color="FFFFFF" w:fill="C0C0C0"/>
            <w:vAlign w:val="center"/>
          </w:tcPr>
          <w:p w14:paraId="477A3474">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资金来源</w:t>
            </w:r>
          </w:p>
        </w:tc>
        <w:tc>
          <w:tcPr>
            <w:tcW w:w="2684" w:type="dxa"/>
            <w:gridSpan w:val="2"/>
            <w:tcBorders>
              <w:top w:val="single" w:color="000000" w:sz="4" w:space="0"/>
              <w:left w:val="nil"/>
              <w:bottom w:val="single" w:color="000000" w:sz="4" w:space="0"/>
              <w:right w:val="single" w:color="000000" w:sz="4" w:space="0"/>
            </w:tcBorders>
            <w:shd w:val="clear" w:color="FFFFFF" w:fill="C0C0C0"/>
            <w:vAlign w:val="center"/>
          </w:tcPr>
          <w:p w14:paraId="11A8A5A2">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支出数</w:t>
            </w:r>
          </w:p>
        </w:tc>
        <w:tc>
          <w:tcPr>
            <w:tcW w:w="3002" w:type="dxa"/>
            <w:gridSpan w:val="3"/>
            <w:tcBorders>
              <w:top w:val="single" w:color="000000" w:sz="4" w:space="0"/>
              <w:left w:val="nil"/>
              <w:bottom w:val="single" w:color="000000" w:sz="4" w:space="0"/>
              <w:right w:val="single" w:color="000000" w:sz="8" w:space="0"/>
            </w:tcBorders>
            <w:shd w:val="clear" w:color="FFFFFF" w:fill="C0C0C0"/>
            <w:vAlign w:val="center"/>
          </w:tcPr>
          <w:p w14:paraId="59ED8B42">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　</w:t>
            </w:r>
          </w:p>
        </w:tc>
      </w:tr>
      <w:tr w14:paraId="4284D51C">
        <w:tblPrEx>
          <w:tblCellMar>
            <w:top w:w="0" w:type="dxa"/>
            <w:left w:w="108" w:type="dxa"/>
            <w:bottom w:w="0" w:type="dxa"/>
            <w:right w:w="108" w:type="dxa"/>
          </w:tblCellMar>
        </w:tblPrEx>
        <w:trPr>
          <w:trHeight w:val="176" w:hRule="atLeast"/>
        </w:trPr>
        <w:tc>
          <w:tcPr>
            <w:tcW w:w="1305"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34994F06">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支出功能分类科目编码</w:t>
            </w:r>
          </w:p>
        </w:tc>
        <w:tc>
          <w:tcPr>
            <w:tcW w:w="3564" w:type="dxa"/>
            <w:vMerge w:val="restart"/>
            <w:tcBorders>
              <w:top w:val="nil"/>
              <w:left w:val="nil"/>
              <w:bottom w:val="single" w:color="000000" w:sz="4" w:space="0"/>
              <w:right w:val="single" w:color="000000" w:sz="4" w:space="0"/>
            </w:tcBorders>
            <w:shd w:val="clear" w:color="FFFFFF" w:fill="C0C0C0"/>
            <w:vAlign w:val="center"/>
          </w:tcPr>
          <w:p w14:paraId="77282F64">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科目名称</w:t>
            </w:r>
          </w:p>
        </w:tc>
        <w:tc>
          <w:tcPr>
            <w:tcW w:w="1041" w:type="dxa"/>
            <w:vMerge w:val="restart"/>
            <w:tcBorders>
              <w:top w:val="nil"/>
              <w:left w:val="nil"/>
              <w:bottom w:val="single" w:color="000000" w:sz="4" w:space="0"/>
              <w:right w:val="single" w:color="000000" w:sz="4" w:space="0"/>
            </w:tcBorders>
            <w:shd w:val="clear" w:color="FFFFFF" w:fill="C0C0C0"/>
            <w:vAlign w:val="center"/>
          </w:tcPr>
          <w:p w14:paraId="5BE701CE">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合计</w:t>
            </w:r>
          </w:p>
        </w:tc>
        <w:tc>
          <w:tcPr>
            <w:tcW w:w="2380" w:type="dxa"/>
            <w:gridSpan w:val="2"/>
            <w:tcBorders>
              <w:top w:val="nil"/>
              <w:left w:val="nil"/>
              <w:bottom w:val="single" w:color="000000" w:sz="4" w:space="0"/>
              <w:right w:val="single" w:color="000000" w:sz="4" w:space="0"/>
            </w:tcBorders>
            <w:shd w:val="clear" w:color="FFFFFF" w:fill="C0C0C0"/>
            <w:vAlign w:val="center"/>
          </w:tcPr>
          <w:p w14:paraId="3F09BAA8">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财政拨款</w:t>
            </w:r>
          </w:p>
        </w:tc>
        <w:tc>
          <w:tcPr>
            <w:tcW w:w="1395" w:type="dxa"/>
            <w:vMerge w:val="restart"/>
            <w:tcBorders>
              <w:top w:val="nil"/>
              <w:left w:val="nil"/>
              <w:bottom w:val="single" w:color="000000" w:sz="4" w:space="0"/>
              <w:right w:val="single" w:color="000000" w:sz="4" w:space="0"/>
            </w:tcBorders>
            <w:shd w:val="clear" w:color="FFFFFF" w:fill="C0C0C0"/>
            <w:vAlign w:val="center"/>
          </w:tcPr>
          <w:p w14:paraId="2A9E5802">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合计</w:t>
            </w:r>
          </w:p>
        </w:tc>
        <w:tc>
          <w:tcPr>
            <w:tcW w:w="1289" w:type="dxa"/>
            <w:vMerge w:val="restart"/>
            <w:tcBorders>
              <w:top w:val="nil"/>
              <w:left w:val="nil"/>
              <w:bottom w:val="single" w:color="000000" w:sz="4" w:space="0"/>
              <w:right w:val="single" w:color="000000" w:sz="4" w:space="0"/>
            </w:tcBorders>
            <w:shd w:val="clear" w:color="FFFFFF" w:fill="C0C0C0"/>
            <w:vAlign w:val="center"/>
          </w:tcPr>
          <w:p w14:paraId="7C5B5DC6">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财政拨款</w:t>
            </w:r>
          </w:p>
        </w:tc>
        <w:tc>
          <w:tcPr>
            <w:tcW w:w="3002" w:type="dxa"/>
            <w:gridSpan w:val="3"/>
            <w:tcBorders>
              <w:top w:val="nil"/>
              <w:left w:val="nil"/>
              <w:bottom w:val="single" w:color="000000" w:sz="4" w:space="0"/>
              <w:right w:val="single" w:color="000000" w:sz="8" w:space="0"/>
            </w:tcBorders>
            <w:shd w:val="clear" w:color="FFFFFF" w:fill="C0C0C0"/>
            <w:vAlign w:val="center"/>
          </w:tcPr>
          <w:p w14:paraId="171B9C28">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其中：财政拨款结转和结余</w:t>
            </w:r>
          </w:p>
        </w:tc>
      </w:tr>
      <w:tr w14:paraId="7DDF8403">
        <w:tblPrEx>
          <w:tblCellMar>
            <w:top w:w="0" w:type="dxa"/>
            <w:left w:w="108" w:type="dxa"/>
            <w:bottom w:w="0" w:type="dxa"/>
            <w:right w:w="108" w:type="dxa"/>
          </w:tblCellMar>
        </w:tblPrEx>
        <w:trPr>
          <w:trHeight w:val="360" w:hRule="atLeast"/>
        </w:trPr>
        <w:tc>
          <w:tcPr>
            <w:tcW w:w="1305" w:type="dxa"/>
            <w:gridSpan w:val="3"/>
            <w:vMerge w:val="continue"/>
            <w:tcBorders>
              <w:top w:val="nil"/>
              <w:left w:val="single" w:color="000000" w:sz="4" w:space="0"/>
              <w:bottom w:val="single" w:color="000000" w:sz="4" w:space="0"/>
              <w:right w:val="single" w:color="000000" w:sz="4" w:space="0"/>
            </w:tcBorders>
            <w:vAlign w:val="center"/>
          </w:tcPr>
          <w:p w14:paraId="5FC9CF21">
            <w:pPr>
              <w:widowControl/>
              <w:jc w:val="left"/>
              <w:rPr>
                <w:rFonts w:ascii="仿宋_GB2312" w:hAnsi="宋体" w:eastAsia="仿宋_GB2312" w:cs="Arial"/>
                <w:color w:val="000000"/>
                <w:kern w:val="0"/>
                <w:szCs w:val="21"/>
              </w:rPr>
            </w:pPr>
          </w:p>
        </w:tc>
        <w:tc>
          <w:tcPr>
            <w:tcW w:w="3564" w:type="dxa"/>
            <w:vMerge w:val="continue"/>
            <w:tcBorders>
              <w:top w:val="nil"/>
              <w:left w:val="nil"/>
              <w:bottom w:val="single" w:color="000000" w:sz="4" w:space="0"/>
              <w:right w:val="single" w:color="000000" w:sz="4" w:space="0"/>
            </w:tcBorders>
            <w:vAlign w:val="center"/>
          </w:tcPr>
          <w:p w14:paraId="3C0FDD0A">
            <w:pPr>
              <w:widowControl/>
              <w:jc w:val="left"/>
              <w:rPr>
                <w:rFonts w:ascii="仿宋_GB2312" w:hAnsi="宋体" w:eastAsia="仿宋_GB2312" w:cs="Arial"/>
                <w:color w:val="000000"/>
                <w:kern w:val="0"/>
                <w:szCs w:val="21"/>
              </w:rPr>
            </w:pPr>
          </w:p>
        </w:tc>
        <w:tc>
          <w:tcPr>
            <w:tcW w:w="1041" w:type="dxa"/>
            <w:vMerge w:val="continue"/>
            <w:tcBorders>
              <w:top w:val="nil"/>
              <w:left w:val="nil"/>
              <w:bottom w:val="single" w:color="000000" w:sz="4" w:space="0"/>
              <w:right w:val="single" w:color="000000" w:sz="4" w:space="0"/>
            </w:tcBorders>
            <w:vAlign w:val="center"/>
          </w:tcPr>
          <w:p w14:paraId="3BB066D7">
            <w:pPr>
              <w:widowControl/>
              <w:jc w:val="left"/>
              <w:rPr>
                <w:rFonts w:ascii="仿宋_GB2312" w:hAnsi="宋体" w:eastAsia="仿宋_GB2312" w:cs="Arial"/>
                <w:color w:val="000000"/>
                <w:kern w:val="0"/>
                <w:szCs w:val="21"/>
              </w:rPr>
            </w:pPr>
          </w:p>
        </w:tc>
        <w:tc>
          <w:tcPr>
            <w:tcW w:w="1339" w:type="dxa"/>
            <w:vMerge w:val="restart"/>
            <w:tcBorders>
              <w:top w:val="nil"/>
              <w:left w:val="nil"/>
              <w:bottom w:val="single" w:color="000000" w:sz="4" w:space="0"/>
              <w:right w:val="single" w:color="000000" w:sz="4" w:space="0"/>
            </w:tcBorders>
            <w:shd w:val="clear" w:color="FFFFFF" w:fill="C0C0C0"/>
            <w:vAlign w:val="center"/>
          </w:tcPr>
          <w:p w14:paraId="036ACB69">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小计</w:t>
            </w:r>
          </w:p>
        </w:tc>
        <w:tc>
          <w:tcPr>
            <w:tcW w:w="1041" w:type="dxa"/>
            <w:vMerge w:val="restart"/>
            <w:tcBorders>
              <w:top w:val="nil"/>
              <w:left w:val="nil"/>
              <w:bottom w:val="single" w:color="000000" w:sz="4" w:space="0"/>
              <w:right w:val="single" w:color="000000" w:sz="4" w:space="0"/>
            </w:tcBorders>
            <w:shd w:val="clear" w:color="FFFFFF" w:fill="C0C0C0"/>
            <w:vAlign w:val="center"/>
          </w:tcPr>
          <w:p w14:paraId="0E61CEC8">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其中：基本建设支出拨款</w:t>
            </w:r>
          </w:p>
        </w:tc>
        <w:tc>
          <w:tcPr>
            <w:tcW w:w="1395" w:type="dxa"/>
            <w:vMerge w:val="continue"/>
            <w:tcBorders>
              <w:top w:val="nil"/>
              <w:left w:val="nil"/>
              <w:bottom w:val="single" w:color="000000" w:sz="4" w:space="0"/>
              <w:right w:val="single" w:color="000000" w:sz="4" w:space="0"/>
            </w:tcBorders>
            <w:vAlign w:val="center"/>
          </w:tcPr>
          <w:p w14:paraId="3EEBD71D">
            <w:pPr>
              <w:widowControl/>
              <w:jc w:val="left"/>
              <w:rPr>
                <w:rFonts w:ascii="仿宋_GB2312" w:hAnsi="宋体" w:eastAsia="仿宋_GB2312" w:cs="Arial"/>
                <w:color w:val="000000"/>
                <w:kern w:val="0"/>
                <w:szCs w:val="21"/>
              </w:rPr>
            </w:pPr>
          </w:p>
        </w:tc>
        <w:tc>
          <w:tcPr>
            <w:tcW w:w="1289" w:type="dxa"/>
            <w:vMerge w:val="continue"/>
            <w:tcBorders>
              <w:top w:val="nil"/>
              <w:left w:val="nil"/>
              <w:bottom w:val="single" w:color="000000" w:sz="4" w:space="0"/>
              <w:right w:val="single" w:color="000000" w:sz="4" w:space="0"/>
            </w:tcBorders>
            <w:vAlign w:val="center"/>
          </w:tcPr>
          <w:p w14:paraId="2DF38F88">
            <w:pPr>
              <w:widowControl/>
              <w:jc w:val="left"/>
              <w:rPr>
                <w:rFonts w:ascii="仿宋_GB2312" w:hAnsi="宋体" w:eastAsia="仿宋_GB2312" w:cs="Arial"/>
                <w:color w:val="000000"/>
                <w:kern w:val="0"/>
                <w:szCs w:val="21"/>
              </w:rPr>
            </w:pPr>
          </w:p>
        </w:tc>
        <w:tc>
          <w:tcPr>
            <w:tcW w:w="1277" w:type="dxa"/>
            <w:vMerge w:val="restart"/>
            <w:tcBorders>
              <w:top w:val="nil"/>
              <w:left w:val="nil"/>
              <w:bottom w:val="single" w:color="000000" w:sz="4" w:space="0"/>
              <w:right w:val="single" w:color="000000" w:sz="4" w:space="0"/>
            </w:tcBorders>
            <w:shd w:val="clear" w:color="FFFFFF" w:fill="C0C0C0"/>
            <w:vAlign w:val="center"/>
          </w:tcPr>
          <w:p w14:paraId="5E787A12">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小计</w:t>
            </w:r>
          </w:p>
        </w:tc>
        <w:tc>
          <w:tcPr>
            <w:tcW w:w="1210" w:type="dxa"/>
            <w:vMerge w:val="restart"/>
            <w:tcBorders>
              <w:top w:val="nil"/>
              <w:left w:val="nil"/>
              <w:bottom w:val="single" w:color="000000" w:sz="4" w:space="0"/>
              <w:right w:val="single" w:color="000000" w:sz="4" w:space="0"/>
            </w:tcBorders>
            <w:shd w:val="clear" w:color="FFFFFF" w:fill="C0C0C0"/>
            <w:vAlign w:val="center"/>
          </w:tcPr>
          <w:p w14:paraId="46D1A2D2">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财政拨款结转</w:t>
            </w:r>
          </w:p>
        </w:tc>
        <w:tc>
          <w:tcPr>
            <w:tcW w:w="515" w:type="dxa"/>
            <w:vMerge w:val="restart"/>
            <w:tcBorders>
              <w:top w:val="nil"/>
              <w:left w:val="nil"/>
              <w:bottom w:val="single" w:color="000000" w:sz="4" w:space="0"/>
              <w:right w:val="single" w:color="000000" w:sz="8" w:space="0"/>
            </w:tcBorders>
            <w:shd w:val="clear" w:color="FFFFFF" w:fill="C0C0C0"/>
            <w:vAlign w:val="center"/>
          </w:tcPr>
          <w:p w14:paraId="62180E4C">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财政拨款结余</w:t>
            </w:r>
          </w:p>
        </w:tc>
      </w:tr>
      <w:tr w14:paraId="04B7A3ED">
        <w:tblPrEx>
          <w:tblCellMar>
            <w:top w:w="0" w:type="dxa"/>
            <w:left w:w="108" w:type="dxa"/>
            <w:bottom w:w="0" w:type="dxa"/>
            <w:right w:w="108" w:type="dxa"/>
          </w:tblCellMar>
        </w:tblPrEx>
        <w:trPr>
          <w:trHeight w:val="1158" w:hRule="atLeast"/>
        </w:trPr>
        <w:tc>
          <w:tcPr>
            <w:tcW w:w="1305" w:type="dxa"/>
            <w:gridSpan w:val="3"/>
            <w:vMerge w:val="continue"/>
            <w:tcBorders>
              <w:top w:val="nil"/>
              <w:left w:val="single" w:color="000000" w:sz="4" w:space="0"/>
              <w:bottom w:val="single" w:color="000000" w:sz="4" w:space="0"/>
              <w:right w:val="single" w:color="000000" w:sz="4" w:space="0"/>
            </w:tcBorders>
            <w:vAlign w:val="center"/>
          </w:tcPr>
          <w:p w14:paraId="4A52C7D1">
            <w:pPr>
              <w:widowControl/>
              <w:jc w:val="left"/>
              <w:rPr>
                <w:rFonts w:ascii="仿宋_GB2312" w:hAnsi="宋体" w:eastAsia="仿宋_GB2312" w:cs="Arial"/>
                <w:color w:val="000000"/>
                <w:kern w:val="0"/>
                <w:szCs w:val="21"/>
              </w:rPr>
            </w:pPr>
          </w:p>
        </w:tc>
        <w:tc>
          <w:tcPr>
            <w:tcW w:w="3564" w:type="dxa"/>
            <w:vMerge w:val="continue"/>
            <w:tcBorders>
              <w:top w:val="nil"/>
              <w:left w:val="nil"/>
              <w:bottom w:val="single" w:color="000000" w:sz="4" w:space="0"/>
              <w:right w:val="single" w:color="000000" w:sz="4" w:space="0"/>
            </w:tcBorders>
            <w:vAlign w:val="center"/>
          </w:tcPr>
          <w:p w14:paraId="23F840F5">
            <w:pPr>
              <w:widowControl/>
              <w:jc w:val="left"/>
              <w:rPr>
                <w:rFonts w:ascii="仿宋_GB2312" w:hAnsi="宋体" w:eastAsia="仿宋_GB2312" w:cs="Arial"/>
                <w:color w:val="000000"/>
                <w:kern w:val="0"/>
                <w:szCs w:val="21"/>
              </w:rPr>
            </w:pPr>
          </w:p>
        </w:tc>
        <w:tc>
          <w:tcPr>
            <w:tcW w:w="1041" w:type="dxa"/>
            <w:vMerge w:val="continue"/>
            <w:tcBorders>
              <w:top w:val="nil"/>
              <w:left w:val="nil"/>
              <w:bottom w:val="single" w:color="000000" w:sz="4" w:space="0"/>
              <w:right w:val="single" w:color="000000" w:sz="4" w:space="0"/>
            </w:tcBorders>
            <w:vAlign w:val="center"/>
          </w:tcPr>
          <w:p w14:paraId="11F31F15">
            <w:pPr>
              <w:widowControl/>
              <w:jc w:val="left"/>
              <w:rPr>
                <w:rFonts w:ascii="仿宋_GB2312" w:hAnsi="宋体" w:eastAsia="仿宋_GB2312" w:cs="Arial"/>
                <w:color w:val="000000"/>
                <w:kern w:val="0"/>
                <w:szCs w:val="21"/>
              </w:rPr>
            </w:pPr>
          </w:p>
        </w:tc>
        <w:tc>
          <w:tcPr>
            <w:tcW w:w="1339" w:type="dxa"/>
            <w:vMerge w:val="continue"/>
            <w:tcBorders>
              <w:top w:val="nil"/>
              <w:left w:val="nil"/>
              <w:bottom w:val="single" w:color="000000" w:sz="4" w:space="0"/>
              <w:right w:val="single" w:color="000000" w:sz="4" w:space="0"/>
            </w:tcBorders>
            <w:vAlign w:val="center"/>
          </w:tcPr>
          <w:p w14:paraId="0B0C90A7">
            <w:pPr>
              <w:widowControl/>
              <w:jc w:val="left"/>
              <w:rPr>
                <w:rFonts w:ascii="仿宋_GB2312" w:hAnsi="宋体" w:eastAsia="仿宋_GB2312" w:cs="Arial"/>
                <w:color w:val="000000"/>
                <w:kern w:val="0"/>
                <w:szCs w:val="21"/>
              </w:rPr>
            </w:pPr>
          </w:p>
        </w:tc>
        <w:tc>
          <w:tcPr>
            <w:tcW w:w="1041" w:type="dxa"/>
            <w:vMerge w:val="continue"/>
            <w:tcBorders>
              <w:top w:val="nil"/>
              <w:left w:val="nil"/>
              <w:bottom w:val="single" w:color="000000" w:sz="4" w:space="0"/>
              <w:right w:val="single" w:color="000000" w:sz="4" w:space="0"/>
            </w:tcBorders>
            <w:vAlign w:val="center"/>
          </w:tcPr>
          <w:p w14:paraId="573FCE73">
            <w:pPr>
              <w:widowControl/>
              <w:jc w:val="left"/>
              <w:rPr>
                <w:rFonts w:ascii="仿宋_GB2312" w:hAnsi="宋体" w:eastAsia="仿宋_GB2312" w:cs="Arial"/>
                <w:color w:val="000000"/>
                <w:kern w:val="0"/>
                <w:szCs w:val="21"/>
              </w:rPr>
            </w:pPr>
          </w:p>
        </w:tc>
        <w:tc>
          <w:tcPr>
            <w:tcW w:w="1395" w:type="dxa"/>
            <w:vMerge w:val="continue"/>
            <w:tcBorders>
              <w:top w:val="nil"/>
              <w:left w:val="nil"/>
              <w:bottom w:val="single" w:color="000000" w:sz="4" w:space="0"/>
              <w:right w:val="single" w:color="000000" w:sz="4" w:space="0"/>
            </w:tcBorders>
            <w:vAlign w:val="center"/>
          </w:tcPr>
          <w:p w14:paraId="4D4C8412">
            <w:pPr>
              <w:widowControl/>
              <w:jc w:val="left"/>
              <w:rPr>
                <w:rFonts w:ascii="仿宋_GB2312" w:hAnsi="宋体" w:eastAsia="仿宋_GB2312" w:cs="Arial"/>
                <w:color w:val="000000"/>
                <w:kern w:val="0"/>
                <w:szCs w:val="21"/>
              </w:rPr>
            </w:pPr>
          </w:p>
        </w:tc>
        <w:tc>
          <w:tcPr>
            <w:tcW w:w="1289" w:type="dxa"/>
            <w:vMerge w:val="continue"/>
            <w:tcBorders>
              <w:top w:val="nil"/>
              <w:left w:val="nil"/>
              <w:bottom w:val="single" w:color="000000" w:sz="4" w:space="0"/>
              <w:right w:val="single" w:color="000000" w:sz="4" w:space="0"/>
            </w:tcBorders>
            <w:vAlign w:val="center"/>
          </w:tcPr>
          <w:p w14:paraId="3C43AC99">
            <w:pPr>
              <w:widowControl/>
              <w:jc w:val="left"/>
              <w:rPr>
                <w:rFonts w:ascii="仿宋_GB2312" w:hAnsi="宋体" w:eastAsia="仿宋_GB2312" w:cs="Arial"/>
                <w:color w:val="000000"/>
                <w:kern w:val="0"/>
                <w:szCs w:val="21"/>
              </w:rPr>
            </w:pPr>
          </w:p>
        </w:tc>
        <w:tc>
          <w:tcPr>
            <w:tcW w:w="1277" w:type="dxa"/>
            <w:vMerge w:val="continue"/>
            <w:tcBorders>
              <w:top w:val="nil"/>
              <w:left w:val="nil"/>
              <w:bottom w:val="single" w:color="000000" w:sz="4" w:space="0"/>
              <w:right w:val="single" w:color="000000" w:sz="4" w:space="0"/>
            </w:tcBorders>
            <w:vAlign w:val="center"/>
          </w:tcPr>
          <w:p w14:paraId="339FD452">
            <w:pPr>
              <w:widowControl/>
              <w:jc w:val="left"/>
              <w:rPr>
                <w:rFonts w:ascii="仿宋_GB2312" w:hAnsi="宋体" w:eastAsia="仿宋_GB2312" w:cs="Arial"/>
                <w:color w:val="000000"/>
                <w:kern w:val="0"/>
                <w:szCs w:val="21"/>
              </w:rPr>
            </w:pPr>
          </w:p>
        </w:tc>
        <w:tc>
          <w:tcPr>
            <w:tcW w:w="1210" w:type="dxa"/>
            <w:vMerge w:val="continue"/>
            <w:tcBorders>
              <w:top w:val="nil"/>
              <w:left w:val="nil"/>
              <w:bottom w:val="single" w:color="000000" w:sz="4" w:space="0"/>
              <w:right w:val="single" w:color="000000" w:sz="4" w:space="0"/>
            </w:tcBorders>
            <w:vAlign w:val="center"/>
          </w:tcPr>
          <w:p w14:paraId="515FAE78">
            <w:pPr>
              <w:widowControl/>
              <w:jc w:val="left"/>
              <w:rPr>
                <w:rFonts w:ascii="仿宋_GB2312" w:hAnsi="宋体" w:eastAsia="仿宋_GB2312" w:cs="Arial"/>
                <w:color w:val="000000"/>
                <w:kern w:val="0"/>
                <w:szCs w:val="21"/>
              </w:rPr>
            </w:pPr>
          </w:p>
        </w:tc>
        <w:tc>
          <w:tcPr>
            <w:tcW w:w="515" w:type="dxa"/>
            <w:vMerge w:val="continue"/>
            <w:tcBorders>
              <w:top w:val="nil"/>
              <w:left w:val="nil"/>
              <w:bottom w:val="single" w:color="000000" w:sz="4" w:space="0"/>
              <w:right w:val="single" w:color="000000" w:sz="8" w:space="0"/>
            </w:tcBorders>
            <w:vAlign w:val="center"/>
          </w:tcPr>
          <w:p w14:paraId="69310068">
            <w:pPr>
              <w:widowControl/>
              <w:jc w:val="left"/>
              <w:rPr>
                <w:rFonts w:ascii="仿宋_GB2312" w:hAnsi="宋体" w:eastAsia="仿宋_GB2312" w:cs="Arial"/>
                <w:color w:val="000000"/>
                <w:kern w:val="0"/>
                <w:szCs w:val="21"/>
              </w:rPr>
            </w:pPr>
          </w:p>
        </w:tc>
      </w:tr>
      <w:tr w14:paraId="7C81AB00">
        <w:tblPrEx>
          <w:tblCellMar>
            <w:top w:w="0" w:type="dxa"/>
            <w:left w:w="108" w:type="dxa"/>
            <w:bottom w:w="0" w:type="dxa"/>
            <w:right w:w="108" w:type="dxa"/>
          </w:tblCellMar>
        </w:tblPrEx>
        <w:trPr>
          <w:trHeight w:val="216" w:hRule="atLeast"/>
        </w:trPr>
        <w:tc>
          <w:tcPr>
            <w:tcW w:w="435" w:type="dxa"/>
            <w:vMerge w:val="restart"/>
            <w:tcBorders>
              <w:top w:val="nil"/>
              <w:left w:val="single" w:color="000000" w:sz="4" w:space="0"/>
              <w:bottom w:val="single" w:color="000000" w:sz="4" w:space="0"/>
              <w:right w:val="single" w:color="000000" w:sz="4" w:space="0"/>
            </w:tcBorders>
            <w:shd w:val="clear" w:color="FFFFFF" w:fill="C0C0C0"/>
            <w:vAlign w:val="center"/>
          </w:tcPr>
          <w:p w14:paraId="6F0968FC">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类</w:t>
            </w:r>
          </w:p>
        </w:tc>
        <w:tc>
          <w:tcPr>
            <w:tcW w:w="435" w:type="dxa"/>
            <w:vMerge w:val="restart"/>
            <w:tcBorders>
              <w:top w:val="nil"/>
              <w:left w:val="nil"/>
              <w:bottom w:val="single" w:color="000000" w:sz="4" w:space="0"/>
              <w:right w:val="single" w:color="000000" w:sz="4" w:space="0"/>
            </w:tcBorders>
            <w:shd w:val="clear" w:color="FFFFFF" w:fill="C0C0C0"/>
            <w:vAlign w:val="center"/>
          </w:tcPr>
          <w:p w14:paraId="011FEF5C">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款</w:t>
            </w:r>
          </w:p>
        </w:tc>
        <w:tc>
          <w:tcPr>
            <w:tcW w:w="435" w:type="dxa"/>
            <w:vMerge w:val="restart"/>
            <w:tcBorders>
              <w:top w:val="nil"/>
              <w:left w:val="nil"/>
              <w:bottom w:val="single" w:color="000000" w:sz="4" w:space="0"/>
              <w:right w:val="single" w:color="000000" w:sz="4" w:space="0"/>
            </w:tcBorders>
            <w:shd w:val="clear" w:color="FFFFFF" w:fill="C0C0C0"/>
            <w:vAlign w:val="center"/>
          </w:tcPr>
          <w:p w14:paraId="59B4644F">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项</w:t>
            </w:r>
          </w:p>
        </w:tc>
        <w:tc>
          <w:tcPr>
            <w:tcW w:w="3564" w:type="dxa"/>
            <w:tcBorders>
              <w:top w:val="nil"/>
              <w:left w:val="nil"/>
              <w:bottom w:val="single" w:color="000000" w:sz="4" w:space="0"/>
              <w:right w:val="single" w:color="000000" w:sz="4" w:space="0"/>
            </w:tcBorders>
            <w:shd w:val="clear" w:color="FFFFFF" w:fill="C0C0C0"/>
            <w:vAlign w:val="center"/>
          </w:tcPr>
          <w:p w14:paraId="5000A8E3">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栏次</w:t>
            </w:r>
          </w:p>
        </w:tc>
        <w:tc>
          <w:tcPr>
            <w:tcW w:w="1041" w:type="dxa"/>
            <w:tcBorders>
              <w:top w:val="nil"/>
              <w:left w:val="nil"/>
              <w:bottom w:val="single" w:color="000000" w:sz="4" w:space="0"/>
              <w:right w:val="single" w:color="000000" w:sz="4" w:space="0"/>
            </w:tcBorders>
            <w:shd w:val="clear" w:color="FFFFFF" w:fill="C0C0C0"/>
            <w:vAlign w:val="center"/>
          </w:tcPr>
          <w:p w14:paraId="3C59E576">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1</w:t>
            </w:r>
          </w:p>
        </w:tc>
        <w:tc>
          <w:tcPr>
            <w:tcW w:w="1339" w:type="dxa"/>
            <w:tcBorders>
              <w:top w:val="nil"/>
              <w:left w:val="nil"/>
              <w:bottom w:val="single" w:color="000000" w:sz="4" w:space="0"/>
              <w:right w:val="single" w:color="000000" w:sz="4" w:space="0"/>
            </w:tcBorders>
            <w:shd w:val="clear" w:color="FFFFFF" w:fill="C0C0C0"/>
            <w:vAlign w:val="center"/>
          </w:tcPr>
          <w:p w14:paraId="15E424CA">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2</w:t>
            </w:r>
          </w:p>
        </w:tc>
        <w:tc>
          <w:tcPr>
            <w:tcW w:w="1041" w:type="dxa"/>
            <w:tcBorders>
              <w:top w:val="nil"/>
              <w:left w:val="nil"/>
              <w:bottom w:val="single" w:color="000000" w:sz="4" w:space="0"/>
              <w:right w:val="single" w:color="000000" w:sz="4" w:space="0"/>
            </w:tcBorders>
            <w:shd w:val="clear" w:color="FFFFFF" w:fill="C0C0C0"/>
            <w:vAlign w:val="center"/>
          </w:tcPr>
          <w:p w14:paraId="261A5E18">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3</w:t>
            </w:r>
          </w:p>
        </w:tc>
        <w:tc>
          <w:tcPr>
            <w:tcW w:w="1395" w:type="dxa"/>
            <w:tcBorders>
              <w:top w:val="nil"/>
              <w:left w:val="nil"/>
              <w:bottom w:val="single" w:color="000000" w:sz="4" w:space="0"/>
              <w:right w:val="single" w:color="000000" w:sz="4" w:space="0"/>
            </w:tcBorders>
            <w:shd w:val="clear" w:color="FFFFFF" w:fill="C0C0C0"/>
            <w:vAlign w:val="center"/>
          </w:tcPr>
          <w:p w14:paraId="10EFE807">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7</w:t>
            </w:r>
          </w:p>
        </w:tc>
        <w:tc>
          <w:tcPr>
            <w:tcW w:w="1289" w:type="dxa"/>
            <w:tcBorders>
              <w:top w:val="nil"/>
              <w:left w:val="nil"/>
              <w:bottom w:val="single" w:color="000000" w:sz="4" w:space="0"/>
              <w:right w:val="single" w:color="000000" w:sz="4" w:space="0"/>
            </w:tcBorders>
            <w:shd w:val="clear" w:color="FFFFFF" w:fill="C0C0C0"/>
            <w:vAlign w:val="center"/>
          </w:tcPr>
          <w:p w14:paraId="5B99B8F5">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8</w:t>
            </w:r>
          </w:p>
        </w:tc>
        <w:tc>
          <w:tcPr>
            <w:tcW w:w="1277" w:type="dxa"/>
            <w:tcBorders>
              <w:top w:val="nil"/>
              <w:left w:val="nil"/>
              <w:bottom w:val="single" w:color="000000" w:sz="4" w:space="0"/>
              <w:right w:val="single" w:color="000000" w:sz="4" w:space="0"/>
            </w:tcBorders>
            <w:shd w:val="clear" w:color="FFFFFF" w:fill="C0C0C0"/>
            <w:vAlign w:val="center"/>
          </w:tcPr>
          <w:p w14:paraId="3F2EA117">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14</w:t>
            </w:r>
          </w:p>
        </w:tc>
        <w:tc>
          <w:tcPr>
            <w:tcW w:w="1210" w:type="dxa"/>
            <w:tcBorders>
              <w:top w:val="nil"/>
              <w:left w:val="nil"/>
              <w:bottom w:val="single" w:color="000000" w:sz="4" w:space="0"/>
              <w:right w:val="single" w:color="000000" w:sz="4" w:space="0"/>
            </w:tcBorders>
            <w:shd w:val="clear" w:color="FFFFFF" w:fill="C0C0C0"/>
            <w:vAlign w:val="center"/>
          </w:tcPr>
          <w:p w14:paraId="0AAF41C1">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15</w:t>
            </w:r>
          </w:p>
        </w:tc>
        <w:tc>
          <w:tcPr>
            <w:tcW w:w="515" w:type="dxa"/>
            <w:tcBorders>
              <w:top w:val="nil"/>
              <w:left w:val="nil"/>
              <w:bottom w:val="single" w:color="000000" w:sz="4" w:space="0"/>
              <w:right w:val="single" w:color="000000" w:sz="8" w:space="0"/>
            </w:tcBorders>
            <w:shd w:val="clear" w:color="FFFFFF" w:fill="C0C0C0"/>
            <w:vAlign w:val="center"/>
          </w:tcPr>
          <w:p w14:paraId="50883B50">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16</w:t>
            </w:r>
          </w:p>
        </w:tc>
      </w:tr>
      <w:tr w14:paraId="3B747C82">
        <w:tblPrEx>
          <w:tblCellMar>
            <w:top w:w="0" w:type="dxa"/>
            <w:left w:w="108" w:type="dxa"/>
            <w:bottom w:w="0" w:type="dxa"/>
            <w:right w:w="108" w:type="dxa"/>
          </w:tblCellMar>
        </w:tblPrEx>
        <w:trPr>
          <w:trHeight w:val="229" w:hRule="atLeast"/>
        </w:trPr>
        <w:tc>
          <w:tcPr>
            <w:tcW w:w="435" w:type="dxa"/>
            <w:vMerge w:val="continue"/>
            <w:tcBorders>
              <w:top w:val="nil"/>
              <w:left w:val="single" w:color="000000" w:sz="4" w:space="0"/>
              <w:bottom w:val="single" w:color="000000" w:sz="4" w:space="0"/>
              <w:right w:val="single" w:color="000000" w:sz="4" w:space="0"/>
            </w:tcBorders>
            <w:vAlign w:val="center"/>
          </w:tcPr>
          <w:p w14:paraId="7BF32D52">
            <w:pPr>
              <w:widowControl/>
              <w:jc w:val="left"/>
              <w:rPr>
                <w:rFonts w:ascii="仿宋_GB2312" w:hAnsi="宋体" w:eastAsia="仿宋_GB2312" w:cs="Arial"/>
                <w:color w:val="000000"/>
                <w:kern w:val="0"/>
                <w:szCs w:val="21"/>
              </w:rPr>
            </w:pPr>
          </w:p>
        </w:tc>
        <w:tc>
          <w:tcPr>
            <w:tcW w:w="435" w:type="dxa"/>
            <w:vMerge w:val="continue"/>
            <w:tcBorders>
              <w:top w:val="nil"/>
              <w:left w:val="nil"/>
              <w:bottom w:val="single" w:color="000000" w:sz="4" w:space="0"/>
              <w:right w:val="single" w:color="000000" w:sz="4" w:space="0"/>
            </w:tcBorders>
            <w:vAlign w:val="center"/>
          </w:tcPr>
          <w:p w14:paraId="32508475">
            <w:pPr>
              <w:widowControl/>
              <w:jc w:val="left"/>
              <w:rPr>
                <w:rFonts w:ascii="仿宋_GB2312" w:hAnsi="宋体" w:eastAsia="仿宋_GB2312" w:cs="Arial"/>
                <w:color w:val="000000"/>
                <w:kern w:val="0"/>
                <w:szCs w:val="21"/>
              </w:rPr>
            </w:pPr>
          </w:p>
        </w:tc>
        <w:tc>
          <w:tcPr>
            <w:tcW w:w="435" w:type="dxa"/>
            <w:vMerge w:val="continue"/>
            <w:tcBorders>
              <w:top w:val="nil"/>
              <w:left w:val="nil"/>
              <w:bottom w:val="single" w:color="000000" w:sz="4" w:space="0"/>
              <w:right w:val="single" w:color="000000" w:sz="4" w:space="0"/>
            </w:tcBorders>
          </w:tcPr>
          <w:p w14:paraId="6FD0626C">
            <w:pPr>
              <w:widowControl/>
              <w:jc w:val="left"/>
              <w:rPr>
                <w:rFonts w:ascii="仿宋_GB2312" w:hAnsi="宋体" w:eastAsia="仿宋_GB2312" w:cs="Arial"/>
                <w:color w:val="000000"/>
                <w:kern w:val="0"/>
                <w:szCs w:val="21"/>
              </w:rPr>
            </w:pPr>
          </w:p>
        </w:tc>
        <w:tc>
          <w:tcPr>
            <w:tcW w:w="3564" w:type="dxa"/>
            <w:tcBorders>
              <w:top w:val="nil"/>
              <w:left w:val="nil"/>
              <w:bottom w:val="single" w:color="000000" w:sz="4" w:space="0"/>
              <w:right w:val="single" w:color="000000" w:sz="4" w:space="0"/>
            </w:tcBorders>
            <w:shd w:val="clear" w:color="FFFFFF" w:fill="C0C0C0"/>
          </w:tcPr>
          <w:p w14:paraId="58B6C0F4">
            <w:pPr>
              <w:widowControl/>
              <w:jc w:val="center"/>
              <w:rPr>
                <w:rFonts w:ascii="仿宋_GB2312" w:hAnsi="宋体" w:eastAsia="仿宋_GB2312" w:cs="Arial"/>
                <w:color w:val="000000"/>
                <w:kern w:val="0"/>
                <w:szCs w:val="21"/>
              </w:rPr>
            </w:pPr>
            <w:r>
              <w:rPr>
                <w:rFonts w:hint="eastAsia" w:ascii="仿宋_GB2312" w:eastAsia="仿宋_GB2312"/>
                <w:szCs w:val="21"/>
              </w:rPr>
              <w:t>476</w:t>
            </w:r>
          </w:p>
        </w:tc>
        <w:tc>
          <w:tcPr>
            <w:tcW w:w="1041" w:type="dxa"/>
            <w:tcBorders>
              <w:top w:val="nil"/>
              <w:left w:val="nil"/>
              <w:bottom w:val="single" w:color="000000" w:sz="4" w:space="0"/>
              <w:right w:val="single" w:color="000000" w:sz="4" w:space="0"/>
            </w:tcBorders>
            <w:shd w:val="clear" w:color="auto" w:fill="auto"/>
            <w:noWrap/>
            <w:vAlign w:val="center"/>
          </w:tcPr>
          <w:p w14:paraId="50D07434">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3,505,706.62</w:t>
            </w:r>
          </w:p>
        </w:tc>
        <w:tc>
          <w:tcPr>
            <w:tcW w:w="1339" w:type="dxa"/>
            <w:tcBorders>
              <w:top w:val="nil"/>
              <w:left w:val="nil"/>
              <w:bottom w:val="single" w:color="000000" w:sz="4" w:space="0"/>
              <w:right w:val="single" w:color="000000" w:sz="4" w:space="0"/>
            </w:tcBorders>
            <w:shd w:val="clear" w:color="auto" w:fill="auto"/>
            <w:noWrap/>
            <w:vAlign w:val="center"/>
          </w:tcPr>
          <w:p w14:paraId="65982D90">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3,505,706.62</w:t>
            </w:r>
          </w:p>
        </w:tc>
        <w:tc>
          <w:tcPr>
            <w:tcW w:w="1041" w:type="dxa"/>
            <w:tcBorders>
              <w:top w:val="nil"/>
              <w:left w:val="nil"/>
              <w:bottom w:val="single" w:color="000000" w:sz="4" w:space="0"/>
              <w:right w:val="single" w:color="000000" w:sz="4" w:space="0"/>
            </w:tcBorders>
            <w:shd w:val="clear" w:color="auto" w:fill="auto"/>
            <w:noWrap/>
          </w:tcPr>
          <w:p w14:paraId="1D3367A0">
            <w:pPr>
              <w:rPr>
                <w:rFonts w:hint="eastAsia" w:ascii="仿宋_GB2312" w:hAnsi="仿宋_GB2312" w:eastAsia="仿宋_GB2312" w:cs="仿宋_GB2312"/>
                <w:sz w:val="13"/>
                <w:szCs w:val="13"/>
              </w:rPr>
            </w:pPr>
          </w:p>
        </w:tc>
        <w:tc>
          <w:tcPr>
            <w:tcW w:w="1395" w:type="dxa"/>
            <w:tcBorders>
              <w:top w:val="nil"/>
              <w:left w:val="nil"/>
              <w:bottom w:val="single" w:color="000000" w:sz="4" w:space="0"/>
              <w:right w:val="single" w:color="000000" w:sz="4" w:space="0"/>
            </w:tcBorders>
            <w:shd w:val="clear" w:color="auto" w:fill="auto"/>
            <w:noWrap/>
            <w:vAlign w:val="center"/>
          </w:tcPr>
          <w:p w14:paraId="31444CB8">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3,475,781.47</w:t>
            </w:r>
          </w:p>
        </w:tc>
        <w:tc>
          <w:tcPr>
            <w:tcW w:w="1289" w:type="dxa"/>
            <w:tcBorders>
              <w:top w:val="nil"/>
              <w:left w:val="nil"/>
              <w:bottom w:val="single" w:color="000000" w:sz="4" w:space="0"/>
              <w:right w:val="single" w:color="000000" w:sz="4" w:space="0"/>
            </w:tcBorders>
            <w:shd w:val="clear" w:color="auto" w:fill="auto"/>
            <w:noWrap/>
            <w:vAlign w:val="center"/>
          </w:tcPr>
          <w:p w14:paraId="67E8FDC1">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3,475,781.47</w:t>
            </w:r>
          </w:p>
        </w:tc>
        <w:tc>
          <w:tcPr>
            <w:tcW w:w="1277" w:type="dxa"/>
            <w:tcBorders>
              <w:top w:val="nil"/>
              <w:left w:val="nil"/>
              <w:bottom w:val="single" w:color="000000" w:sz="4" w:space="0"/>
              <w:right w:val="single" w:color="000000" w:sz="4" w:space="0"/>
            </w:tcBorders>
            <w:shd w:val="clear" w:color="auto" w:fill="auto"/>
            <w:noWrap/>
            <w:vAlign w:val="center"/>
          </w:tcPr>
          <w:p w14:paraId="03FA804A">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29,925.15</w:t>
            </w:r>
          </w:p>
        </w:tc>
        <w:tc>
          <w:tcPr>
            <w:tcW w:w="1210" w:type="dxa"/>
            <w:tcBorders>
              <w:top w:val="nil"/>
              <w:left w:val="nil"/>
              <w:bottom w:val="single" w:color="000000" w:sz="4" w:space="0"/>
              <w:right w:val="single" w:color="000000" w:sz="4" w:space="0"/>
            </w:tcBorders>
            <w:shd w:val="clear" w:color="auto" w:fill="auto"/>
            <w:noWrap/>
            <w:vAlign w:val="center"/>
          </w:tcPr>
          <w:p w14:paraId="2573A4C9">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29,925.15</w:t>
            </w:r>
          </w:p>
        </w:tc>
        <w:tc>
          <w:tcPr>
            <w:tcW w:w="515" w:type="dxa"/>
            <w:tcBorders>
              <w:top w:val="nil"/>
              <w:left w:val="nil"/>
              <w:bottom w:val="single" w:color="000000" w:sz="4" w:space="0"/>
              <w:right w:val="single" w:color="000000" w:sz="8" w:space="0"/>
            </w:tcBorders>
            <w:shd w:val="clear" w:color="auto" w:fill="auto"/>
            <w:noWrap/>
            <w:vAlign w:val="center"/>
          </w:tcPr>
          <w:p w14:paraId="29595345">
            <w:pPr>
              <w:widowControl/>
              <w:jc w:val="right"/>
              <w:rPr>
                <w:rFonts w:hint="eastAsia" w:ascii="仿宋_GB2312" w:hAnsi="仿宋_GB2312" w:eastAsia="仿宋_GB2312" w:cs="仿宋_GB2312"/>
                <w:color w:val="000000"/>
                <w:kern w:val="0"/>
                <w:szCs w:val="21"/>
              </w:rPr>
            </w:pPr>
          </w:p>
        </w:tc>
      </w:tr>
      <w:tr w14:paraId="22AB1D2E">
        <w:tblPrEx>
          <w:tblCellMar>
            <w:top w:w="0" w:type="dxa"/>
            <w:left w:w="108" w:type="dxa"/>
            <w:bottom w:w="0" w:type="dxa"/>
            <w:right w:w="108" w:type="dxa"/>
          </w:tblCellMar>
        </w:tblPrEx>
        <w:trPr>
          <w:trHeight w:val="269" w:hRule="atLeast"/>
        </w:trPr>
        <w:tc>
          <w:tcPr>
            <w:tcW w:w="1305" w:type="dxa"/>
            <w:gridSpan w:val="3"/>
            <w:tcBorders>
              <w:top w:val="nil"/>
              <w:left w:val="single" w:color="000000" w:sz="4" w:space="0"/>
              <w:bottom w:val="single" w:color="000000" w:sz="4" w:space="0"/>
              <w:right w:val="single" w:color="000000" w:sz="4" w:space="0"/>
            </w:tcBorders>
            <w:shd w:val="clear" w:color="auto" w:fill="auto"/>
            <w:noWrap/>
            <w:vAlign w:val="center"/>
          </w:tcPr>
          <w:p w14:paraId="36203372">
            <w:pPr>
              <w:keepNext w:val="0"/>
              <w:keepLines w:val="0"/>
              <w:widowControl/>
              <w:suppressLineNumbers w:val="0"/>
              <w:jc w:val="left"/>
              <w:textAlignment w:val="center"/>
              <w:rPr>
                <w:rFonts w:hint="eastAsia" w:ascii="仿宋_GB2312" w:hAnsi="仿宋_GB2312" w:eastAsia="仿宋_GB2312" w:cs="仿宋_GB2312"/>
                <w:sz w:val="15"/>
                <w:szCs w:val="15"/>
              </w:rPr>
            </w:pPr>
            <w:r>
              <w:rPr>
                <w:rFonts w:hint="eastAsia" w:ascii="宋体" w:hAnsi="宋体" w:eastAsia="宋体" w:cs="宋体"/>
                <w:i w:val="0"/>
                <w:iCs w:val="0"/>
                <w:color w:val="000000"/>
                <w:kern w:val="0"/>
                <w:sz w:val="15"/>
                <w:szCs w:val="15"/>
                <w:u w:val="none"/>
                <w:lang w:val="en-US" w:eastAsia="zh-CN" w:bidi="ar"/>
              </w:rPr>
              <w:t>207</w:t>
            </w:r>
          </w:p>
        </w:tc>
        <w:tc>
          <w:tcPr>
            <w:tcW w:w="3564" w:type="dxa"/>
            <w:tcBorders>
              <w:top w:val="nil"/>
              <w:left w:val="nil"/>
              <w:bottom w:val="single" w:color="000000" w:sz="4" w:space="0"/>
              <w:right w:val="single" w:color="000000" w:sz="4" w:space="0"/>
            </w:tcBorders>
            <w:shd w:val="clear" w:color="auto" w:fill="auto"/>
            <w:noWrap/>
            <w:vAlign w:val="center"/>
          </w:tcPr>
          <w:p w14:paraId="53CA9AA1">
            <w:pPr>
              <w:keepNext w:val="0"/>
              <w:keepLines w:val="0"/>
              <w:widowControl/>
              <w:suppressLineNumbers w:val="0"/>
              <w:jc w:val="left"/>
              <w:textAlignment w:val="center"/>
              <w:rPr>
                <w:rFonts w:hint="eastAsia" w:ascii="仿宋_GB2312" w:hAnsi="仿宋_GB2312" w:eastAsia="仿宋_GB2312" w:cs="仿宋_GB2312"/>
                <w:sz w:val="15"/>
                <w:szCs w:val="15"/>
              </w:rPr>
            </w:pPr>
            <w:r>
              <w:rPr>
                <w:rFonts w:hint="eastAsia" w:ascii="宋体" w:hAnsi="宋体" w:eastAsia="宋体" w:cs="宋体"/>
                <w:i w:val="0"/>
                <w:iCs w:val="0"/>
                <w:color w:val="000000"/>
                <w:kern w:val="0"/>
                <w:sz w:val="15"/>
                <w:szCs w:val="15"/>
                <w:u w:val="none"/>
                <w:lang w:val="en-US" w:eastAsia="zh-CN" w:bidi="ar"/>
              </w:rPr>
              <w:t>文化旅游体育与传媒支出</w:t>
            </w:r>
          </w:p>
        </w:tc>
        <w:tc>
          <w:tcPr>
            <w:tcW w:w="1041" w:type="dxa"/>
            <w:tcBorders>
              <w:top w:val="nil"/>
              <w:left w:val="nil"/>
              <w:bottom w:val="single" w:color="000000" w:sz="4" w:space="0"/>
              <w:right w:val="single" w:color="000000" w:sz="4" w:space="0"/>
            </w:tcBorders>
            <w:shd w:val="clear" w:color="auto" w:fill="auto"/>
            <w:noWrap/>
            <w:vAlign w:val="center"/>
          </w:tcPr>
          <w:p w14:paraId="1868D27C">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3,305,706.62</w:t>
            </w:r>
          </w:p>
        </w:tc>
        <w:tc>
          <w:tcPr>
            <w:tcW w:w="1339" w:type="dxa"/>
            <w:tcBorders>
              <w:top w:val="nil"/>
              <w:left w:val="nil"/>
              <w:bottom w:val="single" w:color="000000" w:sz="4" w:space="0"/>
              <w:right w:val="single" w:color="000000" w:sz="4" w:space="0"/>
            </w:tcBorders>
            <w:shd w:val="clear" w:color="auto" w:fill="auto"/>
            <w:noWrap/>
            <w:vAlign w:val="center"/>
          </w:tcPr>
          <w:p w14:paraId="54F66CC2">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3,305,706.62</w:t>
            </w:r>
          </w:p>
        </w:tc>
        <w:tc>
          <w:tcPr>
            <w:tcW w:w="1041" w:type="dxa"/>
            <w:tcBorders>
              <w:top w:val="nil"/>
              <w:left w:val="nil"/>
              <w:bottom w:val="single" w:color="000000" w:sz="4" w:space="0"/>
              <w:right w:val="single" w:color="000000" w:sz="4" w:space="0"/>
            </w:tcBorders>
            <w:shd w:val="clear" w:color="auto" w:fill="auto"/>
            <w:noWrap/>
          </w:tcPr>
          <w:p w14:paraId="5E9B9144">
            <w:pPr>
              <w:rPr>
                <w:rFonts w:hint="eastAsia" w:ascii="仿宋_GB2312" w:hAnsi="仿宋_GB2312" w:eastAsia="仿宋_GB2312" w:cs="仿宋_GB2312"/>
                <w:sz w:val="13"/>
                <w:szCs w:val="13"/>
              </w:rPr>
            </w:pPr>
          </w:p>
        </w:tc>
        <w:tc>
          <w:tcPr>
            <w:tcW w:w="1395" w:type="dxa"/>
            <w:tcBorders>
              <w:top w:val="nil"/>
              <w:left w:val="nil"/>
              <w:bottom w:val="single" w:color="000000" w:sz="4" w:space="0"/>
              <w:right w:val="single" w:color="000000" w:sz="4" w:space="0"/>
            </w:tcBorders>
            <w:shd w:val="clear" w:color="auto" w:fill="auto"/>
            <w:noWrap/>
            <w:vAlign w:val="center"/>
          </w:tcPr>
          <w:p w14:paraId="0B8D4628">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3,275,781.47</w:t>
            </w:r>
          </w:p>
        </w:tc>
        <w:tc>
          <w:tcPr>
            <w:tcW w:w="1289" w:type="dxa"/>
            <w:tcBorders>
              <w:top w:val="nil"/>
              <w:left w:val="nil"/>
              <w:bottom w:val="single" w:color="000000" w:sz="4" w:space="0"/>
              <w:right w:val="single" w:color="000000" w:sz="4" w:space="0"/>
            </w:tcBorders>
            <w:shd w:val="clear" w:color="auto" w:fill="auto"/>
            <w:noWrap/>
            <w:vAlign w:val="center"/>
          </w:tcPr>
          <w:p w14:paraId="21E370B2">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3,275,781.47</w:t>
            </w:r>
          </w:p>
        </w:tc>
        <w:tc>
          <w:tcPr>
            <w:tcW w:w="1277" w:type="dxa"/>
            <w:tcBorders>
              <w:top w:val="nil"/>
              <w:left w:val="nil"/>
              <w:bottom w:val="single" w:color="000000" w:sz="4" w:space="0"/>
              <w:right w:val="single" w:color="000000" w:sz="4" w:space="0"/>
            </w:tcBorders>
            <w:shd w:val="clear" w:color="auto" w:fill="auto"/>
            <w:noWrap/>
            <w:vAlign w:val="center"/>
          </w:tcPr>
          <w:p w14:paraId="7EFFA0AA">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29,925.15</w:t>
            </w:r>
          </w:p>
        </w:tc>
        <w:tc>
          <w:tcPr>
            <w:tcW w:w="1210" w:type="dxa"/>
            <w:tcBorders>
              <w:top w:val="nil"/>
              <w:left w:val="nil"/>
              <w:bottom w:val="single" w:color="000000" w:sz="4" w:space="0"/>
              <w:right w:val="single" w:color="000000" w:sz="4" w:space="0"/>
            </w:tcBorders>
            <w:shd w:val="clear" w:color="auto" w:fill="auto"/>
            <w:noWrap/>
            <w:vAlign w:val="center"/>
          </w:tcPr>
          <w:p w14:paraId="1A9B2974">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29,925.15</w:t>
            </w:r>
          </w:p>
        </w:tc>
        <w:tc>
          <w:tcPr>
            <w:tcW w:w="515" w:type="dxa"/>
            <w:tcBorders>
              <w:top w:val="nil"/>
              <w:left w:val="nil"/>
              <w:bottom w:val="single" w:color="000000" w:sz="4" w:space="0"/>
              <w:right w:val="single" w:color="000000" w:sz="8" w:space="0"/>
            </w:tcBorders>
            <w:shd w:val="clear" w:color="auto" w:fill="auto"/>
            <w:noWrap/>
            <w:vAlign w:val="center"/>
          </w:tcPr>
          <w:p w14:paraId="3DF865A8">
            <w:pPr>
              <w:widowControl/>
              <w:jc w:val="right"/>
              <w:rPr>
                <w:rFonts w:hint="eastAsia" w:ascii="仿宋_GB2312" w:hAnsi="仿宋_GB2312" w:eastAsia="仿宋_GB2312" w:cs="仿宋_GB2312"/>
                <w:color w:val="000000"/>
                <w:kern w:val="0"/>
                <w:sz w:val="13"/>
                <w:szCs w:val="13"/>
              </w:rPr>
            </w:pPr>
          </w:p>
        </w:tc>
      </w:tr>
      <w:tr w14:paraId="1493641D">
        <w:tblPrEx>
          <w:tblCellMar>
            <w:top w:w="0" w:type="dxa"/>
            <w:left w:w="108" w:type="dxa"/>
            <w:bottom w:w="0" w:type="dxa"/>
            <w:right w:w="108" w:type="dxa"/>
          </w:tblCellMar>
        </w:tblPrEx>
        <w:trPr>
          <w:trHeight w:val="243" w:hRule="atLeast"/>
        </w:trPr>
        <w:tc>
          <w:tcPr>
            <w:tcW w:w="1305" w:type="dxa"/>
            <w:gridSpan w:val="3"/>
            <w:tcBorders>
              <w:top w:val="nil"/>
              <w:left w:val="single" w:color="000000" w:sz="4" w:space="0"/>
              <w:bottom w:val="single" w:color="000000" w:sz="4" w:space="0"/>
              <w:right w:val="single" w:color="000000" w:sz="4" w:space="0"/>
            </w:tcBorders>
            <w:shd w:val="clear" w:color="auto" w:fill="auto"/>
            <w:noWrap/>
            <w:vAlign w:val="center"/>
          </w:tcPr>
          <w:p w14:paraId="773E1FA8">
            <w:pPr>
              <w:keepNext w:val="0"/>
              <w:keepLines w:val="0"/>
              <w:widowControl/>
              <w:suppressLineNumbers w:val="0"/>
              <w:jc w:val="left"/>
              <w:textAlignment w:val="center"/>
              <w:rPr>
                <w:rFonts w:hint="eastAsia" w:ascii="仿宋_GB2312" w:hAnsi="仿宋_GB2312" w:eastAsia="仿宋_GB2312" w:cs="仿宋_GB2312"/>
                <w:sz w:val="15"/>
                <w:szCs w:val="15"/>
              </w:rPr>
            </w:pPr>
            <w:r>
              <w:rPr>
                <w:rFonts w:hint="eastAsia" w:ascii="宋体" w:hAnsi="宋体" w:eastAsia="宋体" w:cs="宋体"/>
                <w:i w:val="0"/>
                <w:iCs w:val="0"/>
                <w:color w:val="000000"/>
                <w:kern w:val="0"/>
                <w:sz w:val="15"/>
                <w:szCs w:val="15"/>
                <w:u w:val="none"/>
                <w:lang w:val="en-US" w:eastAsia="zh-CN" w:bidi="ar"/>
              </w:rPr>
              <w:t>20706</w:t>
            </w:r>
          </w:p>
        </w:tc>
        <w:tc>
          <w:tcPr>
            <w:tcW w:w="3564" w:type="dxa"/>
            <w:tcBorders>
              <w:top w:val="nil"/>
              <w:left w:val="nil"/>
              <w:bottom w:val="single" w:color="000000" w:sz="4" w:space="0"/>
              <w:right w:val="single" w:color="000000" w:sz="4" w:space="0"/>
            </w:tcBorders>
            <w:shd w:val="clear" w:color="auto" w:fill="auto"/>
            <w:noWrap/>
            <w:vAlign w:val="center"/>
          </w:tcPr>
          <w:p w14:paraId="140CB22C">
            <w:pPr>
              <w:keepNext w:val="0"/>
              <w:keepLines w:val="0"/>
              <w:widowControl/>
              <w:suppressLineNumbers w:val="0"/>
              <w:jc w:val="left"/>
              <w:textAlignment w:val="center"/>
              <w:rPr>
                <w:rFonts w:hint="eastAsia" w:ascii="仿宋_GB2312" w:hAnsi="仿宋_GB2312" w:eastAsia="仿宋_GB2312" w:cs="仿宋_GB2312"/>
                <w:sz w:val="15"/>
                <w:szCs w:val="15"/>
              </w:rPr>
            </w:pPr>
            <w:r>
              <w:rPr>
                <w:rFonts w:hint="eastAsia" w:ascii="宋体" w:hAnsi="宋体" w:eastAsia="宋体" w:cs="宋体"/>
                <w:i w:val="0"/>
                <w:iCs w:val="0"/>
                <w:color w:val="000000"/>
                <w:kern w:val="0"/>
                <w:sz w:val="15"/>
                <w:szCs w:val="15"/>
                <w:u w:val="none"/>
                <w:lang w:val="en-US" w:eastAsia="zh-CN" w:bidi="ar"/>
              </w:rPr>
              <w:t>新闻出版电影</w:t>
            </w:r>
          </w:p>
        </w:tc>
        <w:tc>
          <w:tcPr>
            <w:tcW w:w="1041" w:type="dxa"/>
            <w:tcBorders>
              <w:top w:val="nil"/>
              <w:left w:val="nil"/>
              <w:bottom w:val="single" w:color="000000" w:sz="4" w:space="0"/>
              <w:right w:val="single" w:color="000000" w:sz="4" w:space="0"/>
            </w:tcBorders>
            <w:shd w:val="clear" w:color="auto" w:fill="auto"/>
            <w:noWrap/>
            <w:vAlign w:val="center"/>
          </w:tcPr>
          <w:p w14:paraId="24038ECC">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3,242,037.13</w:t>
            </w:r>
          </w:p>
        </w:tc>
        <w:tc>
          <w:tcPr>
            <w:tcW w:w="1339" w:type="dxa"/>
            <w:tcBorders>
              <w:top w:val="nil"/>
              <w:left w:val="nil"/>
              <w:bottom w:val="single" w:color="000000" w:sz="4" w:space="0"/>
              <w:right w:val="single" w:color="000000" w:sz="4" w:space="0"/>
            </w:tcBorders>
            <w:shd w:val="clear" w:color="auto" w:fill="auto"/>
            <w:noWrap/>
            <w:vAlign w:val="center"/>
          </w:tcPr>
          <w:p w14:paraId="1567371E">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3,242,037.13</w:t>
            </w:r>
          </w:p>
        </w:tc>
        <w:tc>
          <w:tcPr>
            <w:tcW w:w="1041" w:type="dxa"/>
            <w:tcBorders>
              <w:top w:val="nil"/>
              <w:left w:val="nil"/>
              <w:bottom w:val="single" w:color="000000" w:sz="4" w:space="0"/>
              <w:right w:val="single" w:color="000000" w:sz="4" w:space="0"/>
            </w:tcBorders>
            <w:shd w:val="clear" w:color="auto" w:fill="auto"/>
            <w:noWrap/>
          </w:tcPr>
          <w:p w14:paraId="75F733D3">
            <w:pPr>
              <w:rPr>
                <w:rFonts w:hint="eastAsia" w:ascii="仿宋_GB2312" w:hAnsi="仿宋_GB2312" w:eastAsia="仿宋_GB2312" w:cs="仿宋_GB2312"/>
                <w:sz w:val="13"/>
                <w:szCs w:val="13"/>
              </w:rPr>
            </w:pPr>
          </w:p>
        </w:tc>
        <w:tc>
          <w:tcPr>
            <w:tcW w:w="1395" w:type="dxa"/>
            <w:tcBorders>
              <w:top w:val="nil"/>
              <w:left w:val="nil"/>
              <w:bottom w:val="single" w:color="000000" w:sz="4" w:space="0"/>
              <w:right w:val="single" w:color="000000" w:sz="4" w:space="0"/>
            </w:tcBorders>
            <w:shd w:val="clear" w:color="auto" w:fill="auto"/>
            <w:noWrap/>
            <w:vAlign w:val="center"/>
          </w:tcPr>
          <w:p w14:paraId="3F7789DA">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3,212,111.98</w:t>
            </w:r>
          </w:p>
        </w:tc>
        <w:tc>
          <w:tcPr>
            <w:tcW w:w="1289" w:type="dxa"/>
            <w:tcBorders>
              <w:top w:val="nil"/>
              <w:left w:val="nil"/>
              <w:bottom w:val="single" w:color="000000" w:sz="4" w:space="0"/>
              <w:right w:val="single" w:color="000000" w:sz="4" w:space="0"/>
            </w:tcBorders>
            <w:shd w:val="clear" w:color="auto" w:fill="auto"/>
            <w:noWrap/>
            <w:vAlign w:val="center"/>
          </w:tcPr>
          <w:p w14:paraId="04830BF6">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3,212,111.98</w:t>
            </w:r>
          </w:p>
        </w:tc>
        <w:tc>
          <w:tcPr>
            <w:tcW w:w="1277" w:type="dxa"/>
            <w:tcBorders>
              <w:top w:val="nil"/>
              <w:left w:val="nil"/>
              <w:bottom w:val="single" w:color="000000" w:sz="4" w:space="0"/>
              <w:right w:val="single" w:color="000000" w:sz="4" w:space="0"/>
            </w:tcBorders>
            <w:shd w:val="clear" w:color="auto" w:fill="auto"/>
            <w:noWrap/>
            <w:vAlign w:val="center"/>
          </w:tcPr>
          <w:p w14:paraId="4B56570C">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29,925.15</w:t>
            </w:r>
          </w:p>
        </w:tc>
        <w:tc>
          <w:tcPr>
            <w:tcW w:w="1210" w:type="dxa"/>
            <w:tcBorders>
              <w:top w:val="nil"/>
              <w:left w:val="nil"/>
              <w:bottom w:val="single" w:color="000000" w:sz="4" w:space="0"/>
              <w:right w:val="single" w:color="000000" w:sz="4" w:space="0"/>
            </w:tcBorders>
            <w:shd w:val="clear" w:color="auto" w:fill="auto"/>
            <w:noWrap/>
            <w:vAlign w:val="center"/>
          </w:tcPr>
          <w:p w14:paraId="716EAB07">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29,925.15</w:t>
            </w:r>
          </w:p>
        </w:tc>
        <w:tc>
          <w:tcPr>
            <w:tcW w:w="515" w:type="dxa"/>
            <w:tcBorders>
              <w:top w:val="nil"/>
              <w:left w:val="nil"/>
              <w:bottom w:val="single" w:color="000000" w:sz="4" w:space="0"/>
              <w:right w:val="single" w:color="000000" w:sz="8" w:space="0"/>
            </w:tcBorders>
            <w:shd w:val="clear" w:color="auto" w:fill="auto"/>
            <w:noWrap/>
            <w:vAlign w:val="center"/>
          </w:tcPr>
          <w:p w14:paraId="6B2CB314">
            <w:pPr>
              <w:widowControl/>
              <w:jc w:val="right"/>
              <w:rPr>
                <w:rFonts w:hint="eastAsia" w:ascii="仿宋_GB2312" w:hAnsi="仿宋_GB2312" w:eastAsia="仿宋_GB2312" w:cs="仿宋_GB2312"/>
                <w:color w:val="000000"/>
                <w:kern w:val="0"/>
                <w:sz w:val="13"/>
                <w:szCs w:val="13"/>
              </w:rPr>
            </w:pPr>
          </w:p>
        </w:tc>
      </w:tr>
      <w:tr w14:paraId="434C105C">
        <w:tblPrEx>
          <w:tblCellMar>
            <w:top w:w="0" w:type="dxa"/>
            <w:left w:w="108" w:type="dxa"/>
            <w:bottom w:w="0" w:type="dxa"/>
            <w:right w:w="108" w:type="dxa"/>
          </w:tblCellMar>
        </w:tblPrEx>
        <w:trPr>
          <w:trHeight w:val="243" w:hRule="atLeast"/>
        </w:trPr>
        <w:tc>
          <w:tcPr>
            <w:tcW w:w="1305" w:type="dxa"/>
            <w:gridSpan w:val="3"/>
            <w:tcBorders>
              <w:top w:val="nil"/>
              <w:left w:val="single" w:color="000000" w:sz="4" w:space="0"/>
              <w:bottom w:val="single" w:color="000000" w:sz="4" w:space="0"/>
              <w:right w:val="single" w:color="000000" w:sz="4" w:space="0"/>
            </w:tcBorders>
            <w:shd w:val="clear" w:color="auto" w:fill="auto"/>
            <w:noWrap/>
            <w:vAlign w:val="center"/>
          </w:tcPr>
          <w:p w14:paraId="3898F136">
            <w:pPr>
              <w:keepNext w:val="0"/>
              <w:keepLines w:val="0"/>
              <w:widowControl/>
              <w:suppressLineNumbers w:val="0"/>
              <w:jc w:val="left"/>
              <w:textAlignment w:val="center"/>
              <w:rPr>
                <w:rFonts w:hint="eastAsia" w:ascii="仿宋_GB2312" w:hAnsi="仿宋_GB2312" w:eastAsia="仿宋_GB2312" w:cs="仿宋_GB2312"/>
                <w:sz w:val="15"/>
                <w:szCs w:val="15"/>
              </w:rPr>
            </w:pPr>
            <w:r>
              <w:rPr>
                <w:rFonts w:hint="eastAsia" w:ascii="宋体" w:hAnsi="宋体" w:eastAsia="宋体" w:cs="宋体"/>
                <w:i w:val="0"/>
                <w:iCs w:val="0"/>
                <w:color w:val="000000"/>
                <w:kern w:val="0"/>
                <w:sz w:val="15"/>
                <w:szCs w:val="15"/>
                <w:u w:val="none"/>
                <w:lang w:val="en-US" w:eastAsia="zh-CN" w:bidi="ar"/>
              </w:rPr>
              <w:t>2070604</w:t>
            </w:r>
          </w:p>
        </w:tc>
        <w:tc>
          <w:tcPr>
            <w:tcW w:w="3564" w:type="dxa"/>
            <w:tcBorders>
              <w:top w:val="nil"/>
              <w:left w:val="nil"/>
              <w:bottom w:val="single" w:color="000000" w:sz="4" w:space="0"/>
              <w:right w:val="single" w:color="000000" w:sz="4" w:space="0"/>
            </w:tcBorders>
            <w:shd w:val="clear" w:color="auto" w:fill="auto"/>
            <w:noWrap/>
            <w:vAlign w:val="center"/>
          </w:tcPr>
          <w:p w14:paraId="5FE6BB48">
            <w:pPr>
              <w:keepNext w:val="0"/>
              <w:keepLines w:val="0"/>
              <w:widowControl/>
              <w:suppressLineNumbers w:val="0"/>
              <w:jc w:val="left"/>
              <w:textAlignment w:val="center"/>
              <w:rPr>
                <w:rFonts w:hint="eastAsia" w:ascii="仿宋_GB2312" w:hAnsi="仿宋_GB2312" w:eastAsia="仿宋_GB2312" w:cs="仿宋_GB2312"/>
                <w:sz w:val="15"/>
                <w:szCs w:val="15"/>
              </w:rPr>
            </w:pPr>
            <w:r>
              <w:rPr>
                <w:rFonts w:hint="eastAsia" w:ascii="宋体" w:hAnsi="宋体" w:eastAsia="宋体" w:cs="宋体"/>
                <w:i w:val="0"/>
                <w:iCs w:val="0"/>
                <w:color w:val="000000"/>
                <w:kern w:val="0"/>
                <w:sz w:val="15"/>
                <w:szCs w:val="15"/>
                <w:u w:val="none"/>
                <w:lang w:val="en-US" w:eastAsia="zh-CN" w:bidi="ar"/>
              </w:rPr>
              <w:t>新闻通讯</w:t>
            </w:r>
          </w:p>
        </w:tc>
        <w:tc>
          <w:tcPr>
            <w:tcW w:w="1041" w:type="dxa"/>
            <w:tcBorders>
              <w:top w:val="nil"/>
              <w:left w:val="nil"/>
              <w:bottom w:val="single" w:color="000000" w:sz="4" w:space="0"/>
              <w:right w:val="single" w:color="000000" w:sz="4" w:space="0"/>
            </w:tcBorders>
            <w:shd w:val="clear" w:color="auto" w:fill="auto"/>
            <w:noWrap/>
            <w:vAlign w:val="center"/>
          </w:tcPr>
          <w:p w14:paraId="678CFD5F">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843,575.29</w:t>
            </w:r>
          </w:p>
        </w:tc>
        <w:tc>
          <w:tcPr>
            <w:tcW w:w="1339" w:type="dxa"/>
            <w:tcBorders>
              <w:top w:val="nil"/>
              <w:left w:val="nil"/>
              <w:bottom w:val="single" w:color="000000" w:sz="4" w:space="0"/>
              <w:right w:val="single" w:color="000000" w:sz="4" w:space="0"/>
            </w:tcBorders>
            <w:shd w:val="clear" w:color="auto" w:fill="auto"/>
            <w:noWrap/>
            <w:vAlign w:val="center"/>
          </w:tcPr>
          <w:p w14:paraId="0E0CABF4">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843,575.29</w:t>
            </w:r>
          </w:p>
        </w:tc>
        <w:tc>
          <w:tcPr>
            <w:tcW w:w="1041" w:type="dxa"/>
            <w:tcBorders>
              <w:top w:val="nil"/>
              <w:left w:val="nil"/>
              <w:bottom w:val="single" w:color="000000" w:sz="4" w:space="0"/>
              <w:right w:val="single" w:color="000000" w:sz="4" w:space="0"/>
            </w:tcBorders>
            <w:shd w:val="clear" w:color="auto" w:fill="auto"/>
            <w:noWrap/>
          </w:tcPr>
          <w:p w14:paraId="5F79B2FE">
            <w:pPr>
              <w:rPr>
                <w:rFonts w:hint="eastAsia" w:ascii="仿宋_GB2312" w:hAnsi="仿宋_GB2312" w:eastAsia="仿宋_GB2312" w:cs="仿宋_GB2312"/>
                <w:sz w:val="13"/>
                <w:szCs w:val="13"/>
              </w:rPr>
            </w:pPr>
          </w:p>
        </w:tc>
        <w:tc>
          <w:tcPr>
            <w:tcW w:w="1395" w:type="dxa"/>
            <w:tcBorders>
              <w:top w:val="nil"/>
              <w:left w:val="nil"/>
              <w:bottom w:val="single" w:color="000000" w:sz="4" w:space="0"/>
              <w:right w:val="single" w:color="000000" w:sz="4" w:space="0"/>
            </w:tcBorders>
            <w:shd w:val="clear" w:color="auto" w:fill="auto"/>
            <w:noWrap/>
            <w:vAlign w:val="center"/>
          </w:tcPr>
          <w:p w14:paraId="0C628D6D">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843,575.29</w:t>
            </w:r>
          </w:p>
        </w:tc>
        <w:tc>
          <w:tcPr>
            <w:tcW w:w="1289" w:type="dxa"/>
            <w:tcBorders>
              <w:top w:val="nil"/>
              <w:left w:val="nil"/>
              <w:bottom w:val="single" w:color="000000" w:sz="4" w:space="0"/>
              <w:right w:val="single" w:color="000000" w:sz="4" w:space="0"/>
            </w:tcBorders>
            <w:shd w:val="clear" w:color="auto" w:fill="auto"/>
            <w:noWrap/>
            <w:vAlign w:val="center"/>
          </w:tcPr>
          <w:p w14:paraId="042C10D3">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843,575.29</w:t>
            </w:r>
          </w:p>
        </w:tc>
        <w:tc>
          <w:tcPr>
            <w:tcW w:w="1277" w:type="dxa"/>
            <w:tcBorders>
              <w:top w:val="nil"/>
              <w:left w:val="nil"/>
              <w:bottom w:val="single" w:color="000000" w:sz="4" w:space="0"/>
              <w:right w:val="single" w:color="000000" w:sz="4" w:space="0"/>
            </w:tcBorders>
            <w:shd w:val="clear" w:color="auto" w:fill="auto"/>
            <w:noWrap/>
            <w:vAlign w:val="center"/>
          </w:tcPr>
          <w:p w14:paraId="5CCEF531">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1210" w:type="dxa"/>
            <w:tcBorders>
              <w:top w:val="nil"/>
              <w:left w:val="nil"/>
              <w:bottom w:val="single" w:color="000000" w:sz="4" w:space="0"/>
              <w:right w:val="single" w:color="000000" w:sz="4" w:space="0"/>
            </w:tcBorders>
            <w:shd w:val="clear" w:color="auto" w:fill="auto"/>
            <w:noWrap/>
            <w:vAlign w:val="center"/>
          </w:tcPr>
          <w:p w14:paraId="5E71D261">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515" w:type="dxa"/>
            <w:tcBorders>
              <w:top w:val="nil"/>
              <w:left w:val="nil"/>
              <w:bottom w:val="single" w:color="000000" w:sz="4" w:space="0"/>
              <w:right w:val="single" w:color="000000" w:sz="8" w:space="0"/>
            </w:tcBorders>
            <w:shd w:val="clear" w:color="auto" w:fill="auto"/>
            <w:noWrap/>
            <w:vAlign w:val="center"/>
          </w:tcPr>
          <w:p w14:paraId="278155D5">
            <w:pPr>
              <w:widowControl/>
              <w:jc w:val="right"/>
              <w:rPr>
                <w:rFonts w:hint="eastAsia" w:ascii="仿宋_GB2312" w:hAnsi="仿宋_GB2312" w:eastAsia="仿宋_GB2312" w:cs="仿宋_GB2312"/>
                <w:color w:val="000000"/>
                <w:kern w:val="0"/>
                <w:sz w:val="13"/>
                <w:szCs w:val="13"/>
              </w:rPr>
            </w:pPr>
          </w:p>
        </w:tc>
      </w:tr>
      <w:tr w14:paraId="05C486BD">
        <w:tblPrEx>
          <w:tblCellMar>
            <w:top w:w="0" w:type="dxa"/>
            <w:left w:w="108" w:type="dxa"/>
            <w:bottom w:w="0" w:type="dxa"/>
            <w:right w:w="108" w:type="dxa"/>
          </w:tblCellMar>
        </w:tblPrEx>
        <w:trPr>
          <w:trHeight w:val="243" w:hRule="atLeast"/>
        </w:trPr>
        <w:tc>
          <w:tcPr>
            <w:tcW w:w="1305" w:type="dxa"/>
            <w:gridSpan w:val="3"/>
            <w:tcBorders>
              <w:top w:val="nil"/>
              <w:left w:val="single" w:color="000000" w:sz="4" w:space="0"/>
              <w:bottom w:val="single" w:color="000000" w:sz="4" w:space="0"/>
              <w:right w:val="single" w:color="000000" w:sz="4" w:space="0"/>
            </w:tcBorders>
            <w:shd w:val="clear" w:color="auto" w:fill="auto"/>
            <w:noWrap/>
            <w:vAlign w:val="center"/>
          </w:tcPr>
          <w:p w14:paraId="20BEB146">
            <w:pPr>
              <w:keepNext w:val="0"/>
              <w:keepLines w:val="0"/>
              <w:widowControl/>
              <w:suppressLineNumbers w:val="0"/>
              <w:jc w:val="left"/>
              <w:textAlignment w:val="center"/>
              <w:rPr>
                <w:rFonts w:hint="eastAsia" w:ascii="仿宋_GB2312" w:hAnsi="仿宋_GB2312" w:eastAsia="仿宋_GB2312" w:cs="仿宋_GB2312"/>
                <w:sz w:val="15"/>
                <w:szCs w:val="15"/>
              </w:rPr>
            </w:pPr>
            <w:r>
              <w:rPr>
                <w:rFonts w:hint="eastAsia" w:ascii="宋体" w:hAnsi="宋体" w:eastAsia="宋体" w:cs="宋体"/>
                <w:i w:val="0"/>
                <w:iCs w:val="0"/>
                <w:color w:val="000000"/>
                <w:kern w:val="0"/>
                <w:sz w:val="15"/>
                <w:szCs w:val="15"/>
                <w:u w:val="none"/>
                <w:lang w:val="en-US" w:eastAsia="zh-CN" w:bidi="ar"/>
              </w:rPr>
              <w:t>2070604</w:t>
            </w:r>
          </w:p>
        </w:tc>
        <w:tc>
          <w:tcPr>
            <w:tcW w:w="3564" w:type="dxa"/>
            <w:tcBorders>
              <w:top w:val="nil"/>
              <w:left w:val="nil"/>
              <w:bottom w:val="single" w:color="000000" w:sz="4" w:space="0"/>
              <w:right w:val="single" w:color="000000" w:sz="4" w:space="0"/>
            </w:tcBorders>
            <w:shd w:val="clear" w:color="auto" w:fill="auto"/>
            <w:noWrap/>
            <w:vAlign w:val="center"/>
          </w:tcPr>
          <w:p w14:paraId="62416C1C">
            <w:pPr>
              <w:keepNext w:val="0"/>
              <w:keepLines w:val="0"/>
              <w:widowControl/>
              <w:suppressLineNumbers w:val="0"/>
              <w:jc w:val="left"/>
              <w:textAlignment w:val="center"/>
              <w:rPr>
                <w:rFonts w:hint="eastAsia" w:ascii="仿宋_GB2312" w:hAnsi="仿宋_GB2312" w:eastAsia="仿宋_GB2312" w:cs="仿宋_GB2312"/>
                <w:sz w:val="15"/>
                <w:szCs w:val="15"/>
              </w:rPr>
            </w:pPr>
            <w:r>
              <w:rPr>
                <w:rFonts w:hint="eastAsia" w:ascii="宋体" w:hAnsi="宋体" w:eastAsia="宋体" w:cs="宋体"/>
                <w:i w:val="0"/>
                <w:iCs w:val="0"/>
                <w:color w:val="000000"/>
                <w:kern w:val="0"/>
                <w:sz w:val="15"/>
                <w:szCs w:val="15"/>
                <w:u w:val="none"/>
                <w:lang w:val="en-US" w:eastAsia="zh-CN" w:bidi="ar"/>
              </w:rPr>
              <w:t>寻财教〔2023〕24号融媒体中心固定性支出经费</w:t>
            </w:r>
          </w:p>
        </w:tc>
        <w:tc>
          <w:tcPr>
            <w:tcW w:w="1041" w:type="dxa"/>
            <w:tcBorders>
              <w:top w:val="nil"/>
              <w:left w:val="nil"/>
              <w:bottom w:val="single" w:color="000000" w:sz="4" w:space="0"/>
              <w:right w:val="single" w:color="000000" w:sz="4" w:space="0"/>
            </w:tcBorders>
            <w:shd w:val="clear" w:color="auto" w:fill="auto"/>
            <w:noWrap/>
            <w:vAlign w:val="center"/>
          </w:tcPr>
          <w:p w14:paraId="23B65C14">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115,354.00</w:t>
            </w:r>
          </w:p>
        </w:tc>
        <w:tc>
          <w:tcPr>
            <w:tcW w:w="1339" w:type="dxa"/>
            <w:tcBorders>
              <w:top w:val="nil"/>
              <w:left w:val="nil"/>
              <w:bottom w:val="single" w:color="000000" w:sz="4" w:space="0"/>
              <w:right w:val="single" w:color="000000" w:sz="4" w:space="0"/>
            </w:tcBorders>
            <w:shd w:val="clear" w:color="auto" w:fill="auto"/>
            <w:noWrap/>
            <w:vAlign w:val="center"/>
          </w:tcPr>
          <w:p w14:paraId="35641FE7">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115,354.00</w:t>
            </w:r>
          </w:p>
        </w:tc>
        <w:tc>
          <w:tcPr>
            <w:tcW w:w="1041" w:type="dxa"/>
            <w:tcBorders>
              <w:top w:val="nil"/>
              <w:left w:val="nil"/>
              <w:bottom w:val="single" w:color="000000" w:sz="4" w:space="0"/>
              <w:right w:val="single" w:color="000000" w:sz="4" w:space="0"/>
            </w:tcBorders>
            <w:shd w:val="clear" w:color="auto" w:fill="auto"/>
            <w:noWrap/>
          </w:tcPr>
          <w:p w14:paraId="45147DAA">
            <w:pPr>
              <w:rPr>
                <w:rFonts w:hint="eastAsia" w:ascii="仿宋_GB2312" w:hAnsi="仿宋_GB2312" w:eastAsia="仿宋_GB2312" w:cs="仿宋_GB2312"/>
                <w:sz w:val="13"/>
                <w:szCs w:val="13"/>
              </w:rPr>
            </w:pPr>
          </w:p>
        </w:tc>
        <w:tc>
          <w:tcPr>
            <w:tcW w:w="1395" w:type="dxa"/>
            <w:tcBorders>
              <w:top w:val="nil"/>
              <w:left w:val="nil"/>
              <w:bottom w:val="single" w:color="000000" w:sz="4" w:space="0"/>
              <w:right w:val="single" w:color="000000" w:sz="4" w:space="0"/>
            </w:tcBorders>
            <w:shd w:val="clear" w:color="auto" w:fill="auto"/>
            <w:noWrap/>
            <w:vAlign w:val="center"/>
          </w:tcPr>
          <w:p w14:paraId="08CAFF75">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115,354.00</w:t>
            </w:r>
          </w:p>
        </w:tc>
        <w:tc>
          <w:tcPr>
            <w:tcW w:w="1289" w:type="dxa"/>
            <w:tcBorders>
              <w:top w:val="nil"/>
              <w:left w:val="nil"/>
              <w:bottom w:val="single" w:color="000000" w:sz="4" w:space="0"/>
              <w:right w:val="single" w:color="000000" w:sz="4" w:space="0"/>
            </w:tcBorders>
            <w:shd w:val="clear" w:color="auto" w:fill="auto"/>
            <w:noWrap/>
            <w:vAlign w:val="center"/>
          </w:tcPr>
          <w:p w14:paraId="51761FC3">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115,354.00</w:t>
            </w:r>
          </w:p>
        </w:tc>
        <w:tc>
          <w:tcPr>
            <w:tcW w:w="1277" w:type="dxa"/>
            <w:tcBorders>
              <w:top w:val="nil"/>
              <w:left w:val="nil"/>
              <w:bottom w:val="single" w:color="000000" w:sz="4" w:space="0"/>
              <w:right w:val="single" w:color="000000" w:sz="4" w:space="0"/>
            </w:tcBorders>
            <w:shd w:val="clear" w:color="auto" w:fill="auto"/>
            <w:noWrap/>
            <w:vAlign w:val="center"/>
          </w:tcPr>
          <w:p w14:paraId="0B7D4A7D">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1210" w:type="dxa"/>
            <w:tcBorders>
              <w:top w:val="nil"/>
              <w:left w:val="nil"/>
              <w:bottom w:val="single" w:color="000000" w:sz="4" w:space="0"/>
              <w:right w:val="single" w:color="000000" w:sz="4" w:space="0"/>
            </w:tcBorders>
            <w:shd w:val="clear" w:color="auto" w:fill="auto"/>
            <w:noWrap/>
            <w:vAlign w:val="center"/>
          </w:tcPr>
          <w:p w14:paraId="7293A4D7">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515" w:type="dxa"/>
            <w:tcBorders>
              <w:top w:val="nil"/>
              <w:left w:val="nil"/>
              <w:bottom w:val="single" w:color="000000" w:sz="4" w:space="0"/>
              <w:right w:val="single" w:color="000000" w:sz="8" w:space="0"/>
            </w:tcBorders>
            <w:shd w:val="clear" w:color="auto" w:fill="auto"/>
            <w:noWrap/>
            <w:vAlign w:val="center"/>
          </w:tcPr>
          <w:p w14:paraId="240D1745">
            <w:pPr>
              <w:widowControl/>
              <w:jc w:val="right"/>
              <w:rPr>
                <w:rFonts w:hint="eastAsia" w:ascii="仿宋_GB2312" w:hAnsi="仿宋_GB2312" w:eastAsia="仿宋_GB2312" w:cs="仿宋_GB2312"/>
                <w:color w:val="000000"/>
                <w:kern w:val="0"/>
                <w:sz w:val="13"/>
                <w:szCs w:val="13"/>
              </w:rPr>
            </w:pPr>
            <w:r>
              <w:rPr>
                <w:rFonts w:hint="eastAsia" w:ascii="仿宋_GB2312" w:hAnsi="仿宋_GB2312" w:eastAsia="仿宋_GB2312" w:cs="仿宋_GB2312"/>
                <w:color w:val="000000"/>
                <w:kern w:val="0"/>
                <w:sz w:val="13"/>
                <w:szCs w:val="13"/>
              </w:rPr>
              <w:t>　</w:t>
            </w:r>
          </w:p>
        </w:tc>
      </w:tr>
      <w:tr w14:paraId="3214CABA">
        <w:tblPrEx>
          <w:tblCellMar>
            <w:top w:w="0" w:type="dxa"/>
            <w:left w:w="108" w:type="dxa"/>
            <w:bottom w:w="0" w:type="dxa"/>
            <w:right w:w="108" w:type="dxa"/>
          </w:tblCellMar>
        </w:tblPrEx>
        <w:trPr>
          <w:trHeight w:val="229" w:hRule="atLeast"/>
        </w:trPr>
        <w:tc>
          <w:tcPr>
            <w:tcW w:w="1305" w:type="dxa"/>
            <w:gridSpan w:val="3"/>
            <w:tcBorders>
              <w:top w:val="nil"/>
              <w:left w:val="single" w:color="000000" w:sz="4" w:space="0"/>
              <w:bottom w:val="single" w:color="000000" w:sz="4" w:space="0"/>
              <w:right w:val="single" w:color="000000" w:sz="4" w:space="0"/>
            </w:tcBorders>
            <w:shd w:val="clear" w:color="auto" w:fill="auto"/>
            <w:noWrap/>
            <w:vAlign w:val="center"/>
          </w:tcPr>
          <w:p w14:paraId="065C1417">
            <w:pPr>
              <w:keepNext w:val="0"/>
              <w:keepLines w:val="0"/>
              <w:widowControl/>
              <w:suppressLineNumbers w:val="0"/>
              <w:jc w:val="left"/>
              <w:textAlignment w:val="center"/>
              <w:rPr>
                <w:rFonts w:hint="eastAsia" w:ascii="仿宋_GB2312" w:hAnsi="仿宋_GB2312" w:eastAsia="仿宋_GB2312" w:cs="仿宋_GB2312"/>
                <w:sz w:val="15"/>
                <w:szCs w:val="15"/>
              </w:rPr>
            </w:pPr>
            <w:r>
              <w:rPr>
                <w:rFonts w:hint="eastAsia" w:ascii="宋体" w:hAnsi="宋体" w:eastAsia="宋体" w:cs="宋体"/>
                <w:i w:val="0"/>
                <w:iCs w:val="0"/>
                <w:color w:val="000000"/>
                <w:kern w:val="0"/>
                <w:sz w:val="15"/>
                <w:szCs w:val="15"/>
                <w:u w:val="none"/>
                <w:lang w:val="en-US" w:eastAsia="zh-CN" w:bidi="ar"/>
              </w:rPr>
              <w:t>2070604</w:t>
            </w:r>
          </w:p>
        </w:tc>
        <w:tc>
          <w:tcPr>
            <w:tcW w:w="3564" w:type="dxa"/>
            <w:tcBorders>
              <w:top w:val="nil"/>
              <w:left w:val="nil"/>
              <w:bottom w:val="single" w:color="000000" w:sz="4" w:space="0"/>
              <w:right w:val="single" w:color="000000" w:sz="4" w:space="0"/>
            </w:tcBorders>
            <w:shd w:val="clear" w:color="auto" w:fill="auto"/>
            <w:noWrap/>
            <w:vAlign w:val="center"/>
          </w:tcPr>
          <w:p w14:paraId="3BE01A0F">
            <w:pPr>
              <w:keepNext w:val="0"/>
              <w:keepLines w:val="0"/>
              <w:widowControl/>
              <w:suppressLineNumbers w:val="0"/>
              <w:jc w:val="left"/>
              <w:textAlignment w:val="center"/>
              <w:rPr>
                <w:rFonts w:hint="eastAsia" w:ascii="仿宋_GB2312" w:hAnsi="仿宋_GB2312" w:eastAsia="仿宋_GB2312" w:cs="仿宋_GB2312"/>
                <w:sz w:val="15"/>
                <w:szCs w:val="15"/>
              </w:rPr>
            </w:pPr>
            <w:r>
              <w:rPr>
                <w:rFonts w:hint="eastAsia" w:ascii="宋体" w:hAnsi="宋体" w:eastAsia="宋体" w:cs="宋体"/>
                <w:i w:val="0"/>
                <w:iCs w:val="0"/>
                <w:color w:val="000000"/>
                <w:kern w:val="0"/>
                <w:sz w:val="15"/>
                <w:szCs w:val="15"/>
                <w:u w:val="none"/>
                <w:lang w:val="en-US" w:eastAsia="zh-CN" w:bidi="ar"/>
              </w:rPr>
              <w:t>寻财教〔2023〕24号功能室装修、播出系统高清化改造和技术运维经费</w:t>
            </w:r>
          </w:p>
        </w:tc>
        <w:tc>
          <w:tcPr>
            <w:tcW w:w="1041" w:type="dxa"/>
            <w:tcBorders>
              <w:top w:val="nil"/>
              <w:left w:val="nil"/>
              <w:bottom w:val="single" w:color="000000" w:sz="4" w:space="0"/>
              <w:right w:val="single" w:color="000000" w:sz="4" w:space="0"/>
            </w:tcBorders>
            <w:shd w:val="clear" w:color="auto" w:fill="auto"/>
            <w:noWrap/>
            <w:vAlign w:val="center"/>
          </w:tcPr>
          <w:p w14:paraId="0462BED3">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600,000.00</w:t>
            </w:r>
          </w:p>
        </w:tc>
        <w:tc>
          <w:tcPr>
            <w:tcW w:w="1339" w:type="dxa"/>
            <w:tcBorders>
              <w:top w:val="nil"/>
              <w:left w:val="nil"/>
              <w:bottom w:val="single" w:color="000000" w:sz="4" w:space="0"/>
              <w:right w:val="single" w:color="000000" w:sz="4" w:space="0"/>
            </w:tcBorders>
            <w:shd w:val="clear" w:color="auto" w:fill="auto"/>
            <w:noWrap/>
            <w:vAlign w:val="center"/>
          </w:tcPr>
          <w:p w14:paraId="2378D731">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600,000.00</w:t>
            </w:r>
          </w:p>
        </w:tc>
        <w:tc>
          <w:tcPr>
            <w:tcW w:w="1041" w:type="dxa"/>
            <w:tcBorders>
              <w:top w:val="nil"/>
              <w:left w:val="nil"/>
              <w:bottom w:val="single" w:color="000000" w:sz="4" w:space="0"/>
              <w:right w:val="single" w:color="000000" w:sz="4" w:space="0"/>
            </w:tcBorders>
            <w:shd w:val="clear" w:color="auto" w:fill="auto"/>
            <w:noWrap/>
          </w:tcPr>
          <w:p w14:paraId="10A7C322">
            <w:pPr>
              <w:rPr>
                <w:rFonts w:hint="eastAsia" w:ascii="仿宋_GB2312" w:hAnsi="仿宋_GB2312" w:eastAsia="仿宋_GB2312" w:cs="仿宋_GB2312"/>
                <w:sz w:val="13"/>
                <w:szCs w:val="13"/>
              </w:rPr>
            </w:pPr>
          </w:p>
        </w:tc>
        <w:tc>
          <w:tcPr>
            <w:tcW w:w="1395" w:type="dxa"/>
            <w:tcBorders>
              <w:top w:val="nil"/>
              <w:left w:val="nil"/>
              <w:bottom w:val="single" w:color="000000" w:sz="4" w:space="0"/>
              <w:right w:val="single" w:color="000000" w:sz="4" w:space="0"/>
            </w:tcBorders>
            <w:shd w:val="clear" w:color="auto" w:fill="auto"/>
            <w:noWrap/>
            <w:vAlign w:val="center"/>
          </w:tcPr>
          <w:p w14:paraId="0566824C">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600,000.00</w:t>
            </w:r>
          </w:p>
        </w:tc>
        <w:tc>
          <w:tcPr>
            <w:tcW w:w="1289" w:type="dxa"/>
            <w:tcBorders>
              <w:top w:val="nil"/>
              <w:left w:val="nil"/>
              <w:bottom w:val="single" w:color="000000" w:sz="4" w:space="0"/>
              <w:right w:val="single" w:color="000000" w:sz="4" w:space="0"/>
            </w:tcBorders>
            <w:shd w:val="clear" w:color="auto" w:fill="auto"/>
            <w:noWrap/>
            <w:vAlign w:val="center"/>
          </w:tcPr>
          <w:p w14:paraId="585A677A">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600,000.00</w:t>
            </w:r>
          </w:p>
        </w:tc>
        <w:tc>
          <w:tcPr>
            <w:tcW w:w="1277" w:type="dxa"/>
            <w:tcBorders>
              <w:top w:val="nil"/>
              <w:left w:val="nil"/>
              <w:bottom w:val="single" w:color="000000" w:sz="4" w:space="0"/>
              <w:right w:val="single" w:color="000000" w:sz="4" w:space="0"/>
            </w:tcBorders>
            <w:shd w:val="clear" w:color="auto" w:fill="auto"/>
            <w:noWrap/>
            <w:vAlign w:val="center"/>
          </w:tcPr>
          <w:p w14:paraId="727F8960">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1210" w:type="dxa"/>
            <w:tcBorders>
              <w:top w:val="nil"/>
              <w:left w:val="nil"/>
              <w:bottom w:val="single" w:color="000000" w:sz="4" w:space="0"/>
              <w:right w:val="single" w:color="000000" w:sz="4" w:space="0"/>
            </w:tcBorders>
            <w:shd w:val="clear" w:color="auto" w:fill="auto"/>
            <w:noWrap/>
            <w:vAlign w:val="center"/>
          </w:tcPr>
          <w:p w14:paraId="13A816A4">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515" w:type="dxa"/>
            <w:tcBorders>
              <w:top w:val="nil"/>
              <w:left w:val="nil"/>
              <w:bottom w:val="single" w:color="000000" w:sz="4" w:space="0"/>
              <w:right w:val="single" w:color="000000" w:sz="8" w:space="0"/>
            </w:tcBorders>
            <w:shd w:val="clear" w:color="auto" w:fill="auto"/>
            <w:noWrap/>
            <w:vAlign w:val="center"/>
          </w:tcPr>
          <w:p w14:paraId="32C1247D">
            <w:pPr>
              <w:widowControl/>
              <w:jc w:val="right"/>
              <w:rPr>
                <w:rFonts w:hint="eastAsia" w:ascii="仿宋_GB2312" w:hAnsi="仿宋_GB2312" w:eastAsia="仿宋_GB2312" w:cs="仿宋_GB2312"/>
                <w:color w:val="000000"/>
                <w:kern w:val="0"/>
                <w:sz w:val="13"/>
                <w:szCs w:val="13"/>
              </w:rPr>
            </w:pPr>
            <w:r>
              <w:rPr>
                <w:rFonts w:hint="eastAsia" w:ascii="仿宋_GB2312" w:hAnsi="仿宋_GB2312" w:eastAsia="仿宋_GB2312" w:cs="仿宋_GB2312"/>
                <w:color w:val="000000"/>
                <w:kern w:val="0"/>
                <w:sz w:val="13"/>
                <w:szCs w:val="13"/>
              </w:rPr>
              <w:t>　</w:t>
            </w:r>
          </w:p>
        </w:tc>
      </w:tr>
      <w:tr w14:paraId="0610029E">
        <w:tblPrEx>
          <w:tblCellMar>
            <w:top w:w="0" w:type="dxa"/>
            <w:left w:w="108" w:type="dxa"/>
            <w:bottom w:w="0" w:type="dxa"/>
            <w:right w:w="108" w:type="dxa"/>
          </w:tblCellMar>
        </w:tblPrEx>
        <w:trPr>
          <w:trHeight w:val="268" w:hRule="atLeast"/>
        </w:trPr>
        <w:tc>
          <w:tcPr>
            <w:tcW w:w="1305" w:type="dxa"/>
            <w:gridSpan w:val="3"/>
            <w:tcBorders>
              <w:top w:val="nil"/>
              <w:left w:val="single" w:color="000000" w:sz="4" w:space="0"/>
              <w:bottom w:val="single" w:color="000000" w:sz="4" w:space="0"/>
              <w:right w:val="single" w:color="000000" w:sz="4" w:space="0"/>
            </w:tcBorders>
            <w:shd w:val="clear" w:color="auto" w:fill="auto"/>
            <w:noWrap/>
            <w:vAlign w:val="center"/>
          </w:tcPr>
          <w:p w14:paraId="30D2FE82">
            <w:pPr>
              <w:keepNext w:val="0"/>
              <w:keepLines w:val="0"/>
              <w:widowControl/>
              <w:suppressLineNumbers w:val="0"/>
              <w:jc w:val="left"/>
              <w:textAlignment w:val="center"/>
              <w:rPr>
                <w:rFonts w:hint="eastAsia" w:ascii="仿宋_GB2312" w:hAnsi="仿宋_GB2312" w:eastAsia="仿宋_GB2312" w:cs="仿宋_GB2312"/>
                <w:sz w:val="15"/>
                <w:szCs w:val="15"/>
              </w:rPr>
            </w:pPr>
            <w:r>
              <w:rPr>
                <w:rFonts w:hint="eastAsia" w:ascii="宋体" w:hAnsi="宋体" w:eastAsia="宋体" w:cs="宋体"/>
                <w:i w:val="0"/>
                <w:iCs w:val="0"/>
                <w:color w:val="000000"/>
                <w:kern w:val="0"/>
                <w:sz w:val="15"/>
                <w:szCs w:val="15"/>
                <w:u w:val="none"/>
                <w:lang w:val="en-US" w:eastAsia="zh-CN" w:bidi="ar"/>
              </w:rPr>
              <w:t>2070604</w:t>
            </w:r>
          </w:p>
        </w:tc>
        <w:tc>
          <w:tcPr>
            <w:tcW w:w="3564" w:type="dxa"/>
            <w:tcBorders>
              <w:top w:val="nil"/>
              <w:left w:val="nil"/>
              <w:bottom w:val="single" w:color="000000" w:sz="4" w:space="0"/>
              <w:right w:val="single" w:color="000000" w:sz="4" w:space="0"/>
            </w:tcBorders>
            <w:shd w:val="clear" w:color="auto" w:fill="auto"/>
            <w:noWrap/>
            <w:vAlign w:val="center"/>
          </w:tcPr>
          <w:p w14:paraId="6CBC0163">
            <w:pPr>
              <w:keepNext w:val="0"/>
              <w:keepLines w:val="0"/>
              <w:widowControl/>
              <w:suppressLineNumbers w:val="0"/>
              <w:jc w:val="left"/>
              <w:textAlignment w:val="center"/>
              <w:rPr>
                <w:rFonts w:hint="eastAsia" w:ascii="仿宋_GB2312" w:hAnsi="仿宋_GB2312" w:eastAsia="仿宋_GB2312" w:cs="仿宋_GB2312"/>
                <w:sz w:val="15"/>
                <w:szCs w:val="15"/>
              </w:rPr>
            </w:pPr>
            <w:r>
              <w:rPr>
                <w:rFonts w:hint="eastAsia" w:ascii="宋体" w:hAnsi="宋体" w:eastAsia="宋体" w:cs="宋体"/>
                <w:i w:val="0"/>
                <w:iCs w:val="0"/>
                <w:color w:val="000000"/>
                <w:kern w:val="0"/>
                <w:sz w:val="15"/>
                <w:szCs w:val="15"/>
                <w:u w:val="none"/>
                <w:lang w:val="en-US" w:eastAsia="zh-CN" w:bidi="ar"/>
              </w:rPr>
              <w:t>寻财综〔2023〕30号融媒体中心工作经费</w:t>
            </w:r>
          </w:p>
        </w:tc>
        <w:tc>
          <w:tcPr>
            <w:tcW w:w="1041" w:type="dxa"/>
            <w:tcBorders>
              <w:top w:val="nil"/>
              <w:left w:val="nil"/>
              <w:bottom w:val="single" w:color="000000" w:sz="4" w:space="0"/>
              <w:right w:val="single" w:color="000000" w:sz="4" w:space="0"/>
            </w:tcBorders>
            <w:shd w:val="clear" w:color="auto" w:fill="auto"/>
            <w:noWrap/>
            <w:vAlign w:val="center"/>
          </w:tcPr>
          <w:p w14:paraId="0DB12795">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128,221.29</w:t>
            </w:r>
          </w:p>
        </w:tc>
        <w:tc>
          <w:tcPr>
            <w:tcW w:w="1339" w:type="dxa"/>
            <w:tcBorders>
              <w:top w:val="nil"/>
              <w:left w:val="nil"/>
              <w:bottom w:val="single" w:color="000000" w:sz="4" w:space="0"/>
              <w:right w:val="single" w:color="000000" w:sz="4" w:space="0"/>
            </w:tcBorders>
            <w:shd w:val="clear" w:color="auto" w:fill="auto"/>
            <w:noWrap/>
            <w:vAlign w:val="center"/>
          </w:tcPr>
          <w:p w14:paraId="23BB6386">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128,221.29</w:t>
            </w:r>
          </w:p>
        </w:tc>
        <w:tc>
          <w:tcPr>
            <w:tcW w:w="1041" w:type="dxa"/>
            <w:tcBorders>
              <w:top w:val="nil"/>
              <w:left w:val="nil"/>
              <w:bottom w:val="single" w:color="000000" w:sz="4" w:space="0"/>
              <w:right w:val="single" w:color="000000" w:sz="4" w:space="0"/>
            </w:tcBorders>
            <w:shd w:val="clear" w:color="auto" w:fill="auto"/>
            <w:noWrap/>
          </w:tcPr>
          <w:p w14:paraId="120B086D">
            <w:pPr>
              <w:rPr>
                <w:rFonts w:hint="eastAsia" w:ascii="仿宋_GB2312" w:hAnsi="仿宋_GB2312" w:eastAsia="仿宋_GB2312" w:cs="仿宋_GB2312"/>
                <w:sz w:val="13"/>
                <w:szCs w:val="13"/>
              </w:rPr>
            </w:pPr>
          </w:p>
        </w:tc>
        <w:tc>
          <w:tcPr>
            <w:tcW w:w="1395" w:type="dxa"/>
            <w:tcBorders>
              <w:top w:val="nil"/>
              <w:left w:val="nil"/>
              <w:bottom w:val="single" w:color="000000" w:sz="4" w:space="0"/>
              <w:right w:val="single" w:color="000000" w:sz="4" w:space="0"/>
            </w:tcBorders>
            <w:shd w:val="clear" w:color="auto" w:fill="auto"/>
            <w:noWrap/>
            <w:vAlign w:val="center"/>
          </w:tcPr>
          <w:p w14:paraId="274C5BE7">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128,221.29</w:t>
            </w:r>
          </w:p>
        </w:tc>
        <w:tc>
          <w:tcPr>
            <w:tcW w:w="1289" w:type="dxa"/>
            <w:tcBorders>
              <w:top w:val="nil"/>
              <w:left w:val="nil"/>
              <w:bottom w:val="single" w:color="000000" w:sz="4" w:space="0"/>
              <w:right w:val="single" w:color="000000" w:sz="4" w:space="0"/>
            </w:tcBorders>
            <w:shd w:val="clear" w:color="auto" w:fill="auto"/>
            <w:noWrap/>
            <w:vAlign w:val="center"/>
          </w:tcPr>
          <w:p w14:paraId="03C8D3A9">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128,221.29</w:t>
            </w:r>
          </w:p>
        </w:tc>
        <w:tc>
          <w:tcPr>
            <w:tcW w:w="1277" w:type="dxa"/>
            <w:tcBorders>
              <w:top w:val="nil"/>
              <w:left w:val="nil"/>
              <w:bottom w:val="single" w:color="000000" w:sz="4" w:space="0"/>
              <w:right w:val="single" w:color="000000" w:sz="4" w:space="0"/>
            </w:tcBorders>
            <w:shd w:val="clear" w:color="auto" w:fill="auto"/>
            <w:noWrap/>
            <w:vAlign w:val="center"/>
          </w:tcPr>
          <w:p w14:paraId="6C675228">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1210" w:type="dxa"/>
            <w:tcBorders>
              <w:top w:val="nil"/>
              <w:left w:val="nil"/>
              <w:bottom w:val="single" w:color="000000" w:sz="4" w:space="0"/>
              <w:right w:val="single" w:color="000000" w:sz="4" w:space="0"/>
            </w:tcBorders>
            <w:shd w:val="clear" w:color="auto" w:fill="auto"/>
            <w:noWrap/>
            <w:vAlign w:val="center"/>
          </w:tcPr>
          <w:p w14:paraId="33E53994">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515" w:type="dxa"/>
            <w:tcBorders>
              <w:top w:val="nil"/>
              <w:left w:val="nil"/>
              <w:bottom w:val="single" w:color="000000" w:sz="4" w:space="0"/>
              <w:right w:val="single" w:color="000000" w:sz="8" w:space="0"/>
            </w:tcBorders>
            <w:shd w:val="clear" w:color="auto" w:fill="auto"/>
            <w:noWrap/>
            <w:vAlign w:val="center"/>
          </w:tcPr>
          <w:p w14:paraId="325BC458">
            <w:pPr>
              <w:widowControl/>
              <w:jc w:val="right"/>
              <w:rPr>
                <w:rFonts w:hint="eastAsia" w:ascii="仿宋_GB2312" w:hAnsi="仿宋_GB2312" w:eastAsia="仿宋_GB2312" w:cs="仿宋_GB2312"/>
                <w:color w:val="000000"/>
                <w:kern w:val="0"/>
                <w:sz w:val="13"/>
                <w:szCs w:val="13"/>
              </w:rPr>
            </w:pPr>
            <w:r>
              <w:rPr>
                <w:rFonts w:hint="eastAsia" w:ascii="仿宋_GB2312" w:hAnsi="仿宋_GB2312" w:eastAsia="仿宋_GB2312" w:cs="仿宋_GB2312"/>
                <w:color w:val="000000"/>
                <w:kern w:val="0"/>
                <w:sz w:val="13"/>
                <w:szCs w:val="13"/>
              </w:rPr>
              <w:t>　</w:t>
            </w:r>
          </w:p>
        </w:tc>
      </w:tr>
      <w:tr w14:paraId="1C8829FE">
        <w:tblPrEx>
          <w:tblCellMar>
            <w:top w:w="0" w:type="dxa"/>
            <w:left w:w="108" w:type="dxa"/>
            <w:bottom w:w="0" w:type="dxa"/>
            <w:right w:w="108" w:type="dxa"/>
          </w:tblCellMar>
        </w:tblPrEx>
        <w:trPr>
          <w:trHeight w:val="269" w:hRule="atLeast"/>
        </w:trPr>
        <w:tc>
          <w:tcPr>
            <w:tcW w:w="1305" w:type="dxa"/>
            <w:gridSpan w:val="3"/>
            <w:tcBorders>
              <w:top w:val="nil"/>
              <w:left w:val="single" w:color="000000" w:sz="4" w:space="0"/>
              <w:bottom w:val="single" w:color="000000" w:sz="4" w:space="0"/>
              <w:right w:val="single" w:color="000000" w:sz="4" w:space="0"/>
            </w:tcBorders>
            <w:shd w:val="clear" w:color="auto" w:fill="auto"/>
            <w:noWrap/>
            <w:vAlign w:val="center"/>
          </w:tcPr>
          <w:p w14:paraId="10F64E0E">
            <w:pPr>
              <w:keepNext w:val="0"/>
              <w:keepLines w:val="0"/>
              <w:widowControl/>
              <w:suppressLineNumbers w:val="0"/>
              <w:jc w:val="left"/>
              <w:textAlignment w:val="center"/>
              <w:rPr>
                <w:rFonts w:hint="eastAsia" w:ascii="仿宋_GB2312" w:hAnsi="仿宋_GB2312" w:eastAsia="仿宋_GB2312" w:cs="仿宋_GB2312"/>
                <w:sz w:val="15"/>
                <w:szCs w:val="15"/>
              </w:rPr>
            </w:pPr>
            <w:r>
              <w:rPr>
                <w:rFonts w:hint="eastAsia" w:ascii="宋体" w:hAnsi="宋体" w:eastAsia="宋体" w:cs="宋体"/>
                <w:i w:val="0"/>
                <w:iCs w:val="0"/>
                <w:color w:val="000000"/>
                <w:kern w:val="0"/>
                <w:sz w:val="15"/>
                <w:szCs w:val="15"/>
                <w:u w:val="none"/>
                <w:lang w:val="en-US" w:eastAsia="zh-CN" w:bidi="ar"/>
              </w:rPr>
              <w:t>2070699</w:t>
            </w:r>
          </w:p>
        </w:tc>
        <w:tc>
          <w:tcPr>
            <w:tcW w:w="3564" w:type="dxa"/>
            <w:tcBorders>
              <w:top w:val="nil"/>
              <w:left w:val="nil"/>
              <w:bottom w:val="single" w:color="000000" w:sz="4" w:space="0"/>
              <w:right w:val="single" w:color="000000" w:sz="4" w:space="0"/>
            </w:tcBorders>
            <w:shd w:val="clear" w:color="auto" w:fill="auto"/>
            <w:noWrap/>
            <w:vAlign w:val="center"/>
          </w:tcPr>
          <w:p w14:paraId="223ADAB6">
            <w:pPr>
              <w:keepNext w:val="0"/>
              <w:keepLines w:val="0"/>
              <w:widowControl/>
              <w:suppressLineNumbers w:val="0"/>
              <w:jc w:val="left"/>
              <w:textAlignment w:val="center"/>
              <w:rPr>
                <w:rFonts w:hint="eastAsia" w:ascii="仿宋_GB2312" w:hAnsi="仿宋_GB2312" w:eastAsia="仿宋_GB2312" w:cs="仿宋_GB2312"/>
                <w:sz w:val="15"/>
                <w:szCs w:val="15"/>
              </w:rPr>
            </w:pPr>
            <w:r>
              <w:rPr>
                <w:rFonts w:hint="eastAsia" w:ascii="宋体" w:hAnsi="宋体" w:eastAsia="宋体" w:cs="宋体"/>
                <w:i w:val="0"/>
                <w:iCs w:val="0"/>
                <w:color w:val="000000"/>
                <w:kern w:val="0"/>
                <w:sz w:val="15"/>
                <w:szCs w:val="15"/>
                <w:u w:val="none"/>
                <w:lang w:val="en-US" w:eastAsia="zh-CN" w:bidi="ar"/>
              </w:rPr>
              <w:t>其他新闻出版电影支出</w:t>
            </w:r>
          </w:p>
        </w:tc>
        <w:tc>
          <w:tcPr>
            <w:tcW w:w="1041" w:type="dxa"/>
            <w:tcBorders>
              <w:top w:val="nil"/>
              <w:left w:val="nil"/>
              <w:bottom w:val="single" w:color="000000" w:sz="4" w:space="0"/>
              <w:right w:val="single" w:color="000000" w:sz="4" w:space="0"/>
            </w:tcBorders>
            <w:shd w:val="clear" w:color="auto" w:fill="auto"/>
            <w:noWrap/>
            <w:vAlign w:val="center"/>
          </w:tcPr>
          <w:p w14:paraId="58666ED5">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2,398,461.84</w:t>
            </w:r>
          </w:p>
        </w:tc>
        <w:tc>
          <w:tcPr>
            <w:tcW w:w="1339" w:type="dxa"/>
            <w:tcBorders>
              <w:top w:val="nil"/>
              <w:left w:val="nil"/>
              <w:bottom w:val="single" w:color="000000" w:sz="4" w:space="0"/>
              <w:right w:val="single" w:color="000000" w:sz="4" w:space="0"/>
            </w:tcBorders>
            <w:shd w:val="clear" w:color="auto" w:fill="auto"/>
            <w:noWrap/>
            <w:vAlign w:val="center"/>
          </w:tcPr>
          <w:p w14:paraId="14EDDA13">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2,398,461.84</w:t>
            </w:r>
          </w:p>
        </w:tc>
        <w:tc>
          <w:tcPr>
            <w:tcW w:w="1041" w:type="dxa"/>
            <w:tcBorders>
              <w:top w:val="nil"/>
              <w:left w:val="nil"/>
              <w:bottom w:val="single" w:color="000000" w:sz="4" w:space="0"/>
              <w:right w:val="single" w:color="000000" w:sz="4" w:space="0"/>
            </w:tcBorders>
            <w:shd w:val="clear" w:color="auto" w:fill="auto"/>
            <w:noWrap/>
          </w:tcPr>
          <w:p w14:paraId="7EBE5039">
            <w:pPr>
              <w:rPr>
                <w:rFonts w:hint="eastAsia" w:ascii="仿宋_GB2312" w:hAnsi="仿宋_GB2312" w:eastAsia="仿宋_GB2312" w:cs="仿宋_GB2312"/>
                <w:sz w:val="13"/>
                <w:szCs w:val="13"/>
              </w:rPr>
            </w:pPr>
          </w:p>
        </w:tc>
        <w:tc>
          <w:tcPr>
            <w:tcW w:w="1395" w:type="dxa"/>
            <w:tcBorders>
              <w:top w:val="nil"/>
              <w:left w:val="nil"/>
              <w:bottom w:val="single" w:color="000000" w:sz="4" w:space="0"/>
              <w:right w:val="single" w:color="000000" w:sz="4" w:space="0"/>
            </w:tcBorders>
            <w:shd w:val="clear" w:color="auto" w:fill="auto"/>
            <w:noWrap/>
            <w:vAlign w:val="center"/>
          </w:tcPr>
          <w:p w14:paraId="1078BC40">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2,368,536.69</w:t>
            </w:r>
          </w:p>
        </w:tc>
        <w:tc>
          <w:tcPr>
            <w:tcW w:w="1289" w:type="dxa"/>
            <w:tcBorders>
              <w:top w:val="nil"/>
              <w:left w:val="nil"/>
              <w:bottom w:val="single" w:color="000000" w:sz="4" w:space="0"/>
              <w:right w:val="single" w:color="000000" w:sz="4" w:space="0"/>
            </w:tcBorders>
            <w:shd w:val="clear" w:color="auto" w:fill="auto"/>
            <w:noWrap/>
            <w:vAlign w:val="center"/>
          </w:tcPr>
          <w:p w14:paraId="2ABF170D">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2,368,536.69</w:t>
            </w:r>
          </w:p>
        </w:tc>
        <w:tc>
          <w:tcPr>
            <w:tcW w:w="1277" w:type="dxa"/>
            <w:tcBorders>
              <w:top w:val="nil"/>
              <w:left w:val="nil"/>
              <w:bottom w:val="single" w:color="000000" w:sz="4" w:space="0"/>
              <w:right w:val="single" w:color="000000" w:sz="4" w:space="0"/>
            </w:tcBorders>
            <w:shd w:val="clear" w:color="auto" w:fill="auto"/>
            <w:noWrap/>
            <w:vAlign w:val="center"/>
          </w:tcPr>
          <w:p w14:paraId="675659DD">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29,925.15</w:t>
            </w:r>
          </w:p>
        </w:tc>
        <w:tc>
          <w:tcPr>
            <w:tcW w:w="1210" w:type="dxa"/>
            <w:tcBorders>
              <w:top w:val="nil"/>
              <w:left w:val="nil"/>
              <w:bottom w:val="single" w:color="000000" w:sz="4" w:space="0"/>
              <w:right w:val="single" w:color="000000" w:sz="4" w:space="0"/>
            </w:tcBorders>
            <w:shd w:val="clear" w:color="auto" w:fill="auto"/>
            <w:noWrap/>
            <w:vAlign w:val="center"/>
          </w:tcPr>
          <w:p w14:paraId="44DC4A07">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29,925.15</w:t>
            </w:r>
          </w:p>
        </w:tc>
        <w:tc>
          <w:tcPr>
            <w:tcW w:w="515" w:type="dxa"/>
            <w:tcBorders>
              <w:top w:val="nil"/>
              <w:left w:val="nil"/>
              <w:bottom w:val="single" w:color="000000" w:sz="4" w:space="0"/>
              <w:right w:val="single" w:color="000000" w:sz="8" w:space="0"/>
            </w:tcBorders>
            <w:shd w:val="clear" w:color="auto" w:fill="auto"/>
            <w:noWrap/>
            <w:vAlign w:val="center"/>
          </w:tcPr>
          <w:p w14:paraId="3FB3DCF1">
            <w:pPr>
              <w:widowControl/>
              <w:jc w:val="right"/>
              <w:rPr>
                <w:rFonts w:hint="eastAsia" w:ascii="仿宋_GB2312" w:hAnsi="仿宋_GB2312" w:eastAsia="仿宋_GB2312" w:cs="仿宋_GB2312"/>
                <w:color w:val="000000"/>
                <w:kern w:val="0"/>
                <w:sz w:val="13"/>
                <w:szCs w:val="13"/>
              </w:rPr>
            </w:pPr>
            <w:r>
              <w:rPr>
                <w:rFonts w:hint="eastAsia" w:ascii="仿宋_GB2312" w:hAnsi="仿宋_GB2312" w:eastAsia="仿宋_GB2312" w:cs="仿宋_GB2312"/>
                <w:color w:val="000000"/>
                <w:kern w:val="0"/>
                <w:sz w:val="13"/>
                <w:szCs w:val="13"/>
              </w:rPr>
              <w:t>　</w:t>
            </w:r>
          </w:p>
        </w:tc>
      </w:tr>
      <w:tr w14:paraId="7B581387">
        <w:tblPrEx>
          <w:tblCellMar>
            <w:top w:w="0" w:type="dxa"/>
            <w:left w:w="108" w:type="dxa"/>
            <w:bottom w:w="0" w:type="dxa"/>
            <w:right w:w="108" w:type="dxa"/>
          </w:tblCellMar>
        </w:tblPrEx>
        <w:trPr>
          <w:trHeight w:val="258" w:hRule="atLeast"/>
        </w:trPr>
        <w:tc>
          <w:tcPr>
            <w:tcW w:w="1305" w:type="dxa"/>
            <w:gridSpan w:val="3"/>
            <w:tcBorders>
              <w:top w:val="nil"/>
              <w:left w:val="single" w:color="000000" w:sz="4" w:space="0"/>
              <w:bottom w:val="single" w:color="auto" w:sz="4" w:space="0"/>
              <w:right w:val="single" w:color="000000" w:sz="4" w:space="0"/>
            </w:tcBorders>
            <w:shd w:val="clear" w:color="auto" w:fill="auto"/>
            <w:noWrap/>
            <w:vAlign w:val="center"/>
          </w:tcPr>
          <w:p w14:paraId="40539303">
            <w:pPr>
              <w:keepNext w:val="0"/>
              <w:keepLines w:val="0"/>
              <w:widowControl/>
              <w:suppressLineNumbers w:val="0"/>
              <w:jc w:val="left"/>
              <w:textAlignment w:val="center"/>
              <w:rPr>
                <w:rFonts w:hint="eastAsia" w:ascii="仿宋_GB2312" w:hAnsi="仿宋_GB2312" w:eastAsia="仿宋_GB2312" w:cs="仿宋_GB2312"/>
                <w:sz w:val="15"/>
                <w:szCs w:val="15"/>
              </w:rPr>
            </w:pPr>
            <w:r>
              <w:rPr>
                <w:rFonts w:hint="eastAsia" w:ascii="宋体" w:hAnsi="宋体" w:eastAsia="宋体" w:cs="宋体"/>
                <w:i w:val="0"/>
                <w:iCs w:val="0"/>
                <w:color w:val="000000"/>
                <w:kern w:val="0"/>
                <w:sz w:val="15"/>
                <w:szCs w:val="15"/>
                <w:u w:val="none"/>
                <w:lang w:val="en-US" w:eastAsia="zh-CN" w:bidi="ar"/>
              </w:rPr>
              <w:t>2070699</w:t>
            </w:r>
          </w:p>
        </w:tc>
        <w:tc>
          <w:tcPr>
            <w:tcW w:w="3564" w:type="dxa"/>
            <w:tcBorders>
              <w:top w:val="nil"/>
              <w:left w:val="nil"/>
              <w:bottom w:val="single" w:color="auto" w:sz="4" w:space="0"/>
              <w:right w:val="single" w:color="000000" w:sz="4" w:space="0"/>
            </w:tcBorders>
            <w:shd w:val="clear" w:color="auto" w:fill="auto"/>
            <w:noWrap/>
            <w:vAlign w:val="center"/>
          </w:tcPr>
          <w:p w14:paraId="78183340">
            <w:pPr>
              <w:keepNext w:val="0"/>
              <w:keepLines w:val="0"/>
              <w:widowControl/>
              <w:suppressLineNumbers w:val="0"/>
              <w:jc w:val="left"/>
              <w:textAlignment w:val="center"/>
              <w:rPr>
                <w:rFonts w:hint="eastAsia" w:ascii="仿宋_GB2312" w:hAnsi="仿宋_GB2312" w:eastAsia="仿宋_GB2312" w:cs="仿宋_GB2312"/>
                <w:sz w:val="15"/>
                <w:szCs w:val="15"/>
              </w:rPr>
            </w:pPr>
            <w:r>
              <w:rPr>
                <w:rFonts w:hint="eastAsia" w:ascii="宋体" w:hAnsi="宋体" w:eastAsia="宋体" w:cs="宋体"/>
                <w:i w:val="0"/>
                <w:iCs w:val="0"/>
                <w:color w:val="000000"/>
                <w:kern w:val="0"/>
                <w:sz w:val="15"/>
                <w:szCs w:val="15"/>
                <w:u w:val="none"/>
                <w:lang w:val="en-US" w:eastAsia="zh-CN" w:bidi="ar"/>
              </w:rPr>
              <w:t>寻财预〔2022〕8号宣传工作经费</w:t>
            </w:r>
          </w:p>
        </w:tc>
        <w:tc>
          <w:tcPr>
            <w:tcW w:w="1041" w:type="dxa"/>
            <w:tcBorders>
              <w:top w:val="nil"/>
              <w:left w:val="nil"/>
              <w:bottom w:val="single" w:color="auto" w:sz="4" w:space="0"/>
              <w:right w:val="single" w:color="000000" w:sz="4" w:space="0"/>
            </w:tcBorders>
            <w:shd w:val="clear" w:color="auto" w:fill="auto"/>
            <w:noWrap/>
            <w:vAlign w:val="center"/>
          </w:tcPr>
          <w:p w14:paraId="530E7C49">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2,181,913.16</w:t>
            </w:r>
          </w:p>
        </w:tc>
        <w:tc>
          <w:tcPr>
            <w:tcW w:w="1339" w:type="dxa"/>
            <w:tcBorders>
              <w:top w:val="nil"/>
              <w:left w:val="nil"/>
              <w:bottom w:val="single" w:color="auto" w:sz="4" w:space="0"/>
              <w:right w:val="single" w:color="000000" w:sz="4" w:space="0"/>
            </w:tcBorders>
            <w:shd w:val="clear" w:color="auto" w:fill="auto"/>
            <w:noWrap/>
            <w:vAlign w:val="center"/>
          </w:tcPr>
          <w:p w14:paraId="7E52314F">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2,181,913.16</w:t>
            </w:r>
          </w:p>
        </w:tc>
        <w:tc>
          <w:tcPr>
            <w:tcW w:w="1041" w:type="dxa"/>
            <w:tcBorders>
              <w:top w:val="nil"/>
              <w:left w:val="nil"/>
              <w:bottom w:val="single" w:color="auto" w:sz="4" w:space="0"/>
              <w:right w:val="single" w:color="000000" w:sz="4" w:space="0"/>
            </w:tcBorders>
            <w:shd w:val="clear" w:color="auto" w:fill="auto"/>
            <w:noWrap/>
          </w:tcPr>
          <w:p w14:paraId="1822E703">
            <w:pPr>
              <w:rPr>
                <w:rFonts w:hint="eastAsia" w:ascii="仿宋_GB2312" w:hAnsi="仿宋_GB2312" w:eastAsia="仿宋_GB2312" w:cs="仿宋_GB2312"/>
                <w:sz w:val="13"/>
                <w:szCs w:val="13"/>
              </w:rPr>
            </w:pPr>
          </w:p>
        </w:tc>
        <w:tc>
          <w:tcPr>
            <w:tcW w:w="1395" w:type="dxa"/>
            <w:tcBorders>
              <w:top w:val="nil"/>
              <w:left w:val="nil"/>
              <w:bottom w:val="single" w:color="auto" w:sz="4" w:space="0"/>
              <w:right w:val="single" w:color="000000" w:sz="4" w:space="0"/>
            </w:tcBorders>
            <w:shd w:val="clear" w:color="auto" w:fill="auto"/>
            <w:noWrap/>
            <w:vAlign w:val="center"/>
          </w:tcPr>
          <w:p w14:paraId="6DE79BD0">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2,181,913.16</w:t>
            </w:r>
          </w:p>
        </w:tc>
        <w:tc>
          <w:tcPr>
            <w:tcW w:w="1289" w:type="dxa"/>
            <w:tcBorders>
              <w:top w:val="nil"/>
              <w:left w:val="nil"/>
              <w:bottom w:val="single" w:color="auto" w:sz="4" w:space="0"/>
              <w:right w:val="single" w:color="000000" w:sz="4" w:space="0"/>
            </w:tcBorders>
            <w:shd w:val="clear" w:color="auto" w:fill="auto"/>
            <w:noWrap/>
            <w:vAlign w:val="center"/>
          </w:tcPr>
          <w:p w14:paraId="57943F3D">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2,181,913.16</w:t>
            </w:r>
          </w:p>
        </w:tc>
        <w:tc>
          <w:tcPr>
            <w:tcW w:w="1277" w:type="dxa"/>
            <w:tcBorders>
              <w:top w:val="nil"/>
              <w:left w:val="nil"/>
              <w:bottom w:val="single" w:color="auto" w:sz="4" w:space="0"/>
              <w:right w:val="single" w:color="000000" w:sz="4" w:space="0"/>
            </w:tcBorders>
            <w:shd w:val="clear" w:color="auto" w:fill="auto"/>
            <w:noWrap/>
            <w:vAlign w:val="center"/>
          </w:tcPr>
          <w:p w14:paraId="52558224">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1210" w:type="dxa"/>
            <w:tcBorders>
              <w:top w:val="nil"/>
              <w:left w:val="nil"/>
              <w:bottom w:val="single" w:color="auto" w:sz="4" w:space="0"/>
              <w:right w:val="single" w:color="000000" w:sz="4" w:space="0"/>
            </w:tcBorders>
            <w:shd w:val="clear" w:color="auto" w:fill="auto"/>
            <w:noWrap/>
            <w:vAlign w:val="center"/>
          </w:tcPr>
          <w:p w14:paraId="0FF5607D">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515" w:type="dxa"/>
            <w:tcBorders>
              <w:top w:val="nil"/>
              <w:left w:val="nil"/>
              <w:bottom w:val="single" w:color="auto" w:sz="4" w:space="0"/>
              <w:right w:val="single" w:color="000000" w:sz="8" w:space="0"/>
            </w:tcBorders>
            <w:shd w:val="clear" w:color="auto" w:fill="auto"/>
            <w:noWrap/>
            <w:vAlign w:val="center"/>
          </w:tcPr>
          <w:p w14:paraId="11B4A13C">
            <w:pPr>
              <w:widowControl/>
              <w:jc w:val="right"/>
              <w:rPr>
                <w:rFonts w:hint="eastAsia" w:ascii="仿宋_GB2312" w:hAnsi="仿宋_GB2312" w:eastAsia="仿宋_GB2312" w:cs="仿宋_GB2312"/>
                <w:color w:val="000000"/>
                <w:kern w:val="0"/>
                <w:sz w:val="13"/>
                <w:szCs w:val="13"/>
              </w:rPr>
            </w:pPr>
          </w:p>
        </w:tc>
      </w:tr>
      <w:tr w14:paraId="3AEAFE47">
        <w:tblPrEx>
          <w:tblCellMar>
            <w:top w:w="0" w:type="dxa"/>
            <w:left w:w="108" w:type="dxa"/>
            <w:bottom w:w="0" w:type="dxa"/>
            <w:right w:w="108" w:type="dxa"/>
          </w:tblCellMar>
        </w:tblPrEx>
        <w:trPr>
          <w:trHeight w:val="308" w:hRule="atLeast"/>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763A85">
            <w:pPr>
              <w:keepNext w:val="0"/>
              <w:keepLines w:val="0"/>
              <w:widowControl/>
              <w:suppressLineNumbers w:val="0"/>
              <w:jc w:val="left"/>
              <w:textAlignment w:val="center"/>
              <w:rPr>
                <w:rFonts w:hint="eastAsia" w:ascii="仿宋_GB2312" w:hAnsi="仿宋_GB2312" w:eastAsia="仿宋_GB2312" w:cs="仿宋_GB2312"/>
                <w:sz w:val="15"/>
                <w:szCs w:val="15"/>
              </w:rPr>
            </w:pPr>
            <w:r>
              <w:rPr>
                <w:rFonts w:hint="eastAsia" w:ascii="宋体" w:hAnsi="宋体" w:eastAsia="宋体" w:cs="宋体"/>
                <w:i w:val="0"/>
                <w:iCs w:val="0"/>
                <w:color w:val="000000"/>
                <w:kern w:val="0"/>
                <w:sz w:val="15"/>
                <w:szCs w:val="15"/>
                <w:u w:val="none"/>
                <w:lang w:val="en-US" w:eastAsia="zh-CN" w:bidi="ar"/>
              </w:rPr>
              <w:t>2070699</w:t>
            </w:r>
          </w:p>
        </w:tc>
        <w:tc>
          <w:tcPr>
            <w:tcW w:w="35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FD253">
            <w:pPr>
              <w:keepNext w:val="0"/>
              <w:keepLines w:val="0"/>
              <w:widowControl/>
              <w:suppressLineNumbers w:val="0"/>
              <w:jc w:val="left"/>
              <w:textAlignment w:val="center"/>
              <w:rPr>
                <w:rFonts w:hint="eastAsia" w:ascii="仿宋_GB2312" w:hAnsi="仿宋_GB2312" w:eastAsia="仿宋_GB2312" w:cs="仿宋_GB2312"/>
                <w:sz w:val="15"/>
                <w:szCs w:val="15"/>
              </w:rPr>
            </w:pPr>
            <w:r>
              <w:rPr>
                <w:rFonts w:hint="eastAsia" w:ascii="宋体" w:hAnsi="宋体" w:eastAsia="宋体" w:cs="宋体"/>
                <w:i w:val="0"/>
                <w:iCs w:val="0"/>
                <w:color w:val="000000"/>
                <w:kern w:val="0"/>
                <w:sz w:val="15"/>
                <w:szCs w:val="15"/>
                <w:u w:val="none"/>
                <w:lang w:val="en-US" w:eastAsia="zh-CN" w:bidi="ar"/>
              </w:rPr>
              <w:t>寻财预〔2023〕8号宣传工作经费</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F51E6">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216,548.68</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7F16F">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216,548.68</w:t>
            </w:r>
          </w:p>
        </w:tc>
        <w:tc>
          <w:tcPr>
            <w:tcW w:w="1041" w:type="dxa"/>
            <w:tcBorders>
              <w:top w:val="single" w:color="auto" w:sz="4" w:space="0"/>
              <w:left w:val="single" w:color="auto" w:sz="4" w:space="0"/>
              <w:bottom w:val="single" w:color="auto" w:sz="4" w:space="0"/>
              <w:right w:val="single" w:color="auto" w:sz="4" w:space="0"/>
            </w:tcBorders>
            <w:shd w:val="clear" w:color="auto" w:fill="auto"/>
            <w:noWrap/>
          </w:tcPr>
          <w:p w14:paraId="2D6979E1">
            <w:pPr>
              <w:rPr>
                <w:rFonts w:hint="eastAsia" w:ascii="仿宋_GB2312" w:hAnsi="仿宋_GB2312" w:eastAsia="仿宋_GB2312" w:cs="仿宋_GB2312"/>
                <w:sz w:val="13"/>
                <w:szCs w:val="13"/>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06858">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186,623.53</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F0B53">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186,623.53</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79910">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29,925.15</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67A84">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29,925.15</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F1E4E">
            <w:pPr>
              <w:widowControl/>
              <w:jc w:val="right"/>
              <w:rPr>
                <w:rFonts w:hint="eastAsia" w:ascii="仿宋_GB2312" w:hAnsi="仿宋_GB2312" w:eastAsia="仿宋_GB2312" w:cs="仿宋_GB2312"/>
                <w:color w:val="000000"/>
                <w:kern w:val="0"/>
                <w:sz w:val="13"/>
                <w:szCs w:val="13"/>
              </w:rPr>
            </w:pPr>
            <w:r>
              <w:rPr>
                <w:rFonts w:hint="eastAsia" w:ascii="仿宋_GB2312" w:hAnsi="仿宋_GB2312" w:eastAsia="仿宋_GB2312" w:cs="仿宋_GB2312"/>
                <w:color w:val="000000"/>
                <w:kern w:val="0"/>
                <w:sz w:val="13"/>
                <w:szCs w:val="13"/>
              </w:rPr>
              <w:t>　</w:t>
            </w:r>
          </w:p>
        </w:tc>
      </w:tr>
      <w:tr w14:paraId="282C8E42">
        <w:tblPrEx>
          <w:tblCellMar>
            <w:top w:w="0" w:type="dxa"/>
            <w:left w:w="108" w:type="dxa"/>
            <w:bottom w:w="0" w:type="dxa"/>
            <w:right w:w="108" w:type="dxa"/>
          </w:tblCellMar>
        </w:tblPrEx>
        <w:trPr>
          <w:trHeight w:val="246" w:hRule="atLeast"/>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5F1F1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20708</w:t>
            </w:r>
          </w:p>
        </w:tc>
        <w:tc>
          <w:tcPr>
            <w:tcW w:w="35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1371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广播电视</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D8B13">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49,669.49</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3D770">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49,669.49</w:t>
            </w:r>
          </w:p>
        </w:tc>
        <w:tc>
          <w:tcPr>
            <w:tcW w:w="1041" w:type="dxa"/>
            <w:tcBorders>
              <w:top w:val="single" w:color="auto" w:sz="4" w:space="0"/>
              <w:left w:val="single" w:color="auto" w:sz="4" w:space="0"/>
              <w:bottom w:val="single" w:color="auto" w:sz="4" w:space="0"/>
              <w:right w:val="single" w:color="auto" w:sz="4" w:space="0"/>
            </w:tcBorders>
            <w:shd w:val="clear" w:color="auto" w:fill="auto"/>
            <w:noWrap/>
          </w:tcPr>
          <w:p w14:paraId="26136702">
            <w:pPr>
              <w:rPr>
                <w:rFonts w:hint="eastAsia" w:ascii="仿宋_GB2312" w:hAnsi="仿宋_GB2312" w:eastAsia="仿宋_GB2312" w:cs="仿宋_GB2312"/>
                <w:sz w:val="13"/>
                <w:szCs w:val="13"/>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3D2CF">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49,669.49</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78AF6">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49,669.49</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9AB45">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15B1B">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41D77">
            <w:pPr>
              <w:widowControl/>
              <w:jc w:val="right"/>
              <w:rPr>
                <w:rFonts w:hint="eastAsia" w:ascii="仿宋_GB2312" w:hAnsi="仿宋_GB2312" w:eastAsia="仿宋_GB2312" w:cs="仿宋_GB2312"/>
                <w:color w:val="000000"/>
                <w:kern w:val="0"/>
                <w:sz w:val="13"/>
                <w:szCs w:val="13"/>
              </w:rPr>
            </w:pPr>
          </w:p>
        </w:tc>
      </w:tr>
      <w:tr w14:paraId="659887EC">
        <w:tblPrEx>
          <w:tblCellMar>
            <w:top w:w="0" w:type="dxa"/>
            <w:left w:w="108" w:type="dxa"/>
            <w:bottom w:w="0" w:type="dxa"/>
            <w:right w:w="108" w:type="dxa"/>
          </w:tblCellMar>
        </w:tblPrEx>
        <w:trPr>
          <w:trHeight w:val="308" w:hRule="atLeast"/>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B5DA2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2070899</w:t>
            </w:r>
          </w:p>
        </w:tc>
        <w:tc>
          <w:tcPr>
            <w:tcW w:w="35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1230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其他广播电视支出</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F333D">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49,669.49</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71B58">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49,669.49</w:t>
            </w:r>
          </w:p>
        </w:tc>
        <w:tc>
          <w:tcPr>
            <w:tcW w:w="1041" w:type="dxa"/>
            <w:tcBorders>
              <w:top w:val="single" w:color="auto" w:sz="4" w:space="0"/>
              <w:left w:val="single" w:color="auto" w:sz="4" w:space="0"/>
              <w:bottom w:val="single" w:color="auto" w:sz="4" w:space="0"/>
              <w:right w:val="single" w:color="auto" w:sz="4" w:space="0"/>
            </w:tcBorders>
            <w:shd w:val="clear" w:color="auto" w:fill="auto"/>
            <w:noWrap/>
          </w:tcPr>
          <w:p w14:paraId="73FEC134">
            <w:pPr>
              <w:rPr>
                <w:rFonts w:hint="eastAsia" w:ascii="仿宋_GB2312" w:hAnsi="仿宋_GB2312" w:eastAsia="仿宋_GB2312" w:cs="仿宋_GB2312"/>
                <w:sz w:val="13"/>
                <w:szCs w:val="13"/>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67A82">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49,669.49</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61709">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49,669.49</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BA1FD">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C79DE">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12D35">
            <w:pPr>
              <w:widowControl/>
              <w:jc w:val="right"/>
              <w:rPr>
                <w:rFonts w:hint="eastAsia" w:ascii="仿宋_GB2312" w:hAnsi="仿宋_GB2312" w:eastAsia="仿宋_GB2312" w:cs="仿宋_GB2312"/>
                <w:color w:val="000000"/>
                <w:kern w:val="0"/>
                <w:sz w:val="13"/>
                <w:szCs w:val="13"/>
              </w:rPr>
            </w:pPr>
          </w:p>
        </w:tc>
      </w:tr>
      <w:tr w14:paraId="069C1FDA">
        <w:tblPrEx>
          <w:tblCellMar>
            <w:top w:w="0" w:type="dxa"/>
            <w:left w:w="108" w:type="dxa"/>
            <w:bottom w:w="0" w:type="dxa"/>
            <w:right w:w="108" w:type="dxa"/>
          </w:tblCellMar>
        </w:tblPrEx>
        <w:trPr>
          <w:trHeight w:val="308" w:hRule="atLeast"/>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BDFA0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2070899</w:t>
            </w:r>
          </w:p>
        </w:tc>
        <w:tc>
          <w:tcPr>
            <w:tcW w:w="35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82BB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寻财教〔2023〕61号2023年省级广播电视事业发展专项资金</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08421">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49,669.49</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850B5">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49,669.49</w:t>
            </w:r>
          </w:p>
        </w:tc>
        <w:tc>
          <w:tcPr>
            <w:tcW w:w="1041" w:type="dxa"/>
            <w:tcBorders>
              <w:top w:val="single" w:color="auto" w:sz="4" w:space="0"/>
              <w:left w:val="single" w:color="auto" w:sz="4" w:space="0"/>
              <w:bottom w:val="single" w:color="auto" w:sz="4" w:space="0"/>
              <w:right w:val="single" w:color="auto" w:sz="4" w:space="0"/>
            </w:tcBorders>
            <w:shd w:val="clear" w:color="auto" w:fill="auto"/>
            <w:noWrap/>
          </w:tcPr>
          <w:p w14:paraId="15454FA8">
            <w:pPr>
              <w:rPr>
                <w:rFonts w:hint="eastAsia" w:ascii="仿宋_GB2312" w:hAnsi="仿宋_GB2312" w:eastAsia="仿宋_GB2312" w:cs="仿宋_GB2312"/>
                <w:sz w:val="13"/>
                <w:szCs w:val="13"/>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3889E">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49,669.49</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C13DE">
            <w:pPr>
              <w:keepNext w:val="0"/>
              <w:keepLines w:val="0"/>
              <w:widowControl/>
              <w:suppressLineNumbers w:val="0"/>
              <w:jc w:val="right"/>
              <w:textAlignment w:val="center"/>
              <w:rPr>
                <w:rFonts w:hint="eastAsia" w:ascii="仿宋_GB2312" w:hAnsi="仿宋_GB2312" w:eastAsia="仿宋_GB2312" w:cs="仿宋_GB2312"/>
                <w:sz w:val="13"/>
                <w:szCs w:val="13"/>
              </w:rPr>
            </w:pPr>
            <w:r>
              <w:rPr>
                <w:rFonts w:hint="eastAsia" w:ascii="宋体" w:hAnsi="宋体" w:eastAsia="宋体" w:cs="宋体"/>
                <w:i w:val="0"/>
                <w:iCs w:val="0"/>
                <w:color w:val="000000"/>
                <w:kern w:val="0"/>
                <w:sz w:val="13"/>
                <w:szCs w:val="13"/>
                <w:u w:val="none"/>
                <w:lang w:val="en-US" w:eastAsia="zh-CN" w:bidi="ar"/>
              </w:rPr>
              <w:t>49,669.49</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C259B">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692B2">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40234">
            <w:pPr>
              <w:widowControl/>
              <w:jc w:val="right"/>
              <w:rPr>
                <w:rFonts w:hint="eastAsia" w:ascii="仿宋_GB2312" w:hAnsi="仿宋_GB2312" w:eastAsia="仿宋_GB2312" w:cs="仿宋_GB2312"/>
                <w:color w:val="000000"/>
                <w:kern w:val="0"/>
                <w:sz w:val="13"/>
                <w:szCs w:val="13"/>
              </w:rPr>
            </w:pPr>
          </w:p>
        </w:tc>
      </w:tr>
      <w:tr w14:paraId="3D5BC1DA">
        <w:tblPrEx>
          <w:tblCellMar>
            <w:top w:w="0" w:type="dxa"/>
            <w:left w:w="108" w:type="dxa"/>
            <w:bottom w:w="0" w:type="dxa"/>
            <w:right w:w="108" w:type="dxa"/>
          </w:tblCellMar>
        </w:tblPrEx>
        <w:trPr>
          <w:trHeight w:val="308" w:hRule="atLeast"/>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35DF3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20799</w:t>
            </w:r>
          </w:p>
        </w:tc>
        <w:tc>
          <w:tcPr>
            <w:tcW w:w="35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B7B1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其他文化旅游体育与传媒支出</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77BF9">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14,000.00</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951DE">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14,000.00</w:t>
            </w:r>
          </w:p>
        </w:tc>
        <w:tc>
          <w:tcPr>
            <w:tcW w:w="1041" w:type="dxa"/>
            <w:tcBorders>
              <w:top w:val="single" w:color="auto" w:sz="4" w:space="0"/>
              <w:left w:val="single" w:color="auto" w:sz="4" w:space="0"/>
              <w:bottom w:val="single" w:color="auto" w:sz="4" w:space="0"/>
              <w:right w:val="single" w:color="auto" w:sz="4" w:space="0"/>
            </w:tcBorders>
            <w:shd w:val="clear" w:color="auto" w:fill="auto"/>
            <w:noWrap/>
          </w:tcPr>
          <w:p w14:paraId="06D9B866">
            <w:pPr>
              <w:rPr>
                <w:rFonts w:hint="eastAsia" w:ascii="仿宋_GB2312" w:hAnsi="仿宋_GB2312" w:eastAsia="仿宋_GB2312" w:cs="仿宋_GB2312"/>
                <w:sz w:val="13"/>
                <w:szCs w:val="13"/>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8FAA2">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14,000.00</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8AFA5">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14,000.00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D5C10">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E6C83">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660FA">
            <w:pPr>
              <w:widowControl/>
              <w:jc w:val="right"/>
              <w:rPr>
                <w:rFonts w:hint="eastAsia" w:ascii="仿宋_GB2312" w:hAnsi="仿宋_GB2312" w:eastAsia="仿宋_GB2312" w:cs="仿宋_GB2312"/>
                <w:color w:val="000000"/>
                <w:kern w:val="0"/>
                <w:sz w:val="13"/>
                <w:szCs w:val="13"/>
              </w:rPr>
            </w:pPr>
          </w:p>
        </w:tc>
      </w:tr>
      <w:tr w14:paraId="6430A628">
        <w:tblPrEx>
          <w:tblCellMar>
            <w:top w:w="0" w:type="dxa"/>
            <w:left w:w="108" w:type="dxa"/>
            <w:bottom w:w="0" w:type="dxa"/>
            <w:right w:w="108" w:type="dxa"/>
          </w:tblCellMar>
        </w:tblPrEx>
        <w:trPr>
          <w:trHeight w:val="246" w:hRule="atLeast"/>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93180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2079999</w:t>
            </w:r>
          </w:p>
        </w:tc>
        <w:tc>
          <w:tcPr>
            <w:tcW w:w="35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4AB0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其他文化旅游体育与传媒支出</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C89CC">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14,000.00</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F4BC9">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14,000.00</w:t>
            </w:r>
          </w:p>
        </w:tc>
        <w:tc>
          <w:tcPr>
            <w:tcW w:w="1041" w:type="dxa"/>
            <w:tcBorders>
              <w:top w:val="single" w:color="auto" w:sz="4" w:space="0"/>
              <w:left w:val="single" w:color="auto" w:sz="4" w:space="0"/>
              <w:bottom w:val="single" w:color="auto" w:sz="4" w:space="0"/>
              <w:right w:val="single" w:color="auto" w:sz="4" w:space="0"/>
            </w:tcBorders>
            <w:shd w:val="clear" w:color="auto" w:fill="auto"/>
            <w:noWrap/>
          </w:tcPr>
          <w:p w14:paraId="1E0D1ADF">
            <w:pPr>
              <w:rPr>
                <w:rFonts w:hint="eastAsia" w:ascii="仿宋_GB2312" w:hAnsi="仿宋_GB2312" w:eastAsia="仿宋_GB2312" w:cs="仿宋_GB2312"/>
                <w:sz w:val="13"/>
                <w:szCs w:val="13"/>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D95FB">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14,000.00</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428E0">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14,000.00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B3448">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25C3B">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E2594">
            <w:pPr>
              <w:widowControl/>
              <w:jc w:val="right"/>
              <w:rPr>
                <w:rFonts w:hint="eastAsia" w:ascii="仿宋_GB2312" w:hAnsi="仿宋_GB2312" w:eastAsia="仿宋_GB2312" w:cs="仿宋_GB2312"/>
                <w:color w:val="000000"/>
                <w:kern w:val="0"/>
                <w:sz w:val="13"/>
                <w:szCs w:val="13"/>
              </w:rPr>
            </w:pPr>
          </w:p>
        </w:tc>
      </w:tr>
      <w:tr w14:paraId="2E91D1A5">
        <w:tblPrEx>
          <w:tblCellMar>
            <w:top w:w="0" w:type="dxa"/>
            <w:left w:w="108" w:type="dxa"/>
            <w:bottom w:w="0" w:type="dxa"/>
            <w:right w:w="108" w:type="dxa"/>
          </w:tblCellMar>
        </w:tblPrEx>
        <w:trPr>
          <w:trHeight w:val="245" w:hRule="atLeast"/>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65FA5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2079999</w:t>
            </w:r>
          </w:p>
        </w:tc>
        <w:tc>
          <w:tcPr>
            <w:tcW w:w="35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6DCC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寻财教〔2021〕37号县级融媒体中心建设项目资金</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33F16">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14,000.00</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A9627">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14,000.00</w:t>
            </w:r>
          </w:p>
        </w:tc>
        <w:tc>
          <w:tcPr>
            <w:tcW w:w="1041" w:type="dxa"/>
            <w:tcBorders>
              <w:top w:val="single" w:color="auto" w:sz="4" w:space="0"/>
              <w:left w:val="single" w:color="auto" w:sz="4" w:space="0"/>
              <w:bottom w:val="single" w:color="auto" w:sz="4" w:space="0"/>
              <w:right w:val="single" w:color="auto" w:sz="4" w:space="0"/>
            </w:tcBorders>
            <w:shd w:val="clear" w:color="auto" w:fill="auto"/>
            <w:noWrap/>
          </w:tcPr>
          <w:p w14:paraId="4BC26149">
            <w:pPr>
              <w:rPr>
                <w:rFonts w:hint="eastAsia" w:ascii="仿宋_GB2312" w:hAnsi="仿宋_GB2312" w:eastAsia="仿宋_GB2312" w:cs="仿宋_GB2312"/>
                <w:sz w:val="13"/>
                <w:szCs w:val="13"/>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F6A71">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14,000.00</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48665">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14,000.00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AC4B8">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D8055">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6522F">
            <w:pPr>
              <w:widowControl/>
              <w:jc w:val="right"/>
              <w:rPr>
                <w:rFonts w:hint="eastAsia" w:ascii="仿宋_GB2312" w:hAnsi="仿宋_GB2312" w:eastAsia="仿宋_GB2312" w:cs="仿宋_GB2312"/>
                <w:color w:val="000000"/>
                <w:kern w:val="0"/>
                <w:sz w:val="13"/>
                <w:szCs w:val="13"/>
              </w:rPr>
            </w:pPr>
          </w:p>
        </w:tc>
      </w:tr>
      <w:tr w14:paraId="668D5076">
        <w:tblPrEx>
          <w:tblCellMar>
            <w:top w:w="0" w:type="dxa"/>
            <w:left w:w="108" w:type="dxa"/>
            <w:bottom w:w="0" w:type="dxa"/>
            <w:right w:w="108" w:type="dxa"/>
          </w:tblCellMar>
        </w:tblPrEx>
        <w:trPr>
          <w:trHeight w:val="308" w:hRule="atLeast"/>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25064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213</w:t>
            </w:r>
          </w:p>
        </w:tc>
        <w:tc>
          <w:tcPr>
            <w:tcW w:w="35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CB42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农林水支出</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6F136">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200,000.00</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CDC35">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200,000.00</w:t>
            </w:r>
          </w:p>
        </w:tc>
        <w:tc>
          <w:tcPr>
            <w:tcW w:w="1041" w:type="dxa"/>
            <w:tcBorders>
              <w:top w:val="single" w:color="auto" w:sz="4" w:space="0"/>
              <w:left w:val="single" w:color="auto" w:sz="4" w:space="0"/>
              <w:bottom w:val="single" w:color="auto" w:sz="4" w:space="0"/>
              <w:right w:val="single" w:color="auto" w:sz="4" w:space="0"/>
            </w:tcBorders>
            <w:shd w:val="clear" w:color="auto" w:fill="auto"/>
            <w:noWrap/>
          </w:tcPr>
          <w:p w14:paraId="3BD43FCB">
            <w:pPr>
              <w:rPr>
                <w:rFonts w:hint="eastAsia" w:ascii="仿宋_GB2312" w:hAnsi="仿宋_GB2312" w:eastAsia="仿宋_GB2312" w:cs="仿宋_GB2312"/>
                <w:sz w:val="13"/>
                <w:szCs w:val="13"/>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37C77">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200,000.00</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507BA">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200,000.00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59316">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DBD1F">
            <w:pPr>
              <w:keepNext w:val="0"/>
              <w:keepLines w:val="0"/>
              <w:widowControl/>
              <w:suppressLineNumbers w:val="0"/>
              <w:jc w:val="right"/>
              <w:textAlignment w:val="center"/>
              <w:rPr>
                <w:rFonts w:hint="eastAsia" w:ascii="仿宋_GB2312" w:hAnsi="仿宋_GB2312" w:eastAsia="仿宋_GB2312" w:cs="仿宋_GB2312"/>
                <w:color w:val="000000"/>
                <w:kern w:val="0"/>
                <w:sz w:val="13"/>
                <w:szCs w:val="13"/>
              </w:rPr>
            </w:pPr>
            <w:r>
              <w:rPr>
                <w:rFonts w:hint="eastAsia" w:ascii="宋体" w:hAnsi="宋体" w:eastAsia="宋体" w:cs="宋体"/>
                <w:i w:val="0"/>
                <w:iCs w:val="0"/>
                <w:color w:val="000000"/>
                <w:kern w:val="0"/>
                <w:sz w:val="13"/>
                <w:szCs w:val="13"/>
                <w:u w:val="none"/>
                <w:lang w:val="en-US" w:eastAsia="zh-CN" w:bidi="ar"/>
              </w:rPr>
              <w:t>0.00</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C54E2">
            <w:pPr>
              <w:widowControl/>
              <w:jc w:val="right"/>
              <w:rPr>
                <w:rFonts w:hint="eastAsia" w:ascii="仿宋_GB2312" w:hAnsi="仿宋_GB2312" w:eastAsia="仿宋_GB2312" w:cs="仿宋_GB2312"/>
                <w:color w:val="000000"/>
                <w:kern w:val="0"/>
                <w:sz w:val="13"/>
                <w:szCs w:val="13"/>
              </w:rPr>
            </w:pPr>
          </w:p>
        </w:tc>
      </w:tr>
      <w:tr w14:paraId="090163D4">
        <w:tblPrEx>
          <w:tblCellMar>
            <w:top w:w="0" w:type="dxa"/>
            <w:left w:w="108" w:type="dxa"/>
            <w:bottom w:w="0" w:type="dxa"/>
            <w:right w:w="108" w:type="dxa"/>
          </w:tblCellMar>
        </w:tblPrEx>
        <w:trPr>
          <w:trHeight w:val="308" w:hRule="atLeast"/>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0511C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21305</w:t>
            </w:r>
          </w:p>
        </w:tc>
        <w:tc>
          <w:tcPr>
            <w:tcW w:w="35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3070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巩固脱贫衔接乡村振兴</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E07C1">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200,000.00</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5D696">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200,000.00</w:t>
            </w:r>
          </w:p>
        </w:tc>
        <w:tc>
          <w:tcPr>
            <w:tcW w:w="1041" w:type="dxa"/>
            <w:tcBorders>
              <w:top w:val="single" w:color="auto" w:sz="4" w:space="0"/>
              <w:left w:val="single" w:color="auto" w:sz="4" w:space="0"/>
              <w:bottom w:val="single" w:color="auto" w:sz="4" w:space="0"/>
              <w:right w:val="single" w:color="auto" w:sz="4" w:space="0"/>
            </w:tcBorders>
            <w:shd w:val="clear" w:color="auto" w:fill="auto"/>
            <w:noWrap/>
          </w:tcPr>
          <w:p w14:paraId="3AF157D2">
            <w:pPr>
              <w:rPr>
                <w:rFonts w:hint="eastAsia" w:ascii="仿宋_GB2312" w:hAnsi="仿宋_GB2312" w:eastAsia="仿宋_GB2312" w:cs="仿宋_GB2312"/>
                <w:sz w:val="13"/>
                <w:szCs w:val="13"/>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537FB">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200,000.00</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B015E">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200,000.00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F78D1">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A3D2F">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0.00</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DE8BA">
            <w:pPr>
              <w:widowControl/>
              <w:jc w:val="right"/>
              <w:rPr>
                <w:rFonts w:hint="eastAsia" w:ascii="仿宋_GB2312" w:hAnsi="仿宋_GB2312" w:eastAsia="仿宋_GB2312" w:cs="仿宋_GB2312"/>
                <w:color w:val="000000"/>
                <w:kern w:val="0"/>
                <w:sz w:val="13"/>
                <w:szCs w:val="13"/>
              </w:rPr>
            </w:pPr>
          </w:p>
        </w:tc>
      </w:tr>
      <w:tr w14:paraId="28112846">
        <w:tblPrEx>
          <w:tblCellMar>
            <w:top w:w="0" w:type="dxa"/>
            <w:left w:w="108" w:type="dxa"/>
            <w:bottom w:w="0" w:type="dxa"/>
            <w:right w:w="108" w:type="dxa"/>
          </w:tblCellMar>
        </w:tblPrEx>
        <w:trPr>
          <w:trHeight w:val="308" w:hRule="atLeast"/>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4A14E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2130599</w:t>
            </w:r>
          </w:p>
        </w:tc>
        <w:tc>
          <w:tcPr>
            <w:tcW w:w="35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9B45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其他巩固脱贫衔接乡村振兴支出</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1D324">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200,000.00</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C9962">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200,000.00</w:t>
            </w:r>
          </w:p>
        </w:tc>
        <w:tc>
          <w:tcPr>
            <w:tcW w:w="1041" w:type="dxa"/>
            <w:tcBorders>
              <w:top w:val="single" w:color="auto" w:sz="4" w:space="0"/>
              <w:left w:val="single" w:color="auto" w:sz="4" w:space="0"/>
              <w:bottom w:val="single" w:color="auto" w:sz="4" w:space="0"/>
              <w:right w:val="single" w:color="auto" w:sz="4" w:space="0"/>
            </w:tcBorders>
            <w:shd w:val="clear" w:color="auto" w:fill="auto"/>
            <w:noWrap/>
          </w:tcPr>
          <w:p w14:paraId="075497D2">
            <w:pPr>
              <w:rPr>
                <w:rFonts w:hint="eastAsia" w:ascii="仿宋_GB2312" w:hAnsi="仿宋_GB2312" w:eastAsia="仿宋_GB2312" w:cs="仿宋_GB2312"/>
                <w:sz w:val="13"/>
                <w:szCs w:val="13"/>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D8A60">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200,000.00</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2416A">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200,000.00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9C8E2">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4F77D">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0.00</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25A28">
            <w:pPr>
              <w:widowControl/>
              <w:jc w:val="right"/>
              <w:rPr>
                <w:rFonts w:hint="eastAsia" w:ascii="仿宋_GB2312" w:hAnsi="仿宋_GB2312" w:eastAsia="仿宋_GB2312" w:cs="仿宋_GB2312"/>
                <w:color w:val="000000"/>
                <w:kern w:val="0"/>
                <w:sz w:val="13"/>
                <w:szCs w:val="13"/>
              </w:rPr>
            </w:pPr>
          </w:p>
        </w:tc>
      </w:tr>
      <w:tr w14:paraId="1B3BD217">
        <w:tblPrEx>
          <w:tblCellMar>
            <w:top w:w="0" w:type="dxa"/>
            <w:left w:w="108" w:type="dxa"/>
            <w:bottom w:w="0" w:type="dxa"/>
            <w:right w:w="108" w:type="dxa"/>
          </w:tblCellMar>
        </w:tblPrEx>
        <w:trPr>
          <w:trHeight w:val="308" w:hRule="atLeast"/>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DD6E00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2130599</w:t>
            </w:r>
          </w:p>
        </w:tc>
        <w:tc>
          <w:tcPr>
            <w:tcW w:w="35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62C2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县财教〔2023〕1号2023年度东西部协作工作宣传项目资金</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D251C">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200,000.00</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F2C38">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200,000.00</w:t>
            </w:r>
          </w:p>
        </w:tc>
        <w:tc>
          <w:tcPr>
            <w:tcW w:w="1041" w:type="dxa"/>
            <w:tcBorders>
              <w:top w:val="single" w:color="auto" w:sz="4" w:space="0"/>
              <w:left w:val="single" w:color="auto" w:sz="4" w:space="0"/>
              <w:bottom w:val="single" w:color="auto" w:sz="4" w:space="0"/>
              <w:right w:val="single" w:color="auto" w:sz="4" w:space="0"/>
            </w:tcBorders>
            <w:shd w:val="clear" w:color="auto" w:fill="auto"/>
            <w:noWrap/>
          </w:tcPr>
          <w:p w14:paraId="5C86F912">
            <w:pPr>
              <w:rPr>
                <w:rFonts w:hint="eastAsia" w:ascii="仿宋_GB2312" w:hAnsi="仿宋_GB2312" w:eastAsia="仿宋_GB2312" w:cs="仿宋_GB2312"/>
                <w:sz w:val="13"/>
                <w:szCs w:val="13"/>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2DDDD">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200,000.00</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64914">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200,000.00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7B925">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F3F17">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0.00</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FE6E6">
            <w:pPr>
              <w:widowControl/>
              <w:jc w:val="right"/>
              <w:rPr>
                <w:rFonts w:hint="eastAsia" w:ascii="仿宋_GB2312" w:hAnsi="仿宋_GB2312" w:eastAsia="仿宋_GB2312" w:cs="仿宋_GB2312"/>
                <w:color w:val="000000"/>
                <w:kern w:val="0"/>
                <w:sz w:val="13"/>
                <w:szCs w:val="13"/>
              </w:rPr>
            </w:pPr>
          </w:p>
        </w:tc>
      </w:tr>
    </w:tbl>
    <w:p w14:paraId="30E08095">
      <w:pPr>
        <w:rPr>
          <w:rFonts w:ascii="Times New Roman" w:hAnsi="Times New Roman" w:eastAsia="仿宋_GB2312" w:cs="Times New Roman"/>
          <w:color w:val="000000" w:themeColor="text1"/>
        </w:rPr>
      </w:pPr>
    </w:p>
    <w:sectPr>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00" w:usb3="00000000" w:csb0="0004009F" w:csb1="DFD70000"/>
  </w:font>
  <w:font w:name="hakuyoxingshu7000">
    <w:altName w:val="AMGD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00" w:usb3="00000000" w:csb0="0004009F" w:csb1="DFD70000"/>
  </w:font>
  <w:font w:name="华文中宋">
    <w:altName w:val="宋体"/>
    <w:panose1 w:val="00000000000000000000"/>
    <w:charset w:val="86"/>
    <w:family w:val="auto"/>
    <w:pitch w:val="default"/>
    <w:sig w:usb0="00000000" w:usb1="00000000" w:usb2="00000000" w:usb3="00000000" w:csb0="0004009F" w:csb1="DFD7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4D4B4">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14</w:t>
    </w:r>
    <w:r>
      <w:rPr>
        <w:rStyle w:val="11"/>
      </w:rPr>
      <w:fldChar w:fldCharType="end"/>
    </w:r>
  </w:p>
  <w:p w14:paraId="3DC8D81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F59C">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BDB53F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CB98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A2432">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1FE5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VmNjlkZTI2ZmNlNDgyYjNlMmQ5MWE1OGQ3ZGUzZGIifQ=="/>
  </w:docVars>
  <w:rsids>
    <w:rsidRoot w:val="00AB15A5"/>
    <w:rsid w:val="00001D1B"/>
    <w:rsid w:val="00004863"/>
    <w:rsid w:val="000252CD"/>
    <w:rsid w:val="000262A5"/>
    <w:rsid w:val="00027BFA"/>
    <w:rsid w:val="000330A8"/>
    <w:rsid w:val="0004199C"/>
    <w:rsid w:val="00052D29"/>
    <w:rsid w:val="00056AB9"/>
    <w:rsid w:val="000616A9"/>
    <w:rsid w:val="00087FBA"/>
    <w:rsid w:val="00092A3F"/>
    <w:rsid w:val="000A7D4D"/>
    <w:rsid w:val="000B14E0"/>
    <w:rsid w:val="000C5353"/>
    <w:rsid w:val="000D483E"/>
    <w:rsid w:val="000E38B7"/>
    <w:rsid w:val="000F4B08"/>
    <w:rsid w:val="00113033"/>
    <w:rsid w:val="0012521A"/>
    <w:rsid w:val="001339D1"/>
    <w:rsid w:val="00156477"/>
    <w:rsid w:val="00164239"/>
    <w:rsid w:val="001951A1"/>
    <w:rsid w:val="001D2AB1"/>
    <w:rsid w:val="001D3E0B"/>
    <w:rsid w:val="001D7519"/>
    <w:rsid w:val="001F2611"/>
    <w:rsid w:val="001F537F"/>
    <w:rsid w:val="00217A0B"/>
    <w:rsid w:val="00231733"/>
    <w:rsid w:val="00237227"/>
    <w:rsid w:val="00243F74"/>
    <w:rsid w:val="0024501A"/>
    <w:rsid w:val="00246D90"/>
    <w:rsid w:val="00250304"/>
    <w:rsid w:val="00257881"/>
    <w:rsid w:val="002644F6"/>
    <w:rsid w:val="00275A27"/>
    <w:rsid w:val="002774CC"/>
    <w:rsid w:val="00292C5C"/>
    <w:rsid w:val="00295B4E"/>
    <w:rsid w:val="00296704"/>
    <w:rsid w:val="002A5CA0"/>
    <w:rsid w:val="002C2EC8"/>
    <w:rsid w:val="002D0DF9"/>
    <w:rsid w:val="002D54E7"/>
    <w:rsid w:val="002E4AA3"/>
    <w:rsid w:val="002F42CB"/>
    <w:rsid w:val="002F712F"/>
    <w:rsid w:val="0031066D"/>
    <w:rsid w:val="00327F72"/>
    <w:rsid w:val="003423E1"/>
    <w:rsid w:val="003756A9"/>
    <w:rsid w:val="003A4532"/>
    <w:rsid w:val="003B118F"/>
    <w:rsid w:val="003B7519"/>
    <w:rsid w:val="003C197D"/>
    <w:rsid w:val="003D0404"/>
    <w:rsid w:val="003D3258"/>
    <w:rsid w:val="003D7AC0"/>
    <w:rsid w:val="003E1328"/>
    <w:rsid w:val="003E2405"/>
    <w:rsid w:val="003E47C1"/>
    <w:rsid w:val="003F7337"/>
    <w:rsid w:val="00400EC0"/>
    <w:rsid w:val="0040221C"/>
    <w:rsid w:val="00415717"/>
    <w:rsid w:val="00416122"/>
    <w:rsid w:val="00416AFE"/>
    <w:rsid w:val="00435F86"/>
    <w:rsid w:val="0046455D"/>
    <w:rsid w:val="00464742"/>
    <w:rsid w:val="004766AD"/>
    <w:rsid w:val="004A06DD"/>
    <w:rsid w:val="004A29DB"/>
    <w:rsid w:val="004A46C7"/>
    <w:rsid w:val="004C35A5"/>
    <w:rsid w:val="004C5639"/>
    <w:rsid w:val="004C7942"/>
    <w:rsid w:val="004F3136"/>
    <w:rsid w:val="0050721C"/>
    <w:rsid w:val="00512BC4"/>
    <w:rsid w:val="0053374C"/>
    <w:rsid w:val="00535E49"/>
    <w:rsid w:val="00540AE3"/>
    <w:rsid w:val="00552083"/>
    <w:rsid w:val="00572EDF"/>
    <w:rsid w:val="00582EEB"/>
    <w:rsid w:val="00596AB9"/>
    <w:rsid w:val="005B4336"/>
    <w:rsid w:val="005B4646"/>
    <w:rsid w:val="005B61EB"/>
    <w:rsid w:val="005C3DDE"/>
    <w:rsid w:val="005D1815"/>
    <w:rsid w:val="005D7805"/>
    <w:rsid w:val="005E3A75"/>
    <w:rsid w:val="005E46EB"/>
    <w:rsid w:val="005F0ED4"/>
    <w:rsid w:val="005F6ED9"/>
    <w:rsid w:val="0061570C"/>
    <w:rsid w:val="00615CE9"/>
    <w:rsid w:val="00621E6E"/>
    <w:rsid w:val="00625277"/>
    <w:rsid w:val="0063239B"/>
    <w:rsid w:val="00634437"/>
    <w:rsid w:val="006543D1"/>
    <w:rsid w:val="006A0FD5"/>
    <w:rsid w:val="006A6E8B"/>
    <w:rsid w:val="006A7265"/>
    <w:rsid w:val="006B2ECB"/>
    <w:rsid w:val="006D2400"/>
    <w:rsid w:val="006D603F"/>
    <w:rsid w:val="006D69AD"/>
    <w:rsid w:val="006F2595"/>
    <w:rsid w:val="006F7125"/>
    <w:rsid w:val="00732061"/>
    <w:rsid w:val="00737D0A"/>
    <w:rsid w:val="00743EDF"/>
    <w:rsid w:val="00752714"/>
    <w:rsid w:val="0075649C"/>
    <w:rsid w:val="007669B7"/>
    <w:rsid w:val="00770AA7"/>
    <w:rsid w:val="00781ED8"/>
    <w:rsid w:val="00794A95"/>
    <w:rsid w:val="007971E3"/>
    <w:rsid w:val="007A2F21"/>
    <w:rsid w:val="007A6DD0"/>
    <w:rsid w:val="007A6FC8"/>
    <w:rsid w:val="007A7C16"/>
    <w:rsid w:val="007B1C0E"/>
    <w:rsid w:val="007C2568"/>
    <w:rsid w:val="007C5EEF"/>
    <w:rsid w:val="007D1307"/>
    <w:rsid w:val="007D4F4C"/>
    <w:rsid w:val="007D5258"/>
    <w:rsid w:val="007E0034"/>
    <w:rsid w:val="007F1038"/>
    <w:rsid w:val="007F18F7"/>
    <w:rsid w:val="007F3B00"/>
    <w:rsid w:val="0080770E"/>
    <w:rsid w:val="00816A71"/>
    <w:rsid w:val="00816D03"/>
    <w:rsid w:val="00821504"/>
    <w:rsid w:val="00841AAA"/>
    <w:rsid w:val="00843024"/>
    <w:rsid w:val="00862FF5"/>
    <w:rsid w:val="00865A3E"/>
    <w:rsid w:val="008744CF"/>
    <w:rsid w:val="008A2C71"/>
    <w:rsid w:val="008B56CE"/>
    <w:rsid w:val="008C79C6"/>
    <w:rsid w:val="008D3F64"/>
    <w:rsid w:val="008E0771"/>
    <w:rsid w:val="008E3D38"/>
    <w:rsid w:val="008E41A8"/>
    <w:rsid w:val="008F06E2"/>
    <w:rsid w:val="00901D6A"/>
    <w:rsid w:val="00904138"/>
    <w:rsid w:val="00911665"/>
    <w:rsid w:val="0091427F"/>
    <w:rsid w:val="00917E61"/>
    <w:rsid w:val="00930B29"/>
    <w:rsid w:val="00942754"/>
    <w:rsid w:val="00943973"/>
    <w:rsid w:val="0096542E"/>
    <w:rsid w:val="00972F5B"/>
    <w:rsid w:val="00976FE4"/>
    <w:rsid w:val="0098733B"/>
    <w:rsid w:val="009903EC"/>
    <w:rsid w:val="009A064B"/>
    <w:rsid w:val="009A3DF1"/>
    <w:rsid w:val="009B315B"/>
    <w:rsid w:val="009C60E8"/>
    <w:rsid w:val="009C6444"/>
    <w:rsid w:val="009D367C"/>
    <w:rsid w:val="009E258B"/>
    <w:rsid w:val="009E50F3"/>
    <w:rsid w:val="009F3524"/>
    <w:rsid w:val="00A032E1"/>
    <w:rsid w:val="00A03A9D"/>
    <w:rsid w:val="00A1009F"/>
    <w:rsid w:val="00A131FD"/>
    <w:rsid w:val="00A36F62"/>
    <w:rsid w:val="00A54AB0"/>
    <w:rsid w:val="00A64568"/>
    <w:rsid w:val="00A64CBF"/>
    <w:rsid w:val="00A663A4"/>
    <w:rsid w:val="00A8754E"/>
    <w:rsid w:val="00AA4B4F"/>
    <w:rsid w:val="00AB15A5"/>
    <w:rsid w:val="00AB41E1"/>
    <w:rsid w:val="00AB69ED"/>
    <w:rsid w:val="00AD55A1"/>
    <w:rsid w:val="00AE0634"/>
    <w:rsid w:val="00AE6027"/>
    <w:rsid w:val="00B04AF9"/>
    <w:rsid w:val="00B223EF"/>
    <w:rsid w:val="00B37E13"/>
    <w:rsid w:val="00B471E9"/>
    <w:rsid w:val="00B51106"/>
    <w:rsid w:val="00B51902"/>
    <w:rsid w:val="00B53CCD"/>
    <w:rsid w:val="00B53E17"/>
    <w:rsid w:val="00B74C15"/>
    <w:rsid w:val="00BA2B82"/>
    <w:rsid w:val="00BB6040"/>
    <w:rsid w:val="00BE2B62"/>
    <w:rsid w:val="00BF403D"/>
    <w:rsid w:val="00BF6A81"/>
    <w:rsid w:val="00C06846"/>
    <w:rsid w:val="00C118C9"/>
    <w:rsid w:val="00C2577E"/>
    <w:rsid w:val="00C2761F"/>
    <w:rsid w:val="00C34247"/>
    <w:rsid w:val="00C404D5"/>
    <w:rsid w:val="00C447A5"/>
    <w:rsid w:val="00C556C3"/>
    <w:rsid w:val="00C669F5"/>
    <w:rsid w:val="00C73D4A"/>
    <w:rsid w:val="00C9106D"/>
    <w:rsid w:val="00C93C92"/>
    <w:rsid w:val="00C94602"/>
    <w:rsid w:val="00C95664"/>
    <w:rsid w:val="00CA0EFC"/>
    <w:rsid w:val="00CB057C"/>
    <w:rsid w:val="00CB1CB0"/>
    <w:rsid w:val="00CC13F0"/>
    <w:rsid w:val="00CC5E63"/>
    <w:rsid w:val="00CD3092"/>
    <w:rsid w:val="00CF4D2B"/>
    <w:rsid w:val="00D72800"/>
    <w:rsid w:val="00D90A36"/>
    <w:rsid w:val="00DA7FD2"/>
    <w:rsid w:val="00DB61C0"/>
    <w:rsid w:val="00DB66CD"/>
    <w:rsid w:val="00DF2869"/>
    <w:rsid w:val="00DF4B6B"/>
    <w:rsid w:val="00E0458C"/>
    <w:rsid w:val="00E11728"/>
    <w:rsid w:val="00E17FB9"/>
    <w:rsid w:val="00E26800"/>
    <w:rsid w:val="00E27F35"/>
    <w:rsid w:val="00E37A1B"/>
    <w:rsid w:val="00E43474"/>
    <w:rsid w:val="00E4354B"/>
    <w:rsid w:val="00E54606"/>
    <w:rsid w:val="00E5745C"/>
    <w:rsid w:val="00E57805"/>
    <w:rsid w:val="00E75C21"/>
    <w:rsid w:val="00E76456"/>
    <w:rsid w:val="00E7751D"/>
    <w:rsid w:val="00E9188C"/>
    <w:rsid w:val="00E9628F"/>
    <w:rsid w:val="00EA10C1"/>
    <w:rsid w:val="00EA1316"/>
    <w:rsid w:val="00EA3252"/>
    <w:rsid w:val="00EB1E0A"/>
    <w:rsid w:val="00EC5461"/>
    <w:rsid w:val="00EC7692"/>
    <w:rsid w:val="00ED41CF"/>
    <w:rsid w:val="00EF0DC6"/>
    <w:rsid w:val="00EF198A"/>
    <w:rsid w:val="00F01639"/>
    <w:rsid w:val="00F06218"/>
    <w:rsid w:val="00F1225F"/>
    <w:rsid w:val="00F222E3"/>
    <w:rsid w:val="00F226B6"/>
    <w:rsid w:val="00F57B61"/>
    <w:rsid w:val="00F90AB4"/>
    <w:rsid w:val="00F937C4"/>
    <w:rsid w:val="00F95589"/>
    <w:rsid w:val="00FC7FC3"/>
    <w:rsid w:val="00FD1B2C"/>
    <w:rsid w:val="00FE3CDD"/>
    <w:rsid w:val="01A00C4B"/>
    <w:rsid w:val="050E66C0"/>
    <w:rsid w:val="06E23AB3"/>
    <w:rsid w:val="07873723"/>
    <w:rsid w:val="07D95D21"/>
    <w:rsid w:val="08AF79C5"/>
    <w:rsid w:val="0ABF17DD"/>
    <w:rsid w:val="0B036D83"/>
    <w:rsid w:val="0B73433A"/>
    <w:rsid w:val="0C0B7609"/>
    <w:rsid w:val="0D064E5E"/>
    <w:rsid w:val="0DAB10A3"/>
    <w:rsid w:val="108A31F2"/>
    <w:rsid w:val="11587097"/>
    <w:rsid w:val="12901BA3"/>
    <w:rsid w:val="12A06CFD"/>
    <w:rsid w:val="12E069F1"/>
    <w:rsid w:val="13C31F2F"/>
    <w:rsid w:val="13CE1D1B"/>
    <w:rsid w:val="14524026"/>
    <w:rsid w:val="15520056"/>
    <w:rsid w:val="15EC2259"/>
    <w:rsid w:val="16E11692"/>
    <w:rsid w:val="16F07B27"/>
    <w:rsid w:val="171C091C"/>
    <w:rsid w:val="17FA36C0"/>
    <w:rsid w:val="182255F2"/>
    <w:rsid w:val="19622F5E"/>
    <w:rsid w:val="19995F54"/>
    <w:rsid w:val="1C6C7C4F"/>
    <w:rsid w:val="1CE75528"/>
    <w:rsid w:val="1FBC2C9C"/>
    <w:rsid w:val="203E07CD"/>
    <w:rsid w:val="21352D06"/>
    <w:rsid w:val="24253C3D"/>
    <w:rsid w:val="259049AF"/>
    <w:rsid w:val="25E44CFA"/>
    <w:rsid w:val="26A821CC"/>
    <w:rsid w:val="27182EAE"/>
    <w:rsid w:val="289B1FE8"/>
    <w:rsid w:val="2B141BDE"/>
    <w:rsid w:val="2B9B5E5B"/>
    <w:rsid w:val="2CBD0053"/>
    <w:rsid w:val="2D256324"/>
    <w:rsid w:val="2E76670C"/>
    <w:rsid w:val="303074BA"/>
    <w:rsid w:val="303845C1"/>
    <w:rsid w:val="3049057C"/>
    <w:rsid w:val="328D7F33"/>
    <w:rsid w:val="36E7289C"/>
    <w:rsid w:val="3769305E"/>
    <w:rsid w:val="3AB24F6F"/>
    <w:rsid w:val="3BAA3A7D"/>
    <w:rsid w:val="3BFA2C9F"/>
    <w:rsid w:val="3C29300F"/>
    <w:rsid w:val="3E720C9E"/>
    <w:rsid w:val="3EB412B6"/>
    <w:rsid w:val="3EEB0A50"/>
    <w:rsid w:val="3F0044FB"/>
    <w:rsid w:val="3F1F14AC"/>
    <w:rsid w:val="41432DC5"/>
    <w:rsid w:val="42116A20"/>
    <w:rsid w:val="433724B6"/>
    <w:rsid w:val="44054362"/>
    <w:rsid w:val="4440651E"/>
    <w:rsid w:val="460A3EB2"/>
    <w:rsid w:val="46C71DA3"/>
    <w:rsid w:val="48D10CB7"/>
    <w:rsid w:val="4E832A53"/>
    <w:rsid w:val="50B12FCF"/>
    <w:rsid w:val="51A0391C"/>
    <w:rsid w:val="548117E3"/>
    <w:rsid w:val="54A97900"/>
    <w:rsid w:val="54D51B2F"/>
    <w:rsid w:val="54E104D3"/>
    <w:rsid w:val="56660C90"/>
    <w:rsid w:val="566B704D"/>
    <w:rsid w:val="58354DBE"/>
    <w:rsid w:val="58A345CB"/>
    <w:rsid w:val="58C41043"/>
    <w:rsid w:val="5B74751A"/>
    <w:rsid w:val="5DE90C38"/>
    <w:rsid w:val="5E7E6D93"/>
    <w:rsid w:val="5EB05E66"/>
    <w:rsid w:val="5FFC08B7"/>
    <w:rsid w:val="609D79A4"/>
    <w:rsid w:val="60EF4C1A"/>
    <w:rsid w:val="61CB73F0"/>
    <w:rsid w:val="61E12E4A"/>
    <w:rsid w:val="64A07A63"/>
    <w:rsid w:val="64B945B0"/>
    <w:rsid w:val="652609B9"/>
    <w:rsid w:val="65BD63F3"/>
    <w:rsid w:val="65DA0D53"/>
    <w:rsid w:val="66274C9E"/>
    <w:rsid w:val="66732D9F"/>
    <w:rsid w:val="668016D1"/>
    <w:rsid w:val="66903B07"/>
    <w:rsid w:val="67BA3C1C"/>
    <w:rsid w:val="680D76C2"/>
    <w:rsid w:val="6897117D"/>
    <w:rsid w:val="695568C1"/>
    <w:rsid w:val="6D151E2E"/>
    <w:rsid w:val="6D9739CD"/>
    <w:rsid w:val="6E875380"/>
    <w:rsid w:val="6F806E0F"/>
    <w:rsid w:val="6FD44A65"/>
    <w:rsid w:val="703B6CD7"/>
    <w:rsid w:val="70744886"/>
    <w:rsid w:val="70744899"/>
    <w:rsid w:val="73BE4E07"/>
    <w:rsid w:val="74277859"/>
    <w:rsid w:val="75495E5E"/>
    <w:rsid w:val="756C2C1F"/>
    <w:rsid w:val="76085468"/>
    <w:rsid w:val="770E6AAE"/>
    <w:rsid w:val="79A25548"/>
    <w:rsid w:val="7A546ECE"/>
    <w:rsid w:val="7CA57EB5"/>
    <w:rsid w:val="7CF7298B"/>
    <w:rsid w:val="7D595DEB"/>
    <w:rsid w:val="7EB22415"/>
    <w:rsid w:val="7F1B0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3"/>
        <o:r id="V:Rule2" type="connector" idref="#直接箭头连接符 1"/>
        <o:r id="V:Rule3" type="connector" idref="#直接箭头连接符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link w:val="13"/>
    <w:qFormat/>
    <w:uiPriority w:val="0"/>
    <w:rPr>
      <w:rFonts w:ascii="宋体" w:hAnsi="Courier New" w:eastAsia="宋体" w:cs="Courier New"/>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rPr>
  </w:style>
  <w:style w:type="character" w:styleId="11">
    <w:name w:val="page number"/>
    <w:basedOn w:val="9"/>
    <w:qFormat/>
    <w:uiPriority w:val="0"/>
  </w:style>
  <w:style w:type="character" w:customStyle="1" w:styleId="12">
    <w:name w:val="页脚 Char"/>
    <w:basedOn w:val="9"/>
    <w:link w:val="5"/>
    <w:qFormat/>
    <w:uiPriority w:val="0"/>
    <w:rPr>
      <w:rFonts w:ascii="Calibri" w:hAnsi="Calibri" w:eastAsia="宋体" w:cs="Times New Roman"/>
      <w:sz w:val="18"/>
      <w:szCs w:val="18"/>
    </w:rPr>
  </w:style>
  <w:style w:type="character" w:customStyle="1" w:styleId="13">
    <w:name w:val="纯文本 Char"/>
    <w:basedOn w:val="9"/>
    <w:link w:val="3"/>
    <w:qFormat/>
    <w:uiPriority w:val="0"/>
    <w:rPr>
      <w:rFonts w:ascii="宋体" w:hAnsi="Courier New" w:eastAsia="宋体" w:cs="Courier New"/>
      <w:szCs w:val="21"/>
    </w:rPr>
  </w:style>
  <w:style w:type="character" w:customStyle="1" w:styleId="14">
    <w:name w:val="批注框文本 Char"/>
    <w:basedOn w:val="9"/>
    <w:link w:val="4"/>
    <w:semiHidden/>
    <w:qFormat/>
    <w:uiPriority w:val="99"/>
    <w:rPr>
      <w:sz w:val="18"/>
      <w:szCs w:val="18"/>
    </w:rPr>
  </w:style>
  <w:style w:type="paragraph" w:customStyle="1" w:styleId="15">
    <w:name w:val="默认段落字体 Para Char Char Char Char Char Char Char"/>
    <w:basedOn w:val="1"/>
    <w:qFormat/>
    <w:uiPriority w:val="0"/>
    <w:rPr>
      <w:rFonts w:ascii="Times New Roman" w:hAnsi="Times New Roman" w:eastAsia="宋体" w:cs="Times New Roman"/>
    </w:rPr>
  </w:style>
  <w:style w:type="paragraph" w:styleId="16">
    <w:name w:val="List Paragraph"/>
    <w:basedOn w:val="1"/>
    <w:qFormat/>
    <w:uiPriority w:val="34"/>
    <w:pPr>
      <w:ind w:firstLine="420" w:firstLineChars="200"/>
    </w:pPr>
  </w:style>
  <w:style w:type="character" w:customStyle="1" w:styleId="17">
    <w:name w:val="页眉 Char"/>
    <w:basedOn w:val="9"/>
    <w:link w:val="6"/>
    <w:semiHidden/>
    <w:qFormat/>
    <w:uiPriority w:val="99"/>
    <w:rPr>
      <w:sz w:val="18"/>
      <w:szCs w:val="18"/>
    </w:rPr>
  </w:style>
  <w:style w:type="paragraph" w:customStyle="1" w:styleId="18">
    <w:name w:val="p0"/>
    <w:basedOn w:val="1"/>
    <w:qFormat/>
    <w:uiPriority w:val="0"/>
    <w:pPr>
      <w:widowControl/>
    </w:pPr>
    <w:rPr>
      <w:rFonts w:ascii="Times New Roman" w:hAnsi="Times New Roman" w:eastAsia="宋体" w:cs="Times New Roman"/>
      <w:kern w:val="0"/>
      <w:szCs w:val="21"/>
    </w:rPr>
  </w:style>
  <w:style w:type="paragraph" w:customStyle="1" w:styleId="19">
    <w:name w:val="正文 New"/>
    <w:qFormat/>
    <w:uiPriority w:val="0"/>
    <w:pPr>
      <w:widowControl w:val="0"/>
      <w:jc w:val="both"/>
    </w:pPr>
    <w:rPr>
      <w:rFonts w:ascii="仿宋_GB2312" w:hAnsi="Times New Roman" w:eastAsia="仿宋_GB2312" w:cs="Times New Roman"/>
      <w:kern w:val="2"/>
      <w:sz w:val="32"/>
      <w:szCs w:val="32"/>
      <w:lang w:val="en-US" w:eastAsia="zh-CN" w:bidi="ar-SA"/>
    </w:rPr>
  </w:style>
  <w:style w:type="paragraph" w:customStyle="1" w:styleId="20">
    <w:name w:val="Char Char Char Char"/>
    <w:basedOn w:val="1"/>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7"/>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21198</Words>
  <Characters>22321</Characters>
  <Lines>160</Lines>
  <Paragraphs>45</Paragraphs>
  <TotalTime>4</TotalTime>
  <ScaleCrop>false</ScaleCrop>
  <LinksUpToDate>false</LinksUpToDate>
  <CharactersWithSpaces>22377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2019-03-07T12:52:00Z</dcterms:created>
  <dc:creator>Windows 用户</dc:creator>
  <cp:lastModifiedBy>听潮</cp:lastModifiedBy>
  <cp:lastPrinted>2019-03-15T01:12:00Z</cp:lastPrinted>
  <dcterms:modified xsi:type="dcterms:W3CDTF">2024-12-10T07:52:44Z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81BB71B09E5D45BB932A324DBF3FEA34</vt:lpwstr>
  </property>
</Properties>
</file>