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EA447">
      <w:pPr>
        <w:spacing w:line="600" w:lineRule="atLeast"/>
        <w:ind w:firstLine="0" w:firstLineChars="0"/>
        <w:jc w:val="center"/>
        <w:rPr>
          <w:rFonts w:cs="仿宋"/>
          <w:b/>
          <w:sz w:val="36"/>
          <w:szCs w:val="36"/>
        </w:rPr>
      </w:pPr>
      <w:bookmarkStart w:id="74" w:name="_GoBack"/>
      <w:bookmarkEnd w:id="74"/>
    </w:p>
    <w:p w14:paraId="4C0C2B27">
      <w:pPr>
        <w:pStyle w:val="2"/>
        <w:ind w:firstLine="602"/>
      </w:pPr>
    </w:p>
    <w:p w14:paraId="7E347B07">
      <w:pPr>
        <w:ind w:firstLine="480"/>
        <w:rPr>
          <w:rFonts w:hint="eastAsia"/>
        </w:rPr>
      </w:pPr>
    </w:p>
    <w:p w14:paraId="3EE110F5">
      <w:pPr>
        <w:pStyle w:val="2"/>
        <w:spacing w:line="600" w:lineRule="atLeast"/>
        <w:ind w:firstLine="0" w:firstLineChars="0"/>
      </w:pPr>
    </w:p>
    <w:p w14:paraId="4FF4460D">
      <w:pPr>
        <w:spacing w:line="600" w:lineRule="exact"/>
        <w:ind w:firstLine="0" w:firstLineChars="0"/>
        <w:jc w:val="center"/>
        <w:outlineLvl w:val="0"/>
        <w:rPr>
          <w:rFonts w:hint="eastAsia" w:ascii="宋体" w:hAnsi="宋体" w:eastAsia="宋体" w:cs="宋体"/>
          <w:sz w:val="30"/>
          <w:szCs w:val="30"/>
        </w:rPr>
      </w:pPr>
      <w:r>
        <w:rPr>
          <w:rFonts w:hint="eastAsia" w:ascii="宋体" w:hAnsi="宋体" w:eastAsia="宋体" w:cs="宋体"/>
          <w:sz w:val="30"/>
          <w:szCs w:val="30"/>
        </w:rPr>
        <w:t>寻甸回族彝族自治县教育体育局2023年寻甸县承办市第七届运动会专项经费项目支出</w:t>
      </w:r>
    </w:p>
    <w:p w14:paraId="693051F0">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7DC44FA2">
      <w:pPr>
        <w:spacing w:line="600" w:lineRule="exact"/>
        <w:ind w:firstLine="0" w:firstLineChars="0"/>
        <w:jc w:val="center"/>
        <w:rPr>
          <w:rFonts w:hint="eastAsia" w:ascii="仿宋_GB2312" w:hAnsi="仿宋_GB2312" w:eastAsia="仿宋_GB2312" w:cs="仿宋_GB2312"/>
          <w:sz w:val="32"/>
          <w:szCs w:val="32"/>
        </w:rPr>
      </w:pPr>
    </w:p>
    <w:p w14:paraId="6F2FE5D2">
      <w:pPr>
        <w:pStyle w:val="2"/>
        <w:spacing w:line="600" w:lineRule="exact"/>
        <w:ind w:firstLine="0" w:firstLineChars="0"/>
      </w:pPr>
    </w:p>
    <w:p w14:paraId="1B909FC1">
      <w:pPr>
        <w:spacing w:line="600" w:lineRule="exact"/>
        <w:ind w:firstLine="0" w:firstLineChars="0"/>
        <w:jc w:val="center"/>
        <w:rPr>
          <w:rFonts w:ascii="宋体" w:hAnsi="宋体" w:eastAsia="宋体"/>
          <w:szCs w:val="24"/>
        </w:rPr>
      </w:pPr>
    </w:p>
    <w:p w14:paraId="1DED38B5">
      <w:pPr>
        <w:pStyle w:val="2"/>
        <w:ind w:firstLine="602"/>
      </w:pPr>
    </w:p>
    <w:p w14:paraId="4ECE01B2">
      <w:pPr>
        <w:ind w:firstLine="480"/>
      </w:pPr>
    </w:p>
    <w:p w14:paraId="0C5737FA">
      <w:pPr>
        <w:pStyle w:val="2"/>
        <w:ind w:firstLine="602"/>
      </w:pPr>
    </w:p>
    <w:p w14:paraId="0DC1EDD8">
      <w:pPr>
        <w:ind w:firstLine="480"/>
        <w:rPr>
          <w:rFonts w:hint="eastAsia"/>
        </w:rPr>
      </w:pPr>
    </w:p>
    <w:p w14:paraId="164D6956">
      <w:pPr>
        <w:spacing w:line="600" w:lineRule="exact"/>
        <w:ind w:firstLine="0" w:firstLineChars="0"/>
        <w:rPr>
          <w:rFonts w:hint="eastAsia"/>
        </w:rPr>
      </w:pPr>
    </w:p>
    <w:p w14:paraId="32CEC0E4">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w:t>
      </w:r>
      <w:r>
        <w:rPr>
          <w:rFonts w:hint="eastAsia" w:ascii="宋体" w:hAnsi="宋体" w:eastAsia="宋体" w:cs="宋体"/>
          <w:sz w:val="28"/>
          <w:szCs w:val="28"/>
        </w:rPr>
        <w:t>寻甸县承办市第七届运动会专项经费项目支出绩效评价</w:t>
      </w:r>
    </w:p>
    <w:p w14:paraId="40CAAA98">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评价单位：寻甸回族彝族自治县教育体育局</w:t>
      </w:r>
    </w:p>
    <w:p w14:paraId="39FF52CD">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13184430">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24FCA461">
      <w:pPr>
        <w:spacing w:line="600" w:lineRule="exact"/>
        <w:ind w:firstLine="0" w:firstLineChars="0"/>
        <w:jc w:val="center"/>
        <w:rPr>
          <w:rFonts w:hint="eastAsia" w:cs="仿宋"/>
          <w:b/>
          <w:sz w:val="28"/>
          <w:szCs w:val="28"/>
        </w:rPr>
      </w:pPr>
    </w:p>
    <w:p w14:paraId="0B3AE6E5">
      <w:pPr>
        <w:ind w:firstLine="562"/>
        <w:jc w:val="center"/>
        <w:rPr>
          <w:rFonts w:hint="eastAsia" w:cs="仿宋"/>
          <w:b/>
          <w:sz w:val="28"/>
          <w:szCs w:val="28"/>
        </w:rPr>
      </w:pPr>
    </w:p>
    <w:p w14:paraId="0E42EC91">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6C740344">
      <w:pPr>
        <w:ind w:firstLine="0" w:firstLineChars="0"/>
        <w:jc w:val="center"/>
        <w:rPr>
          <w:rFonts w:hint="eastAsia" w:ascii="黑体" w:hAnsi="黑体" w:eastAsia="黑体" w:cs="黑体"/>
          <w:bCs/>
          <w:sz w:val="21"/>
          <w:szCs w:val="21"/>
        </w:rPr>
      </w:pPr>
      <w:r>
        <w:rPr>
          <w:rFonts w:hint="eastAsia" w:ascii="黑体" w:hAnsi="黑体" w:eastAsia="黑体" w:cs="黑体"/>
          <w:bCs/>
          <w:sz w:val="21"/>
          <w:szCs w:val="21"/>
        </w:rPr>
        <w:t>寻甸回族彝族自治县教育体育局2023年寻甸县承办市第七届运动会专项经费项目支出</w:t>
      </w:r>
    </w:p>
    <w:p w14:paraId="39AE3A32">
      <w:pPr>
        <w:ind w:firstLine="0" w:firstLineChars="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6BFB589E">
      <w:pPr>
        <w:ind w:firstLine="0" w:firstLineChars="0"/>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060</w:t>
      </w:r>
      <w:r>
        <w:rPr>
          <w:rFonts w:hint="eastAsia" w:ascii="宋体" w:hAnsi="宋体" w:eastAsia="宋体"/>
          <w:sz w:val="18"/>
          <w:szCs w:val="18"/>
        </w:rPr>
        <w:t>号</w:t>
      </w:r>
    </w:p>
    <w:p w14:paraId="2483980A">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676C8E2C">
      <w:pPr>
        <w:ind w:firstLine="560"/>
        <w:rPr>
          <w:rFonts w:hint="eastAsia"/>
          <w:sz w:val="28"/>
          <w:szCs w:val="28"/>
        </w:rPr>
      </w:pPr>
      <w:r>
        <w:rPr>
          <w:rFonts w:hint="eastAsia"/>
          <w:sz w:val="28"/>
          <w:szCs w:val="28"/>
        </w:rPr>
        <w:t>我们接受委托，根据</w:t>
      </w:r>
      <w:bookmarkStart w:id="0" w:name="_Hlk143855331"/>
      <w:r>
        <w:rPr>
          <w:rFonts w:hint="eastAsia"/>
          <w:sz w:val="28"/>
          <w:szCs w:val="28"/>
        </w:rPr>
        <w:t>《关于全面推进预算绩效管理改革的实施意见》（寻政发〔</w:t>
      </w:r>
      <w:r>
        <w:rPr>
          <w:sz w:val="28"/>
          <w:szCs w:val="28"/>
        </w:rPr>
        <w:t>2016〕122号）</w:t>
      </w:r>
      <w:bookmarkEnd w:id="0"/>
      <w:r>
        <w:rPr>
          <w:sz w:val="28"/>
          <w:szCs w:val="28"/>
        </w:rPr>
        <w:t>、《关于印发寻甸回族彝族自治县预算绩效管理工作考核办法（试行）的通知》（寻政办发〔2016〕79号）、《关于明确预算绩效管理工作职责的通知》（寻财〔2020〕5号）和</w:t>
      </w:r>
      <w:bookmarkStart w:id="1"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1"/>
      <w:r>
        <w:rPr>
          <w:rFonts w:hint="eastAsia"/>
          <w:sz w:val="28"/>
          <w:szCs w:val="28"/>
        </w:rPr>
        <w:t>等文件要求，组成审计评价组对寻甸回族彝族自治县教育体育局2023年寻甸县承办市第七届运动会专项经费项目支出（以下简称“项目”）的管理、使用及效益情况进行了绩效评价。寻甸回族彝族自治县教育体育局（以下简称“教体局”）对所提供评价资料的真实性、完整性负责。现将绩效评价情况报告如下：</w:t>
      </w:r>
      <w:bookmarkStart w:id="2" w:name="_Toc502134848"/>
    </w:p>
    <w:p w14:paraId="4A972652">
      <w:pPr>
        <w:pStyle w:val="4"/>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2"/>
      <w:bookmarkStart w:id="3" w:name="_Toc502134849"/>
    </w:p>
    <w:p w14:paraId="23A5E6B1">
      <w:pPr>
        <w:pStyle w:val="4"/>
        <w:ind w:firstLine="560"/>
        <w:jc w:val="left"/>
        <w:rPr>
          <w:rFonts w:hint="eastAsia" w:ascii="楷体" w:hAnsi="楷体" w:eastAsia="楷体" w:cs="楷体"/>
          <w:sz w:val="28"/>
          <w:szCs w:val="28"/>
        </w:rPr>
      </w:pPr>
      <w:bookmarkStart w:id="4" w:name="_Hlk146446416"/>
      <w:r>
        <w:rPr>
          <w:rFonts w:hint="eastAsia" w:ascii="楷体" w:hAnsi="楷体" w:eastAsia="楷体" w:cs="楷体"/>
          <w:sz w:val="28"/>
          <w:szCs w:val="28"/>
        </w:rPr>
        <w:t>(一)项目概况</w:t>
      </w:r>
      <w:bookmarkEnd w:id="3"/>
    </w:p>
    <w:p w14:paraId="0D0E04AC">
      <w:pPr>
        <w:ind w:firstLine="560"/>
        <w:rPr>
          <w:rFonts w:hint="eastAsia" w:cs="仿宋"/>
          <w:sz w:val="28"/>
          <w:szCs w:val="28"/>
        </w:rPr>
      </w:pPr>
      <w:r>
        <w:rPr>
          <w:rFonts w:hint="eastAsia" w:cs="仿宋"/>
          <w:sz w:val="28"/>
          <w:szCs w:val="28"/>
        </w:rPr>
        <w:t>1.项目设定背景、目的</w:t>
      </w:r>
    </w:p>
    <w:p w14:paraId="3747C0EA">
      <w:pPr>
        <w:ind w:firstLine="560"/>
        <w:rPr>
          <w:rFonts w:hint="eastAsia" w:cs="仿宋"/>
          <w:sz w:val="28"/>
          <w:szCs w:val="28"/>
        </w:rPr>
      </w:pPr>
      <w:r>
        <w:rPr>
          <w:rFonts w:hint="eastAsia" w:cs="仿宋"/>
          <w:sz w:val="28"/>
          <w:szCs w:val="28"/>
        </w:rPr>
        <w:t>为了贯彻《“十四五”体育发展规划》，落实全民健身国家战略和2035年建成体育强国战略，促进体教融合，全面提升昆明市竞技体育整体实力，为2026年云南省第十七届运动会选拔后备人才。同时广泛开展全民健身活动，实现竞技体育和群众体育共同进步，推动全民健身与全民健康深度融合，推进健康中国建设。经昆明市人民政府同意，由昆明市教育体育局、昆明市总工会、寻甸县人民政府承办昆明市第七届运动会。</w:t>
      </w:r>
    </w:p>
    <w:p w14:paraId="4C716891">
      <w:pPr>
        <w:ind w:firstLine="560"/>
        <w:rPr>
          <w:rFonts w:hint="eastAsia" w:cs="仿宋"/>
          <w:sz w:val="28"/>
          <w:szCs w:val="28"/>
        </w:rPr>
      </w:pPr>
      <w:r>
        <w:rPr>
          <w:rFonts w:hint="eastAsia" w:cs="仿宋"/>
          <w:sz w:val="28"/>
          <w:szCs w:val="28"/>
        </w:rPr>
        <w:t>寻甸县以承办市七运会为契机，推进群众体育、竞技体育、学校体育和体育产业健康发展，促进城乡居民体育健身意识和消费水平明显提升，经常参加体育锻炼的人数明显增加，人民群众的身体素质明显提高。展示寻甸在民族团结进步、精神文明创建、生态文明建设、巩固拓展脱贫攻坚成果同乡村振兴有效衔接等实践中取得的成就，打造优质城市名片，增强寻甸对外吸引力、影响力、竞争力。扎实做好城市安全、道路交通、餐饮住宿、医疗保障、氛围营造等工作，为市七运会各项工作规范有序开展，向裁判员、运动员、工作人员、嘉宾等提供优质服务打下坚实基础。强化体育竞技人才选拔培养，力争寻甸县参加市七运会取得优异成绩。</w:t>
      </w:r>
    </w:p>
    <w:p w14:paraId="18751309">
      <w:pPr>
        <w:ind w:firstLine="560"/>
        <w:rPr>
          <w:rFonts w:hint="eastAsia" w:cs="仿宋"/>
          <w:sz w:val="28"/>
          <w:szCs w:val="28"/>
        </w:rPr>
      </w:pPr>
      <w:r>
        <w:rPr>
          <w:rFonts w:hint="eastAsia" w:cs="仿宋"/>
          <w:sz w:val="28"/>
          <w:szCs w:val="28"/>
        </w:rPr>
        <w:t>2.项目立项依据</w:t>
      </w:r>
      <w:bookmarkStart w:id="5" w:name="_Hlk114838304"/>
      <w:bookmarkStart w:id="6" w:name="_Toc502134850"/>
    </w:p>
    <w:p w14:paraId="0939D02B">
      <w:pPr>
        <w:ind w:firstLine="560"/>
        <w:rPr>
          <w:rFonts w:hint="eastAsia" w:cs="仿宋"/>
          <w:sz w:val="28"/>
          <w:szCs w:val="28"/>
        </w:rPr>
      </w:pPr>
      <w:r>
        <w:rPr>
          <w:rFonts w:hint="eastAsia" w:cs="仿宋"/>
          <w:sz w:val="28"/>
          <w:szCs w:val="28"/>
        </w:rPr>
        <w:t>(1)</w:t>
      </w:r>
      <w:bookmarkEnd w:id="5"/>
      <w:bookmarkStart w:id="7" w:name="_Hlk177320639"/>
      <w:r>
        <w:rPr>
          <w:rFonts w:hint="eastAsia" w:cs="仿宋"/>
          <w:sz w:val="28"/>
          <w:szCs w:val="28"/>
        </w:rPr>
        <w:t>《“十四五”体育发展规划》</w:t>
      </w:r>
      <w:bookmarkEnd w:id="7"/>
      <w:r>
        <w:rPr>
          <w:rFonts w:hint="eastAsia" w:cs="仿宋"/>
          <w:sz w:val="28"/>
          <w:szCs w:val="28"/>
        </w:rPr>
        <w:t>。</w:t>
      </w:r>
    </w:p>
    <w:p w14:paraId="7A041A06">
      <w:pPr>
        <w:ind w:firstLine="560"/>
        <w:rPr>
          <w:rFonts w:hint="eastAsia" w:cs="仿宋"/>
          <w:sz w:val="28"/>
          <w:szCs w:val="28"/>
        </w:rPr>
      </w:pPr>
      <w:r>
        <w:rPr>
          <w:rFonts w:hint="eastAsia" w:cs="仿宋"/>
          <w:sz w:val="28"/>
          <w:szCs w:val="28"/>
        </w:rPr>
        <w:t>(2)《市政府办公室对昆明市教育体育局关于申请由寻甸县承办昆明市第七届运动会的请示》的回复。</w:t>
      </w:r>
      <w:bookmarkStart w:id="8" w:name="_Hlk177310516"/>
    </w:p>
    <w:p w14:paraId="487C0435">
      <w:pPr>
        <w:ind w:firstLine="560"/>
        <w:rPr>
          <w:rFonts w:hint="eastAsia" w:cs="仿宋"/>
          <w:sz w:val="28"/>
          <w:szCs w:val="28"/>
        </w:rPr>
      </w:pPr>
      <w:r>
        <w:rPr>
          <w:rFonts w:cs="仿宋"/>
          <w:sz w:val="28"/>
          <w:szCs w:val="28"/>
        </w:rPr>
        <w:t>(</w:t>
      </w:r>
      <w:r>
        <w:rPr>
          <w:rFonts w:hint="eastAsia" w:cs="仿宋"/>
          <w:sz w:val="28"/>
          <w:szCs w:val="28"/>
        </w:rPr>
        <w:t>3</w:t>
      </w:r>
      <w:r>
        <w:rPr>
          <w:rFonts w:cs="仿宋"/>
          <w:sz w:val="28"/>
          <w:szCs w:val="28"/>
        </w:rPr>
        <w:t>)</w:t>
      </w:r>
      <w:bookmarkEnd w:id="8"/>
      <w:r>
        <w:rPr>
          <w:rFonts w:hint="eastAsia" w:cs="仿宋"/>
          <w:sz w:val="28"/>
          <w:szCs w:val="28"/>
        </w:rPr>
        <w:t>《昆明市第七届运动会寻甸县筹备工作方案》（寻办通〔2023〕14号）。</w:t>
      </w:r>
      <w:bookmarkEnd w:id="4"/>
    </w:p>
    <w:p w14:paraId="5DF7D935">
      <w:pPr>
        <w:ind w:firstLine="560"/>
        <w:rPr>
          <w:rFonts w:hint="eastAsia" w:ascii="楷体" w:hAnsi="楷体" w:eastAsia="楷体" w:cs="楷体"/>
          <w:sz w:val="28"/>
          <w:szCs w:val="28"/>
        </w:rPr>
      </w:pPr>
      <w:r>
        <w:rPr>
          <w:rFonts w:hint="eastAsia" w:ascii="楷体" w:hAnsi="楷体" w:eastAsia="楷体" w:cs="楷体"/>
          <w:sz w:val="28"/>
          <w:szCs w:val="28"/>
        </w:rPr>
        <w:t>(二)</w:t>
      </w:r>
      <w:bookmarkStart w:id="9" w:name="_Hlk146447174"/>
      <w:r>
        <w:rPr>
          <w:rFonts w:hint="eastAsia" w:ascii="楷体" w:hAnsi="楷体" w:eastAsia="楷体" w:cs="楷体"/>
          <w:sz w:val="28"/>
          <w:szCs w:val="28"/>
        </w:rPr>
        <w:t>项目资金安排情况</w:t>
      </w:r>
      <w:bookmarkEnd w:id="6"/>
      <w:bookmarkEnd w:id="9"/>
      <w:bookmarkStart w:id="10" w:name="_Toc502134851"/>
      <w:bookmarkStart w:id="11" w:name="_Hlk146446528"/>
    </w:p>
    <w:p w14:paraId="59A91BBD">
      <w:pPr>
        <w:spacing w:line="240" w:lineRule="auto"/>
        <w:ind w:firstLine="560"/>
        <w:rPr>
          <w:rFonts w:hint="eastAsia" w:cs="仿宋"/>
          <w:sz w:val="28"/>
          <w:szCs w:val="28"/>
        </w:rPr>
      </w:pPr>
      <w:r>
        <w:rPr>
          <w:rFonts w:hint="eastAsia" w:cs="仿宋"/>
          <w:sz w:val="28"/>
          <w:szCs w:val="28"/>
        </w:rPr>
        <w:t>《寻甸回族彝族自治县财政局关于批复2023年部门预算的通知》（寻财预〔2023〕1号）等文件，安排项目县级财政补助资金2,000,000.00元、县级财政配套资金2,000,000.00元，合计安排县本级财政资金4,000,000.00元。</w:t>
      </w:r>
    </w:p>
    <w:p w14:paraId="6C18F661">
      <w:pPr>
        <w:spacing w:line="240" w:lineRule="auto"/>
        <w:ind w:firstLine="560"/>
        <w:rPr>
          <w:rFonts w:hint="eastAsia" w:cs="仿宋"/>
          <w:sz w:val="28"/>
          <w:szCs w:val="28"/>
        </w:rPr>
      </w:pPr>
      <w:bookmarkStart w:id="12" w:name="_Hlk177374716"/>
      <w:r>
        <w:rPr>
          <w:rFonts w:hint="eastAsia" w:cs="仿宋"/>
          <w:sz w:val="28"/>
          <w:szCs w:val="28"/>
          <w:lang w:eastAsia="zh-CN"/>
        </w:rPr>
        <w:t>截至</w:t>
      </w:r>
      <w:r>
        <w:rPr>
          <w:rFonts w:hint="eastAsia" w:cs="仿宋"/>
          <w:sz w:val="28"/>
          <w:szCs w:val="28"/>
        </w:rPr>
        <w:t>2023年12月20日，寻甸回族彝族自治县审计局《审计报告》（寻审报[2023]12号）审定项目共收到资金2558.03万元（市级财政补助1568.02万元、县级财政补助400万元、捐赠收入431.30万元、利息收入0.53万元、招商代理收入158.18万元），支出合计2284.52万元（商品服务支出2041.94万元、奖励金支出181.19万元、资本性支出61.39万元），预拨寻甸县文化和旅游局29.92万元，账户余额243.59万元</w:t>
      </w:r>
      <w:bookmarkEnd w:id="12"/>
      <w:r>
        <w:rPr>
          <w:rFonts w:hint="eastAsia" w:cs="仿宋"/>
          <w:sz w:val="28"/>
          <w:szCs w:val="28"/>
        </w:rPr>
        <w:t>。</w:t>
      </w:r>
    </w:p>
    <w:p w14:paraId="12E33B26">
      <w:pPr>
        <w:spacing w:line="240" w:lineRule="auto"/>
        <w:ind w:firstLine="560"/>
        <w:rPr>
          <w:rFonts w:hint="eastAsia" w:cs="仿宋"/>
          <w:sz w:val="28"/>
          <w:szCs w:val="28"/>
        </w:rPr>
      </w:pPr>
      <w:r>
        <w:rPr>
          <w:rFonts w:hint="eastAsia" w:cs="仿宋"/>
          <w:sz w:val="28"/>
          <w:szCs w:val="28"/>
          <w:lang w:eastAsia="zh-CN"/>
        </w:rPr>
        <w:t>截至</w:t>
      </w:r>
      <w:r>
        <w:rPr>
          <w:rFonts w:hint="eastAsia" w:cs="仿宋"/>
          <w:sz w:val="28"/>
          <w:szCs w:val="28"/>
        </w:rPr>
        <w:t>2023年12月31日，项目共收到资金26,608,530.87元（市级财政补助15,680,200.00元、县级财政补助4,000,000.00元、捐赠收入4,313,004.00元、利息收入5,326.87元、招商代理收入2,510,000.00元，招商代理质量保证金100,000.00元），支出合计25,202,189.08元（含误扣七运会专户2023年利息125,921.30元，该笔资金于2024年1月收回），账户余额1,406,341.79元。</w:t>
      </w:r>
    </w:p>
    <w:p w14:paraId="248E2240">
      <w:pPr>
        <w:spacing w:line="240" w:lineRule="auto"/>
        <w:ind w:firstLine="560"/>
        <w:rPr>
          <w:rFonts w:hint="eastAsia" w:ascii="楷体" w:hAnsi="楷体" w:eastAsia="楷体" w:cs="楷体"/>
          <w:sz w:val="28"/>
          <w:szCs w:val="28"/>
        </w:rPr>
      </w:pPr>
      <w:r>
        <w:rPr>
          <w:rFonts w:hint="eastAsia" w:ascii="楷体" w:hAnsi="楷体" w:eastAsia="楷体" w:cs="楷体"/>
          <w:sz w:val="28"/>
          <w:szCs w:val="28"/>
        </w:rPr>
        <w:t>(三)项目实施内容</w:t>
      </w:r>
      <w:bookmarkEnd w:id="10"/>
    </w:p>
    <w:bookmarkEnd w:id="11"/>
    <w:p w14:paraId="7BC4B8F4">
      <w:pPr>
        <w:spacing w:line="240" w:lineRule="auto"/>
        <w:ind w:firstLine="560"/>
        <w:rPr>
          <w:rFonts w:hint="eastAsia" w:cs="仿宋"/>
          <w:sz w:val="28"/>
          <w:szCs w:val="28"/>
        </w:rPr>
      </w:pPr>
      <w:bookmarkStart w:id="13" w:name="_Toc502134852"/>
      <w:bookmarkStart w:id="14" w:name="_Hlk146446621"/>
      <w:r>
        <w:rPr>
          <w:rFonts w:hint="eastAsia" w:cs="仿宋"/>
          <w:sz w:val="28"/>
          <w:szCs w:val="28"/>
        </w:rPr>
        <w:t xml:space="preserve">昆明市第七届运动会设青少年组和成年组2个大项，项目包括田径、举重、乒乓球、拳击、柔道、射箭、摔跤、武术、游泳、幼儿体操、自行车、篮球、网球等27个项目。设昆明和寻甸两个赛区，除游泳、网球2个项目比赛在市体育学校举行外，其余25个项目均在寻甸举行。运动会于2023年7月30日开幕，2023年8月6日闭幕。  </w:t>
      </w:r>
    </w:p>
    <w:p w14:paraId="44F86253">
      <w:pPr>
        <w:spacing w:line="240" w:lineRule="auto"/>
        <w:ind w:firstLine="560"/>
        <w:rPr>
          <w:rFonts w:hint="eastAsia" w:ascii="楷体" w:hAnsi="楷体" w:eastAsia="楷体" w:cs="楷体"/>
          <w:sz w:val="28"/>
          <w:szCs w:val="28"/>
        </w:rPr>
      </w:pPr>
      <w:r>
        <w:rPr>
          <w:rFonts w:hint="eastAsia" w:ascii="楷体" w:hAnsi="楷体" w:eastAsia="楷体" w:cs="楷体"/>
          <w:sz w:val="28"/>
          <w:szCs w:val="28"/>
        </w:rPr>
        <w:t>(四)项目绩效目标设定情况</w:t>
      </w:r>
      <w:bookmarkEnd w:id="13"/>
    </w:p>
    <w:p w14:paraId="598059FB">
      <w:pPr>
        <w:spacing w:line="240" w:lineRule="auto"/>
        <w:ind w:firstLine="560"/>
        <w:rPr>
          <w:rFonts w:hint="eastAsia" w:cs="仿宋"/>
          <w:sz w:val="28"/>
          <w:szCs w:val="28"/>
        </w:rPr>
      </w:pPr>
      <w:r>
        <w:rPr>
          <w:rFonts w:hint="eastAsia" w:cs="仿宋"/>
          <w:sz w:val="28"/>
          <w:szCs w:val="28"/>
        </w:rPr>
        <w:t>教体局根据上述项目实施内容，设定的项目总体目标和年度目标均为：根据《市政府办公室对昆明市教育体育局关于申请由寻甸县承办昆明市第七届运动会的请示》的回复及《昆明市第七届运动会寻甸县筹备工作方案》要求，寻甸县按确定的目标任务完成昆明市第七届运动会的各项比赛。</w:t>
      </w:r>
    </w:p>
    <w:p w14:paraId="63A2CA72">
      <w:pPr>
        <w:spacing w:line="240" w:lineRule="auto"/>
        <w:ind w:firstLine="560"/>
        <w:rPr>
          <w:rFonts w:hint="eastAsia"/>
        </w:rPr>
      </w:pPr>
      <w:r>
        <w:rPr>
          <w:rFonts w:hint="eastAsia" w:cs="仿宋"/>
          <w:sz w:val="28"/>
          <w:szCs w:val="28"/>
        </w:rPr>
        <w:t>根据上述项目年度目标，教体局申报的2023年度预算绩效指标及指标值的具体情况如下：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96"/>
        <w:gridCol w:w="1985"/>
        <w:gridCol w:w="3117"/>
        <w:gridCol w:w="1459"/>
      </w:tblGrid>
      <w:tr w14:paraId="4991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restart"/>
            <w:tcBorders>
              <w:tl2br w:val="nil"/>
              <w:tr2bl w:val="nil"/>
            </w:tcBorders>
            <w:shd w:val="clear" w:color="auto" w:fill="auto"/>
            <w:vAlign w:val="bottom"/>
          </w:tcPr>
          <w:p w14:paraId="67A79DF0">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绩效指标</w:t>
            </w:r>
          </w:p>
          <w:p w14:paraId="2462E81D">
            <w:pPr>
              <w:pStyle w:val="3"/>
              <w:spacing w:line="240" w:lineRule="auto"/>
              <w:ind w:firstLine="883"/>
              <w:jc w:val="center"/>
              <w:rPr>
                <w:rFonts w:hint="eastAsia"/>
              </w:rPr>
            </w:pPr>
          </w:p>
        </w:tc>
        <w:tc>
          <w:tcPr>
            <w:tcW w:w="761" w:type="pct"/>
            <w:tcBorders>
              <w:tl2br w:val="nil"/>
              <w:tr2bl w:val="nil"/>
            </w:tcBorders>
            <w:shd w:val="clear" w:color="auto" w:fill="auto"/>
            <w:vAlign w:val="center"/>
          </w:tcPr>
          <w:p w14:paraId="016F77E8">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一级指标</w:t>
            </w:r>
          </w:p>
        </w:tc>
        <w:tc>
          <w:tcPr>
            <w:tcW w:w="1166" w:type="pct"/>
            <w:tcBorders>
              <w:tl2br w:val="nil"/>
              <w:tr2bl w:val="nil"/>
            </w:tcBorders>
            <w:shd w:val="clear" w:color="auto" w:fill="auto"/>
            <w:vAlign w:val="center"/>
          </w:tcPr>
          <w:p w14:paraId="2C57AAD1">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二级指标</w:t>
            </w:r>
          </w:p>
        </w:tc>
        <w:tc>
          <w:tcPr>
            <w:tcW w:w="1831" w:type="pct"/>
            <w:tcBorders>
              <w:tl2br w:val="nil"/>
              <w:tr2bl w:val="nil"/>
            </w:tcBorders>
            <w:shd w:val="clear" w:color="auto" w:fill="auto"/>
            <w:vAlign w:val="center"/>
          </w:tcPr>
          <w:p w14:paraId="3A40DBDC">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w:t>
            </w:r>
          </w:p>
        </w:tc>
        <w:tc>
          <w:tcPr>
            <w:tcW w:w="857" w:type="pct"/>
            <w:tcBorders>
              <w:tl2br w:val="nil"/>
              <w:tr2bl w:val="nil"/>
            </w:tcBorders>
            <w:shd w:val="clear" w:color="auto" w:fill="auto"/>
            <w:vAlign w:val="center"/>
          </w:tcPr>
          <w:p w14:paraId="653F544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r>
      <w:tr w14:paraId="7F5D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66BA0E1E">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761" w:type="pct"/>
            <w:vMerge w:val="restart"/>
            <w:tcBorders>
              <w:tl2br w:val="nil"/>
              <w:tr2bl w:val="nil"/>
            </w:tcBorders>
            <w:shd w:val="clear" w:color="auto" w:fill="auto"/>
            <w:vAlign w:val="center"/>
          </w:tcPr>
          <w:p w14:paraId="0ABC829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产出指标</w:t>
            </w:r>
          </w:p>
        </w:tc>
        <w:tc>
          <w:tcPr>
            <w:tcW w:w="1166" w:type="pct"/>
            <w:vMerge w:val="restart"/>
            <w:tcBorders>
              <w:tl2br w:val="nil"/>
              <w:tr2bl w:val="nil"/>
            </w:tcBorders>
            <w:shd w:val="clear" w:color="auto" w:fill="auto"/>
            <w:vAlign w:val="center"/>
          </w:tcPr>
          <w:p w14:paraId="7CEAD80F">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数量指标</w:t>
            </w:r>
          </w:p>
        </w:tc>
        <w:tc>
          <w:tcPr>
            <w:tcW w:w="1831" w:type="pct"/>
            <w:tcBorders>
              <w:tl2br w:val="nil"/>
              <w:tr2bl w:val="nil"/>
            </w:tcBorders>
            <w:shd w:val="clear" w:color="auto" w:fill="auto"/>
            <w:vAlign w:val="center"/>
          </w:tcPr>
          <w:p w14:paraId="586FA54B">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青少年组举办项目</w:t>
            </w:r>
          </w:p>
        </w:tc>
        <w:tc>
          <w:tcPr>
            <w:tcW w:w="857" w:type="pct"/>
            <w:tcBorders>
              <w:tl2br w:val="nil"/>
              <w:tr2bl w:val="nil"/>
            </w:tcBorders>
            <w:shd w:val="clear" w:color="auto" w:fill="auto"/>
            <w:vAlign w:val="center"/>
          </w:tcPr>
          <w:p w14:paraId="4E25132D">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17项</w:t>
            </w:r>
          </w:p>
        </w:tc>
      </w:tr>
      <w:tr w14:paraId="2D29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3EFF5BF7">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761" w:type="pct"/>
            <w:vMerge w:val="continue"/>
            <w:tcBorders>
              <w:tl2br w:val="nil"/>
              <w:tr2bl w:val="nil"/>
            </w:tcBorders>
            <w:shd w:val="clear" w:color="auto" w:fill="auto"/>
            <w:vAlign w:val="center"/>
          </w:tcPr>
          <w:p w14:paraId="6577F21D">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1166" w:type="pct"/>
            <w:vMerge w:val="continue"/>
            <w:tcBorders>
              <w:tl2br w:val="nil"/>
              <w:tr2bl w:val="nil"/>
            </w:tcBorders>
            <w:shd w:val="clear" w:color="auto" w:fill="auto"/>
            <w:vAlign w:val="center"/>
          </w:tcPr>
          <w:p w14:paraId="45902524">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1831" w:type="pct"/>
            <w:tcBorders>
              <w:tl2br w:val="nil"/>
              <w:tr2bl w:val="nil"/>
            </w:tcBorders>
            <w:shd w:val="clear" w:color="auto" w:fill="auto"/>
            <w:vAlign w:val="center"/>
          </w:tcPr>
          <w:p w14:paraId="45EDB16A">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成人组举办项目</w:t>
            </w:r>
          </w:p>
        </w:tc>
        <w:tc>
          <w:tcPr>
            <w:tcW w:w="857" w:type="pct"/>
            <w:tcBorders>
              <w:tl2br w:val="nil"/>
              <w:tr2bl w:val="nil"/>
            </w:tcBorders>
            <w:shd w:val="clear" w:color="auto" w:fill="auto"/>
            <w:vAlign w:val="center"/>
          </w:tcPr>
          <w:p w14:paraId="4ABC197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10项</w:t>
            </w:r>
          </w:p>
        </w:tc>
      </w:tr>
      <w:tr w14:paraId="79E9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29E8873F">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761" w:type="pct"/>
            <w:vMerge w:val="continue"/>
            <w:tcBorders>
              <w:tl2br w:val="nil"/>
              <w:tr2bl w:val="nil"/>
            </w:tcBorders>
            <w:shd w:val="clear" w:color="auto" w:fill="auto"/>
            <w:vAlign w:val="center"/>
          </w:tcPr>
          <w:p w14:paraId="58994DEF">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1166" w:type="pct"/>
            <w:tcBorders>
              <w:tl2br w:val="nil"/>
              <w:tr2bl w:val="nil"/>
            </w:tcBorders>
            <w:shd w:val="clear" w:color="auto" w:fill="auto"/>
            <w:vAlign w:val="center"/>
          </w:tcPr>
          <w:p w14:paraId="0C4F9FB2">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质量指标</w:t>
            </w:r>
          </w:p>
        </w:tc>
        <w:tc>
          <w:tcPr>
            <w:tcW w:w="1831" w:type="pct"/>
            <w:tcBorders>
              <w:tl2br w:val="nil"/>
              <w:tr2bl w:val="nil"/>
            </w:tcBorders>
            <w:shd w:val="clear" w:color="auto" w:fill="auto"/>
            <w:vAlign w:val="center"/>
          </w:tcPr>
          <w:p w14:paraId="65AE2948">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举办项目完成率</w:t>
            </w:r>
          </w:p>
        </w:tc>
        <w:tc>
          <w:tcPr>
            <w:tcW w:w="857" w:type="pct"/>
            <w:tcBorders>
              <w:tl2br w:val="nil"/>
              <w:tr2bl w:val="nil"/>
            </w:tcBorders>
            <w:shd w:val="clear" w:color="auto" w:fill="auto"/>
            <w:vAlign w:val="center"/>
          </w:tcPr>
          <w:p w14:paraId="6572A32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3CBC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1325BBEF">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vMerge w:val="continue"/>
            <w:tcBorders>
              <w:tl2br w:val="nil"/>
              <w:tr2bl w:val="nil"/>
            </w:tcBorders>
            <w:shd w:val="clear" w:color="auto" w:fill="auto"/>
            <w:vAlign w:val="center"/>
          </w:tcPr>
          <w:p w14:paraId="29A7777F">
            <w:pPr>
              <w:widowControl/>
              <w:spacing w:line="240" w:lineRule="auto"/>
              <w:ind w:firstLine="420"/>
              <w:jc w:val="center"/>
              <w:rPr>
                <w:rFonts w:hint="eastAsia" w:asciiTheme="minorEastAsia" w:hAnsiTheme="minorEastAsia" w:eastAsiaTheme="minorEastAsia" w:cstheme="minorEastAsia"/>
                <w:color w:val="000000"/>
                <w:kern w:val="0"/>
                <w:sz w:val="21"/>
                <w:szCs w:val="21"/>
              </w:rPr>
            </w:pPr>
          </w:p>
        </w:tc>
        <w:tc>
          <w:tcPr>
            <w:tcW w:w="1166" w:type="pct"/>
            <w:tcBorders>
              <w:tl2br w:val="nil"/>
              <w:tr2bl w:val="nil"/>
            </w:tcBorders>
            <w:shd w:val="clear" w:color="auto" w:fill="auto"/>
            <w:vAlign w:val="center"/>
          </w:tcPr>
          <w:p w14:paraId="18A01B68">
            <w:pPr>
              <w:widowControl/>
              <w:spacing w:line="240" w:lineRule="auto"/>
              <w:ind w:firstLine="0" w:firstLineChars="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18"/>
                <w:szCs w:val="18"/>
              </w:rPr>
              <w:t>时效指标</w:t>
            </w:r>
          </w:p>
        </w:tc>
        <w:tc>
          <w:tcPr>
            <w:tcW w:w="1831" w:type="pct"/>
            <w:tcBorders>
              <w:tl2br w:val="nil"/>
              <w:tr2bl w:val="nil"/>
            </w:tcBorders>
            <w:shd w:val="clear" w:color="auto" w:fill="auto"/>
            <w:vAlign w:val="center"/>
          </w:tcPr>
          <w:p w14:paraId="51481735">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按时举办运动会</w:t>
            </w:r>
          </w:p>
        </w:tc>
        <w:tc>
          <w:tcPr>
            <w:tcW w:w="857" w:type="pct"/>
            <w:tcBorders>
              <w:tl2br w:val="nil"/>
              <w:tr2bl w:val="nil"/>
            </w:tcBorders>
            <w:shd w:val="clear" w:color="auto" w:fill="auto"/>
            <w:vAlign w:val="center"/>
          </w:tcPr>
          <w:p w14:paraId="55AF2F7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100%</w:t>
            </w:r>
          </w:p>
        </w:tc>
      </w:tr>
      <w:tr w14:paraId="78B7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27C2E20D">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vMerge w:val="continue"/>
            <w:tcBorders>
              <w:tl2br w:val="nil"/>
              <w:tr2bl w:val="nil"/>
            </w:tcBorders>
            <w:vAlign w:val="center"/>
          </w:tcPr>
          <w:p w14:paraId="7A66E36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1166" w:type="pct"/>
            <w:tcBorders>
              <w:tl2br w:val="nil"/>
              <w:tr2bl w:val="nil"/>
            </w:tcBorders>
            <w:shd w:val="clear" w:color="auto" w:fill="auto"/>
            <w:vAlign w:val="center"/>
          </w:tcPr>
          <w:p w14:paraId="582F396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成本指标</w:t>
            </w:r>
          </w:p>
        </w:tc>
        <w:tc>
          <w:tcPr>
            <w:tcW w:w="1831" w:type="pct"/>
            <w:tcBorders>
              <w:tl2br w:val="nil"/>
              <w:tr2bl w:val="nil"/>
            </w:tcBorders>
            <w:shd w:val="clear" w:color="auto" w:fill="auto"/>
            <w:vAlign w:val="center"/>
          </w:tcPr>
          <w:p w14:paraId="26BA8488">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举办运动会补助经费</w:t>
            </w:r>
          </w:p>
        </w:tc>
        <w:tc>
          <w:tcPr>
            <w:tcW w:w="857" w:type="pct"/>
            <w:tcBorders>
              <w:tl2br w:val="nil"/>
              <w:tr2bl w:val="nil"/>
            </w:tcBorders>
            <w:shd w:val="clear" w:color="auto" w:fill="auto"/>
            <w:vAlign w:val="center"/>
          </w:tcPr>
          <w:p w14:paraId="5C7B13E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≤2763.56万元</w:t>
            </w:r>
          </w:p>
        </w:tc>
      </w:tr>
      <w:tr w14:paraId="24C5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250A2E40">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tcBorders>
              <w:tl2br w:val="nil"/>
              <w:tr2bl w:val="nil"/>
            </w:tcBorders>
            <w:vAlign w:val="center"/>
          </w:tcPr>
          <w:p w14:paraId="129D05D3">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效益指标</w:t>
            </w:r>
          </w:p>
        </w:tc>
        <w:tc>
          <w:tcPr>
            <w:tcW w:w="1166" w:type="pct"/>
            <w:tcBorders>
              <w:tl2br w:val="nil"/>
              <w:tr2bl w:val="nil"/>
            </w:tcBorders>
            <w:shd w:val="clear" w:color="auto" w:fill="auto"/>
            <w:vAlign w:val="center"/>
          </w:tcPr>
          <w:p w14:paraId="2CF52873">
            <w:pPr>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社会效益指标</w:t>
            </w:r>
          </w:p>
        </w:tc>
        <w:tc>
          <w:tcPr>
            <w:tcW w:w="1831" w:type="pct"/>
            <w:tcBorders>
              <w:tl2br w:val="nil"/>
              <w:tr2bl w:val="nil"/>
            </w:tcBorders>
            <w:shd w:val="clear" w:color="auto" w:fill="auto"/>
            <w:vAlign w:val="center"/>
          </w:tcPr>
          <w:p w14:paraId="541D917A">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群众对市七运会知晓度</w:t>
            </w:r>
          </w:p>
        </w:tc>
        <w:tc>
          <w:tcPr>
            <w:tcW w:w="857" w:type="pct"/>
            <w:tcBorders>
              <w:tl2br w:val="nil"/>
              <w:tr2bl w:val="nil"/>
            </w:tcBorders>
            <w:shd w:val="clear" w:color="auto" w:fill="auto"/>
            <w:vAlign w:val="center"/>
          </w:tcPr>
          <w:p w14:paraId="0D62DD06">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≥90%</w:t>
            </w:r>
          </w:p>
        </w:tc>
      </w:tr>
      <w:tr w14:paraId="54CF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shd w:val="clear" w:color="auto" w:fill="auto"/>
            <w:vAlign w:val="center"/>
          </w:tcPr>
          <w:p w14:paraId="58D3FED6">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761" w:type="pct"/>
            <w:tcBorders>
              <w:tl2br w:val="nil"/>
              <w:tr2bl w:val="nil"/>
            </w:tcBorders>
            <w:vAlign w:val="center"/>
          </w:tcPr>
          <w:p w14:paraId="57E444E9">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满意度指标</w:t>
            </w:r>
          </w:p>
        </w:tc>
        <w:tc>
          <w:tcPr>
            <w:tcW w:w="1166" w:type="pct"/>
            <w:tcBorders>
              <w:tl2br w:val="nil"/>
              <w:tr2bl w:val="nil"/>
            </w:tcBorders>
            <w:shd w:val="clear" w:color="auto" w:fill="auto"/>
            <w:vAlign w:val="center"/>
          </w:tcPr>
          <w:p w14:paraId="6B34916F">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服务对象满意度指标</w:t>
            </w:r>
          </w:p>
        </w:tc>
        <w:tc>
          <w:tcPr>
            <w:tcW w:w="1831" w:type="pct"/>
            <w:tcBorders>
              <w:tl2br w:val="nil"/>
              <w:tr2bl w:val="nil"/>
            </w:tcBorders>
            <w:shd w:val="clear" w:color="auto" w:fill="auto"/>
            <w:vAlign w:val="center"/>
          </w:tcPr>
          <w:p w14:paraId="5ABC33A7">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参赛运动员教练员满意度</w:t>
            </w:r>
          </w:p>
        </w:tc>
        <w:tc>
          <w:tcPr>
            <w:tcW w:w="857" w:type="pct"/>
            <w:tcBorders>
              <w:tl2br w:val="nil"/>
              <w:tr2bl w:val="nil"/>
            </w:tcBorders>
            <w:shd w:val="clear" w:color="auto" w:fill="auto"/>
            <w:vAlign w:val="center"/>
          </w:tcPr>
          <w:p w14:paraId="01166FE7">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≥85%</w:t>
            </w:r>
          </w:p>
        </w:tc>
      </w:tr>
      <w:bookmarkEnd w:id="14"/>
    </w:tbl>
    <w:p w14:paraId="3DA31FB3">
      <w:pPr>
        <w:spacing w:line="240" w:lineRule="auto"/>
        <w:ind w:firstLine="560"/>
        <w:rPr>
          <w:rFonts w:hint="eastAsia"/>
          <w:sz w:val="28"/>
          <w:szCs w:val="28"/>
        </w:rPr>
      </w:pPr>
      <w:r>
        <w:rPr>
          <w:rFonts w:hint="eastAsia"/>
          <w:sz w:val="28"/>
          <w:szCs w:val="28"/>
        </w:rPr>
        <w:t>根据教体局提供的绩效目标申报表分析，申报表填列基本规范完整，</w:t>
      </w:r>
      <w:bookmarkStart w:id="15" w:name="_Hlk177320524"/>
      <w:r>
        <w:rPr>
          <w:rFonts w:hint="eastAsia"/>
          <w:sz w:val="28"/>
          <w:szCs w:val="28"/>
        </w:rPr>
        <w:t>产出指标设定比较科学明确，但未通过清晰、可衡量的指标及指标值予以体现效益指标，未设定最能体现项目绩效目标实现程度和项目实施部门职能履职情况的关键的、核心的效益指标</w:t>
      </w:r>
      <w:bookmarkEnd w:id="15"/>
      <w:r>
        <w:rPr>
          <w:rFonts w:hint="eastAsia"/>
          <w:sz w:val="28"/>
          <w:szCs w:val="28"/>
        </w:rPr>
        <w:t>。</w:t>
      </w:r>
    </w:p>
    <w:p w14:paraId="3603F350">
      <w:pPr>
        <w:spacing w:line="240" w:lineRule="auto"/>
        <w:ind w:firstLine="560"/>
        <w:rPr>
          <w:rFonts w:hint="eastAsia"/>
          <w:sz w:val="28"/>
          <w:szCs w:val="28"/>
        </w:rPr>
      </w:pPr>
      <w:r>
        <w:rPr>
          <w:rFonts w:hint="eastAsia"/>
          <w:sz w:val="28"/>
          <w:szCs w:val="28"/>
        </w:rPr>
        <w:t>根据上述情况，绩效评价组在与教体局充分沟通一致后，根据项目具体实施内容，结合项目设定的背景、目的及依据，设计</w:t>
      </w:r>
      <w:r>
        <w:rPr>
          <w:sz w:val="28"/>
          <w:szCs w:val="28"/>
        </w:rPr>
        <w:t>个性指标及指标值明细如下：</w:t>
      </w:r>
    </w:p>
    <w:tbl>
      <w:tblPr>
        <w:tblStyle w:val="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992"/>
        <w:gridCol w:w="1418"/>
        <w:gridCol w:w="3685"/>
        <w:gridCol w:w="1394"/>
      </w:tblGrid>
      <w:tr w14:paraId="492A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exact"/>
        </w:trPr>
        <w:tc>
          <w:tcPr>
            <w:tcW w:w="866" w:type="dxa"/>
            <w:vMerge w:val="restart"/>
            <w:shd w:val="clear" w:color="auto" w:fill="auto"/>
            <w:tcMar>
              <w:top w:w="15" w:type="dxa"/>
              <w:left w:w="15" w:type="dxa"/>
              <w:right w:w="15" w:type="dxa"/>
            </w:tcMar>
            <w:vAlign w:val="center"/>
          </w:tcPr>
          <w:p w14:paraId="509A235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992" w:type="dxa"/>
            <w:shd w:val="clear" w:color="auto" w:fill="auto"/>
            <w:tcMar>
              <w:top w:w="15" w:type="dxa"/>
              <w:left w:w="15" w:type="dxa"/>
              <w:right w:w="15" w:type="dxa"/>
            </w:tcMar>
            <w:vAlign w:val="center"/>
          </w:tcPr>
          <w:p w14:paraId="444BCF2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一级指标</w:t>
            </w:r>
          </w:p>
        </w:tc>
        <w:tc>
          <w:tcPr>
            <w:tcW w:w="1418" w:type="dxa"/>
            <w:shd w:val="clear" w:color="auto" w:fill="auto"/>
            <w:tcMar>
              <w:top w:w="15" w:type="dxa"/>
              <w:left w:w="15" w:type="dxa"/>
              <w:right w:w="15" w:type="dxa"/>
            </w:tcMar>
            <w:vAlign w:val="center"/>
          </w:tcPr>
          <w:p w14:paraId="2B56C44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二级指标</w:t>
            </w:r>
          </w:p>
        </w:tc>
        <w:tc>
          <w:tcPr>
            <w:tcW w:w="3685" w:type="dxa"/>
            <w:shd w:val="clear" w:color="auto" w:fill="auto"/>
            <w:tcMar>
              <w:top w:w="15" w:type="dxa"/>
              <w:left w:w="15" w:type="dxa"/>
              <w:right w:w="15" w:type="dxa"/>
            </w:tcMar>
            <w:vAlign w:val="center"/>
          </w:tcPr>
          <w:p w14:paraId="3AB427E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三级指标</w:t>
            </w:r>
          </w:p>
        </w:tc>
        <w:tc>
          <w:tcPr>
            <w:tcW w:w="1394" w:type="dxa"/>
            <w:shd w:val="clear" w:color="auto" w:fill="auto"/>
            <w:tcMar>
              <w:top w:w="15" w:type="dxa"/>
              <w:left w:w="15" w:type="dxa"/>
              <w:right w:w="15" w:type="dxa"/>
            </w:tcMar>
            <w:vAlign w:val="center"/>
          </w:tcPr>
          <w:p w14:paraId="2C6C133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指标值</w:t>
            </w:r>
          </w:p>
        </w:tc>
      </w:tr>
      <w:tr w14:paraId="4733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866" w:type="dxa"/>
            <w:vMerge w:val="continue"/>
            <w:shd w:val="clear" w:color="auto" w:fill="auto"/>
            <w:tcMar>
              <w:top w:w="15" w:type="dxa"/>
              <w:left w:w="15" w:type="dxa"/>
              <w:right w:w="15" w:type="dxa"/>
            </w:tcMar>
            <w:vAlign w:val="center"/>
          </w:tcPr>
          <w:p w14:paraId="79196F14">
            <w:pPr>
              <w:spacing w:line="240" w:lineRule="auto"/>
              <w:ind w:firstLine="420"/>
              <w:jc w:val="center"/>
              <w:rPr>
                <w:rFonts w:hint="eastAsia" w:ascii="宋体" w:hAnsi="宋体" w:eastAsia="宋体" w:cs="宋体"/>
                <w:sz w:val="21"/>
                <w:szCs w:val="21"/>
              </w:rPr>
            </w:pPr>
          </w:p>
        </w:tc>
        <w:tc>
          <w:tcPr>
            <w:tcW w:w="992" w:type="dxa"/>
            <w:vMerge w:val="restart"/>
            <w:shd w:val="clear" w:color="auto" w:fill="auto"/>
            <w:noWrap/>
            <w:tcMar>
              <w:top w:w="15" w:type="dxa"/>
              <w:left w:w="15" w:type="dxa"/>
              <w:right w:w="15" w:type="dxa"/>
            </w:tcMar>
            <w:vAlign w:val="center"/>
          </w:tcPr>
          <w:p w14:paraId="5FC739B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效益指标</w:t>
            </w:r>
          </w:p>
        </w:tc>
        <w:tc>
          <w:tcPr>
            <w:tcW w:w="1418" w:type="dxa"/>
            <w:vMerge w:val="restart"/>
            <w:shd w:val="clear" w:color="auto" w:fill="auto"/>
            <w:tcMar>
              <w:top w:w="15" w:type="dxa"/>
              <w:left w:w="15" w:type="dxa"/>
              <w:right w:w="15" w:type="dxa"/>
            </w:tcMar>
            <w:vAlign w:val="center"/>
          </w:tcPr>
          <w:p w14:paraId="78FF020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3685" w:type="dxa"/>
            <w:shd w:val="clear" w:color="auto" w:fill="auto"/>
            <w:tcMar>
              <w:top w:w="15" w:type="dxa"/>
              <w:left w:w="15" w:type="dxa"/>
              <w:right w:w="15" w:type="dxa"/>
            </w:tcMar>
            <w:vAlign w:val="center"/>
          </w:tcPr>
          <w:p w14:paraId="69FD450B">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媒介宣传报道覆盖率</w:t>
            </w:r>
          </w:p>
        </w:tc>
        <w:tc>
          <w:tcPr>
            <w:tcW w:w="1394" w:type="dxa"/>
            <w:shd w:val="clear" w:color="auto" w:fill="auto"/>
            <w:tcMar>
              <w:top w:w="15" w:type="dxa"/>
              <w:left w:w="15" w:type="dxa"/>
              <w:right w:w="15" w:type="dxa"/>
            </w:tcMar>
            <w:vAlign w:val="center"/>
          </w:tcPr>
          <w:p w14:paraId="344E9EEC">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3397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exact"/>
        </w:trPr>
        <w:tc>
          <w:tcPr>
            <w:tcW w:w="866" w:type="dxa"/>
            <w:vMerge w:val="continue"/>
            <w:shd w:val="clear" w:color="auto" w:fill="auto"/>
            <w:tcMar>
              <w:top w:w="15" w:type="dxa"/>
              <w:left w:w="15" w:type="dxa"/>
              <w:right w:w="15" w:type="dxa"/>
            </w:tcMar>
            <w:vAlign w:val="center"/>
          </w:tcPr>
          <w:p w14:paraId="21D20658">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114A25E7">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649CD0C7">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6F025588">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媒介宣传报道及时率</w:t>
            </w:r>
          </w:p>
        </w:tc>
        <w:tc>
          <w:tcPr>
            <w:tcW w:w="1394" w:type="dxa"/>
            <w:shd w:val="clear" w:color="auto" w:fill="auto"/>
            <w:tcMar>
              <w:top w:w="15" w:type="dxa"/>
              <w:left w:w="15" w:type="dxa"/>
              <w:right w:w="15" w:type="dxa"/>
            </w:tcMar>
            <w:vAlign w:val="center"/>
          </w:tcPr>
          <w:p w14:paraId="47982A2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651A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exact"/>
        </w:trPr>
        <w:tc>
          <w:tcPr>
            <w:tcW w:w="866" w:type="dxa"/>
            <w:vMerge w:val="continue"/>
            <w:shd w:val="clear" w:color="auto" w:fill="auto"/>
            <w:tcMar>
              <w:top w:w="15" w:type="dxa"/>
              <w:left w:w="15" w:type="dxa"/>
              <w:right w:w="15" w:type="dxa"/>
            </w:tcMar>
            <w:vAlign w:val="center"/>
          </w:tcPr>
          <w:p w14:paraId="464A0CDF">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21DCB070">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2A6981F8">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2CABD34C">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上级媒介转报、采用率</w:t>
            </w:r>
          </w:p>
        </w:tc>
        <w:tc>
          <w:tcPr>
            <w:tcW w:w="1394" w:type="dxa"/>
            <w:shd w:val="clear" w:color="auto" w:fill="auto"/>
            <w:tcMar>
              <w:top w:w="15" w:type="dxa"/>
              <w:left w:w="15" w:type="dxa"/>
              <w:right w:w="15" w:type="dxa"/>
            </w:tcMar>
            <w:vAlign w:val="center"/>
          </w:tcPr>
          <w:p w14:paraId="56D5DA0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≥60%</w:t>
            </w:r>
          </w:p>
        </w:tc>
      </w:tr>
      <w:tr w14:paraId="5DF8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exact"/>
        </w:trPr>
        <w:tc>
          <w:tcPr>
            <w:tcW w:w="866" w:type="dxa"/>
            <w:vMerge w:val="continue"/>
            <w:shd w:val="clear" w:color="auto" w:fill="auto"/>
            <w:tcMar>
              <w:top w:w="15" w:type="dxa"/>
              <w:left w:w="15" w:type="dxa"/>
              <w:right w:w="15" w:type="dxa"/>
            </w:tcMar>
            <w:vAlign w:val="center"/>
          </w:tcPr>
          <w:p w14:paraId="3DFF535D">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072DFDAA">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0A69254C">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7EC8937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参会运动员、裁判员、教练员等人数</w:t>
            </w:r>
          </w:p>
        </w:tc>
        <w:tc>
          <w:tcPr>
            <w:tcW w:w="1394" w:type="dxa"/>
            <w:shd w:val="clear" w:color="auto" w:fill="auto"/>
            <w:tcMar>
              <w:top w:w="15" w:type="dxa"/>
              <w:left w:w="15" w:type="dxa"/>
              <w:right w:w="15" w:type="dxa"/>
            </w:tcMar>
            <w:vAlign w:val="center"/>
          </w:tcPr>
          <w:p w14:paraId="6FCE7201">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≥10000人</w:t>
            </w:r>
          </w:p>
        </w:tc>
      </w:tr>
      <w:tr w14:paraId="0C5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exact"/>
        </w:trPr>
        <w:tc>
          <w:tcPr>
            <w:tcW w:w="866" w:type="dxa"/>
            <w:vMerge w:val="continue"/>
            <w:shd w:val="clear" w:color="auto" w:fill="auto"/>
            <w:tcMar>
              <w:top w:w="15" w:type="dxa"/>
              <w:left w:w="15" w:type="dxa"/>
              <w:right w:w="15" w:type="dxa"/>
            </w:tcMar>
            <w:vAlign w:val="center"/>
          </w:tcPr>
          <w:p w14:paraId="21E072AB">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3A9BD666">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077CDD73">
            <w:pPr>
              <w:spacing w:line="240" w:lineRule="auto"/>
              <w:ind w:firstLine="0" w:firstLineChars="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5C4848D0">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群众参与度</w:t>
            </w:r>
          </w:p>
        </w:tc>
        <w:tc>
          <w:tcPr>
            <w:tcW w:w="1394" w:type="dxa"/>
            <w:shd w:val="clear" w:color="auto" w:fill="auto"/>
            <w:tcMar>
              <w:top w:w="15" w:type="dxa"/>
              <w:left w:w="15" w:type="dxa"/>
              <w:right w:w="15" w:type="dxa"/>
            </w:tcMar>
            <w:vAlign w:val="center"/>
          </w:tcPr>
          <w:p w14:paraId="5C1E2AB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广泛参与</w:t>
            </w:r>
          </w:p>
        </w:tc>
      </w:tr>
      <w:tr w14:paraId="4AFE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exact"/>
        </w:trPr>
        <w:tc>
          <w:tcPr>
            <w:tcW w:w="866" w:type="dxa"/>
            <w:vMerge w:val="continue"/>
            <w:shd w:val="clear" w:color="auto" w:fill="auto"/>
            <w:tcMar>
              <w:top w:w="15" w:type="dxa"/>
              <w:left w:w="15" w:type="dxa"/>
              <w:right w:w="15" w:type="dxa"/>
            </w:tcMar>
            <w:vAlign w:val="center"/>
          </w:tcPr>
          <w:p w14:paraId="51FD59AE">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7F664F4F">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12FD8782">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234438CE">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七运会应急事件处置及时率</w:t>
            </w:r>
          </w:p>
        </w:tc>
        <w:tc>
          <w:tcPr>
            <w:tcW w:w="1394" w:type="dxa"/>
            <w:shd w:val="clear" w:color="auto" w:fill="auto"/>
            <w:tcMar>
              <w:top w:w="15" w:type="dxa"/>
              <w:left w:w="15" w:type="dxa"/>
              <w:right w:w="15" w:type="dxa"/>
            </w:tcMar>
            <w:vAlign w:val="center"/>
          </w:tcPr>
          <w:p w14:paraId="0B44019E">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406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exact"/>
        </w:trPr>
        <w:tc>
          <w:tcPr>
            <w:tcW w:w="866" w:type="dxa"/>
            <w:vMerge w:val="continue"/>
            <w:shd w:val="clear" w:color="auto" w:fill="auto"/>
            <w:tcMar>
              <w:top w:w="15" w:type="dxa"/>
              <w:left w:w="15" w:type="dxa"/>
              <w:right w:w="15" w:type="dxa"/>
            </w:tcMar>
            <w:vAlign w:val="center"/>
          </w:tcPr>
          <w:p w14:paraId="2B5F39AF">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7F34BE38">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25726DC5">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31E9E91F">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对寻甸社会精神文明建设等的促进作用</w:t>
            </w:r>
          </w:p>
        </w:tc>
        <w:tc>
          <w:tcPr>
            <w:tcW w:w="1394" w:type="dxa"/>
            <w:shd w:val="clear" w:color="auto" w:fill="auto"/>
            <w:tcMar>
              <w:top w:w="15" w:type="dxa"/>
              <w:left w:w="15" w:type="dxa"/>
              <w:right w:w="15" w:type="dxa"/>
            </w:tcMar>
            <w:vAlign w:val="center"/>
          </w:tcPr>
          <w:p w14:paraId="75A119D5">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明显</w:t>
            </w:r>
          </w:p>
        </w:tc>
      </w:tr>
      <w:tr w14:paraId="0E4E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exact"/>
        </w:trPr>
        <w:tc>
          <w:tcPr>
            <w:tcW w:w="866" w:type="dxa"/>
            <w:vMerge w:val="continue"/>
            <w:shd w:val="clear" w:color="auto" w:fill="auto"/>
            <w:tcMar>
              <w:top w:w="15" w:type="dxa"/>
              <w:left w:w="15" w:type="dxa"/>
              <w:right w:w="15" w:type="dxa"/>
            </w:tcMar>
            <w:vAlign w:val="center"/>
          </w:tcPr>
          <w:p w14:paraId="16B86C58">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3C213433">
            <w:pPr>
              <w:spacing w:line="240" w:lineRule="auto"/>
              <w:ind w:firstLine="420"/>
              <w:jc w:val="center"/>
              <w:rPr>
                <w:rFonts w:hint="eastAsia" w:ascii="宋体" w:hAnsi="宋体" w:eastAsia="宋体" w:cs="宋体"/>
                <w:sz w:val="21"/>
                <w:szCs w:val="21"/>
              </w:rPr>
            </w:pPr>
          </w:p>
        </w:tc>
        <w:tc>
          <w:tcPr>
            <w:tcW w:w="1418" w:type="dxa"/>
            <w:vMerge w:val="continue"/>
            <w:shd w:val="clear" w:color="auto" w:fill="auto"/>
            <w:tcMar>
              <w:top w:w="15" w:type="dxa"/>
              <w:left w:w="15" w:type="dxa"/>
              <w:right w:w="15" w:type="dxa"/>
            </w:tcMar>
            <w:vAlign w:val="center"/>
          </w:tcPr>
          <w:p w14:paraId="60DC6643">
            <w:pPr>
              <w:spacing w:line="240" w:lineRule="auto"/>
              <w:ind w:firstLine="360"/>
              <w:jc w:val="center"/>
              <w:rPr>
                <w:rFonts w:hint="eastAsia" w:ascii="宋体" w:hAnsi="宋体" w:eastAsia="宋体" w:cs="宋体"/>
                <w:sz w:val="18"/>
                <w:szCs w:val="18"/>
              </w:rPr>
            </w:pPr>
          </w:p>
        </w:tc>
        <w:tc>
          <w:tcPr>
            <w:tcW w:w="3685" w:type="dxa"/>
            <w:shd w:val="clear" w:color="auto" w:fill="auto"/>
            <w:tcMar>
              <w:top w:w="15" w:type="dxa"/>
              <w:left w:w="15" w:type="dxa"/>
              <w:right w:w="15" w:type="dxa"/>
            </w:tcMar>
            <w:vAlign w:val="center"/>
          </w:tcPr>
          <w:p w14:paraId="024BFB1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群众对市七运会知晓度</w:t>
            </w:r>
          </w:p>
        </w:tc>
        <w:tc>
          <w:tcPr>
            <w:tcW w:w="1394" w:type="dxa"/>
            <w:shd w:val="clear" w:color="auto" w:fill="auto"/>
            <w:tcMar>
              <w:top w:w="15" w:type="dxa"/>
              <w:left w:w="15" w:type="dxa"/>
              <w:right w:w="15" w:type="dxa"/>
            </w:tcMar>
            <w:vAlign w:val="center"/>
          </w:tcPr>
          <w:p w14:paraId="37ECB0FE">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r w14:paraId="1C6A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exact"/>
        </w:trPr>
        <w:tc>
          <w:tcPr>
            <w:tcW w:w="866" w:type="dxa"/>
            <w:vMerge w:val="continue"/>
            <w:shd w:val="clear" w:color="auto" w:fill="auto"/>
            <w:tcMar>
              <w:top w:w="15" w:type="dxa"/>
              <w:left w:w="15" w:type="dxa"/>
              <w:right w:w="15" w:type="dxa"/>
            </w:tcMar>
            <w:vAlign w:val="center"/>
          </w:tcPr>
          <w:p w14:paraId="034045A3">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noWrap/>
            <w:tcMar>
              <w:top w:w="15" w:type="dxa"/>
              <w:left w:w="15" w:type="dxa"/>
              <w:right w:w="15" w:type="dxa"/>
            </w:tcMar>
            <w:vAlign w:val="center"/>
          </w:tcPr>
          <w:p w14:paraId="53BC1D76">
            <w:pPr>
              <w:spacing w:line="240" w:lineRule="auto"/>
              <w:ind w:firstLine="420"/>
              <w:jc w:val="center"/>
              <w:rPr>
                <w:rFonts w:hint="eastAsia" w:ascii="宋体" w:hAnsi="宋体" w:eastAsia="宋体" w:cs="宋体"/>
                <w:sz w:val="21"/>
                <w:szCs w:val="21"/>
              </w:rPr>
            </w:pPr>
          </w:p>
        </w:tc>
        <w:tc>
          <w:tcPr>
            <w:tcW w:w="1418" w:type="dxa"/>
            <w:shd w:val="clear" w:color="auto" w:fill="auto"/>
            <w:tcMar>
              <w:top w:w="15" w:type="dxa"/>
              <w:left w:w="15" w:type="dxa"/>
              <w:right w:w="15" w:type="dxa"/>
            </w:tcMar>
            <w:vAlign w:val="center"/>
          </w:tcPr>
          <w:p w14:paraId="72C307E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可持续性指标</w:t>
            </w:r>
          </w:p>
        </w:tc>
        <w:tc>
          <w:tcPr>
            <w:tcW w:w="3685" w:type="dxa"/>
            <w:shd w:val="clear" w:color="auto" w:fill="auto"/>
            <w:tcMar>
              <w:top w:w="15" w:type="dxa"/>
              <w:left w:w="15" w:type="dxa"/>
              <w:right w:w="15" w:type="dxa"/>
            </w:tcMar>
            <w:vAlign w:val="center"/>
          </w:tcPr>
          <w:p w14:paraId="3F12A65F">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1394" w:type="dxa"/>
            <w:shd w:val="clear" w:color="auto" w:fill="auto"/>
            <w:tcMar>
              <w:top w:w="15" w:type="dxa"/>
              <w:left w:w="15" w:type="dxa"/>
              <w:right w:w="15" w:type="dxa"/>
            </w:tcMar>
            <w:vAlign w:val="center"/>
          </w:tcPr>
          <w:p w14:paraId="49855DC2">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≥3年</w:t>
            </w:r>
          </w:p>
        </w:tc>
      </w:tr>
      <w:tr w14:paraId="5575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866" w:type="dxa"/>
            <w:vMerge w:val="continue"/>
            <w:shd w:val="clear" w:color="auto" w:fill="auto"/>
            <w:tcMar>
              <w:top w:w="15" w:type="dxa"/>
              <w:left w:w="15" w:type="dxa"/>
              <w:right w:w="15" w:type="dxa"/>
            </w:tcMar>
            <w:vAlign w:val="center"/>
          </w:tcPr>
          <w:p w14:paraId="43986329">
            <w:pPr>
              <w:spacing w:line="240" w:lineRule="auto"/>
              <w:ind w:firstLine="420"/>
              <w:jc w:val="center"/>
              <w:rPr>
                <w:rFonts w:hint="eastAsia" w:ascii="宋体" w:hAnsi="宋体" w:eastAsia="宋体" w:cs="宋体"/>
                <w:sz w:val="21"/>
                <w:szCs w:val="21"/>
              </w:rPr>
            </w:pPr>
          </w:p>
        </w:tc>
        <w:tc>
          <w:tcPr>
            <w:tcW w:w="992" w:type="dxa"/>
            <w:vMerge w:val="continue"/>
            <w:shd w:val="clear" w:color="auto" w:fill="auto"/>
            <w:tcMar>
              <w:top w:w="15" w:type="dxa"/>
              <w:left w:w="15" w:type="dxa"/>
              <w:right w:w="15" w:type="dxa"/>
            </w:tcMar>
            <w:vAlign w:val="center"/>
          </w:tcPr>
          <w:p w14:paraId="4820EF84">
            <w:pPr>
              <w:spacing w:line="240" w:lineRule="auto"/>
              <w:ind w:firstLine="420"/>
              <w:jc w:val="center"/>
              <w:rPr>
                <w:rFonts w:hint="eastAsia" w:ascii="宋体" w:hAnsi="宋体" w:eastAsia="宋体" w:cs="宋体"/>
                <w:sz w:val="21"/>
                <w:szCs w:val="21"/>
              </w:rPr>
            </w:pPr>
          </w:p>
        </w:tc>
        <w:tc>
          <w:tcPr>
            <w:tcW w:w="1418" w:type="dxa"/>
            <w:shd w:val="clear" w:color="auto" w:fill="auto"/>
            <w:tcMar>
              <w:top w:w="15" w:type="dxa"/>
              <w:left w:w="15" w:type="dxa"/>
              <w:right w:w="15" w:type="dxa"/>
            </w:tcMar>
            <w:vAlign w:val="center"/>
          </w:tcPr>
          <w:p w14:paraId="329169B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3685" w:type="dxa"/>
            <w:shd w:val="clear" w:color="auto" w:fill="auto"/>
            <w:tcMar>
              <w:top w:w="15" w:type="dxa"/>
              <w:left w:w="15" w:type="dxa"/>
              <w:right w:w="15" w:type="dxa"/>
            </w:tcMar>
            <w:vAlign w:val="center"/>
          </w:tcPr>
          <w:p w14:paraId="0F90F490">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1394" w:type="dxa"/>
            <w:shd w:val="clear" w:color="auto" w:fill="auto"/>
            <w:tcMar>
              <w:top w:w="15" w:type="dxa"/>
              <w:left w:w="15" w:type="dxa"/>
              <w:right w:w="15" w:type="dxa"/>
            </w:tcMar>
            <w:vAlign w:val="center"/>
          </w:tcPr>
          <w:p w14:paraId="4702E771">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20F5D2D2">
      <w:pPr>
        <w:ind w:firstLine="560"/>
        <w:rPr>
          <w:rFonts w:hint="eastAsia" w:ascii="楷体" w:hAnsi="楷体" w:eastAsia="楷体" w:cs="楷体"/>
          <w:color w:val="FF0000"/>
          <w:sz w:val="28"/>
          <w:szCs w:val="28"/>
        </w:rPr>
      </w:pPr>
      <w:bookmarkStart w:id="16" w:name="_Toc502134853"/>
      <w:r>
        <w:rPr>
          <w:rFonts w:hint="eastAsia" w:ascii="楷体" w:hAnsi="楷体" w:eastAsia="楷体" w:cs="楷体"/>
          <w:sz w:val="28"/>
          <w:szCs w:val="28"/>
        </w:rPr>
        <w:t>(五)组织管理情况</w:t>
      </w:r>
      <w:bookmarkEnd w:id="16"/>
    </w:p>
    <w:p w14:paraId="11A57ACA">
      <w:pPr>
        <w:ind w:firstLine="560"/>
        <w:rPr>
          <w:rFonts w:hint="eastAsia"/>
          <w:sz w:val="28"/>
          <w:szCs w:val="28"/>
        </w:rPr>
      </w:pPr>
      <w:r>
        <w:rPr>
          <w:rFonts w:hint="eastAsia"/>
          <w:sz w:val="28"/>
          <w:szCs w:val="28"/>
        </w:rPr>
        <w:t>1.项目实施主体。根据《昆明市第七届运动会寻甸回族彝族自治县执行委员会办公室关于设立市七运会寻甸县执委会常务组的通知》，教体局设立寻甸回族彝族自治县筹备委员会专门负责市七运会的运行，并制定了昆明市第七届运动会寻甸筹备专班工作方案，筹委会下设执行委员会，具体负责市七运会寻甸县相关筹备工作。</w:t>
      </w:r>
    </w:p>
    <w:p w14:paraId="14644937">
      <w:pPr>
        <w:ind w:firstLine="560"/>
        <w:rPr>
          <w:rFonts w:hint="eastAsia"/>
          <w:sz w:val="28"/>
          <w:szCs w:val="28"/>
        </w:rPr>
      </w:pPr>
      <w:r>
        <w:rPr>
          <w:rFonts w:hint="eastAsia"/>
          <w:sz w:val="28"/>
          <w:szCs w:val="28"/>
        </w:rPr>
        <w:t>2.保障措施。一是以项目管理办法保障项目的申报范围、安排导向和实施方式；二是以绩效考核的方式发挥资金效益；三是以预算明细的方式保障资金安排的科学规范，教体局建立预算管理制度，规范管理项目。</w:t>
      </w:r>
    </w:p>
    <w:p w14:paraId="66596E70">
      <w:pPr>
        <w:ind w:firstLine="560"/>
        <w:rPr>
          <w:rFonts w:hint="eastAsia"/>
          <w:sz w:val="28"/>
          <w:szCs w:val="28"/>
        </w:rPr>
      </w:pPr>
      <w:r>
        <w:rPr>
          <w:rFonts w:hint="eastAsia"/>
          <w:sz w:val="28"/>
          <w:szCs w:val="28"/>
        </w:rPr>
        <w:t>3.资金安排程序。除市级资金和社会捐助资金以外，由教体局进行项目经费的测算，测算完后及时将所需资金报县人民政府，通过会议讨论决定最终项目经费。</w:t>
      </w:r>
    </w:p>
    <w:p w14:paraId="0FEEA604">
      <w:pPr>
        <w:ind w:firstLine="560"/>
        <w:rPr>
          <w:rFonts w:hint="eastAsia"/>
          <w:sz w:val="28"/>
          <w:szCs w:val="28"/>
        </w:rPr>
      </w:pPr>
      <w:r>
        <w:rPr>
          <w:rFonts w:hint="eastAsia"/>
          <w:sz w:val="28"/>
          <w:szCs w:val="28"/>
        </w:rPr>
        <w:t>4.</w:t>
      </w:r>
      <w:bookmarkStart w:id="17" w:name="_Hlk146449449"/>
      <w:r>
        <w:rPr>
          <w:rFonts w:hint="eastAsia"/>
          <w:sz w:val="28"/>
          <w:szCs w:val="28"/>
        </w:rPr>
        <w:t>资金安排标准或依据</w:t>
      </w:r>
      <w:bookmarkEnd w:id="17"/>
      <w:r>
        <w:rPr>
          <w:rFonts w:hint="eastAsia"/>
          <w:sz w:val="28"/>
          <w:szCs w:val="28"/>
        </w:rPr>
        <w:t>。《寻甸回族彝族自治县财政局关于批复2023年部门预算的通知》（寻财预〔2023〕1号）。</w:t>
      </w:r>
    </w:p>
    <w:p w14:paraId="5163AD6F">
      <w:pPr>
        <w:ind w:firstLine="560"/>
        <w:rPr>
          <w:rFonts w:hint="eastAsia"/>
          <w:sz w:val="28"/>
          <w:szCs w:val="28"/>
        </w:rPr>
      </w:pPr>
      <w:r>
        <w:rPr>
          <w:rFonts w:hint="eastAsia"/>
          <w:sz w:val="28"/>
          <w:szCs w:val="28"/>
        </w:rPr>
        <w:t>5.财务管理。中共寻甸回族彝族自治县委办公室 寻甸回族彝族自治县人民政府办公室下发关于印发《寻甸回族彝族自治县筹备昆明市第七届运动会工作经费开支标准和财务管理办法》的通知（县委办[2023]108号）及其补充通知。明确开支标准，规定了严格的审批制度。加强专项资金管理，严格执行财务管理制度，切实提高财政资金的使用效率。</w:t>
      </w:r>
    </w:p>
    <w:p w14:paraId="78016E30">
      <w:pPr>
        <w:ind w:firstLine="560"/>
        <w:rPr>
          <w:rFonts w:hint="eastAsia"/>
          <w:sz w:val="28"/>
          <w:szCs w:val="28"/>
        </w:rPr>
      </w:pPr>
      <w:r>
        <w:rPr>
          <w:rFonts w:hint="eastAsia"/>
          <w:sz w:val="28"/>
          <w:szCs w:val="28"/>
        </w:rPr>
        <w:t>资金管理及核算主要执行《政府会计制度》。</w:t>
      </w:r>
    </w:p>
    <w:p w14:paraId="69ED12BC">
      <w:pPr>
        <w:ind w:firstLine="560"/>
        <w:rPr>
          <w:rFonts w:hint="eastAsia" w:ascii="黑体" w:hAnsi="黑体" w:eastAsia="黑体" w:cs="黑体"/>
          <w:sz w:val="28"/>
          <w:szCs w:val="28"/>
        </w:rPr>
      </w:pPr>
      <w:bookmarkStart w:id="18" w:name="_Toc502134854"/>
      <w:r>
        <w:rPr>
          <w:rFonts w:hint="eastAsia" w:ascii="黑体" w:hAnsi="黑体" w:eastAsia="黑体" w:cs="黑体"/>
          <w:sz w:val="28"/>
          <w:szCs w:val="28"/>
        </w:rPr>
        <w:t>二、绩效自评情况</w:t>
      </w:r>
      <w:bookmarkEnd w:id="18"/>
    </w:p>
    <w:p w14:paraId="46F49455">
      <w:pPr>
        <w:ind w:firstLine="560"/>
        <w:rPr>
          <w:rFonts w:hint="eastAsia" w:ascii="楷体" w:hAnsi="楷体" w:eastAsia="楷体" w:cs="楷体"/>
          <w:sz w:val="28"/>
          <w:szCs w:val="28"/>
        </w:rPr>
      </w:pPr>
      <w:bookmarkStart w:id="19" w:name="_Toc498009772"/>
      <w:bookmarkStart w:id="20" w:name="_Toc502134855"/>
      <w:r>
        <w:rPr>
          <w:rFonts w:hint="eastAsia" w:ascii="楷体" w:hAnsi="楷体" w:eastAsia="楷体" w:cs="楷体"/>
          <w:sz w:val="28"/>
          <w:szCs w:val="28"/>
        </w:rPr>
        <w:t>(一)绩效自评概述</w:t>
      </w:r>
      <w:bookmarkEnd w:id="19"/>
      <w:bookmarkEnd w:id="20"/>
    </w:p>
    <w:p w14:paraId="2FEB5925">
      <w:pPr>
        <w:ind w:firstLine="560"/>
        <w:rPr>
          <w:rFonts w:hint="eastAsia"/>
          <w:sz w:val="28"/>
          <w:szCs w:val="28"/>
        </w:rPr>
      </w:pPr>
      <w:bookmarkStart w:id="21" w:name="_Toc498009773"/>
      <w:bookmarkStart w:id="22" w:name="_Toc502134856"/>
      <w:r>
        <w:rPr>
          <w:rFonts w:hint="eastAsia"/>
          <w:sz w:val="28"/>
          <w:szCs w:val="28"/>
        </w:rPr>
        <w:t>根据《寻甸县财政局关于印发&lt;寻甸县本级部门预算绩效自评管理暂行办法&gt;的通知》（寻财绩〔2018〕9号）等文件的规定，成立项目绩效评价小组实施绩效自评，并编制了《寻甸回族彝族自治县教育体育局寻甸县承办市第七届运动会专项资金支出绩效自评报告》。</w:t>
      </w:r>
    </w:p>
    <w:p w14:paraId="72C7B93B">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21"/>
      <w:bookmarkEnd w:id="22"/>
    </w:p>
    <w:p w14:paraId="7319EFA3">
      <w:pPr>
        <w:ind w:firstLine="560"/>
        <w:rPr>
          <w:rFonts w:hint="eastAsia" w:cs="仿宋"/>
          <w:sz w:val="28"/>
          <w:szCs w:val="28"/>
        </w:rPr>
      </w:pPr>
      <w:r>
        <w:rPr>
          <w:rFonts w:hint="eastAsia" w:cs="仿宋"/>
          <w:sz w:val="28"/>
          <w:szCs w:val="28"/>
        </w:rPr>
        <w:t>根据</w:t>
      </w:r>
      <w:r>
        <w:rPr>
          <w:rFonts w:hint="eastAsia"/>
          <w:sz w:val="28"/>
          <w:szCs w:val="28"/>
        </w:rPr>
        <w:t>《寻甸回族彝族自治县教育体育局寻甸县承办市第七届运动会专项资金支出绩效自评报告》</w:t>
      </w:r>
      <w:r>
        <w:rPr>
          <w:rFonts w:hint="eastAsia" w:cs="仿宋"/>
          <w:sz w:val="28"/>
          <w:szCs w:val="28"/>
        </w:rPr>
        <w:t>，教体局本项目自评得分为100分，自评等级为“优”。</w:t>
      </w:r>
    </w:p>
    <w:p w14:paraId="450B2CF0">
      <w:pPr>
        <w:ind w:firstLine="560"/>
        <w:rPr>
          <w:rFonts w:hint="eastAsia" w:ascii="黑体" w:hAnsi="黑体" w:eastAsia="黑体" w:cs="黑体"/>
          <w:sz w:val="28"/>
          <w:szCs w:val="28"/>
        </w:rPr>
      </w:pPr>
      <w:bookmarkStart w:id="23" w:name="_Toc502134857"/>
      <w:r>
        <w:rPr>
          <w:rFonts w:hint="eastAsia" w:ascii="黑体" w:hAnsi="黑体" w:eastAsia="黑体" w:cs="黑体"/>
          <w:sz w:val="28"/>
          <w:szCs w:val="28"/>
        </w:rPr>
        <w:t>三、绩效评价组织情况</w:t>
      </w:r>
      <w:bookmarkEnd w:id="23"/>
    </w:p>
    <w:p w14:paraId="58C7BC3E">
      <w:pPr>
        <w:ind w:firstLine="560"/>
        <w:rPr>
          <w:rFonts w:hint="eastAsia" w:ascii="楷体" w:hAnsi="楷体" w:eastAsia="楷体" w:cs="楷体"/>
          <w:sz w:val="28"/>
          <w:szCs w:val="28"/>
        </w:rPr>
      </w:pPr>
      <w:bookmarkStart w:id="24" w:name="_Toc502134858"/>
      <w:r>
        <w:rPr>
          <w:rFonts w:hint="eastAsia" w:ascii="楷体" w:hAnsi="楷体" w:eastAsia="楷体" w:cs="楷体"/>
          <w:sz w:val="28"/>
          <w:szCs w:val="28"/>
        </w:rPr>
        <w:t>(一)绩效评价依据</w:t>
      </w:r>
      <w:bookmarkEnd w:id="24"/>
    </w:p>
    <w:p w14:paraId="018D7430">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2AAF0ADD">
      <w:pPr>
        <w:ind w:firstLine="560"/>
        <w:rPr>
          <w:rFonts w:hint="eastAsia" w:cs="仿宋"/>
          <w:sz w:val="28"/>
          <w:szCs w:val="28"/>
        </w:rPr>
      </w:pPr>
      <w:r>
        <w:rPr>
          <w:rFonts w:hint="eastAsia" w:cs="仿宋"/>
          <w:sz w:val="28"/>
          <w:szCs w:val="28"/>
        </w:rPr>
        <w:t>2.《项目支出绩效评价管理办法》（财预〔2020〕10号）；</w:t>
      </w:r>
    </w:p>
    <w:p w14:paraId="18408752">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7E941B41">
      <w:pPr>
        <w:ind w:firstLine="560"/>
        <w:rPr>
          <w:rFonts w:hint="eastAsia" w:cs="仿宋"/>
          <w:sz w:val="28"/>
          <w:szCs w:val="28"/>
        </w:rPr>
      </w:pPr>
      <w:r>
        <w:rPr>
          <w:rFonts w:hint="eastAsia" w:cs="仿宋"/>
          <w:sz w:val="28"/>
          <w:szCs w:val="28"/>
        </w:rPr>
        <w:t>4.《云南省省级财政预算绩效管理暂行办法》（云财预〔2015〕295号）；</w:t>
      </w:r>
    </w:p>
    <w:p w14:paraId="12E69998">
      <w:pPr>
        <w:ind w:firstLine="560"/>
        <w:rPr>
          <w:rFonts w:hint="eastAsia" w:cs="仿宋"/>
          <w:sz w:val="28"/>
          <w:szCs w:val="28"/>
        </w:rPr>
      </w:pPr>
      <w:r>
        <w:rPr>
          <w:rFonts w:hint="eastAsia" w:cs="仿宋"/>
          <w:sz w:val="28"/>
          <w:szCs w:val="28"/>
        </w:rPr>
        <w:t>5.</w:t>
      </w:r>
      <w:bookmarkStart w:id="25"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339F1996">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79A56043">
      <w:pPr>
        <w:ind w:firstLine="560"/>
        <w:rPr>
          <w:rFonts w:hint="eastAsia" w:cs="仿宋"/>
          <w:sz w:val="28"/>
          <w:szCs w:val="28"/>
        </w:rPr>
      </w:pPr>
      <w:r>
        <w:rPr>
          <w:rFonts w:cs="仿宋"/>
          <w:sz w:val="28"/>
          <w:szCs w:val="28"/>
        </w:rPr>
        <w:t>7</w:t>
      </w:r>
      <w:r>
        <w:rPr>
          <w:rFonts w:hint="eastAsia" w:cs="仿宋"/>
          <w:sz w:val="28"/>
          <w:szCs w:val="28"/>
        </w:rPr>
        <w:t>.其他相关依据文件</w:t>
      </w:r>
      <w:bookmarkEnd w:id="25"/>
      <w:r>
        <w:rPr>
          <w:rFonts w:hint="eastAsia" w:cs="仿宋"/>
          <w:sz w:val="28"/>
          <w:szCs w:val="28"/>
        </w:rPr>
        <w:t>。</w:t>
      </w:r>
    </w:p>
    <w:p w14:paraId="586AE333">
      <w:pPr>
        <w:ind w:firstLine="560"/>
        <w:rPr>
          <w:rFonts w:hint="eastAsia" w:ascii="楷体" w:hAnsi="楷体" w:eastAsia="楷体" w:cs="楷体"/>
          <w:sz w:val="28"/>
          <w:szCs w:val="28"/>
        </w:rPr>
      </w:pPr>
      <w:bookmarkStart w:id="26" w:name="_Toc502134859"/>
      <w:r>
        <w:rPr>
          <w:rFonts w:hint="eastAsia" w:ascii="楷体" w:hAnsi="楷体" w:eastAsia="楷体" w:cs="楷体"/>
          <w:sz w:val="28"/>
          <w:szCs w:val="28"/>
        </w:rPr>
        <w:t>(二)绩效评价方法</w:t>
      </w:r>
      <w:bookmarkEnd w:id="26"/>
    </w:p>
    <w:p w14:paraId="51FD4E85">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项目相关档案资料进行查阅，结合现场核实情况和资金到位使用及结余情况的分析，进行数据分析和取证。</w:t>
      </w:r>
    </w:p>
    <w:p w14:paraId="2EB2A999">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17211E56">
      <w:pPr>
        <w:ind w:firstLine="560"/>
        <w:rPr>
          <w:rFonts w:hint="eastAsia" w:ascii="楷体" w:hAnsi="楷体" w:eastAsia="楷体" w:cs="楷体"/>
          <w:sz w:val="28"/>
          <w:szCs w:val="28"/>
        </w:rPr>
      </w:pPr>
      <w:bookmarkStart w:id="27" w:name="_Toc502134860"/>
      <w:r>
        <w:rPr>
          <w:rFonts w:hint="eastAsia" w:ascii="楷体" w:hAnsi="楷体" w:eastAsia="楷体" w:cs="楷体"/>
          <w:sz w:val="28"/>
          <w:szCs w:val="28"/>
        </w:rPr>
        <w:t>(三)绩效评价指标体系</w:t>
      </w:r>
      <w:bookmarkEnd w:id="27"/>
    </w:p>
    <w:p w14:paraId="6C959538">
      <w:pPr>
        <w:ind w:firstLine="560"/>
        <w:rPr>
          <w:rFonts w:hint="eastAsia" w:cs="仿宋"/>
          <w:sz w:val="28"/>
          <w:szCs w:val="28"/>
        </w:rPr>
      </w:pPr>
      <w:r>
        <w:rPr>
          <w:rFonts w:hint="eastAsia" w:cs="仿宋"/>
          <w:sz w:val="28"/>
          <w:szCs w:val="28"/>
        </w:rPr>
        <w:t>1.绩效评价指标</w:t>
      </w:r>
    </w:p>
    <w:p w14:paraId="418A663A">
      <w:pPr>
        <w:ind w:firstLine="560"/>
        <w:rPr>
          <w:rFonts w:hint="eastAsia" w:cs="仿宋"/>
          <w:sz w:val="28"/>
          <w:szCs w:val="28"/>
        </w:rPr>
      </w:pPr>
      <w:bookmarkStart w:id="28"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%、30%。在此基础上设定12个二级指标（项目立项、绩效目标、资金投入、资金管理、组织实施、产出数量、产出质量、产出时效、产出成本、社会效益、可持续性、满意度），设25个三级指标</w:t>
      </w:r>
      <w:bookmarkStart w:id="29" w:name="_Hlk143856496"/>
      <w:r>
        <w:rPr>
          <w:rFonts w:hint="eastAsia" w:cs="仿宋"/>
          <w:sz w:val="28"/>
          <w:szCs w:val="28"/>
        </w:rPr>
        <w:t>（详见后附“寻甸县教育体育局2023年寻甸县承办市第七届运动会专项经费项目支出绩效评价指标体系及评分表”）</w:t>
      </w:r>
      <w:bookmarkEnd w:id="29"/>
      <w:r>
        <w:rPr>
          <w:rFonts w:hint="eastAsia" w:cs="仿宋"/>
          <w:sz w:val="28"/>
          <w:szCs w:val="28"/>
        </w:rPr>
        <w:t>。</w:t>
      </w:r>
    </w:p>
    <w:p w14:paraId="758093A9">
      <w:pPr>
        <w:ind w:firstLine="560"/>
        <w:rPr>
          <w:rFonts w:hint="eastAsia" w:cs="仿宋"/>
          <w:sz w:val="28"/>
          <w:szCs w:val="28"/>
        </w:rPr>
      </w:pPr>
      <w:r>
        <w:rPr>
          <w:rFonts w:hint="eastAsia" w:cs="仿宋"/>
          <w:sz w:val="28"/>
          <w:szCs w:val="28"/>
        </w:rPr>
        <w:t>2.评价标准</w:t>
      </w:r>
    </w:p>
    <w:p w14:paraId="60ADBD5E">
      <w:pPr>
        <w:ind w:firstLine="560"/>
        <w:rPr>
          <w:rFonts w:hint="eastAsia" w:cs="仿宋"/>
          <w:sz w:val="28"/>
          <w:szCs w:val="28"/>
        </w:rPr>
      </w:pPr>
      <w:r>
        <w:rPr>
          <w:rFonts w:hint="eastAsia" w:cs="仿宋"/>
          <w:sz w:val="28"/>
          <w:szCs w:val="28"/>
        </w:rPr>
        <w:t>(1)项目支出评价得分满分为100分。</w:t>
      </w:r>
    </w:p>
    <w:p w14:paraId="0446AC79">
      <w:pPr>
        <w:ind w:firstLine="560"/>
        <w:rPr>
          <w:rFonts w:hint="eastAsia" w:cs="仿宋"/>
          <w:sz w:val="28"/>
          <w:szCs w:val="28"/>
        </w:rPr>
      </w:pPr>
      <w:r>
        <w:rPr>
          <w:rFonts w:hint="eastAsia" w:cs="仿宋"/>
          <w:sz w:val="28"/>
          <w:szCs w:val="28"/>
        </w:rPr>
        <w:t>(2)由审计评价组根据评价情况，对各单项指标分别进行独立打分。</w:t>
      </w:r>
    </w:p>
    <w:p w14:paraId="265351F6">
      <w:pPr>
        <w:ind w:firstLine="560"/>
        <w:rPr>
          <w:rFonts w:hint="eastAsia" w:cs="仿宋"/>
          <w:sz w:val="28"/>
          <w:szCs w:val="28"/>
        </w:rPr>
      </w:pPr>
      <w:r>
        <w:rPr>
          <w:rFonts w:hint="eastAsia" w:cs="仿宋"/>
          <w:sz w:val="28"/>
          <w:szCs w:val="28"/>
        </w:rPr>
        <w:t>(3)总评价分为各单项指标得分总和。</w:t>
      </w:r>
    </w:p>
    <w:p w14:paraId="657C0017">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611C5542">
      <w:pPr>
        <w:ind w:firstLine="560"/>
        <w:rPr>
          <w:rFonts w:hint="eastAsia" w:cs="仿宋"/>
          <w:sz w:val="28"/>
          <w:szCs w:val="28"/>
        </w:rPr>
      </w:pPr>
      <w:bookmarkStart w:id="30" w:name="_Toc25624"/>
      <w:bookmarkStart w:id="31" w:name="_Toc7874"/>
      <w:r>
        <w:rPr>
          <w:rFonts w:hint="eastAsia" w:cs="仿宋"/>
          <w:sz w:val="28"/>
          <w:szCs w:val="28"/>
        </w:rPr>
        <w:t>3.数据来源</w:t>
      </w:r>
      <w:bookmarkEnd w:id="30"/>
      <w:bookmarkEnd w:id="31"/>
    </w:p>
    <w:p w14:paraId="16FFBC31">
      <w:pPr>
        <w:ind w:firstLine="560"/>
        <w:rPr>
          <w:rFonts w:hint="eastAsia" w:cs="仿宋"/>
          <w:color w:val="FF0000"/>
          <w:sz w:val="28"/>
          <w:szCs w:val="28"/>
        </w:rPr>
      </w:pPr>
      <w:r>
        <w:rPr>
          <w:rFonts w:hint="eastAsia" w:cs="仿宋"/>
          <w:sz w:val="28"/>
          <w:szCs w:val="28"/>
        </w:rPr>
        <w:t>绩效评价数据由教体局提供。</w:t>
      </w:r>
    </w:p>
    <w:bookmarkEnd w:id="28"/>
    <w:p w14:paraId="6BE356E6">
      <w:pPr>
        <w:ind w:firstLine="560"/>
        <w:rPr>
          <w:rFonts w:hint="eastAsia" w:ascii="黑体" w:hAnsi="黑体" w:eastAsia="黑体" w:cs="黑体"/>
          <w:sz w:val="28"/>
          <w:szCs w:val="28"/>
        </w:rPr>
      </w:pPr>
      <w:bookmarkStart w:id="32" w:name="_Toc502134862"/>
      <w:r>
        <w:rPr>
          <w:rFonts w:hint="eastAsia" w:ascii="黑体" w:hAnsi="黑体" w:eastAsia="黑体" w:cs="黑体"/>
          <w:sz w:val="28"/>
          <w:szCs w:val="28"/>
        </w:rPr>
        <w:t>四、</w:t>
      </w:r>
      <w:bookmarkEnd w:id="32"/>
      <w:r>
        <w:rPr>
          <w:rFonts w:hint="eastAsia" w:ascii="黑体" w:hAnsi="黑体" w:eastAsia="黑体" w:cs="黑体"/>
          <w:sz w:val="28"/>
          <w:szCs w:val="28"/>
        </w:rPr>
        <w:t>综合评价情况及评价结论</w:t>
      </w:r>
    </w:p>
    <w:p w14:paraId="0B89B11D">
      <w:pPr>
        <w:ind w:firstLine="560"/>
        <w:rPr>
          <w:rFonts w:hint="eastAsia" w:cs="仿宋"/>
          <w:sz w:val="28"/>
          <w:szCs w:val="28"/>
        </w:rPr>
      </w:pPr>
      <w:bookmarkStart w:id="33" w:name="_Toc498009781"/>
      <w:r>
        <w:rPr>
          <w:rFonts w:hint="eastAsia" w:cs="仿宋"/>
          <w:sz w:val="28"/>
          <w:szCs w:val="28"/>
        </w:rPr>
        <w:t>教体局寻甸县承办市第七届运动会专项经费项目绩效评价综合评分85.37分，评价等级“良”（详见后附“寻甸县教育体育局2023年寻甸县承办市第七届运动会专项经费项目支出绩效评价指标体系及评分表”）。</w:t>
      </w:r>
    </w:p>
    <w:p w14:paraId="3C5C6D3E">
      <w:pPr>
        <w:ind w:firstLine="560"/>
        <w:rPr>
          <w:rFonts w:hint="eastAsia" w:ascii="仿宋_GB2312" w:eastAsia="仿宋_GB2312" w:cs="仿宋"/>
          <w:sz w:val="28"/>
          <w:szCs w:val="28"/>
        </w:rPr>
      </w:pPr>
      <w:r>
        <w:rPr>
          <w:rFonts w:hint="eastAsia" w:cs="仿宋"/>
          <w:sz w:val="28"/>
          <w:szCs w:val="28"/>
        </w:rPr>
        <w:t>综合评价结论：</w:t>
      </w:r>
      <w:bookmarkStart w:id="34" w:name="_Toc502134864"/>
      <w:r>
        <w:rPr>
          <w:rFonts w:hint="eastAsia" w:cs="仿宋"/>
          <w:sz w:val="28"/>
          <w:szCs w:val="28"/>
        </w:rPr>
        <w:t>教体局寻甸县承办市第七届运动会专项经费项目已实施完成，项目实施取得了良好的产出和效益，经过激烈角逐，在青少年组17个大项、423个小项竞赛中，共产生金牌476.27枚，在成年组10个大项、59 个小项竞赛中，共产生金牌87枚，涌现出了一大批优秀体育人才。寻甸县成年组以20枚金牌的好成绩位列金牌榜第一，团体总分排名第三；青少年团体总分及金牌榜排名第四。</w:t>
      </w:r>
    </w:p>
    <w:bookmarkEnd w:id="33"/>
    <w:bookmarkEnd w:id="34"/>
    <w:p w14:paraId="40D7B6D8">
      <w:pPr>
        <w:ind w:firstLine="560"/>
        <w:rPr>
          <w:rFonts w:hint="eastAsia" w:ascii="黑体" w:hAnsi="黑体" w:eastAsia="黑体" w:cs="黑体"/>
          <w:sz w:val="28"/>
          <w:szCs w:val="28"/>
        </w:rPr>
      </w:pPr>
      <w:bookmarkStart w:id="35" w:name="_Toc498009783"/>
      <w:bookmarkStart w:id="36" w:name="_Toc502134866"/>
      <w:r>
        <w:rPr>
          <w:rFonts w:hint="eastAsia" w:ascii="黑体" w:hAnsi="黑体" w:eastAsia="黑体" w:cs="黑体"/>
          <w:sz w:val="28"/>
          <w:szCs w:val="28"/>
        </w:rPr>
        <w:t>五、绩效评价情况分析</w:t>
      </w:r>
      <w:bookmarkEnd w:id="35"/>
      <w:bookmarkEnd w:id="36"/>
    </w:p>
    <w:p w14:paraId="2E8E55B6">
      <w:pPr>
        <w:ind w:firstLine="560"/>
        <w:rPr>
          <w:rFonts w:hint="eastAsia" w:ascii="楷体" w:hAnsi="楷体" w:eastAsia="楷体" w:cs="楷体"/>
          <w:sz w:val="28"/>
          <w:szCs w:val="28"/>
        </w:rPr>
      </w:pPr>
      <w:bookmarkStart w:id="37" w:name="_Toc502134867"/>
      <w:bookmarkStart w:id="38" w:name="_Toc498009784"/>
      <w:r>
        <w:rPr>
          <w:rFonts w:hint="eastAsia" w:ascii="楷体" w:hAnsi="楷体" w:eastAsia="楷体" w:cs="楷体"/>
          <w:sz w:val="28"/>
          <w:szCs w:val="28"/>
        </w:rPr>
        <w:t>(一)项目决策分析</w:t>
      </w:r>
      <w:bookmarkEnd w:id="37"/>
      <w:bookmarkEnd w:id="38"/>
    </w:p>
    <w:p w14:paraId="257AE768">
      <w:pPr>
        <w:ind w:firstLine="560"/>
        <w:rPr>
          <w:rFonts w:hint="eastAsia" w:cs="仿宋"/>
          <w:sz w:val="28"/>
          <w:szCs w:val="28"/>
        </w:rPr>
      </w:pPr>
      <w:r>
        <w:rPr>
          <w:rFonts w:hint="eastAsia" w:cs="仿宋"/>
          <w:sz w:val="28"/>
          <w:szCs w:val="28"/>
        </w:rPr>
        <w:t>项目决策满分16.00分，评价综合评分11.50分（占该项满分值的71.88%），具体情况如下：</w:t>
      </w:r>
      <w:bookmarkStart w:id="39" w:name="_Toc502134868"/>
    </w:p>
    <w:p w14:paraId="770C54C6">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十四五”体育发展规划》及部门职能职责等相匹配，属于公共财政支持范围，未与相关部门同类项目或部门内部相关项目重复。</w:t>
      </w:r>
    </w:p>
    <w:p w14:paraId="2F1D2186">
      <w:pPr>
        <w:ind w:firstLine="560"/>
        <w:rPr>
          <w:rFonts w:hint="eastAsia" w:cs="仿宋"/>
          <w:sz w:val="28"/>
          <w:szCs w:val="28"/>
        </w:rPr>
      </w:pPr>
      <w:r>
        <w:rPr>
          <w:rFonts w:hint="eastAsia" w:cs="仿宋"/>
          <w:sz w:val="28"/>
          <w:szCs w:val="28"/>
        </w:rPr>
        <w:t>根据《市政府办公室对昆明市教育体育局关于申请由寻甸县承办昆明市第七届运动会的请示》的回复及《昆明市第七届运动会寻甸县筹备工作方案》（寻办通〔2023〕14号），项目已按照规定的程序进行申请设立，项目立项程序规范；根据昆明市人民政府办公室公文处理笺，昆明市教体局已组织专家赴寻甸县实地考察，并讨论研究，事前已经集体决策。</w:t>
      </w:r>
    </w:p>
    <w:p w14:paraId="0B9BD33F">
      <w:pPr>
        <w:ind w:firstLine="560"/>
        <w:rPr>
          <w:rFonts w:hint="eastAsia" w:cs="仿宋"/>
          <w:sz w:val="28"/>
          <w:szCs w:val="28"/>
        </w:rPr>
      </w:pPr>
      <w:r>
        <w:rPr>
          <w:rFonts w:hint="eastAsia" w:cs="仿宋"/>
          <w:sz w:val="28"/>
          <w:szCs w:val="28"/>
        </w:rPr>
        <w:t>2.项目绩效目标合理，项目所设定的绩效目标与实际工作内容具有相关性，与预算确定的项目投资额或资金量相匹配，符合客观实际、国家相关法律法规、国民经济发展规划和党委政府决策等。符合正常的业绩水平，项目预算内容与项目实际实施内容相符。</w:t>
      </w:r>
    </w:p>
    <w:p w14:paraId="7403C8E3">
      <w:pPr>
        <w:ind w:firstLine="560"/>
        <w:rPr>
          <w:rFonts w:hint="eastAsia" w:cs="仿宋"/>
          <w:sz w:val="28"/>
          <w:szCs w:val="28"/>
        </w:rPr>
      </w:pPr>
      <w:r>
        <w:rPr>
          <w:rFonts w:hint="eastAsia" w:cs="仿宋"/>
          <w:sz w:val="28"/>
          <w:szCs w:val="28"/>
        </w:rPr>
        <w:t>绩效指标不明确，申报的项目支出</w:t>
      </w:r>
      <w:bookmarkStart w:id="40" w:name="_Hlk177371358"/>
      <w:r>
        <w:rPr>
          <w:rFonts w:hint="eastAsia" w:cs="仿宋"/>
          <w:sz w:val="28"/>
          <w:szCs w:val="28"/>
        </w:rPr>
        <w:t>绩效指标不充分全面，基本未将项目支出的绩效目标细化、量化分解为具体的工作任务、未通过清晰、可衡量的指标及指标值予以体现，未设定最能体现总体目标实现程度的关键的、核心的指标。</w:t>
      </w:r>
      <w:bookmarkEnd w:id="40"/>
    </w:p>
    <w:p w14:paraId="0E423B94">
      <w:pPr>
        <w:ind w:firstLine="560"/>
        <w:rPr>
          <w:rFonts w:hint="eastAsia" w:cs="仿宋"/>
          <w:sz w:val="28"/>
          <w:szCs w:val="28"/>
        </w:rPr>
      </w:pPr>
      <w:r>
        <w:rPr>
          <w:rFonts w:hint="eastAsia" w:cs="仿宋"/>
          <w:sz w:val="28"/>
          <w:szCs w:val="28"/>
        </w:rPr>
        <w:t>3.项目支出预算编制基本科学、资金分配合理，依据基本充分，与项目内容相匹配，预算资金分配依据充分，资金分配额度合理，与项目单位或地方实际相适应，但预算编制不合理，</w:t>
      </w:r>
      <w:r>
        <w:rPr>
          <w:rFonts w:hint="eastAsia" w:cs="仿宋"/>
          <w:sz w:val="28"/>
          <w:szCs w:val="28"/>
          <w:lang w:eastAsia="zh-CN"/>
        </w:rPr>
        <w:t>截至</w:t>
      </w:r>
      <w:r>
        <w:rPr>
          <w:rFonts w:hint="eastAsia" w:cs="仿宋"/>
          <w:sz w:val="28"/>
          <w:szCs w:val="28"/>
        </w:rPr>
        <w:t>绩效评价现场结束日，</w:t>
      </w:r>
      <w:bookmarkStart w:id="41" w:name="_Hlk177375749"/>
      <w:r>
        <w:rPr>
          <w:rFonts w:hint="eastAsia" w:cs="仿宋"/>
          <w:sz w:val="28"/>
          <w:szCs w:val="28"/>
        </w:rPr>
        <w:t>账面资金缺口2,804,208.47元</w:t>
      </w:r>
      <w:bookmarkEnd w:id="41"/>
      <w:r>
        <w:rPr>
          <w:rFonts w:hint="eastAsia" w:cs="仿宋"/>
          <w:sz w:val="28"/>
          <w:szCs w:val="28"/>
        </w:rPr>
        <w:t>，存在预算不足的情况，项目投资额或资金量与工作任务相不匹配。</w:t>
      </w:r>
    </w:p>
    <w:p w14:paraId="1DF46599">
      <w:pPr>
        <w:ind w:firstLine="560"/>
        <w:rPr>
          <w:rFonts w:hint="eastAsia" w:ascii="楷体" w:hAnsi="楷体" w:eastAsia="楷体" w:cs="楷体"/>
          <w:sz w:val="28"/>
          <w:szCs w:val="28"/>
        </w:rPr>
      </w:pPr>
      <w:r>
        <w:rPr>
          <w:rFonts w:hint="eastAsia" w:ascii="楷体" w:hAnsi="楷体" w:eastAsia="楷体" w:cs="楷体"/>
          <w:sz w:val="28"/>
          <w:szCs w:val="28"/>
        </w:rPr>
        <w:t>(二</w:t>
      </w:r>
      <w:bookmarkStart w:id="42" w:name="_Toc498009785"/>
      <w:r>
        <w:rPr>
          <w:rFonts w:hint="eastAsia" w:ascii="楷体" w:hAnsi="楷体" w:eastAsia="楷体" w:cs="楷体"/>
          <w:sz w:val="28"/>
          <w:szCs w:val="28"/>
        </w:rPr>
        <w:t>)项目过程管理情况分析</w:t>
      </w:r>
      <w:bookmarkEnd w:id="39"/>
      <w:bookmarkEnd w:id="42"/>
    </w:p>
    <w:p w14:paraId="43EA6756">
      <w:pPr>
        <w:ind w:firstLine="560"/>
        <w:rPr>
          <w:rFonts w:hint="eastAsia" w:cs="仿宋"/>
          <w:sz w:val="28"/>
          <w:szCs w:val="28"/>
        </w:rPr>
      </w:pPr>
      <w:r>
        <w:rPr>
          <w:rFonts w:hint="eastAsia" w:cs="仿宋"/>
          <w:sz w:val="28"/>
          <w:szCs w:val="28"/>
        </w:rPr>
        <w:t>项目过程管理满分22.00分，评价综合评分19.00分（占该项满分值的86.36%），具体情况如下：</w:t>
      </w:r>
      <w:bookmarkStart w:id="43" w:name="_Toc502134869"/>
      <w:bookmarkStart w:id="44" w:name="_Toc498009786"/>
    </w:p>
    <w:p w14:paraId="128B3665">
      <w:pPr>
        <w:ind w:firstLine="560"/>
        <w:rPr>
          <w:rFonts w:hint="eastAsia" w:cs="仿宋"/>
          <w:sz w:val="28"/>
          <w:szCs w:val="28"/>
          <w:highlight w:val="yellow"/>
        </w:rPr>
      </w:pPr>
      <w:r>
        <w:rPr>
          <w:rFonts w:hint="eastAsia" w:cs="仿宋"/>
          <w:sz w:val="28"/>
          <w:szCs w:val="28"/>
        </w:rPr>
        <w:t>1.根据项目资金台账，该项目资金来源主要是市级财政补助、县级财政补助、县级财政配套资金、社会捐增资金、招商代理收入等。截至2023年12月31日，县级财政配套及补助资金</w:t>
      </w:r>
      <w:bookmarkStart w:id="45" w:name="_Hlk177374413"/>
      <w:r>
        <w:rPr>
          <w:rFonts w:hint="eastAsia" w:cs="仿宋"/>
          <w:sz w:val="28"/>
          <w:szCs w:val="28"/>
        </w:rPr>
        <w:t>到位共计4,000,000.00元</w:t>
      </w:r>
      <w:bookmarkEnd w:id="45"/>
      <w:r>
        <w:rPr>
          <w:rFonts w:hint="eastAsia" w:cs="仿宋"/>
          <w:sz w:val="28"/>
          <w:szCs w:val="28"/>
        </w:rPr>
        <w:t>，资金到位率100%。</w:t>
      </w:r>
    </w:p>
    <w:p w14:paraId="01B2869B">
      <w:pPr>
        <w:ind w:firstLine="560"/>
        <w:rPr>
          <w:rFonts w:hint="eastAsia" w:cs="仿宋"/>
          <w:sz w:val="28"/>
          <w:szCs w:val="28"/>
        </w:rPr>
      </w:pPr>
      <w:r>
        <w:rPr>
          <w:rFonts w:hint="eastAsia" w:cs="仿宋"/>
          <w:sz w:val="28"/>
          <w:szCs w:val="28"/>
        </w:rPr>
        <w:t>2.根据项目资金台账，该项目县级资金到位共计</w:t>
      </w:r>
      <w:bookmarkStart w:id="46" w:name="_Hlk177374426"/>
      <w:r>
        <w:rPr>
          <w:rFonts w:hint="eastAsia" w:cs="仿宋"/>
          <w:sz w:val="28"/>
          <w:szCs w:val="28"/>
        </w:rPr>
        <w:t>4,000,000.00</w:t>
      </w:r>
      <w:bookmarkEnd w:id="46"/>
      <w:r>
        <w:rPr>
          <w:rFonts w:hint="eastAsia" w:cs="仿宋"/>
          <w:sz w:val="28"/>
          <w:szCs w:val="28"/>
        </w:rPr>
        <w:t>元，共计支付相关费用4,000,000.00元，预算执行率100%。</w:t>
      </w:r>
    </w:p>
    <w:p w14:paraId="38E2877B">
      <w:pPr>
        <w:ind w:firstLine="560"/>
        <w:rPr>
          <w:rFonts w:hint="eastAsia" w:cs="仿宋"/>
          <w:sz w:val="28"/>
          <w:szCs w:val="28"/>
        </w:rPr>
      </w:pPr>
      <w:r>
        <w:rPr>
          <w:rFonts w:hint="eastAsia" w:cs="仿宋"/>
          <w:sz w:val="28"/>
          <w:szCs w:val="28"/>
        </w:rPr>
        <w:t>3.项目资金的使用基本符合国家财经法规和财务管理制度以及有关专项资金管理办法的规定，资金的拨付基本有完整的审批程序和手续，项目支出基本符合预算规定的用途，</w:t>
      </w:r>
      <w:bookmarkStart w:id="47" w:name="_Hlk177325288"/>
      <w:r>
        <w:rPr>
          <w:rFonts w:hint="eastAsia" w:cs="仿宋"/>
          <w:sz w:val="28"/>
          <w:szCs w:val="28"/>
        </w:rPr>
        <w:t>寻甸县审计局《审计报告》（寻审报[2023]12号）审计</w:t>
      </w:r>
      <w:bookmarkEnd w:id="47"/>
      <w:r>
        <w:rPr>
          <w:rFonts w:hint="eastAsia" w:cs="仿宋"/>
          <w:sz w:val="28"/>
          <w:szCs w:val="28"/>
        </w:rPr>
        <w:t>发现预拨资金未按规定及时报账、购置固定资产未及时登记入账、捐赠物资未及时登记入账、代扣代缴个人所得税未及时缴纳、原始凭证要素不全等问题，教体局于2024年2月25日完成整改并公示，本次绩效评价检查发现存在支付发票不规范的情况。</w:t>
      </w:r>
    </w:p>
    <w:p w14:paraId="657442BD">
      <w:pPr>
        <w:ind w:firstLine="560"/>
        <w:rPr>
          <w:rFonts w:hint="eastAsia" w:cs="仿宋"/>
          <w:sz w:val="28"/>
          <w:szCs w:val="28"/>
        </w:rPr>
      </w:pPr>
      <w:r>
        <w:rPr>
          <w:rFonts w:hint="eastAsia" w:cs="仿宋"/>
          <w:sz w:val="28"/>
          <w:szCs w:val="28"/>
        </w:rPr>
        <w:t>4.项目业务、财务管理执行中</w:t>
      </w:r>
      <w:bookmarkStart w:id="48" w:name="_Hlk177323485"/>
      <w:r>
        <w:rPr>
          <w:rFonts w:hint="eastAsia" w:cs="仿宋"/>
          <w:sz w:val="28"/>
          <w:szCs w:val="28"/>
        </w:rPr>
        <w:t>《关于印发&lt;寻甸回族彝族自治县筹备昆明市第七届运动会工作经费开支标准和财务管理办法&gt;的通知》（县委办[2023]108号）</w:t>
      </w:r>
      <w:bookmarkEnd w:id="48"/>
      <w:r>
        <w:rPr>
          <w:rFonts w:hint="eastAsia" w:cs="仿宋"/>
          <w:sz w:val="28"/>
          <w:szCs w:val="28"/>
        </w:rPr>
        <w:t>及其补充通知等相关规定执行，管理制度合法、合规、完整。</w:t>
      </w:r>
    </w:p>
    <w:p w14:paraId="38314153">
      <w:pPr>
        <w:ind w:firstLine="560"/>
        <w:rPr>
          <w:rFonts w:hint="eastAsia" w:cs="仿宋"/>
          <w:sz w:val="28"/>
          <w:szCs w:val="28"/>
        </w:rPr>
      </w:pPr>
      <w:r>
        <w:rPr>
          <w:rFonts w:hint="eastAsia" w:cs="仿宋"/>
          <w:sz w:val="28"/>
          <w:szCs w:val="28"/>
        </w:rPr>
        <w:t>5.教体局根据《关于印发&lt;寻甸回族彝族自治县筹备昆明市第七届运动会工作经费开支标准和财务管理办法&gt;的通知》（县委办[2023]108号）及其补充通知等相关规定等进行项目财务管理和业务管理，除存在绩效目标管理不到位、支付发票不规范的情况外，未发现其他不符合相关法律法规和相关管理规定。</w:t>
      </w:r>
    </w:p>
    <w:p w14:paraId="54A3DFDF">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2DD05C3C">
      <w:pPr>
        <w:ind w:firstLine="560"/>
        <w:rPr>
          <w:rFonts w:hint="eastAsia" w:cs="仿宋"/>
          <w:sz w:val="28"/>
          <w:szCs w:val="28"/>
        </w:rPr>
      </w:pPr>
      <w:r>
        <w:rPr>
          <w:rFonts w:hint="eastAsia" w:cs="仿宋"/>
          <w:sz w:val="28"/>
          <w:szCs w:val="28"/>
        </w:rPr>
        <w:t>项目产出满分32.00分，评价综合评分27.00分（占该项满分值的84.38%），具体情况如下：</w:t>
      </w:r>
    </w:p>
    <w:p w14:paraId="2D6F24B1">
      <w:pPr>
        <w:ind w:firstLine="560"/>
        <w:rPr>
          <w:rFonts w:hint="eastAsia" w:cs="仿宋"/>
          <w:sz w:val="28"/>
          <w:szCs w:val="28"/>
        </w:rPr>
      </w:pPr>
      <w:r>
        <w:rPr>
          <w:rFonts w:hint="eastAsia" w:cs="仿宋"/>
          <w:sz w:val="28"/>
          <w:szCs w:val="28"/>
        </w:rPr>
        <w:t>1.实际完成率：</w:t>
      </w:r>
      <w:bookmarkStart w:id="49" w:name="_Hlk177324888"/>
      <w:r>
        <w:rPr>
          <w:rFonts w:hint="eastAsia" w:cs="仿宋"/>
          <w:sz w:val="28"/>
          <w:szCs w:val="28"/>
        </w:rPr>
        <w:t>昆明市第七届运动会</w:t>
      </w:r>
      <w:bookmarkEnd w:id="49"/>
      <w:r>
        <w:rPr>
          <w:rFonts w:hint="eastAsia" w:cs="仿宋"/>
          <w:sz w:val="28"/>
          <w:szCs w:val="28"/>
        </w:rPr>
        <w:t>设青少年组和成年组2个大项，项目包括田径、举重、乒乓球、拳击、柔道、射箭、摔跤、武术、游泳、幼儿体操、自行车、篮球、网球等27个项目。除游泳、网球2个项目比赛在市体育学校举行外，其余25个项目均在寻甸举行。运动会于2023年7月30日开幕，2023年8月6日闭幕，已按计划完成，实际完成率100%。</w:t>
      </w:r>
    </w:p>
    <w:p w14:paraId="1BDF6B4D">
      <w:pPr>
        <w:ind w:firstLine="560"/>
        <w:rPr>
          <w:rFonts w:hint="eastAsia"/>
          <w:sz w:val="28"/>
          <w:szCs w:val="28"/>
        </w:rPr>
      </w:pPr>
      <w:r>
        <w:rPr>
          <w:rFonts w:hint="eastAsia"/>
          <w:sz w:val="28"/>
          <w:szCs w:val="28"/>
        </w:rPr>
        <w:t>2.质量达标率：昆明市第七届运动会按相关比赛规程运行完成举办，教体局经过精心筹备，科学部署，周密安排，圆满完成了承办任务。运动会期间未发生重大安全事故，比赛结果已经赛事组委会认可，质量达标率100%。</w:t>
      </w:r>
    </w:p>
    <w:p w14:paraId="65242A02">
      <w:pPr>
        <w:ind w:firstLine="560"/>
        <w:rPr>
          <w:rFonts w:hint="eastAsia"/>
          <w:sz w:val="28"/>
          <w:szCs w:val="28"/>
        </w:rPr>
      </w:pPr>
      <w:r>
        <w:rPr>
          <w:rFonts w:hint="eastAsia"/>
          <w:sz w:val="28"/>
          <w:szCs w:val="28"/>
        </w:rPr>
        <w:t>3.完成及时性：教体局承办的昆明市第七届运动会计划完成青少年组举办项目17项，成人组举办项目10项赛事，运动会于2023年7月30日开幕，2023年8月6日闭幕，完成及时率100%。</w:t>
      </w:r>
    </w:p>
    <w:p w14:paraId="621FDD43">
      <w:pPr>
        <w:ind w:firstLine="560"/>
        <w:rPr>
          <w:rFonts w:hint="eastAsia"/>
          <w:sz w:val="28"/>
          <w:szCs w:val="28"/>
        </w:rPr>
      </w:pPr>
      <w:r>
        <w:rPr>
          <w:rFonts w:hint="eastAsia"/>
          <w:sz w:val="28"/>
          <w:szCs w:val="28"/>
        </w:rPr>
        <w:t>4.成本节约率：寻甸回族彝族自治县审计局《审计报告》（寻审报[2023]12号）审定，</w:t>
      </w:r>
      <w:r>
        <w:rPr>
          <w:rFonts w:hint="eastAsia"/>
          <w:sz w:val="28"/>
          <w:szCs w:val="28"/>
          <w:lang w:eastAsia="zh-CN"/>
        </w:rPr>
        <w:t>截至</w:t>
      </w:r>
      <w:r>
        <w:rPr>
          <w:rFonts w:hint="eastAsia"/>
          <w:sz w:val="28"/>
          <w:szCs w:val="28"/>
        </w:rPr>
        <w:t>2023年12月20日，项目共收到资金2,558.03万元、共支出资金2,284.52万元、结余243.59万元。</w:t>
      </w:r>
    </w:p>
    <w:p w14:paraId="376C820B">
      <w:pPr>
        <w:ind w:firstLine="560"/>
        <w:rPr>
          <w:rFonts w:hint="eastAsia"/>
          <w:sz w:val="28"/>
          <w:szCs w:val="28"/>
        </w:rPr>
      </w:pPr>
      <w:r>
        <w:rPr>
          <w:rFonts w:hint="eastAsia"/>
          <w:sz w:val="28"/>
          <w:szCs w:val="28"/>
        </w:rPr>
        <w:t>根据项目资金台账，</w:t>
      </w:r>
      <w:r>
        <w:rPr>
          <w:rFonts w:hint="eastAsia"/>
          <w:sz w:val="28"/>
          <w:szCs w:val="28"/>
          <w:lang w:eastAsia="zh-CN"/>
        </w:rPr>
        <w:t>截至</w:t>
      </w:r>
      <w:r>
        <w:rPr>
          <w:rFonts w:hint="eastAsia"/>
          <w:sz w:val="28"/>
          <w:szCs w:val="28"/>
        </w:rPr>
        <w:t>绩效评价现场结束日，项目资金收入26,609,564.42元（市级财政补助15,680,200.00元、县级财政补助4,000,000.00元、捐赠收入4,313,004.00元、利息收入5,326.87元、招商代理收入2,510,000.00元，招商代理质量保证金100,000.00元），筹委会专户共计已支付相关费用26,496,439.96元，账面暂未支付2,917,332.93元（账记“其他应付款”），账面资金缺口2,804,208.47元，成本节约率为-14.99%。</w:t>
      </w:r>
    </w:p>
    <w:p w14:paraId="58C5A860">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3"/>
      <w:bookmarkEnd w:id="44"/>
      <w:bookmarkStart w:id="50" w:name="_Toc498009787"/>
      <w:bookmarkStart w:id="51" w:name="_Toc502134870"/>
    </w:p>
    <w:p w14:paraId="31D9568C">
      <w:pPr>
        <w:ind w:firstLine="560"/>
        <w:rPr>
          <w:rFonts w:hint="eastAsia" w:cs="仿宋"/>
          <w:sz w:val="28"/>
          <w:szCs w:val="28"/>
        </w:rPr>
      </w:pPr>
      <w:r>
        <w:rPr>
          <w:rFonts w:hint="eastAsia" w:cs="仿宋"/>
          <w:sz w:val="28"/>
          <w:szCs w:val="28"/>
        </w:rPr>
        <w:t>项目绩效指标满分30.00分，评价综合评分27.87分（占该项满分值的92.90%），具体情况如下：</w:t>
      </w:r>
    </w:p>
    <w:bookmarkEnd w:id="50"/>
    <w:bookmarkEnd w:id="51"/>
    <w:p w14:paraId="79DA135F">
      <w:pPr>
        <w:ind w:firstLine="560"/>
        <w:rPr>
          <w:rFonts w:hint="eastAsia"/>
          <w:sz w:val="28"/>
          <w:szCs w:val="28"/>
        </w:rPr>
      </w:pPr>
      <w:bookmarkStart w:id="52" w:name="_Toc498009788"/>
      <w:bookmarkStart w:id="53" w:name="_Toc502134871"/>
      <w:r>
        <w:rPr>
          <w:rFonts w:hint="eastAsia"/>
          <w:sz w:val="28"/>
          <w:szCs w:val="28"/>
        </w:rPr>
        <w:t>1.社会效益</w:t>
      </w:r>
    </w:p>
    <w:p w14:paraId="3E260D89">
      <w:pPr>
        <w:ind w:firstLine="560"/>
        <w:rPr>
          <w:rFonts w:hint="eastAsia"/>
          <w:sz w:val="28"/>
          <w:szCs w:val="28"/>
        </w:rPr>
      </w:pPr>
      <w:r>
        <w:rPr>
          <w:rFonts w:hint="eastAsia"/>
          <w:sz w:val="28"/>
          <w:szCs w:val="28"/>
        </w:rPr>
        <w:t>(1)媒介宣传报道覆盖率：根据《昆明市第七届运动会宣传组工作台账》，由组委会召集发布有关昆明市第七届运动会的目的、意义、规模、特点、重要赛事等，并邀请中央驻滇和省、市、县新闻媒体进行宣传报道，并在抖音视频、短视频、快手、寻甸融媒app宣传报道，宣传覆盖率100%。</w:t>
      </w:r>
    </w:p>
    <w:p w14:paraId="54E21B82">
      <w:pPr>
        <w:ind w:firstLine="560"/>
        <w:rPr>
          <w:rFonts w:hint="eastAsia"/>
          <w:sz w:val="28"/>
          <w:szCs w:val="28"/>
        </w:rPr>
      </w:pPr>
      <w:r>
        <w:rPr>
          <w:rFonts w:hint="eastAsia"/>
          <w:sz w:val="28"/>
          <w:szCs w:val="28"/>
        </w:rPr>
        <w:t>(2)媒介宣传报道及时率：根据《昆明市第七届运动会宣传组工作台账》，在运动会开幕前开展发布会，制定宣传工作方案，为相关宣传效果做好保障，各媒介力求报道的真实性和时效性，对赛事情况及结果及时报道，媒介宣传报道及时率100%。</w:t>
      </w:r>
    </w:p>
    <w:p w14:paraId="014622CC">
      <w:pPr>
        <w:ind w:firstLine="560"/>
        <w:rPr>
          <w:rFonts w:hint="eastAsia"/>
          <w:sz w:val="28"/>
          <w:szCs w:val="28"/>
        </w:rPr>
      </w:pPr>
      <w:r>
        <w:rPr>
          <w:rFonts w:hint="eastAsia"/>
          <w:sz w:val="28"/>
          <w:szCs w:val="28"/>
        </w:rPr>
        <w:t>(3)上级媒介转报、采用率：根据赛事筹委会的统计，昆明市第七届运动会赛事被抖音宣传报道转载37条、短视频转载发布32条、快手转载发布34条、微博转载发布50条等，上级媒介转报、采用率100%。</w:t>
      </w:r>
    </w:p>
    <w:p w14:paraId="7AB1940B">
      <w:pPr>
        <w:ind w:firstLine="560"/>
        <w:rPr>
          <w:rFonts w:hint="eastAsia"/>
          <w:sz w:val="28"/>
          <w:szCs w:val="28"/>
        </w:rPr>
      </w:pPr>
      <w:r>
        <w:rPr>
          <w:rFonts w:hint="eastAsia"/>
          <w:sz w:val="28"/>
          <w:szCs w:val="28"/>
        </w:rPr>
        <w:t>(4)参会运动员、裁判员、教练员等人数：根据统计，本届运动会共有19个代表团、64支代表队参赛，参会运动员、裁判员、教练员等人数达11210人。</w:t>
      </w:r>
    </w:p>
    <w:p w14:paraId="09896316">
      <w:pPr>
        <w:ind w:firstLine="560"/>
        <w:rPr>
          <w:rFonts w:hint="eastAsia"/>
          <w:sz w:val="28"/>
          <w:szCs w:val="28"/>
        </w:rPr>
      </w:pPr>
      <w:r>
        <w:rPr>
          <w:rFonts w:hint="eastAsia"/>
          <w:sz w:val="28"/>
          <w:szCs w:val="28"/>
        </w:rPr>
        <w:t>(5)群众参与度：根据对社会公众调查问卷统计，群众直接或间接参与该项目举办并了解项目，社会调查群众参与度85.75%，群众参与度较高。</w:t>
      </w:r>
    </w:p>
    <w:p w14:paraId="76AAF005">
      <w:pPr>
        <w:ind w:firstLine="560"/>
        <w:rPr>
          <w:rFonts w:hint="eastAsia"/>
          <w:sz w:val="28"/>
          <w:szCs w:val="28"/>
        </w:rPr>
      </w:pPr>
      <w:r>
        <w:rPr>
          <w:rFonts w:hint="eastAsia"/>
          <w:sz w:val="28"/>
          <w:szCs w:val="28"/>
        </w:rPr>
        <w:t>(6)七运会应急事件处置及时率：运动会开展期间未发生安全事故，七运会应急事件处置及时率100%。</w:t>
      </w:r>
    </w:p>
    <w:p w14:paraId="16C6F664">
      <w:pPr>
        <w:ind w:firstLine="560"/>
        <w:rPr>
          <w:rFonts w:hint="eastAsia"/>
          <w:sz w:val="28"/>
          <w:szCs w:val="28"/>
        </w:rPr>
      </w:pPr>
      <w:r>
        <w:rPr>
          <w:rFonts w:hint="eastAsia"/>
          <w:sz w:val="28"/>
          <w:szCs w:val="28"/>
        </w:rPr>
        <w:t>(7)对寻甸社会精神文明建设等的促进作用：根据各大媒体报道及文章发布，有利于群众对寻甸重大事件的了解，提升寻甸社会精神文明建设，明显促进精神文明建设。根据对社会公众调查问卷统计，群众认为对寻甸社会精神文明建设等的直接或间接的促进作用效果显著，综合明显度为86.25%。</w:t>
      </w:r>
    </w:p>
    <w:p w14:paraId="69E7167E">
      <w:pPr>
        <w:ind w:firstLine="560"/>
        <w:rPr>
          <w:rFonts w:hint="eastAsia"/>
          <w:sz w:val="28"/>
          <w:szCs w:val="28"/>
        </w:rPr>
      </w:pPr>
      <w:r>
        <w:rPr>
          <w:rFonts w:hint="eastAsia"/>
          <w:sz w:val="28"/>
          <w:szCs w:val="28"/>
        </w:rPr>
        <w:t>(8)群众对市七运会知晓度：根据对群众调查问卷统计，群众基本均知晓运动会举办，知晓率为87.50%。</w:t>
      </w:r>
    </w:p>
    <w:p w14:paraId="6156DA81">
      <w:pPr>
        <w:ind w:firstLine="560"/>
        <w:rPr>
          <w:rFonts w:hint="eastAsia"/>
          <w:sz w:val="28"/>
          <w:szCs w:val="28"/>
        </w:rPr>
      </w:pPr>
      <w:r>
        <w:rPr>
          <w:rFonts w:hint="eastAsia"/>
          <w:sz w:val="28"/>
          <w:szCs w:val="28"/>
        </w:rPr>
        <w:t>2.可持续性、满意度</w:t>
      </w:r>
    </w:p>
    <w:p w14:paraId="5C0974EE">
      <w:pPr>
        <w:ind w:firstLine="560"/>
        <w:rPr>
          <w:rFonts w:hint="eastAsia"/>
          <w:sz w:val="28"/>
          <w:szCs w:val="28"/>
        </w:rPr>
      </w:pPr>
      <w:r>
        <w:rPr>
          <w:rFonts w:hint="eastAsia"/>
          <w:sz w:val="28"/>
          <w:szCs w:val="28"/>
        </w:rPr>
        <w:t>根据回收的30份调查问卷统计，“昆明市第七届运动会”项目实施区的群众对该项目的反馈情况比较好，认为项目实施后对可持续发挥效益方面较为满意，促进了县域的经济发展，对提升寻甸县竞技体育实力提升有可持续影响。寻甸县教体局昆明市第七届运动会项目支出绩效情况评价满意度为86.02%。</w:t>
      </w:r>
    </w:p>
    <w:p w14:paraId="71D7C824">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52"/>
      <w:bookmarkEnd w:id="53"/>
      <w:bookmarkStart w:id="54" w:name="_Toc502134872"/>
      <w:bookmarkStart w:id="55" w:name="_Toc498009789"/>
    </w:p>
    <w:p w14:paraId="7E260CAD">
      <w:pPr>
        <w:ind w:firstLine="560"/>
        <w:rPr>
          <w:rFonts w:hint="eastAsia" w:cs="仿宋"/>
          <w:sz w:val="28"/>
          <w:szCs w:val="28"/>
        </w:rPr>
      </w:pPr>
      <w:r>
        <w:rPr>
          <w:rFonts w:hint="eastAsia" w:cs="仿宋"/>
          <w:sz w:val="28"/>
          <w:szCs w:val="28"/>
        </w:rPr>
        <w:t>严格执行项目管理制度、资金管理办法，提高预算执行率及资金的使用效益，加强项目实施过程及资金支付流程的审批监管，确保项目顺利实施，资金使用安全、高效。</w:t>
      </w:r>
    </w:p>
    <w:p w14:paraId="14C155F1">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54"/>
      <w:bookmarkEnd w:id="55"/>
    </w:p>
    <w:p w14:paraId="2D8A8626">
      <w:pPr>
        <w:ind w:firstLine="560"/>
        <w:rPr>
          <w:rFonts w:hint="eastAsia" w:ascii="楷体" w:hAnsi="楷体" w:eastAsia="楷体" w:cs="楷体"/>
          <w:bCs/>
          <w:sz w:val="28"/>
          <w:szCs w:val="28"/>
        </w:rPr>
      </w:pPr>
      <w:bookmarkStart w:id="56" w:name="_Toc500589022"/>
      <w:bookmarkStart w:id="57" w:name="_Toc502134873"/>
      <w:bookmarkStart w:id="58" w:name="_Toc500202563"/>
      <w:bookmarkStart w:id="59" w:name="_Toc500849310"/>
      <w:bookmarkStart w:id="60" w:name="_Toc500440025"/>
      <w:bookmarkStart w:id="61" w:name="_Toc500364179"/>
      <w:r>
        <w:rPr>
          <w:rFonts w:hint="eastAsia" w:ascii="楷体" w:hAnsi="楷体" w:eastAsia="楷体" w:cs="楷体"/>
          <w:bCs/>
          <w:sz w:val="28"/>
          <w:szCs w:val="28"/>
        </w:rPr>
        <w:t>(一)</w:t>
      </w:r>
      <w:bookmarkStart w:id="62" w:name="_Hlk143876546"/>
      <w:r>
        <w:rPr>
          <w:rFonts w:hint="eastAsia" w:ascii="楷体" w:hAnsi="楷体" w:eastAsia="楷体" w:cs="楷体"/>
          <w:bCs/>
          <w:sz w:val="28"/>
          <w:szCs w:val="28"/>
        </w:rPr>
        <w:t>绩效目标管理不到位</w:t>
      </w:r>
    </w:p>
    <w:p w14:paraId="2E0230FC">
      <w:pPr>
        <w:ind w:firstLine="560"/>
        <w:rPr>
          <w:rFonts w:hint="eastAsia" w:cs="楷体"/>
          <w:bCs/>
          <w:sz w:val="28"/>
          <w:szCs w:val="28"/>
        </w:rPr>
      </w:pPr>
      <w:r>
        <w:rPr>
          <w:rFonts w:hint="eastAsia" w:cs="楷体"/>
          <w:bCs/>
          <w:sz w:val="28"/>
          <w:szCs w:val="28"/>
        </w:rPr>
        <w:t>2023年教体局根据资金安排，填报了</w:t>
      </w:r>
      <w:bookmarkStart w:id="63" w:name="_Hlk174891143"/>
      <w:r>
        <w:rPr>
          <w:rFonts w:hint="eastAsia" w:cs="楷体"/>
          <w:bCs/>
          <w:sz w:val="28"/>
          <w:szCs w:val="28"/>
        </w:rPr>
        <w:t>《项目绩效目标申报表》</w:t>
      </w:r>
      <w:bookmarkEnd w:id="63"/>
      <w:r>
        <w:rPr>
          <w:rFonts w:hint="eastAsia" w:cs="楷体"/>
          <w:bCs/>
          <w:sz w:val="28"/>
          <w:szCs w:val="28"/>
        </w:rPr>
        <w:t>并设定6个二级指标7个三级指标。</w:t>
      </w:r>
      <w:r>
        <w:rPr>
          <w:rFonts w:hint="eastAsia"/>
          <w:sz w:val="28"/>
          <w:szCs w:val="28"/>
        </w:rPr>
        <w:t>绩效指标不充分全面，基本未将项目支出的绩效目标细化、量化分解为具体的工作任务，未设定最能体现总体目标实现程度的关键的、核心的指标，如：仅设定“群众对市七运会知晓度≥90%”1个社会效益指标，未就项目实施对体育事业发展的推动、媒介宣传、体育人才的储备等方面设定充分全面的效益指标，</w:t>
      </w:r>
      <w:r>
        <w:rPr>
          <w:rFonts w:hint="eastAsia" w:cs="楷体"/>
          <w:bCs/>
          <w:sz w:val="28"/>
          <w:szCs w:val="28"/>
        </w:rPr>
        <w:t>不符合《中华人民共和国预算法》第三十二条“……各部门、各单位应当按照……以及绩效目标管理等预算编制规定，……编制本部门、本单位预算草案。”和《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251DED52">
      <w:pPr>
        <w:ind w:firstLine="560"/>
        <w:rPr>
          <w:rFonts w:hint="eastAsia" w:ascii="楷体" w:hAnsi="楷体" w:eastAsia="楷体"/>
          <w:sz w:val="28"/>
          <w:szCs w:val="28"/>
        </w:rPr>
      </w:pPr>
      <w:r>
        <w:rPr>
          <w:rFonts w:hint="eastAsia" w:ascii="楷体" w:hAnsi="楷体" w:eastAsia="楷体"/>
          <w:sz w:val="28"/>
          <w:szCs w:val="28"/>
        </w:rPr>
        <w:t>(二)支付票据不规范</w:t>
      </w:r>
    </w:p>
    <w:p w14:paraId="38731D67">
      <w:pPr>
        <w:ind w:firstLine="560"/>
        <w:rPr>
          <w:rFonts w:hint="eastAsia"/>
          <w:sz w:val="28"/>
          <w:szCs w:val="28"/>
          <w:highlight w:val="yellow"/>
        </w:rPr>
      </w:pPr>
      <w:r>
        <w:rPr>
          <w:rFonts w:hint="eastAsia"/>
          <w:sz w:val="28"/>
          <w:szCs w:val="28"/>
        </w:rPr>
        <w:t>2023年7月记账2号凭证，支付运动员保险费300.00元，后附发票购买方名称为云南联广志达企业管理咨询有限公司，采购方并非教体局或赛事筹委会，支付票据不规范。不符合《中华人民共和国会计法》第十四条“会计凭证包括原始凭证和</w:t>
      </w:r>
      <w:r>
        <w:rPr>
          <w:rFonts w:hint="eastAsia"/>
          <w:sz w:val="28"/>
          <w:szCs w:val="28"/>
          <w:lang w:eastAsia="zh-CN"/>
        </w:rPr>
        <w:t>记账</w:t>
      </w:r>
      <w:r>
        <w:rPr>
          <w:rFonts w:hint="eastAsia"/>
          <w:sz w:val="28"/>
          <w:szCs w:val="28"/>
        </w:rPr>
        <w:t>凭证。办理本法第十条所列的经济业务事项，必须填制或者取得原始凭证并及时送交会计机构。……对记载不准确、不完整的原始凭证予以退回，并要求按照国家统一的会计制度的规定更正、补充。……</w:t>
      </w:r>
      <w:r>
        <w:rPr>
          <w:rFonts w:hint="eastAsia"/>
          <w:sz w:val="28"/>
          <w:szCs w:val="28"/>
          <w:lang w:eastAsia="zh-CN"/>
        </w:rPr>
        <w:t>记账</w:t>
      </w:r>
      <w:r>
        <w:rPr>
          <w:rFonts w:hint="eastAsia"/>
          <w:sz w:val="28"/>
          <w:szCs w:val="28"/>
        </w:rPr>
        <w:t>凭证应当根据经过审核的原始凭证及有关资料编制。”和《政府会计准则——基本准则》（中华人民共和国财政部令第78号）第十一条“政府会计主体应当以实际发生的经济业务或者事项为依据进行会计核算，如实反映各项会计要素的情况和结果，保证会计信息真实可靠。”的规定。</w:t>
      </w:r>
    </w:p>
    <w:bookmarkEnd w:id="56"/>
    <w:bookmarkEnd w:id="57"/>
    <w:bookmarkEnd w:id="58"/>
    <w:bookmarkEnd w:id="59"/>
    <w:bookmarkEnd w:id="60"/>
    <w:bookmarkEnd w:id="61"/>
    <w:bookmarkEnd w:id="62"/>
    <w:p w14:paraId="333BBFC0">
      <w:pPr>
        <w:ind w:firstLine="560"/>
        <w:rPr>
          <w:rFonts w:hint="eastAsia" w:ascii="黑体" w:hAnsi="黑体" w:eastAsia="黑体" w:cs="黑体"/>
          <w:sz w:val="28"/>
          <w:szCs w:val="28"/>
        </w:rPr>
      </w:pPr>
      <w:bookmarkStart w:id="64" w:name="_Toc498009790"/>
      <w:bookmarkStart w:id="65" w:name="_Toc502134879"/>
      <w:r>
        <w:rPr>
          <w:rFonts w:hint="eastAsia" w:ascii="黑体" w:hAnsi="黑体" w:eastAsia="黑体" w:cs="黑体"/>
          <w:sz w:val="28"/>
          <w:szCs w:val="28"/>
        </w:rPr>
        <w:t>八、建议</w:t>
      </w:r>
      <w:bookmarkEnd w:id="64"/>
      <w:bookmarkEnd w:id="65"/>
      <w:bookmarkStart w:id="66" w:name="_Toc500202569"/>
      <w:bookmarkStart w:id="67" w:name="_Toc498009791"/>
      <w:bookmarkStart w:id="68" w:name="_Toc500440031"/>
      <w:bookmarkStart w:id="69" w:name="_Toc502134880"/>
      <w:bookmarkStart w:id="70" w:name="_Toc500364185"/>
      <w:bookmarkStart w:id="71" w:name="_Toc500589028"/>
      <w:bookmarkStart w:id="72" w:name="_Toc500849317"/>
    </w:p>
    <w:bookmarkEnd w:id="66"/>
    <w:bookmarkEnd w:id="67"/>
    <w:bookmarkEnd w:id="68"/>
    <w:bookmarkEnd w:id="69"/>
    <w:bookmarkEnd w:id="70"/>
    <w:bookmarkEnd w:id="71"/>
    <w:bookmarkEnd w:id="72"/>
    <w:p w14:paraId="1637FF98">
      <w:pPr>
        <w:ind w:firstLine="495" w:firstLineChars="177"/>
        <w:rPr>
          <w:rFonts w:hint="eastAsia" w:ascii="楷体" w:hAnsi="楷体" w:eastAsia="楷体" w:cs="仿宋"/>
          <w:sz w:val="28"/>
          <w:szCs w:val="28"/>
        </w:rPr>
      </w:pPr>
      <w:r>
        <w:rPr>
          <w:rFonts w:hint="eastAsia" w:ascii="楷体" w:hAnsi="楷体" w:eastAsia="楷体" w:cs="仿宋"/>
          <w:sz w:val="28"/>
          <w:szCs w:val="28"/>
        </w:rPr>
        <w:t>(一)加强绩效评价结果应用</w:t>
      </w:r>
    </w:p>
    <w:p w14:paraId="7D5531B2">
      <w:pPr>
        <w:ind w:firstLine="495" w:firstLineChars="177"/>
        <w:rPr>
          <w:rFonts w:hint="eastAsia"/>
          <w:sz w:val="28"/>
          <w:szCs w:val="28"/>
        </w:rPr>
      </w:pPr>
      <w:r>
        <w:rPr>
          <w:rFonts w:hint="eastAsia"/>
          <w:sz w:val="28"/>
          <w:szCs w:val="28"/>
        </w:rPr>
        <w:t>1.切实加强绩效评价结果运用</w:t>
      </w:r>
    </w:p>
    <w:p w14:paraId="486084CE">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w:t>
      </w:r>
    </w:p>
    <w:p w14:paraId="39D3B884">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0A5A6617">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490B346E">
      <w:pPr>
        <w:ind w:firstLine="495" w:firstLineChars="177"/>
        <w:rPr>
          <w:rFonts w:hint="eastAsia"/>
          <w:sz w:val="28"/>
          <w:szCs w:val="28"/>
        </w:rPr>
      </w:pPr>
      <w:r>
        <w:rPr>
          <w:sz w:val="28"/>
          <w:szCs w:val="28"/>
        </w:rPr>
        <w:t>3.</w:t>
      </w:r>
      <w:r>
        <w:rPr>
          <w:rFonts w:hint="eastAsia"/>
          <w:sz w:val="28"/>
          <w:szCs w:val="28"/>
        </w:rPr>
        <w:t>建立评价结果反馈与整改机制</w:t>
      </w:r>
    </w:p>
    <w:p w14:paraId="4DE74304">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3C02CF3D">
      <w:pPr>
        <w:ind w:firstLine="495" w:firstLineChars="177"/>
        <w:rPr>
          <w:rFonts w:hint="eastAsia" w:ascii="楷体" w:hAnsi="楷体" w:eastAsia="楷体" w:cs="仿宋"/>
          <w:sz w:val="28"/>
          <w:szCs w:val="28"/>
        </w:rPr>
      </w:pPr>
      <w:r>
        <w:rPr>
          <w:rFonts w:hint="eastAsia" w:ascii="楷体" w:hAnsi="楷体" w:eastAsia="楷体" w:cs="仿宋"/>
          <w:sz w:val="28"/>
          <w:szCs w:val="28"/>
        </w:rPr>
        <w:t>(二</w:t>
      </w:r>
      <w:r>
        <w:rPr>
          <w:rFonts w:ascii="楷体" w:hAnsi="楷体" w:eastAsia="楷体" w:cs="仿宋"/>
          <w:sz w:val="28"/>
          <w:szCs w:val="28"/>
        </w:rPr>
        <w:t>)</w:t>
      </w:r>
      <w:r>
        <w:rPr>
          <w:rFonts w:hint="eastAsia" w:ascii="楷体" w:hAnsi="楷体" w:eastAsia="楷体" w:cs="仿宋"/>
          <w:sz w:val="28"/>
          <w:szCs w:val="28"/>
        </w:rPr>
        <w:t>强化预算绩效目标管理主体责任</w:t>
      </w:r>
    </w:p>
    <w:p w14:paraId="52D52862">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567B0D8B">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49C37473">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6A572948">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2CD79044">
      <w:pPr>
        <w:ind w:firstLine="495" w:firstLineChars="177"/>
        <w:rPr>
          <w:rFonts w:hint="eastAsia"/>
          <w:sz w:val="28"/>
          <w:szCs w:val="28"/>
        </w:rPr>
      </w:pPr>
      <w:r>
        <w:rPr>
          <w:sz w:val="28"/>
          <w:szCs w:val="28"/>
        </w:rPr>
        <w:t>3.</w:t>
      </w:r>
      <w:r>
        <w:rPr>
          <w:rFonts w:hint="eastAsia"/>
          <w:sz w:val="28"/>
          <w:szCs w:val="28"/>
        </w:rPr>
        <w:t>加强绩效评价指标体系建设</w:t>
      </w:r>
    </w:p>
    <w:p w14:paraId="64C643C3">
      <w:pPr>
        <w:ind w:firstLine="495" w:firstLineChars="177"/>
        <w:rPr>
          <w:rFonts w:hint="eastAsia"/>
          <w:sz w:val="28"/>
          <w:szCs w:val="28"/>
        </w:rPr>
      </w:pPr>
      <w:r>
        <w:rPr>
          <w:rFonts w:hint="eastAsia"/>
          <w:sz w:val="28"/>
          <w:szCs w:val="28"/>
        </w:rPr>
        <w:t>进一步加大绩效评价制度建设和完善</w:t>
      </w:r>
      <w:bookmarkStart w:id="73" w:name="_Hlk138864084"/>
      <w:r>
        <w:rPr>
          <w:rFonts w:hint="eastAsia"/>
          <w:sz w:val="28"/>
          <w:szCs w:val="28"/>
        </w:rPr>
        <w:t>绩效评价指标体系建设</w:t>
      </w:r>
      <w:bookmarkEnd w:id="73"/>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25227F7C">
      <w:pPr>
        <w:ind w:firstLine="495" w:firstLineChars="177"/>
        <w:rPr>
          <w:rFonts w:hint="eastAsia" w:ascii="楷体" w:hAnsi="楷体" w:eastAsia="楷体" w:cs="仿宋"/>
          <w:sz w:val="28"/>
          <w:szCs w:val="28"/>
        </w:rPr>
      </w:pPr>
      <w:r>
        <w:rPr>
          <w:rFonts w:hint="eastAsia" w:ascii="楷体" w:hAnsi="楷体" w:eastAsia="楷体" w:cs="仿宋"/>
          <w:sz w:val="28"/>
          <w:szCs w:val="28"/>
        </w:rPr>
        <w:t>(三)加强学习，提高认识</w:t>
      </w:r>
    </w:p>
    <w:p w14:paraId="37818440">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6F05BD25">
      <w:pPr>
        <w:ind w:firstLine="560"/>
        <w:rPr>
          <w:rFonts w:hint="eastAsia" w:cs="仿宋"/>
          <w:sz w:val="28"/>
          <w:szCs w:val="28"/>
        </w:rPr>
      </w:pPr>
      <w:r>
        <w:rPr>
          <w:rFonts w:hint="eastAsia" w:cs="仿宋"/>
          <w:sz w:val="28"/>
          <w:szCs w:val="28"/>
        </w:rPr>
        <w:t>切实转变思想观念，牢固树立绩效意识，深入贯彻落实科学发展观，完善公共财政体系，推进财政科学化精细化管理，强化预算支出的责任和效率，提高财政资金使用效益。</w:t>
      </w:r>
    </w:p>
    <w:p w14:paraId="4A3634DF">
      <w:pPr>
        <w:ind w:firstLine="560"/>
        <w:rPr>
          <w:rFonts w:hint="eastAsia" w:ascii="楷体" w:hAnsi="楷体" w:eastAsia="楷体" w:cs="仿宋"/>
          <w:sz w:val="28"/>
          <w:szCs w:val="28"/>
        </w:rPr>
      </w:pPr>
      <w:r>
        <w:rPr>
          <w:rFonts w:hint="eastAsia" w:ascii="楷体" w:hAnsi="楷体" w:eastAsia="楷体" w:cs="仿宋"/>
          <w:sz w:val="28"/>
          <w:szCs w:val="28"/>
        </w:rPr>
        <w:t>(四)关于绩效管理的建议</w:t>
      </w:r>
    </w:p>
    <w:p w14:paraId="1C971AC4">
      <w:pPr>
        <w:ind w:firstLine="560"/>
        <w:rPr>
          <w:rFonts w:hint="eastAsia" w:cs="仿宋"/>
          <w:sz w:val="28"/>
          <w:szCs w:val="28"/>
        </w:rPr>
      </w:pPr>
      <w:r>
        <w:rPr>
          <w:rFonts w:hint="eastAsia" w:cs="仿宋"/>
          <w:sz w:val="28"/>
          <w:szCs w:val="28"/>
        </w:rPr>
        <w:t>1.绩效目标管理</w:t>
      </w:r>
    </w:p>
    <w:p w14:paraId="6BEA9D2E">
      <w:pPr>
        <w:ind w:firstLine="560"/>
        <w:rPr>
          <w:rFonts w:hint="eastAsia" w:cs="仿宋"/>
          <w:sz w:val="28"/>
          <w:szCs w:val="28"/>
        </w:rPr>
      </w:pPr>
      <w:r>
        <w:rPr>
          <w:rFonts w:hint="eastAsia" w:cs="仿宋"/>
          <w:sz w:val="28"/>
          <w:szCs w:val="28"/>
        </w:rPr>
        <w:t>按照“谁申报预算谁设定”的原则，预算单位在绩效目标管理方面的职责，主要是绩效目标的设定。建议按以下方法设定项目绩效目标：</w:t>
      </w:r>
    </w:p>
    <w:p w14:paraId="229CCE98">
      <w:pPr>
        <w:ind w:firstLine="560"/>
        <w:rPr>
          <w:rFonts w:hint="eastAsia" w:cs="仿宋"/>
          <w:sz w:val="28"/>
          <w:szCs w:val="28"/>
        </w:rPr>
      </w:pPr>
      <w:r>
        <w:rPr>
          <w:rFonts w:hint="eastAsia" w:cs="仿宋"/>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74AE71CF">
      <w:pPr>
        <w:ind w:firstLine="560"/>
        <w:rPr>
          <w:rFonts w:hint="eastAsia" w:cs="仿宋"/>
          <w:sz w:val="28"/>
          <w:szCs w:val="28"/>
        </w:rPr>
      </w:pPr>
      <w:r>
        <w:rPr>
          <w:rFonts w:hint="eastAsia" w:cs="仿宋"/>
          <w:sz w:val="28"/>
          <w:szCs w:val="28"/>
        </w:rPr>
        <w:t>(2)确定总体目标：依据项目的功能特性，预计项目实施在一定时期内所要达到的总体产出和效果，确定项目所要实现的总体目标，并以定量和定性相结合的方式进行表述。</w:t>
      </w:r>
    </w:p>
    <w:p w14:paraId="6351152C">
      <w:pPr>
        <w:ind w:firstLine="560"/>
        <w:rPr>
          <w:rFonts w:hint="eastAsia" w:cs="仿宋"/>
          <w:sz w:val="28"/>
          <w:szCs w:val="28"/>
        </w:rPr>
      </w:pPr>
      <w:r>
        <w:rPr>
          <w:rFonts w:hint="eastAsia" w:cs="仿宋"/>
          <w:sz w:val="28"/>
          <w:szCs w:val="28"/>
        </w:rPr>
        <w:t>(3)确定绩效指标：对项目支出总体目标进行细化分解，从中概括、提炼出最能反映总体目标预期实现程度的关键性指标，并将其确定为相应的绩效指标。</w:t>
      </w:r>
    </w:p>
    <w:p w14:paraId="38A6264E">
      <w:pPr>
        <w:ind w:firstLine="560"/>
        <w:rPr>
          <w:rFonts w:hint="eastAsia" w:cs="仿宋"/>
          <w:sz w:val="28"/>
          <w:szCs w:val="28"/>
        </w:rPr>
      </w:pPr>
      <w:r>
        <w:rPr>
          <w:rFonts w:hint="eastAsia" w:cs="仿宋"/>
          <w:sz w:val="28"/>
          <w:szCs w:val="28"/>
        </w:rPr>
        <w:t>(4)确定指标值：通过收集相关基准数据，确定绩效标准，并结合项目预期进展、预计投入等情况，确定绩效指标的具体数值。</w:t>
      </w:r>
    </w:p>
    <w:p w14:paraId="591858B3">
      <w:pPr>
        <w:ind w:firstLine="560"/>
        <w:rPr>
          <w:rFonts w:hint="eastAsia" w:cs="仿宋"/>
          <w:sz w:val="28"/>
          <w:szCs w:val="28"/>
        </w:rPr>
      </w:pPr>
      <w:r>
        <w:rPr>
          <w:rFonts w:hint="eastAsia" w:cs="仿宋"/>
          <w:sz w:val="28"/>
          <w:szCs w:val="28"/>
        </w:rPr>
        <w:t>2.绩效自评</w:t>
      </w:r>
    </w:p>
    <w:p w14:paraId="160FA71E">
      <w:pPr>
        <w:ind w:firstLine="560"/>
        <w:rPr>
          <w:rFonts w:hint="eastAsia" w:cs="仿宋"/>
          <w:sz w:val="28"/>
          <w:szCs w:val="28"/>
        </w:rPr>
      </w:pPr>
      <w:r>
        <w:rPr>
          <w:rFonts w:hint="eastAsia" w:cs="仿宋"/>
          <w:sz w:val="28"/>
          <w:szCs w:val="28"/>
        </w:rPr>
        <w:t>绩效自评是预算单位主体责任之一，按照绩效评价管理原则，须先有项目产出和效果的绩效自评结果，才有预算主管部门的绩效评价基础。自评程序及方法建议如下：</w:t>
      </w:r>
    </w:p>
    <w:p w14:paraId="718AE670">
      <w:pPr>
        <w:ind w:firstLine="560"/>
        <w:rPr>
          <w:rFonts w:hint="eastAsia" w:cs="仿宋"/>
          <w:sz w:val="28"/>
          <w:szCs w:val="28"/>
        </w:rPr>
      </w:pPr>
      <w:r>
        <w:rPr>
          <w:rFonts w:hint="eastAsia" w:cs="仿宋"/>
          <w:sz w:val="28"/>
          <w:szCs w:val="28"/>
        </w:rPr>
        <w:t>(1)遵循“目标引领、科学规范、客观公正、结果导向”的原则。</w:t>
      </w:r>
    </w:p>
    <w:p w14:paraId="78B74DE5">
      <w:pPr>
        <w:ind w:firstLine="560"/>
        <w:rPr>
          <w:rFonts w:hint="eastAsia" w:cs="仿宋"/>
          <w:sz w:val="28"/>
          <w:szCs w:val="28"/>
        </w:rPr>
      </w:pPr>
      <w:r>
        <w:rPr>
          <w:rFonts w:hint="eastAsia" w:cs="仿宋"/>
          <w:sz w:val="28"/>
          <w:szCs w:val="28"/>
        </w:rPr>
        <w:t>(2)拟定评价计划。明确评价组织实施方式，确定评价目的、内容、任务、依据、评价时间及要求等方面的情况。</w:t>
      </w:r>
    </w:p>
    <w:p w14:paraId="2B344A18">
      <w:pPr>
        <w:ind w:firstLine="560"/>
        <w:rPr>
          <w:rFonts w:hint="eastAsia" w:cs="仿宋"/>
          <w:sz w:val="28"/>
          <w:szCs w:val="28"/>
        </w:rPr>
      </w:pPr>
      <w:r>
        <w:rPr>
          <w:rFonts w:hint="eastAsia" w:cs="仿宋"/>
          <w:sz w:val="28"/>
          <w:szCs w:val="28"/>
        </w:rPr>
        <w:t>(3)根据评价计划拟定组织实施方案、评价指标体系等具体评价方案。</w:t>
      </w:r>
    </w:p>
    <w:p w14:paraId="100B56F5">
      <w:pPr>
        <w:ind w:firstLine="560"/>
        <w:rPr>
          <w:rFonts w:hint="eastAsia" w:cs="仿宋"/>
          <w:sz w:val="28"/>
          <w:szCs w:val="28"/>
        </w:rPr>
      </w:pPr>
      <w:r>
        <w:rPr>
          <w:rFonts w:hint="eastAsia" w:cs="仿宋"/>
          <w:sz w:val="28"/>
          <w:szCs w:val="28"/>
        </w:rPr>
        <w:t>(4)收集项目资料，采集项目数据，形成评价底稿。</w:t>
      </w:r>
    </w:p>
    <w:p w14:paraId="1E13BF7C">
      <w:pPr>
        <w:ind w:firstLine="560"/>
        <w:rPr>
          <w:rFonts w:hint="eastAsia" w:cs="仿宋"/>
          <w:sz w:val="28"/>
          <w:szCs w:val="28"/>
        </w:rPr>
      </w:pPr>
      <w:r>
        <w:rPr>
          <w:rFonts w:hint="eastAsia" w:cs="仿宋"/>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76A5C0A6">
      <w:pPr>
        <w:ind w:firstLine="560"/>
        <w:rPr>
          <w:rFonts w:hint="eastAsia" w:cs="仿宋"/>
          <w:sz w:val="28"/>
          <w:szCs w:val="28"/>
        </w:rPr>
      </w:pPr>
      <w:r>
        <w:rPr>
          <w:rFonts w:hint="eastAsia" w:cs="仿宋"/>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4FDCA0E2">
      <w:pPr>
        <w:ind w:firstLine="560"/>
        <w:rPr>
          <w:rFonts w:hint="eastAsia" w:cs="仿宋"/>
          <w:sz w:val="28"/>
          <w:szCs w:val="28"/>
        </w:rPr>
      </w:pPr>
      <w:r>
        <w:rPr>
          <w:rFonts w:hint="eastAsia" w:cs="仿宋"/>
          <w:sz w:val="28"/>
          <w:szCs w:val="28"/>
        </w:rPr>
        <w:t>(5)编制绩效自评报告。绩效自评报告的参考格式参照《项目支出绩效评价管理办法》（财预〔2020〕10 号）附件。</w:t>
      </w:r>
    </w:p>
    <w:p w14:paraId="5E14CC40">
      <w:pPr>
        <w:ind w:firstLine="560"/>
        <w:rPr>
          <w:rFonts w:hint="eastAsia" w:cs="仿宋"/>
          <w:sz w:val="28"/>
          <w:szCs w:val="28"/>
        </w:rPr>
      </w:pPr>
      <w:r>
        <w:rPr>
          <w:rFonts w:hint="eastAsia" w:cs="仿宋"/>
          <w:sz w:val="28"/>
          <w:szCs w:val="28"/>
        </w:rPr>
        <w:t>3.绩效运行跟踪监控</w:t>
      </w:r>
    </w:p>
    <w:p w14:paraId="5EEC9E65">
      <w:pPr>
        <w:ind w:firstLine="560"/>
        <w:rPr>
          <w:rFonts w:hint="eastAsia" w:cs="仿宋"/>
          <w:sz w:val="28"/>
          <w:szCs w:val="28"/>
        </w:rPr>
      </w:pPr>
      <w:r>
        <w:rPr>
          <w:rFonts w:hint="eastAsia" w:cs="仿宋"/>
          <w:sz w:val="28"/>
          <w:szCs w:val="28"/>
        </w:rPr>
        <w:t>在项目执行过程中，单位应采取绩效跟踪、数据核查和实地调研等动态监控方式，及时掌控项目的进展和资金使用情况，及时纠正偏离预算绩效目标的行为。</w:t>
      </w:r>
    </w:p>
    <w:p w14:paraId="06DFD6B0">
      <w:pPr>
        <w:ind w:firstLine="495" w:firstLineChars="177"/>
        <w:rPr>
          <w:rFonts w:hint="eastAsia" w:cs="仿宋"/>
          <w:sz w:val="28"/>
          <w:szCs w:val="28"/>
        </w:rPr>
      </w:pPr>
      <w:r>
        <w:rPr>
          <w:rFonts w:hint="eastAsia" w:cs="仿宋"/>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74926700">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2F866835">
      <w:pPr>
        <w:ind w:firstLine="495" w:firstLineChars="177"/>
        <w:rPr>
          <w:rFonts w:hint="eastAsia"/>
          <w:sz w:val="28"/>
          <w:szCs w:val="28"/>
        </w:rPr>
      </w:pPr>
      <w:r>
        <w:rPr>
          <w:rFonts w:hint="eastAsia" w:cs="仿宋"/>
          <w:sz w:val="28"/>
          <w:szCs w:val="28"/>
        </w:rPr>
        <w:t>1.针对上述“支付票据不规范”的问题，</w:t>
      </w:r>
      <w:r>
        <w:rPr>
          <w:rFonts w:hint="eastAsia"/>
          <w:sz w:val="28"/>
          <w:szCs w:val="28"/>
        </w:rPr>
        <w:t>建议教体局加强票据审核，对于不合规、不规范的票据退回重开。</w:t>
      </w:r>
    </w:p>
    <w:p w14:paraId="525880CF">
      <w:pPr>
        <w:ind w:firstLine="560"/>
        <w:rPr>
          <w:rFonts w:hint="eastAsia" w:cs="仿宋"/>
          <w:sz w:val="28"/>
          <w:szCs w:val="28"/>
        </w:rPr>
      </w:pPr>
    </w:p>
    <w:p w14:paraId="285270F3">
      <w:pPr>
        <w:ind w:firstLine="560"/>
        <w:rPr>
          <w:rFonts w:hint="eastAsia" w:cs="仿宋"/>
          <w:sz w:val="28"/>
          <w:szCs w:val="28"/>
        </w:rPr>
      </w:pPr>
      <w:r>
        <w:rPr>
          <w:rFonts w:hint="eastAsia" w:cs="仿宋"/>
          <w:sz w:val="28"/>
          <w:szCs w:val="28"/>
        </w:rPr>
        <w:t>附件：寻甸县教育体育局2023年寻甸县承办市第七届运动会专项经费项目支出绩效评价指标体系及评分表</w:t>
      </w:r>
    </w:p>
    <w:p w14:paraId="5CDE6998">
      <w:pPr>
        <w:ind w:firstLine="560"/>
        <w:rPr>
          <w:rFonts w:hint="eastAsia" w:cs="仿宋"/>
          <w:sz w:val="28"/>
          <w:szCs w:val="28"/>
        </w:rPr>
      </w:pPr>
      <w:r>
        <w:rPr>
          <w:rFonts w:hint="eastAsia" w:cs="仿宋"/>
          <w:sz w:val="28"/>
          <w:szCs w:val="28"/>
        </w:rPr>
        <w:t xml:space="preserve">                           </w:t>
      </w:r>
    </w:p>
    <w:p w14:paraId="5B85C741">
      <w:pPr>
        <w:ind w:firstLine="0" w:firstLineChars="0"/>
        <w:rPr>
          <w:rFonts w:hint="eastAsia" w:cs="仿宋"/>
          <w:sz w:val="28"/>
          <w:szCs w:val="28"/>
        </w:rPr>
      </w:pPr>
      <w:r>
        <w:rPr>
          <w:rFonts w:hint="eastAsia" w:cs="仿宋"/>
          <w:sz w:val="28"/>
          <w:szCs w:val="28"/>
        </w:rPr>
        <w:t>云南京健会计师事务所（普通合伙）    中国注册会计师：</w:t>
      </w:r>
    </w:p>
    <w:p w14:paraId="3639FD0E">
      <w:pPr>
        <w:spacing w:line="240" w:lineRule="auto"/>
        <w:ind w:firstLine="5040" w:firstLineChars="2100"/>
        <w:rPr>
          <w:rFonts w:hint="eastAsia" w:cs="仿宋"/>
          <w:szCs w:val="24"/>
        </w:rPr>
      </w:pPr>
    </w:p>
    <w:p w14:paraId="69ADBFE6">
      <w:pPr>
        <w:spacing w:line="240" w:lineRule="auto"/>
        <w:ind w:firstLine="5040" w:firstLineChars="2100"/>
        <w:rPr>
          <w:rFonts w:hint="eastAsia" w:cs="仿宋"/>
          <w:szCs w:val="24"/>
        </w:rPr>
      </w:pPr>
    </w:p>
    <w:p w14:paraId="49A7D523">
      <w:pPr>
        <w:spacing w:line="240" w:lineRule="auto"/>
        <w:ind w:firstLine="1400" w:firstLineChars="500"/>
        <w:rPr>
          <w:rFonts w:hint="eastAsia" w:cs="仿宋"/>
          <w:sz w:val="28"/>
          <w:szCs w:val="28"/>
        </w:rPr>
      </w:pPr>
      <w:r>
        <w:rPr>
          <w:rFonts w:hint="eastAsia" w:cs="仿宋"/>
          <w:sz w:val="28"/>
          <w:szCs w:val="28"/>
        </w:rPr>
        <w:t>中国•昆明                 中国注册会计师：</w:t>
      </w:r>
    </w:p>
    <w:p w14:paraId="46A87FD9">
      <w:pPr>
        <w:pStyle w:val="4"/>
        <w:spacing w:line="240" w:lineRule="auto"/>
        <w:ind w:firstLine="300"/>
        <w:rPr>
          <w:rFonts w:hint="eastAsia"/>
          <w:sz w:val="15"/>
          <w:szCs w:val="15"/>
        </w:rPr>
      </w:pPr>
    </w:p>
    <w:p w14:paraId="493D8365">
      <w:pPr>
        <w:spacing w:line="240" w:lineRule="auto"/>
        <w:ind w:firstLine="560"/>
        <w:rPr>
          <w:rFonts w:hint="eastAsia" w:ascii="仿宋_GB2312" w:hAnsi="仿宋_GB2312" w:eastAsia="仿宋_GB2312" w:cs="仿宋_GB2312"/>
          <w:sz w:val="28"/>
          <w:szCs w:val="28"/>
        </w:rPr>
      </w:pPr>
      <w:r>
        <w:rPr>
          <w:rFonts w:hint="eastAsia" w:cs="仿宋"/>
          <w:sz w:val="28"/>
          <w:szCs w:val="28"/>
        </w:rPr>
        <w:t xml:space="preserve">                           二〇二四年九月二十五日</w:t>
      </w:r>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BE18">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6258">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824E">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950E6">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posOffset>2074545</wp:posOffset>
              </wp:positionH>
              <wp:positionV relativeFrom="paragraph">
                <wp:posOffset>635</wp:posOffset>
              </wp:positionV>
              <wp:extent cx="1473200" cy="279400"/>
              <wp:effectExtent l="0" t="0" r="12700" b="6350"/>
              <wp:wrapNone/>
              <wp:docPr id="5" name="文本框 5"/>
              <wp:cNvGraphicFramePr/>
              <a:graphic xmlns:a="http://schemas.openxmlformats.org/drawingml/2006/main">
                <a:graphicData uri="http://schemas.microsoft.com/office/word/2010/wordprocessingShape">
                  <wps:wsp>
                    <wps:cNvSpPr txBox="1"/>
                    <wps:spPr>
                      <a:xfrm>
                        <a:off x="0" y="0"/>
                        <a:ext cx="147320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35C3">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20</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5pt;margin-top:0.05pt;height:22pt;width:116pt;mso-position-horizontal-relative:margin;z-index:251662336;mso-width-relative:page;mso-height-relative:page;" filled="f" stroked="f" coordsize="21600,21600" o:gfxdata="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s0XzNUAAAAHAQAADwAAAAAAAAABACAAAAAiAAAAZHJzL2Rvd25yZXYueG1sUEsB&#10;AhQAFAAAAAgAh07iQBCBNIoxAgAAVgQAAA4AAAAAAAAAAQAgAAAAJAEAAGRycy9lMm9Eb2MueG1s&#10;UEsFBgAAAAAGAAYAWQEAAMcFAAAAAA==&#10;">
              <v:fill on="f" focussize="0,0"/>
              <v:stroke on="f" weight="0.5pt"/>
              <v:imagedata o:title=""/>
              <o:lock v:ext="edit" aspectratio="f"/>
              <v:textbox inset="0mm,0mm,0mm,0mm">
                <w:txbxContent>
                  <w:p w14:paraId="2FF935C3">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20</w:t>
                    </w:r>
                    <w:r>
                      <w:t>页</w:t>
                    </w:r>
                  </w:p>
                </w:txbxContent>
              </v:textbox>
            </v:shape>
          </w:pict>
        </mc:Fallback>
      </mc:AlternateContent>
    </w:r>
  </w:p>
  <w:p w14:paraId="53614525">
    <w:pPr>
      <w:spacing w:line="240" w:lineRule="auto"/>
      <w:ind w:firstLine="0" w:firstLineChars="0"/>
      <w:jc w:val="distribute"/>
      <w:rPr>
        <w:rFonts w:ascii="Calibri" w:hAnsi="Calibri" w:cs="Calibri"/>
        <w:sz w:val="18"/>
        <w:szCs w:val="18"/>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6951929B">
                          <w:pPr>
                            <w:pStyle w:val="5"/>
                            <w:ind w:firstLine="0" w:firstLineChars="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0288;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BWAd4MAIAAFMEAAAOAAAAAAAAAAEAIAAAACkBAABkcnMvZTJvRG9j&#10;LnhtbFBLBQYAAAAABgAGAFkBAADLBQAAAAA=&#10;">
              <v:fill on="f" focussize="0,0"/>
              <v:stroke on="f" weight="0.5pt"/>
              <v:imagedata o:title=""/>
              <o:lock v:ext="edit" aspectratio="f"/>
              <v:textbox inset="0mm,0mm,0mm,0mm">
                <w:txbxContent>
                  <w:p w14:paraId="6951929B">
                    <w:pPr>
                      <w:pStyle w:val="5"/>
                      <w:ind w:firstLine="0" w:firstLineChars="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2D488375">
                          <w:pPr>
                            <w:pStyle w:val="5"/>
                            <w:ind w:firstLine="0" w:firstLineChars="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1312;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2D488375">
                    <w:pPr>
                      <w:pStyle w:val="5"/>
                      <w:ind w:firstLine="0" w:firstLineChars="0"/>
                      <w:rPr>
                        <w:rFonts w:hint="eastAsia"/>
                      </w:rPr>
                    </w:pPr>
                  </w:p>
                </w:txbxContent>
              </v:textbox>
            </v:shape>
          </w:pict>
        </mc:Fallback>
      </mc:AlternateContent>
    </w:r>
    <w:r>
      <w:rPr>
        <w:rFonts w:ascii="Calibri" w:hAnsi="Calibri" w:cs="Calibr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B9DF5">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EB9DF5">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96A8">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74C4">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5F61">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15509"/>
    <w:rsid w:val="00024B3C"/>
    <w:rsid w:val="00044A09"/>
    <w:rsid w:val="00072D53"/>
    <w:rsid w:val="0009447D"/>
    <w:rsid w:val="000A11AC"/>
    <w:rsid w:val="000A13D4"/>
    <w:rsid w:val="000A5F28"/>
    <w:rsid w:val="000C2AB7"/>
    <w:rsid w:val="000D1D34"/>
    <w:rsid w:val="000E2072"/>
    <w:rsid w:val="000E2CD2"/>
    <w:rsid w:val="000F3900"/>
    <w:rsid w:val="001230D4"/>
    <w:rsid w:val="001239EA"/>
    <w:rsid w:val="0014793A"/>
    <w:rsid w:val="001A6F17"/>
    <w:rsid w:val="001B0A62"/>
    <w:rsid w:val="001D58E7"/>
    <w:rsid w:val="001E2978"/>
    <w:rsid w:val="001E531F"/>
    <w:rsid w:val="001E5BB7"/>
    <w:rsid w:val="00214176"/>
    <w:rsid w:val="002415BB"/>
    <w:rsid w:val="002607EF"/>
    <w:rsid w:val="00264CA6"/>
    <w:rsid w:val="002715D8"/>
    <w:rsid w:val="00275F57"/>
    <w:rsid w:val="002A3BE4"/>
    <w:rsid w:val="002A7DDA"/>
    <w:rsid w:val="002C2048"/>
    <w:rsid w:val="002E6145"/>
    <w:rsid w:val="002E7EAC"/>
    <w:rsid w:val="002F00C5"/>
    <w:rsid w:val="002F42E5"/>
    <w:rsid w:val="00306B3F"/>
    <w:rsid w:val="003435AF"/>
    <w:rsid w:val="00370D57"/>
    <w:rsid w:val="003712D1"/>
    <w:rsid w:val="00374C05"/>
    <w:rsid w:val="003935FA"/>
    <w:rsid w:val="003A1E68"/>
    <w:rsid w:val="003A2646"/>
    <w:rsid w:val="003A27F7"/>
    <w:rsid w:val="003C273F"/>
    <w:rsid w:val="003C6FD3"/>
    <w:rsid w:val="003D4214"/>
    <w:rsid w:val="003D4925"/>
    <w:rsid w:val="003F6781"/>
    <w:rsid w:val="004209E9"/>
    <w:rsid w:val="00422D75"/>
    <w:rsid w:val="00430809"/>
    <w:rsid w:val="00431574"/>
    <w:rsid w:val="004329B0"/>
    <w:rsid w:val="00450301"/>
    <w:rsid w:val="00453F28"/>
    <w:rsid w:val="004677B8"/>
    <w:rsid w:val="00496EB2"/>
    <w:rsid w:val="004A20E6"/>
    <w:rsid w:val="004A326B"/>
    <w:rsid w:val="004A457C"/>
    <w:rsid w:val="004A6D3B"/>
    <w:rsid w:val="004C613D"/>
    <w:rsid w:val="004D1D67"/>
    <w:rsid w:val="004D23FD"/>
    <w:rsid w:val="004D6964"/>
    <w:rsid w:val="004E4EB7"/>
    <w:rsid w:val="00511D5C"/>
    <w:rsid w:val="00514775"/>
    <w:rsid w:val="00514EE6"/>
    <w:rsid w:val="00526288"/>
    <w:rsid w:val="00535B87"/>
    <w:rsid w:val="00566750"/>
    <w:rsid w:val="00571DF9"/>
    <w:rsid w:val="005727DD"/>
    <w:rsid w:val="00585D72"/>
    <w:rsid w:val="00586C37"/>
    <w:rsid w:val="00595FB5"/>
    <w:rsid w:val="005B7FB7"/>
    <w:rsid w:val="005C573E"/>
    <w:rsid w:val="005E6414"/>
    <w:rsid w:val="00600037"/>
    <w:rsid w:val="00611E60"/>
    <w:rsid w:val="006149C5"/>
    <w:rsid w:val="006306BF"/>
    <w:rsid w:val="006449A3"/>
    <w:rsid w:val="00647520"/>
    <w:rsid w:val="00654B7C"/>
    <w:rsid w:val="00660567"/>
    <w:rsid w:val="00662030"/>
    <w:rsid w:val="0066613F"/>
    <w:rsid w:val="006703CD"/>
    <w:rsid w:val="00671B27"/>
    <w:rsid w:val="00677396"/>
    <w:rsid w:val="00684DAC"/>
    <w:rsid w:val="0068706F"/>
    <w:rsid w:val="006A0953"/>
    <w:rsid w:val="006A0A16"/>
    <w:rsid w:val="006B193F"/>
    <w:rsid w:val="006B4261"/>
    <w:rsid w:val="006C5BA8"/>
    <w:rsid w:val="006C798D"/>
    <w:rsid w:val="006E1538"/>
    <w:rsid w:val="006E5D1A"/>
    <w:rsid w:val="006F40FD"/>
    <w:rsid w:val="00706862"/>
    <w:rsid w:val="00710420"/>
    <w:rsid w:val="00724FE2"/>
    <w:rsid w:val="00731649"/>
    <w:rsid w:val="00754A4A"/>
    <w:rsid w:val="00755A36"/>
    <w:rsid w:val="00757ABE"/>
    <w:rsid w:val="0076291C"/>
    <w:rsid w:val="007716F2"/>
    <w:rsid w:val="0077314F"/>
    <w:rsid w:val="00777686"/>
    <w:rsid w:val="007926C2"/>
    <w:rsid w:val="007B2524"/>
    <w:rsid w:val="007C3280"/>
    <w:rsid w:val="007D06F9"/>
    <w:rsid w:val="007E3680"/>
    <w:rsid w:val="007F42FC"/>
    <w:rsid w:val="007F544D"/>
    <w:rsid w:val="008071AD"/>
    <w:rsid w:val="008073FA"/>
    <w:rsid w:val="008445D5"/>
    <w:rsid w:val="00861AF7"/>
    <w:rsid w:val="00864C20"/>
    <w:rsid w:val="008758D4"/>
    <w:rsid w:val="008975E0"/>
    <w:rsid w:val="008A5B9B"/>
    <w:rsid w:val="008B0C94"/>
    <w:rsid w:val="008D6179"/>
    <w:rsid w:val="008D6685"/>
    <w:rsid w:val="008F1C58"/>
    <w:rsid w:val="008F605A"/>
    <w:rsid w:val="00905D6C"/>
    <w:rsid w:val="00913BC2"/>
    <w:rsid w:val="00913D9D"/>
    <w:rsid w:val="00932D0E"/>
    <w:rsid w:val="009444DF"/>
    <w:rsid w:val="00946B34"/>
    <w:rsid w:val="00953C68"/>
    <w:rsid w:val="00976639"/>
    <w:rsid w:val="009850B8"/>
    <w:rsid w:val="009866E9"/>
    <w:rsid w:val="009977DC"/>
    <w:rsid w:val="009B15DF"/>
    <w:rsid w:val="009B5809"/>
    <w:rsid w:val="00A03A36"/>
    <w:rsid w:val="00A10757"/>
    <w:rsid w:val="00A13752"/>
    <w:rsid w:val="00A417E5"/>
    <w:rsid w:val="00A4267B"/>
    <w:rsid w:val="00A46FBA"/>
    <w:rsid w:val="00A53BC4"/>
    <w:rsid w:val="00A864BC"/>
    <w:rsid w:val="00A93F09"/>
    <w:rsid w:val="00A975BA"/>
    <w:rsid w:val="00A978AE"/>
    <w:rsid w:val="00AA11B3"/>
    <w:rsid w:val="00AB436F"/>
    <w:rsid w:val="00AE3791"/>
    <w:rsid w:val="00AE6716"/>
    <w:rsid w:val="00AE7FDF"/>
    <w:rsid w:val="00B01956"/>
    <w:rsid w:val="00B22112"/>
    <w:rsid w:val="00B2667C"/>
    <w:rsid w:val="00B709E3"/>
    <w:rsid w:val="00B71E1A"/>
    <w:rsid w:val="00B82FB0"/>
    <w:rsid w:val="00B948BD"/>
    <w:rsid w:val="00B95EE7"/>
    <w:rsid w:val="00BA0CAD"/>
    <w:rsid w:val="00BA7942"/>
    <w:rsid w:val="00BA7A3B"/>
    <w:rsid w:val="00BC4075"/>
    <w:rsid w:val="00BD2F72"/>
    <w:rsid w:val="00BF04C3"/>
    <w:rsid w:val="00BF4220"/>
    <w:rsid w:val="00BF6340"/>
    <w:rsid w:val="00C05F63"/>
    <w:rsid w:val="00C15303"/>
    <w:rsid w:val="00C36906"/>
    <w:rsid w:val="00C3762A"/>
    <w:rsid w:val="00C413D1"/>
    <w:rsid w:val="00C46193"/>
    <w:rsid w:val="00C56F4D"/>
    <w:rsid w:val="00C75453"/>
    <w:rsid w:val="00C91185"/>
    <w:rsid w:val="00CF1ACB"/>
    <w:rsid w:val="00D10B47"/>
    <w:rsid w:val="00D10C8C"/>
    <w:rsid w:val="00D161F4"/>
    <w:rsid w:val="00D1717B"/>
    <w:rsid w:val="00DB458C"/>
    <w:rsid w:val="00DB612D"/>
    <w:rsid w:val="00DC665C"/>
    <w:rsid w:val="00DE7A9A"/>
    <w:rsid w:val="00E151C8"/>
    <w:rsid w:val="00E253CD"/>
    <w:rsid w:val="00E347F1"/>
    <w:rsid w:val="00E35DC6"/>
    <w:rsid w:val="00E42ADD"/>
    <w:rsid w:val="00E44E2E"/>
    <w:rsid w:val="00E5225A"/>
    <w:rsid w:val="00E55D71"/>
    <w:rsid w:val="00E6785B"/>
    <w:rsid w:val="00E774B8"/>
    <w:rsid w:val="00E8619D"/>
    <w:rsid w:val="00EA399B"/>
    <w:rsid w:val="00EB637E"/>
    <w:rsid w:val="00EC490D"/>
    <w:rsid w:val="00EC5FC6"/>
    <w:rsid w:val="00ED25C7"/>
    <w:rsid w:val="00EE4335"/>
    <w:rsid w:val="00EE4C3D"/>
    <w:rsid w:val="00EF3791"/>
    <w:rsid w:val="00F02898"/>
    <w:rsid w:val="00F048D4"/>
    <w:rsid w:val="00F1483B"/>
    <w:rsid w:val="00F523CD"/>
    <w:rsid w:val="00F53C6A"/>
    <w:rsid w:val="00F67974"/>
    <w:rsid w:val="00FA3F6B"/>
    <w:rsid w:val="00FA40D5"/>
    <w:rsid w:val="00FB1D37"/>
    <w:rsid w:val="00FB218F"/>
    <w:rsid w:val="00FE4897"/>
    <w:rsid w:val="00FF214A"/>
    <w:rsid w:val="00FF2222"/>
    <w:rsid w:val="010C6983"/>
    <w:rsid w:val="012C7DC0"/>
    <w:rsid w:val="012F3B23"/>
    <w:rsid w:val="01432CF3"/>
    <w:rsid w:val="01436F9F"/>
    <w:rsid w:val="01880A19"/>
    <w:rsid w:val="018C388B"/>
    <w:rsid w:val="01973B44"/>
    <w:rsid w:val="01B65C30"/>
    <w:rsid w:val="01C64855"/>
    <w:rsid w:val="01E26F97"/>
    <w:rsid w:val="01EC3E90"/>
    <w:rsid w:val="02151E80"/>
    <w:rsid w:val="022E0963"/>
    <w:rsid w:val="0257031E"/>
    <w:rsid w:val="02684EB4"/>
    <w:rsid w:val="026D72F2"/>
    <w:rsid w:val="029015C2"/>
    <w:rsid w:val="02A02758"/>
    <w:rsid w:val="02A3463C"/>
    <w:rsid w:val="02A70805"/>
    <w:rsid w:val="02BC2BBA"/>
    <w:rsid w:val="02EA73E1"/>
    <w:rsid w:val="0307577D"/>
    <w:rsid w:val="03575C81"/>
    <w:rsid w:val="035E2B6B"/>
    <w:rsid w:val="0365214C"/>
    <w:rsid w:val="03863E70"/>
    <w:rsid w:val="03BD28D6"/>
    <w:rsid w:val="03CF5817"/>
    <w:rsid w:val="04077CBC"/>
    <w:rsid w:val="045C346D"/>
    <w:rsid w:val="048A2A24"/>
    <w:rsid w:val="049401D8"/>
    <w:rsid w:val="04AC5FBE"/>
    <w:rsid w:val="04E77027"/>
    <w:rsid w:val="05145211"/>
    <w:rsid w:val="0521507F"/>
    <w:rsid w:val="052E47BF"/>
    <w:rsid w:val="055C6AE7"/>
    <w:rsid w:val="05634866"/>
    <w:rsid w:val="057F1E81"/>
    <w:rsid w:val="05FB5DC4"/>
    <w:rsid w:val="06186903"/>
    <w:rsid w:val="062A6E20"/>
    <w:rsid w:val="06404308"/>
    <w:rsid w:val="06790629"/>
    <w:rsid w:val="067B3A34"/>
    <w:rsid w:val="06A96071"/>
    <w:rsid w:val="06BD18CD"/>
    <w:rsid w:val="06DD1B0A"/>
    <w:rsid w:val="06DE5211"/>
    <w:rsid w:val="070077AC"/>
    <w:rsid w:val="07014EC2"/>
    <w:rsid w:val="074C6A10"/>
    <w:rsid w:val="075C167D"/>
    <w:rsid w:val="07D475CA"/>
    <w:rsid w:val="07F53CEB"/>
    <w:rsid w:val="08000695"/>
    <w:rsid w:val="080C5426"/>
    <w:rsid w:val="081D15C4"/>
    <w:rsid w:val="08281E83"/>
    <w:rsid w:val="08310243"/>
    <w:rsid w:val="08932548"/>
    <w:rsid w:val="08BE1A5F"/>
    <w:rsid w:val="08E46646"/>
    <w:rsid w:val="09137F54"/>
    <w:rsid w:val="095F41FF"/>
    <w:rsid w:val="09734E97"/>
    <w:rsid w:val="09790F31"/>
    <w:rsid w:val="097C2206"/>
    <w:rsid w:val="09811723"/>
    <w:rsid w:val="09943BCA"/>
    <w:rsid w:val="09BE3873"/>
    <w:rsid w:val="09D850BF"/>
    <w:rsid w:val="0A177A6F"/>
    <w:rsid w:val="0A9F4057"/>
    <w:rsid w:val="0AA03A6A"/>
    <w:rsid w:val="0ABE7C42"/>
    <w:rsid w:val="0AD41505"/>
    <w:rsid w:val="0B114150"/>
    <w:rsid w:val="0B116715"/>
    <w:rsid w:val="0B2B5475"/>
    <w:rsid w:val="0B316DB7"/>
    <w:rsid w:val="0B45384A"/>
    <w:rsid w:val="0BDD6276"/>
    <w:rsid w:val="0BFF1C88"/>
    <w:rsid w:val="0C016446"/>
    <w:rsid w:val="0C1D7C13"/>
    <w:rsid w:val="0C230B9E"/>
    <w:rsid w:val="0C264442"/>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EC248F6"/>
    <w:rsid w:val="0F016733"/>
    <w:rsid w:val="0F201299"/>
    <w:rsid w:val="0F3026BC"/>
    <w:rsid w:val="0F4F24AB"/>
    <w:rsid w:val="0F6F0C3D"/>
    <w:rsid w:val="0FA554CA"/>
    <w:rsid w:val="0FE34B24"/>
    <w:rsid w:val="100D1BA1"/>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716160"/>
    <w:rsid w:val="11CA17ED"/>
    <w:rsid w:val="11DA58D8"/>
    <w:rsid w:val="11E920D6"/>
    <w:rsid w:val="120A0F69"/>
    <w:rsid w:val="1225668C"/>
    <w:rsid w:val="122660D5"/>
    <w:rsid w:val="12320C01"/>
    <w:rsid w:val="1256332B"/>
    <w:rsid w:val="1283031A"/>
    <w:rsid w:val="128565DB"/>
    <w:rsid w:val="12DB208F"/>
    <w:rsid w:val="12E0534B"/>
    <w:rsid w:val="12ED67D7"/>
    <w:rsid w:val="12FC68FF"/>
    <w:rsid w:val="130C2193"/>
    <w:rsid w:val="130E3903"/>
    <w:rsid w:val="13166809"/>
    <w:rsid w:val="1319085D"/>
    <w:rsid w:val="132922C3"/>
    <w:rsid w:val="13544641"/>
    <w:rsid w:val="13943B2C"/>
    <w:rsid w:val="13D5523A"/>
    <w:rsid w:val="13D656DB"/>
    <w:rsid w:val="13D7779C"/>
    <w:rsid w:val="13DF48A7"/>
    <w:rsid w:val="144D3492"/>
    <w:rsid w:val="144D747C"/>
    <w:rsid w:val="145A1383"/>
    <w:rsid w:val="14D5415A"/>
    <w:rsid w:val="14D9678B"/>
    <w:rsid w:val="14FC5A91"/>
    <w:rsid w:val="150C0679"/>
    <w:rsid w:val="15AC577F"/>
    <w:rsid w:val="15EE2E40"/>
    <w:rsid w:val="16446A3C"/>
    <w:rsid w:val="16523EA2"/>
    <w:rsid w:val="165336C6"/>
    <w:rsid w:val="16DD2D5E"/>
    <w:rsid w:val="16E01397"/>
    <w:rsid w:val="16EA3483"/>
    <w:rsid w:val="174C1CD5"/>
    <w:rsid w:val="1752026A"/>
    <w:rsid w:val="175A563C"/>
    <w:rsid w:val="179C442C"/>
    <w:rsid w:val="17D26242"/>
    <w:rsid w:val="17D336D0"/>
    <w:rsid w:val="18117D55"/>
    <w:rsid w:val="1821268E"/>
    <w:rsid w:val="186561F9"/>
    <w:rsid w:val="18736211"/>
    <w:rsid w:val="18772165"/>
    <w:rsid w:val="18B6616D"/>
    <w:rsid w:val="18E933C9"/>
    <w:rsid w:val="18FD2189"/>
    <w:rsid w:val="19094ED0"/>
    <w:rsid w:val="190F698A"/>
    <w:rsid w:val="19250992"/>
    <w:rsid w:val="199E0036"/>
    <w:rsid w:val="19BA7F53"/>
    <w:rsid w:val="19BE25D1"/>
    <w:rsid w:val="19CF7EC7"/>
    <w:rsid w:val="19EB2EA3"/>
    <w:rsid w:val="19F4792E"/>
    <w:rsid w:val="1A032ECE"/>
    <w:rsid w:val="1A0A0EFF"/>
    <w:rsid w:val="1A17016E"/>
    <w:rsid w:val="1A1F29A8"/>
    <w:rsid w:val="1A3C7AF1"/>
    <w:rsid w:val="1A3D12CC"/>
    <w:rsid w:val="1A545436"/>
    <w:rsid w:val="1A6C6495"/>
    <w:rsid w:val="1AD02149"/>
    <w:rsid w:val="1AE02712"/>
    <w:rsid w:val="1AE80A5A"/>
    <w:rsid w:val="1AEA56AB"/>
    <w:rsid w:val="1AF104DA"/>
    <w:rsid w:val="1B045886"/>
    <w:rsid w:val="1B082591"/>
    <w:rsid w:val="1B3E28E5"/>
    <w:rsid w:val="1B552716"/>
    <w:rsid w:val="1B6D5FA5"/>
    <w:rsid w:val="1B6F0F2D"/>
    <w:rsid w:val="1B79551A"/>
    <w:rsid w:val="1B882A24"/>
    <w:rsid w:val="1BA928F0"/>
    <w:rsid w:val="1C2D714A"/>
    <w:rsid w:val="1C6D0C27"/>
    <w:rsid w:val="1C6D274D"/>
    <w:rsid w:val="1C7707CD"/>
    <w:rsid w:val="1C906637"/>
    <w:rsid w:val="1C940F54"/>
    <w:rsid w:val="1CB542C6"/>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62755C"/>
    <w:rsid w:val="1E641526"/>
    <w:rsid w:val="1EB01ACB"/>
    <w:rsid w:val="1EBB6C6C"/>
    <w:rsid w:val="1ED05892"/>
    <w:rsid w:val="1ED53D73"/>
    <w:rsid w:val="1EE8779D"/>
    <w:rsid w:val="1F4164DF"/>
    <w:rsid w:val="1F4629DA"/>
    <w:rsid w:val="1F5673B8"/>
    <w:rsid w:val="1F591721"/>
    <w:rsid w:val="1F6F6360"/>
    <w:rsid w:val="1F8B1E2F"/>
    <w:rsid w:val="1F91086F"/>
    <w:rsid w:val="1FE2356A"/>
    <w:rsid w:val="200244D1"/>
    <w:rsid w:val="201E59ED"/>
    <w:rsid w:val="2025021C"/>
    <w:rsid w:val="20356024"/>
    <w:rsid w:val="20536DBE"/>
    <w:rsid w:val="20694D65"/>
    <w:rsid w:val="207D067D"/>
    <w:rsid w:val="20A14E27"/>
    <w:rsid w:val="20D30E0A"/>
    <w:rsid w:val="20D60287"/>
    <w:rsid w:val="20FC17FA"/>
    <w:rsid w:val="2114179F"/>
    <w:rsid w:val="21197B5A"/>
    <w:rsid w:val="216A2D40"/>
    <w:rsid w:val="21B96FEE"/>
    <w:rsid w:val="21C127EB"/>
    <w:rsid w:val="21CB0D2F"/>
    <w:rsid w:val="21E17F5C"/>
    <w:rsid w:val="21E23314"/>
    <w:rsid w:val="21EC0A72"/>
    <w:rsid w:val="21EF780B"/>
    <w:rsid w:val="22001566"/>
    <w:rsid w:val="221055AD"/>
    <w:rsid w:val="223F479F"/>
    <w:rsid w:val="223F5AC1"/>
    <w:rsid w:val="22561186"/>
    <w:rsid w:val="22583D0D"/>
    <w:rsid w:val="225F634C"/>
    <w:rsid w:val="229064AC"/>
    <w:rsid w:val="229677D4"/>
    <w:rsid w:val="22C67807"/>
    <w:rsid w:val="22C92735"/>
    <w:rsid w:val="22CB5EF7"/>
    <w:rsid w:val="22E86417"/>
    <w:rsid w:val="22F34C27"/>
    <w:rsid w:val="230C5D84"/>
    <w:rsid w:val="231435FF"/>
    <w:rsid w:val="232079E6"/>
    <w:rsid w:val="2325225E"/>
    <w:rsid w:val="23950F27"/>
    <w:rsid w:val="23B177E1"/>
    <w:rsid w:val="24211347"/>
    <w:rsid w:val="24310DD4"/>
    <w:rsid w:val="246D2625"/>
    <w:rsid w:val="248C6DDD"/>
    <w:rsid w:val="24900048"/>
    <w:rsid w:val="24A0493A"/>
    <w:rsid w:val="24BB522A"/>
    <w:rsid w:val="24F37529"/>
    <w:rsid w:val="24FF72D3"/>
    <w:rsid w:val="250F2C31"/>
    <w:rsid w:val="251E0472"/>
    <w:rsid w:val="2520642A"/>
    <w:rsid w:val="25286AA1"/>
    <w:rsid w:val="252B25EC"/>
    <w:rsid w:val="25364DC1"/>
    <w:rsid w:val="253C3631"/>
    <w:rsid w:val="253D4688"/>
    <w:rsid w:val="25462E4B"/>
    <w:rsid w:val="258309B4"/>
    <w:rsid w:val="25862011"/>
    <w:rsid w:val="258C0E52"/>
    <w:rsid w:val="25EB42DB"/>
    <w:rsid w:val="260D7D0C"/>
    <w:rsid w:val="26192BF6"/>
    <w:rsid w:val="261A1FEA"/>
    <w:rsid w:val="261C3DE4"/>
    <w:rsid w:val="263A71E2"/>
    <w:rsid w:val="26690FCD"/>
    <w:rsid w:val="26963F27"/>
    <w:rsid w:val="269B1693"/>
    <w:rsid w:val="26DF0CD6"/>
    <w:rsid w:val="26ED48AE"/>
    <w:rsid w:val="271B4099"/>
    <w:rsid w:val="273D2914"/>
    <w:rsid w:val="278F4F46"/>
    <w:rsid w:val="27A01740"/>
    <w:rsid w:val="27C416DF"/>
    <w:rsid w:val="27DF1C1D"/>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9FD45DD"/>
    <w:rsid w:val="2A1C5137"/>
    <w:rsid w:val="2A3E70CF"/>
    <w:rsid w:val="2A6B5300"/>
    <w:rsid w:val="2A871926"/>
    <w:rsid w:val="2AC250CD"/>
    <w:rsid w:val="2B3602D5"/>
    <w:rsid w:val="2B4E7485"/>
    <w:rsid w:val="2B80177F"/>
    <w:rsid w:val="2B90159F"/>
    <w:rsid w:val="2B993748"/>
    <w:rsid w:val="2BAE482F"/>
    <w:rsid w:val="2BBE1DE2"/>
    <w:rsid w:val="2BE36683"/>
    <w:rsid w:val="2BE90021"/>
    <w:rsid w:val="2BF832AE"/>
    <w:rsid w:val="2C22032B"/>
    <w:rsid w:val="2C706F8B"/>
    <w:rsid w:val="2C9B3A25"/>
    <w:rsid w:val="2C9F3729"/>
    <w:rsid w:val="2CC24680"/>
    <w:rsid w:val="2DA362F7"/>
    <w:rsid w:val="2DC42BAC"/>
    <w:rsid w:val="2DDB1185"/>
    <w:rsid w:val="2DDE1315"/>
    <w:rsid w:val="2E2C5491"/>
    <w:rsid w:val="2E70008E"/>
    <w:rsid w:val="2E795570"/>
    <w:rsid w:val="2EB4177E"/>
    <w:rsid w:val="2F32229C"/>
    <w:rsid w:val="2F474DB3"/>
    <w:rsid w:val="2F950E14"/>
    <w:rsid w:val="30065DDB"/>
    <w:rsid w:val="3034687E"/>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770ECB"/>
    <w:rsid w:val="348D4052"/>
    <w:rsid w:val="34960E51"/>
    <w:rsid w:val="34B93037"/>
    <w:rsid w:val="34C2659C"/>
    <w:rsid w:val="34ED24C6"/>
    <w:rsid w:val="350911FE"/>
    <w:rsid w:val="35212153"/>
    <w:rsid w:val="3544533E"/>
    <w:rsid w:val="354C0B93"/>
    <w:rsid w:val="355B423F"/>
    <w:rsid w:val="357D6768"/>
    <w:rsid w:val="35A973C7"/>
    <w:rsid w:val="35BF3B38"/>
    <w:rsid w:val="35E23F6E"/>
    <w:rsid w:val="35EC067D"/>
    <w:rsid w:val="36215071"/>
    <w:rsid w:val="3623361D"/>
    <w:rsid w:val="36314683"/>
    <w:rsid w:val="36472C7B"/>
    <w:rsid w:val="367125DA"/>
    <w:rsid w:val="36753A20"/>
    <w:rsid w:val="36B0540D"/>
    <w:rsid w:val="36B326B4"/>
    <w:rsid w:val="36C17BFE"/>
    <w:rsid w:val="36CE2123"/>
    <w:rsid w:val="36D14E27"/>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47956"/>
    <w:rsid w:val="39CC0DE9"/>
    <w:rsid w:val="3A0177D1"/>
    <w:rsid w:val="3A056E55"/>
    <w:rsid w:val="3A5860F9"/>
    <w:rsid w:val="3A8521B0"/>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15F09"/>
    <w:rsid w:val="3C24092A"/>
    <w:rsid w:val="3C693243"/>
    <w:rsid w:val="3C976231"/>
    <w:rsid w:val="3C9B25CD"/>
    <w:rsid w:val="3CAA0274"/>
    <w:rsid w:val="3CBA010B"/>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1D4DF6"/>
    <w:rsid w:val="3E3062DB"/>
    <w:rsid w:val="3E5E1696"/>
    <w:rsid w:val="3E850F52"/>
    <w:rsid w:val="3E9B2E8A"/>
    <w:rsid w:val="3E9F6A9D"/>
    <w:rsid w:val="3EFB5137"/>
    <w:rsid w:val="3F1672F1"/>
    <w:rsid w:val="3F231079"/>
    <w:rsid w:val="3F4B41E0"/>
    <w:rsid w:val="3F4C5993"/>
    <w:rsid w:val="3F592467"/>
    <w:rsid w:val="3F5D0E23"/>
    <w:rsid w:val="3F8245EF"/>
    <w:rsid w:val="3F8B2040"/>
    <w:rsid w:val="3F913ED2"/>
    <w:rsid w:val="3FAC1725"/>
    <w:rsid w:val="3FAD78C2"/>
    <w:rsid w:val="3FD00372"/>
    <w:rsid w:val="3FDD483D"/>
    <w:rsid w:val="3FF47E41"/>
    <w:rsid w:val="400F00BB"/>
    <w:rsid w:val="405C3701"/>
    <w:rsid w:val="40615229"/>
    <w:rsid w:val="40733563"/>
    <w:rsid w:val="40B10190"/>
    <w:rsid w:val="40B74800"/>
    <w:rsid w:val="40CE4185"/>
    <w:rsid w:val="410A340F"/>
    <w:rsid w:val="411613DD"/>
    <w:rsid w:val="41516E1E"/>
    <w:rsid w:val="416027A0"/>
    <w:rsid w:val="416E5398"/>
    <w:rsid w:val="417B255F"/>
    <w:rsid w:val="418862CD"/>
    <w:rsid w:val="41A449A2"/>
    <w:rsid w:val="421B2713"/>
    <w:rsid w:val="42284FC8"/>
    <w:rsid w:val="42770C8F"/>
    <w:rsid w:val="429B2E0A"/>
    <w:rsid w:val="42AA5444"/>
    <w:rsid w:val="42F5056C"/>
    <w:rsid w:val="42FB7CE0"/>
    <w:rsid w:val="43095949"/>
    <w:rsid w:val="431112AD"/>
    <w:rsid w:val="43232F1C"/>
    <w:rsid w:val="433663BD"/>
    <w:rsid w:val="43561DE5"/>
    <w:rsid w:val="435E21EF"/>
    <w:rsid w:val="436B4467"/>
    <w:rsid w:val="43813731"/>
    <w:rsid w:val="43D9345F"/>
    <w:rsid w:val="440138B3"/>
    <w:rsid w:val="44154208"/>
    <w:rsid w:val="443864E5"/>
    <w:rsid w:val="44394D1C"/>
    <w:rsid w:val="44406011"/>
    <w:rsid w:val="445451F2"/>
    <w:rsid w:val="44620BD2"/>
    <w:rsid w:val="446D7633"/>
    <w:rsid w:val="4488315B"/>
    <w:rsid w:val="4493471C"/>
    <w:rsid w:val="449C2C79"/>
    <w:rsid w:val="44B00229"/>
    <w:rsid w:val="44BE2144"/>
    <w:rsid w:val="44DF23A8"/>
    <w:rsid w:val="44EC107E"/>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A2178"/>
    <w:rsid w:val="46FD0BBA"/>
    <w:rsid w:val="473D6FFA"/>
    <w:rsid w:val="47620B5A"/>
    <w:rsid w:val="476A374A"/>
    <w:rsid w:val="4779309D"/>
    <w:rsid w:val="47C33349"/>
    <w:rsid w:val="47E32C09"/>
    <w:rsid w:val="47E54BDD"/>
    <w:rsid w:val="47E62852"/>
    <w:rsid w:val="4800556C"/>
    <w:rsid w:val="4809270E"/>
    <w:rsid w:val="48155FBD"/>
    <w:rsid w:val="48286871"/>
    <w:rsid w:val="484F1501"/>
    <w:rsid w:val="48616542"/>
    <w:rsid w:val="487C4B5B"/>
    <w:rsid w:val="488B3ADA"/>
    <w:rsid w:val="489578D5"/>
    <w:rsid w:val="48C756C4"/>
    <w:rsid w:val="48F347C2"/>
    <w:rsid w:val="48F40872"/>
    <w:rsid w:val="490910CB"/>
    <w:rsid w:val="4910358D"/>
    <w:rsid w:val="49466876"/>
    <w:rsid w:val="49672FCD"/>
    <w:rsid w:val="497D1E37"/>
    <w:rsid w:val="49A21D84"/>
    <w:rsid w:val="49AF0FF8"/>
    <w:rsid w:val="49C079A0"/>
    <w:rsid w:val="49E56842"/>
    <w:rsid w:val="4A202CB3"/>
    <w:rsid w:val="4A4C0BBD"/>
    <w:rsid w:val="4A741CD0"/>
    <w:rsid w:val="4AB169D3"/>
    <w:rsid w:val="4ADA6548"/>
    <w:rsid w:val="4AE523B5"/>
    <w:rsid w:val="4AFF1CE5"/>
    <w:rsid w:val="4AFF2850"/>
    <w:rsid w:val="4B054C48"/>
    <w:rsid w:val="4B2C2C5C"/>
    <w:rsid w:val="4B3948BD"/>
    <w:rsid w:val="4B4327E6"/>
    <w:rsid w:val="4B4B6AFE"/>
    <w:rsid w:val="4B542445"/>
    <w:rsid w:val="4B8633C6"/>
    <w:rsid w:val="4BAE6978"/>
    <w:rsid w:val="4BF85767"/>
    <w:rsid w:val="4C4609B9"/>
    <w:rsid w:val="4C6B50F5"/>
    <w:rsid w:val="4C6C1422"/>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8602C2"/>
    <w:rsid w:val="4DA21BCB"/>
    <w:rsid w:val="4DA31278"/>
    <w:rsid w:val="4E022AED"/>
    <w:rsid w:val="4E0F5AA6"/>
    <w:rsid w:val="4E5B34FC"/>
    <w:rsid w:val="4E7B47FF"/>
    <w:rsid w:val="4E800E7B"/>
    <w:rsid w:val="4EC57FA6"/>
    <w:rsid w:val="4EDD2F85"/>
    <w:rsid w:val="4EE759E0"/>
    <w:rsid w:val="4EFB1785"/>
    <w:rsid w:val="4EFC0E40"/>
    <w:rsid w:val="4F073576"/>
    <w:rsid w:val="4F277FB1"/>
    <w:rsid w:val="4F32383F"/>
    <w:rsid w:val="4F4201F9"/>
    <w:rsid w:val="4F5440CA"/>
    <w:rsid w:val="4F596DC1"/>
    <w:rsid w:val="4F5B18B4"/>
    <w:rsid w:val="4F746E17"/>
    <w:rsid w:val="4F7E527E"/>
    <w:rsid w:val="4F9948BE"/>
    <w:rsid w:val="4F9A7281"/>
    <w:rsid w:val="4FAE6D31"/>
    <w:rsid w:val="4FB16A86"/>
    <w:rsid w:val="50114985"/>
    <w:rsid w:val="50173009"/>
    <w:rsid w:val="504B0595"/>
    <w:rsid w:val="508470D2"/>
    <w:rsid w:val="50CC2E3A"/>
    <w:rsid w:val="50E37FBB"/>
    <w:rsid w:val="50EF7D93"/>
    <w:rsid w:val="511931FB"/>
    <w:rsid w:val="515F1555"/>
    <w:rsid w:val="516C1EC9"/>
    <w:rsid w:val="518F192B"/>
    <w:rsid w:val="51A35549"/>
    <w:rsid w:val="51B11685"/>
    <w:rsid w:val="51C96CF8"/>
    <w:rsid w:val="51E16B22"/>
    <w:rsid w:val="51E71584"/>
    <w:rsid w:val="520134A4"/>
    <w:rsid w:val="520619D1"/>
    <w:rsid w:val="52417CD3"/>
    <w:rsid w:val="525A2598"/>
    <w:rsid w:val="528D2D69"/>
    <w:rsid w:val="52A72CB9"/>
    <w:rsid w:val="52C645C7"/>
    <w:rsid w:val="52E8557B"/>
    <w:rsid w:val="52EA4E4F"/>
    <w:rsid w:val="5308234F"/>
    <w:rsid w:val="531A7701"/>
    <w:rsid w:val="533A7773"/>
    <w:rsid w:val="535A4036"/>
    <w:rsid w:val="535E0C0C"/>
    <w:rsid w:val="536F55E2"/>
    <w:rsid w:val="538F3C48"/>
    <w:rsid w:val="539A7C35"/>
    <w:rsid w:val="53EE2B63"/>
    <w:rsid w:val="541259A4"/>
    <w:rsid w:val="54221113"/>
    <w:rsid w:val="543625D7"/>
    <w:rsid w:val="54410718"/>
    <w:rsid w:val="5506526C"/>
    <w:rsid w:val="552A3C28"/>
    <w:rsid w:val="55497B99"/>
    <w:rsid w:val="556F44BF"/>
    <w:rsid w:val="557E0DC2"/>
    <w:rsid w:val="55981C1E"/>
    <w:rsid w:val="559E43DB"/>
    <w:rsid w:val="55CC0E83"/>
    <w:rsid w:val="55D342C0"/>
    <w:rsid w:val="55D57D1B"/>
    <w:rsid w:val="5615080D"/>
    <w:rsid w:val="561574B3"/>
    <w:rsid w:val="56250D86"/>
    <w:rsid w:val="566A5330"/>
    <w:rsid w:val="567F26ED"/>
    <w:rsid w:val="568024C8"/>
    <w:rsid w:val="568F79BF"/>
    <w:rsid w:val="56A33FC4"/>
    <w:rsid w:val="56A763F2"/>
    <w:rsid w:val="56BA5480"/>
    <w:rsid w:val="56BE663C"/>
    <w:rsid w:val="56CD2153"/>
    <w:rsid w:val="56E75D17"/>
    <w:rsid w:val="56F312B5"/>
    <w:rsid w:val="56F74C0E"/>
    <w:rsid w:val="571F77CE"/>
    <w:rsid w:val="572B04F0"/>
    <w:rsid w:val="572B4176"/>
    <w:rsid w:val="573B211D"/>
    <w:rsid w:val="57664E51"/>
    <w:rsid w:val="577603E3"/>
    <w:rsid w:val="57831D16"/>
    <w:rsid w:val="5789602C"/>
    <w:rsid w:val="57D9376A"/>
    <w:rsid w:val="57F24A5B"/>
    <w:rsid w:val="580649F2"/>
    <w:rsid w:val="58226B70"/>
    <w:rsid w:val="58230A94"/>
    <w:rsid w:val="58351BA6"/>
    <w:rsid w:val="584F5D9B"/>
    <w:rsid w:val="586C24D5"/>
    <w:rsid w:val="58795EFF"/>
    <w:rsid w:val="58835B9A"/>
    <w:rsid w:val="588B70D4"/>
    <w:rsid w:val="58AD0DF8"/>
    <w:rsid w:val="58B22CF9"/>
    <w:rsid w:val="58B840B1"/>
    <w:rsid w:val="58C67791"/>
    <w:rsid w:val="58CB74D0"/>
    <w:rsid w:val="58D740C7"/>
    <w:rsid w:val="58F23A2C"/>
    <w:rsid w:val="58F33BD7"/>
    <w:rsid w:val="595950A7"/>
    <w:rsid w:val="5983654E"/>
    <w:rsid w:val="59934492"/>
    <w:rsid w:val="599B6043"/>
    <w:rsid w:val="59AB446D"/>
    <w:rsid w:val="59D16D68"/>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B00EB7"/>
    <w:rsid w:val="5CED33FE"/>
    <w:rsid w:val="5CFA65D6"/>
    <w:rsid w:val="5CFE4B36"/>
    <w:rsid w:val="5D152663"/>
    <w:rsid w:val="5D250AE8"/>
    <w:rsid w:val="5D395350"/>
    <w:rsid w:val="5D7874FB"/>
    <w:rsid w:val="5D810B69"/>
    <w:rsid w:val="5D8562D6"/>
    <w:rsid w:val="5D9B6A67"/>
    <w:rsid w:val="5DA67B5E"/>
    <w:rsid w:val="5DB26B1C"/>
    <w:rsid w:val="5DC77A74"/>
    <w:rsid w:val="5DD60DF1"/>
    <w:rsid w:val="5DD80BA4"/>
    <w:rsid w:val="5DE65906"/>
    <w:rsid w:val="5DF10DD6"/>
    <w:rsid w:val="5E107A6E"/>
    <w:rsid w:val="5E240474"/>
    <w:rsid w:val="5E3478C6"/>
    <w:rsid w:val="5E4A08B0"/>
    <w:rsid w:val="5E552402"/>
    <w:rsid w:val="5E581806"/>
    <w:rsid w:val="5E7D126D"/>
    <w:rsid w:val="5E8C3E1E"/>
    <w:rsid w:val="5EA954DA"/>
    <w:rsid w:val="5EB50A07"/>
    <w:rsid w:val="5EF60C22"/>
    <w:rsid w:val="5F013C4C"/>
    <w:rsid w:val="5F165F74"/>
    <w:rsid w:val="5F3E22C2"/>
    <w:rsid w:val="5F474EA9"/>
    <w:rsid w:val="5F5A15AE"/>
    <w:rsid w:val="5F8959EF"/>
    <w:rsid w:val="5F8F3F9D"/>
    <w:rsid w:val="5FC33A72"/>
    <w:rsid w:val="5FE44BCC"/>
    <w:rsid w:val="5FED1A34"/>
    <w:rsid w:val="5FFA3215"/>
    <w:rsid w:val="601278AE"/>
    <w:rsid w:val="602074C3"/>
    <w:rsid w:val="60342152"/>
    <w:rsid w:val="607F216A"/>
    <w:rsid w:val="609D0C9B"/>
    <w:rsid w:val="60D3361E"/>
    <w:rsid w:val="60F8107F"/>
    <w:rsid w:val="60F942D1"/>
    <w:rsid w:val="612912AD"/>
    <w:rsid w:val="613220FF"/>
    <w:rsid w:val="61446D7C"/>
    <w:rsid w:val="614B06AC"/>
    <w:rsid w:val="61774699"/>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CB4828"/>
    <w:rsid w:val="63F95E7B"/>
    <w:rsid w:val="64047A76"/>
    <w:rsid w:val="64107C83"/>
    <w:rsid w:val="641761B2"/>
    <w:rsid w:val="6429437B"/>
    <w:rsid w:val="648A2DED"/>
    <w:rsid w:val="64AA5921"/>
    <w:rsid w:val="64E965E9"/>
    <w:rsid w:val="64F613A1"/>
    <w:rsid w:val="64FB67B9"/>
    <w:rsid w:val="650F0297"/>
    <w:rsid w:val="65311AE8"/>
    <w:rsid w:val="65372FB5"/>
    <w:rsid w:val="6545060B"/>
    <w:rsid w:val="6579788B"/>
    <w:rsid w:val="65A56F80"/>
    <w:rsid w:val="65CD5AEB"/>
    <w:rsid w:val="65D200C7"/>
    <w:rsid w:val="65D31262"/>
    <w:rsid w:val="65DE71F4"/>
    <w:rsid w:val="65E7615B"/>
    <w:rsid w:val="66067D88"/>
    <w:rsid w:val="661C75BD"/>
    <w:rsid w:val="662F3C78"/>
    <w:rsid w:val="66807846"/>
    <w:rsid w:val="66953C5B"/>
    <w:rsid w:val="669B2A9B"/>
    <w:rsid w:val="669F55F1"/>
    <w:rsid w:val="67157EB9"/>
    <w:rsid w:val="673B62F2"/>
    <w:rsid w:val="674F16A7"/>
    <w:rsid w:val="67906BAE"/>
    <w:rsid w:val="67966EFB"/>
    <w:rsid w:val="679D3EE7"/>
    <w:rsid w:val="67A94E81"/>
    <w:rsid w:val="67B11F87"/>
    <w:rsid w:val="67D36A56"/>
    <w:rsid w:val="67D56B92"/>
    <w:rsid w:val="67E036E9"/>
    <w:rsid w:val="67E5573D"/>
    <w:rsid w:val="67F65BEC"/>
    <w:rsid w:val="680D18B3"/>
    <w:rsid w:val="681D13CB"/>
    <w:rsid w:val="68262975"/>
    <w:rsid w:val="6833299C"/>
    <w:rsid w:val="683E687F"/>
    <w:rsid w:val="68430FB9"/>
    <w:rsid w:val="68C61A50"/>
    <w:rsid w:val="68E311B2"/>
    <w:rsid w:val="68E32614"/>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1F767C"/>
    <w:rsid w:val="6A233920"/>
    <w:rsid w:val="6A6366AE"/>
    <w:rsid w:val="6A8B6B18"/>
    <w:rsid w:val="6A9352A2"/>
    <w:rsid w:val="6A9A1577"/>
    <w:rsid w:val="6AA338E6"/>
    <w:rsid w:val="6AAD6A36"/>
    <w:rsid w:val="6AC86E77"/>
    <w:rsid w:val="6AF13C0D"/>
    <w:rsid w:val="6B1940CB"/>
    <w:rsid w:val="6B5E2426"/>
    <w:rsid w:val="6B5F4E4D"/>
    <w:rsid w:val="6B654FB0"/>
    <w:rsid w:val="6B6E1CA4"/>
    <w:rsid w:val="6BAF6941"/>
    <w:rsid w:val="6BCC1F13"/>
    <w:rsid w:val="6BD91EBE"/>
    <w:rsid w:val="6BE1101B"/>
    <w:rsid w:val="6C24259C"/>
    <w:rsid w:val="6C3219E1"/>
    <w:rsid w:val="6C5579CA"/>
    <w:rsid w:val="6C72726E"/>
    <w:rsid w:val="6CB44AB8"/>
    <w:rsid w:val="6CD509C5"/>
    <w:rsid w:val="6CE2504F"/>
    <w:rsid w:val="6CE4138B"/>
    <w:rsid w:val="6CFA7874"/>
    <w:rsid w:val="6D0A63C2"/>
    <w:rsid w:val="6D514C03"/>
    <w:rsid w:val="6D69125F"/>
    <w:rsid w:val="6DA76031"/>
    <w:rsid w:val="6DA81CE8"/>
    <w:rsid w:val="6DAD4F9F"/>
    <w:rsid w:val="6DBE17E3"/>
    <w:rsid w:val="6DC610A3"/>
    <w:rsid w:val="6DCC1FAB"/>
    <w:rsid w:val="6DE537AC"/>
    <w:rsid w:val="6E096EF8"/>
    <w:rsid w:val="6E160574"/>
    <w:rsid w:val="6E816BBF"/>
    <w:rsid w:val="6E9134A9"/>
    <w:rsid w:val="6EAD34A8"/>
    <w:rsid w:val="6ED5286B"/>
    <w:rsid w:val="6F1A7E1A"/>
    <w:rsid w:val="6F305E87"/>
    <w:rsid w:val="6F314155"/>
    <w:rsid w:val="6FF85E6E"/>
    <w:rsid w:val="700A48AB"/>
    <w:rsid w:val="70245076"/>
    <w:rsid w:val="704E5507"/>
    <w:rsid w:val="705A51FE"/>
    <w:rsid w:val="70814BED"/>
    <w:rsid w:val="70935E14"/>
    <w:rsid w:val="70A4763A"/>
    <w:rsid w:val="70B22023"/>
    <w:rsid w:val="70D45314"/>
    <w:rsid w:val="70DB1C8A"/>
    <w:rsid w:val="712B4B58"/>
    <w:rsid w:val="717B1403"/>
    <w:rsid w:val="71A147B9"/>
    <w:rsid w:val="71D842FA"/>
    <w:rsid w:val="71E65CC9"/>
    <w:rsid w:val="71F00255"/>
    <w:rsid w:val="71F1377E"/>
    <w:rsid w:val="721434B7"/>
    <w:rsid w:val="725F33BF"/>
    <w:rsid w:val="72651EB0"/>
    <w:rsid w:val="72734A09"/>
    <w:rsid w:val="729C267B"/>
    <w:rsid w:val="72B23E6D"/>
    <w:rsid w:val="72C25048"/>
    <w:rsid w:val="72C251F0"/>
    <w:rsid w:val="72D87B33"/>
    <w:rsid w:val="72DD5B9E"/>
    <w:rsid w:val="72F54E01"/>
    <w:rsid w:val="731A2D6E"/>
    <w:rsid w:val="73374395"/>
    <w:rsid w:val="7366202F"/>
    <w:rsid w:val="737A786F"/>
    <w:rsid w:val="73970283"/>
    <w:rsid w:val="73B461E3"/>
    <w:rsid w:val="73B604ED"/>
    <w:rsid w:val="73EE50F4"/>
    <w:rsid w:val="740D3F11"/>
    <w:rsid w:val="741257AC"/>
    <w:rsid w:val="742B1612"/>
    <w:rsid w:val="7441199D"/>
    <w:rsid w:val="74420B02"/>
    <w:rsid w:val="745C550C"/>
    <w:rsid w:val="746565D3"/>
    <w:rsid w:val="74A064AE"/>
    <w:rsid w:val="74D46B08"/>
    <w:rsid w:val="74D96958"/>
    <w:rsid w:val="74EC2851"/>
    <w:rsid w:val="74FE6B71"/>
    <w:rsid w:val="74FE774A"/>
    <w:rsid w:val="75023274"/>
    <w:rsid w:val="75184790"/>
    <w:rsid w:val="754E52B9"/>
    <w:rsid w:val="75577D7F"/>
    <w:rsid w:val="755D5C19"/>
    <w:rsid w:val="757022FB"/>
    <w:rsid w:val="75A15325"/>
    <w:rsid w:val="75B2473D"/>
    <w:rsid w:val="75C03D91"/>
    <w:rsid w:val="75E55C1E"/>
    <w:rsid w:val="75EF6235"/>
    <w:rsid w:val="75F71F3B"/>
    <w:rsid w:val="763563F5"/>
    <w:rsid w:val="766C3C49"/>
    <w:rsid w:val="766D57C1"/>
    <w:rsid w:val="76801850"/>
    <w:rsid w:val="769714F7"/>
    <w:rsid w:val="76AC2318"/>
    <w:rsid w:val="76BC6C30"/>
    <w:rsid w:val="76C92E49"/>
    <w:rsid w:val="76E17F51"/>
    <w:rsid w:val="76E83D9B"/>
    <w:rsid w:val="76F7624B"/>
    <w:rsid w:val="771E6857"/>
    <w:rsid w:val="772571D5"/>
    <w:rsid w:val="7730088B"/>
    <w:rsid w:val="77411D56"/>
    <w:rsid w:val="774839AC"/>
    <w:rsid w:val="77605E1A"/>
    <w:rsid w:val="77742983"/>
    <w:rsid w:val="77800D5D"/>
    <w:rsid w:val="77827BF3"/>
    <w:rsid w:val="778B633D"/>
    <w:rsid w:val="778D20C9"/>
    <w:rsid w:val="7793327E"/>
    <w:rsid w:val="77BC475C"/>
    <w:rsid w:val="77C232DA"/>
    <w:rsid w:val="77D973E1"/>
    <w:rsid w:val="77EA3464"/>
    <w:rsid w:val="78021C7B"/>
    <w:rsid w:val="780C1E19"/>
    <w:rsid w:val="784C3D32"/>
    <w:rsid w:val="78672956"/>
    <w:rsid w:val="786B70AF"/>
    <w:rsid w:val="78760913"/>
    <w:rsid w:val="7881477B"/>
    <w:rsid w:val="788A03B6"/>
    <w:rsid w:val="788F38A7"/>
    <w:rsid w:val="78A46720"/>
    <w:rsid w:val="78AD0AA4"/>
    <w:rsid w:val="78FD09AB"/>
    <w:rsid w:val="79010BD2"/>
    <w:rsid w:val="79017261"/>
    <w:rsid w:val="79273E57"/>
    <w:rsid w:val="79346435"/>
    <w:rsid w:val="796608A4"/>
    <w:rsid w:val="7999176C"/>
    <w:rsid w:val="79AB2DAA"/>
    <w:rsid w:val="79B661E6"/>
    <w:rsid w:val="79CA7D83"/>
    <w:rsid w:val="79F12D18"/>
    <w:rsid w:val="7A461590"/>
    <w:rsid w:val="7A506505"/>
    <w:rsid w:val="7A6822EA"/>
    <w:rsid w:val="7A814BA2"/>
    <w:rsid w:val="7A88510B"/>
    <w:rsid w:val="7A8A0B42"/>
    <w:rsid w:val="7A942566"/>
    <w:rsid w:val="7AAC5343"/>
    <w:rsid w:val="7B4D10C0"/>
    <w:rsid w:val="7B5E19E1"/>
    <w:rsid w:val="7B8D502D"/>
    <w:rsid w:val="7B9B28DB"/>
    <w:rsid w:val="7BD0668B"/>
    <w:rsid w:val="7BD55037"/>
    <w:rsid w:val="7BEA41E2"/>
    <w:rsid w:val="7C1C27D8"/>
    <w:rsid w:val="7C230E82"/>
    <w:rsid w:val="7C304BF8"/>
    <w:rsid w:val="7C461A40"/>
    <w:rsid w:val="7C5C2009"/>
    <w:rsid w:val="7C655175"/>
    <w:rsid w:val="7C6D71FD"/>
    <w:rsid w:val="7C7E2620"/>
    <w:rsid w:val="7C8243CE"/>
    <w:rsid w:val="7C9537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15EE4"/>
    <w:rsid w:val="7E930BA3"/>
    <w:rsid w:val="7E985166"/>
    <w:rsid w:val="7EAA35F1"/>
    <w:rsid w:val="7EF24F07"/>
    <w:rsid w:val="7EFE7213"/>
    <w:rsid w:val="7F171BCC"/>
    <w:rsid w:val="7F37013C"/>
    <w:rsid w:val="7F401C7A"/>
    <w:rsid w:val="7F5F1232"/>
    <w:rsid w:val="7F606315"/>
    <w:rsid w:val="7F7316D3"/>
    <w:rsid w:val="7F755C75"/>
    <w:rsid w:val="7F7D0C75"/>
    <w:rsid w:val="7FA119C3"/>
    <w:rsid w:val="7FA3150B"/>
    <w:rsid w:val="7FB34697"/>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3"/>
    <w:qFormat/>
    <w:uiPriority w:val="0"/>
    <w:rPr>
      <w:rFonts w:asciiTheme="minorHAnsi" w:hAnsiTheme="minorHAnsi" w:eastAsiaTheme="minorEastAsia" w:cstheme="minorBidi"/>
      <w:b/>
      <w:bCs/>
      <w:kern w:val="44"/>
      <w:sz w:val="44"/>
      <w:szCs w:val="44"/>
    </w:rPr>
  </w:style>
  <w:style w:type="paragraph" w:customStyle="1" w:styleId="11">
    <w:name w:val="TOC 标题1"/>
    <w:basedOn w:val="3"/>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3"/>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10210</Words>
  <Characters>11093</Characters>
  <Lines>81</Lines>
  <Paragraphs>22</Paragraphs>
  <TotalTime>0</TotalTime>
  <ScaleCrop>false</ScaleCrop>
  <LinksUpToDate>false</LinksUpToDate>
  <CharactersWithSpaces>11173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2024-12-11T02:27:49Z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462967812C1E474C94D3CB0B61D37F3B_13</vt:lpwstr>
  </property>
</Properties>
</file>