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90B1C">
      <w:pPr>
        <w:spacing w:line="600" w:lineRule="atLeast"/>
        <w:ind w:firstLine="0" w:firstLineChars="0"/>
        <w:jc w:val="center"/>
        <w:rPr>
          <w:rFonts w:hint="eastAsia" w:cs="仿宋"/>
          <w:b/>
          <w:sz w:val="36"/>
          <w:szCs w:val="36"/>
        </w:rPr>
      </w:pPr>
      <w:bookmarkStart w:id="71" w:name="_GoBack"/>
      <w:bookmarkEnd w:id="71"/>
    </w:p>
    <w:p w14:paraId="3CD2EA2B">
      <w:pPr>
        <w:pStyle w:val="2"/>
        <w:ind w:firstLine="883"/>
        <w:rPr>
          <w:rFonts w:hint="eastAsia"/>
        </w:rPr>
      </w:pPr>
    </w:p>
    <w:p w14:paraId="5976BDE1">
      <w:pPr>
        <w:ind w:firstLine="480"/>
        <w:rPr>
          <w:rFonts w:hint="eastAsia"/>
        </w:rPr>
      </w:pPr>
    </w:p>
    <w:p w14:paraId="6F4BF355">
      <w:pPr>
        <w:pStyle w:val="3"/>
        <w:spacing w:line="600" w:lineRule="atLeast"/>
        <w:ind w:firstLine="0" w:firstLineChars="0"/>
      </w:pPr>
    </w:p>
    <w:p w14:paraId="4FC2ECA1">
      <w:pPr>
        <w:spacing w:line="600" w:lineRule="exact"/>
        <w:ind w:firstLine="0" w:firstLineChars="0"/>
        <w:jc w:val="center"/>
        <w:outlineLvl w:val="0"/>
        <w:rPr>
          <w:rFonts w:hint="eastAsia" w:ascii="宋体" w:hAnsi="宋体" w:eastAsia="宋体" w:cs="Times New Roman"/>
          <w:szCs w:val="24"/>
        </w:rPr>
      </w:pPr>
      <w:r>
        <w:rPr>
          <w:rFonts w:hint="eastAsia" w:ascii="宋体" w:hAnsi="宋体" w:eastAsia="宋体" w:cs="Times New Roman"/>
          <w:szCs w:val="24"/>
        </w:rPr>
        <w:t>寻甸回族彝族自治县投资促进局2023年招商引资工作经费项目支出</w:t>
      </w:r>
    </w:p>
    <w:p w14:paraId="03FCB3EF">
      <w:pPr>
        <w:spacing w:line="600" w:lineRule="exact"/>
        <w:ind w:firstLine="0" w:firstLineChars="0"/>
        <w:jc w:val="center"/>
        <w:outlineLvl w:val="0"/>
        <w:rPr>
          <w:rFonts w:hint="eastAsia" w:ascii="宋体" w:hAnsi="宋体" w:eastAsia="宋体" w:cs="Times New Roman"/>
          <w:sz w:val="36"/>
          <w:szCs w:val="36"/>
        </w:rPr>
      </w:pPr>
      <w:r>
        <w:rPr>
          <w:rFonts w:hint="eastAsia" w:ascii="宋体" w:hAnsi="宋体" w:eastAsia="宋体" w:cs="Times New Roman"/>
          <w:sz w:val="36"/>
          <w:szCs w:val="36"/>
        </w:rPr>
        <w:t>绩效评价报告</w:t>
      </w:r>
    </w:p>
    <w:p w14:paraId="108F8A54">
      <w:pPr>
        <w:spacing w:line="600" w:lineRule="exact"/>
        <w:ind w:firstLine="0" w:firstLineChars="0"/>
        <w:jc w:val="center"/>
        <w:rPr>
          <w:rFonts w:hint="eastAsia" w:ascii="仿宋_GB2312" w:hAnsi="仿宋_GB2312" w:eastAsia="仿宋_GB2312" w:cs="仿宋_GB2312"/>
          <w:sz w:val="32"/>
          <w:szCs w:val="32"/>
        </w:rPr>
      </w:pPr>
    </w:p>
    <w:p w14:paraId="6DBA7C53">
      <w:pPr>
        <w:pStyle w:val="3"/>
        <w:spacing w:line="600" w:lineRule="exact"/>
        <w:ind w:firstLine="0" w:firstLineChars="0"/>
      </w:pPr>
    </w:p>
    <w:p w14:paraId="5056FCEE">
      <w:pPr>
        <w:ind w:firstLine="480"/>
        <w:rPr>
          <w:rFonts w:hint="eastAsia"/>
        </w:rPr>
      </w:pPr>
    </w:p>
    <w:p w14:paraId="00C1DEFA">
      <w:pPr>
        <w:pStyle w:val="2"/>
        <w:ind w:firstLine="883"/>
        <w:rPr>
          <w:rFonts w:hint="eastAsia"/>
        </w:rPr>
      </w:pPr>
    </w:p>
    <w:p w14:paraId="264064C1">
      <w:pPr>
        <w:spacing w:line="600" w:lineRule="exact"/>
        <w:ind w:firstLine="0" w:firstLineChars="0"/>
        <w:jc w:val="center"/>
        <w:rPr>
          <w:rFonts w:hint="eastAsia" w:ascii="宋体" w:hAnsi="宋体" w:eastAsia="宋体"/>
          <w:szCs w:val="24"/>
        </w:rPr>
      </w:pPr>
    </w:p>
    <w:p w14:paraId="0F660979">
      <w:pPr>
        <w:spacing w:line="600" w:lineRule="exact"/>
        <w:ind w:firstLine="0" w:firstLineChars="0"/>
        <w:rPr>
          <w:rFonts w:hint="eastAsia"/>
        </w:rPr>
      </w:pPr>
    </w:p>
    <w:p w14:paraId="588613C3">
      <w:pPr>
        <w:spacing w:line="600" w:lineRule="exact"/>
        <w:ind w:left="1500" w:hanging="1500" w:hangingChars="500"/>
        <w:jc w:val="left"/>
        <w:outlineLvl w:val="0"/>
        <w:rPr>
          <w:rFonts w:hint="eastAsia" w:ascii="宋体" w:hAnsi="宋体" w:eastAsia="宋体" w:cs="宋体"/>
          <w:sz w:val="30"/>
          <w:szCs w:val="30"/>
        </w:rPr>
      </w:pPr>
      <w:r>
        <w:rPr>
          <w:rFonts w:hint="eastAsia" w:ascii="宋体" w:hAnsi="宋体" w:eastAsia="宋体" w:cs="宋体"/>
          <w:sz w:val="30"/>
          <w:szCs w:val="30"/>
        </w:rPr>
        <w:t>项目名称：2023年投资促进局招商引资工作经费项目支出绩效评价</w:t>
      </w:r>
    </w:p>
    <w:p w14:paraId="2AB11182">
      <w:pPr>
        <w:spacing w:line="600" w:lineRule="exact"/>
        <w:ind w:firstLine="0" w:firstLineChars="0"/>
        <w:jc w:val="left"/>
        <w:outlineLvl w:val="0"/>
        <w:rPr>
          <w:rFonts w:hint="eastAsia" w:ascii="宋体" w:hAnsi="宋体" w:eastAsia="宋体" w:cs="宋体"/>
          <w:sz w:val="30"/>
          <w:szCs w:val="30"/>
        </w:rPr>
      </w:pPr>
      <w:r>
        <w:rPr>
          <w:rFonts w:hint="eastAsia" w:ascii="宋体" w:hAnsi="宋体" w:eastAsia="宋体" w:cs="宋体"/>
          <w:sz w:val="30"/>
          <w:szCs w:val="30"/>
        </w:rPr>
        <w:t>评价单位：寻甸回族彝族自治县投资促进局</w:t>
      </w:r>
    </w:p>
    <w:p w14:paraId="65F970C1">
      <w:pPr>
        <w:spacing w:line="600" w:lineRule="exact"/>
        <w:ind w:firstLine="0" w:firstLineChars="0"/>
        <w:jc w:val="left"/>
        <w:outlineLvl w:val="0"/>
        <w:rPr>
          <w:rFonts w:hint="eastAsia" w:ascii="宋体" w:hAnsi="宋体" w:eastAsia="宋体" w:cs="宋体"/>
          <w:sz w:val="30"/>
          <w:szCs w:val="30"/>
        </w:rPr>
      </w:pPr>
      <w:r>
        <w:rPr>
          <w:rFonts w:hint="eastAsia" w:ascii="宋体" w:hAnsi="宋体" w:eastAsia="宋体" w:cs="宋体"/>
          <w:sz w:val="30"/>
          <w:szCs w:val="30"/>
        </w:rPr>
        <w:t>委托部门：寻甸回族彝族自治县财政局</w:t>
      </w:r>
    </w:p>
    <w:p w14:paraId="2D6795B9">
      <w:pPr>
        <w:spacing w:line="600" w:lineRule="exact"/>
        <w:ind w:firstLine="0" w:firstLineChars="0"/>
        <w:jc w:val="left"/>
        <w:rPr>
          <w:rFonts w:hint="eastAsia" w:ascii="宋体" w:hAnsi="宋体" w:eastAsia="宋体" w:cs="宋体"/>
          <w:b/>
          <w:sz w:val="30"/>
          <w:szCs w:val="30"/>
        </w:rPr>
      </w:pPr>
      <w:r>
        <w:rPr>
          <w:rFonts w:hint="eastAsia" w:ascii="宋体" w:hAnsi="宋体" w:eastAsia="宋体" w:cs="宋体"/>
          <w:sz w:val="30"/>
          <w:szCs w:val="30"/>
        </w:rPr>
        <w:t>评价机构：云南京健会计师事务所（普通合伙）</w:t>
      </w:r>
    </w:p>
    <w:p w14:paraId="79E7AC7A">
      <w:pPr>
        <w:spacing w:line="600" w:lineRule="exact"/>
        <w:ind w:firstLine="0" w:firstLineChars="0"/>
        <w:jc w:val="center"/>
        <w:rPr>
          <w:rFonts w:hint="eastAsia" w:cs="仿宋"/>
          <w:b/>
          <w:sz w:val="28"/>
          <w:szCs w:val="28"/>
        </w:rPr>
      </w:pPr>
    </w:p>
    <w:p w14:paraId="47D0AF18">
      <w:pPr>
        <w:ind w:firstLine="562"/>
        <w:jc w:val="center"/>
        <w:rPr>
          <w:rFonts w:hint="eastAsia" w:cs="仿宋"/>
          <w:b/>
          <w:sz w:val="28"/>
          <w:szCs w:val="28"/>
        </w:rPr>
      </w:pPr>
    </w:p>
    <w:p w14:paraId="5A9BC67A">
      <w:pPr>
        <w:pStyle w:val="11"/>
        <w:keepNext w:val="0"/>
        <w:keepLines w:val="0"/>
        <w:ind w:firstLine="0" w:firstLineChars="0"/>
        <w:rPr>
          <w:rFonts w:hint="eastAsia" w:ascii="黑体" w:hAnsi="黑体" w:eastAsia="黑体"/>
          <w:sz w:val="36"/>
          <w:szCs w:val="36"/>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077" w:footer="992" w:gutter="0"/>
          <w:pgBorders>
            <w:top w:val="single" w:color="auto" w:sz="4" w:space="1"/>
            <w:bottom w:val="single" w:color="auto" w:sz="4" w:space="1"/>
          </w:pgBorders>
          <w:pgNumType w:start="1"/>
          <w:cols w:space="425" w:num="1"/>
          <w:docGrid w:type="lines" w:linePitch="312" w:charSpace="0"/>
        </w:sectPr>
      </w:pPr>
    </w:p>
    <w:p w14:paraId="65285B39">
      <w:pPr>
        <w:ind w:firstLine="0" w:firstLineChars="0"/>
        <w:jc w:val="center"/>
        <w:rPr>
          <w:rFonts w:hint="eastAsia" w:ascii="黑体" w:hAnsi="黑体" w:eastAsia="黑体" w:cs="黑体"/>
          <w:bCs/>
          <w:szCs w:val="24"/>
        </w:rPr>
      </w:pPr>
      <w:r>
        <w:rPr>
          <w:rFonts w:hint="eastAsia" w:ascii="黑体" w:hAnsi="黑体" w:eastAsia="黑体" w:cs="黑体"/>
          <w:bCs/>
          <w:szCs w:val="24"/>
        </w:rPr>
        <w:t>寻甸回族彝族自治县投资促进局2023年招商引资工作经费项目支出</w:t>
      </w:r>
    </w:p>
    <w:p w14:paraId="5840921E">
      <w:pPr>
        <w:ind w:firstLine="720"/>
        <w:jc w:val="center"/>
        <w:rPr>
          <w:rFonts w:hint="eastAsia" w:ascii="黑体" w:hAnsi="黑体" w:eastAsia="黑体" w:cs="黑体"/>
          <w:bCs/>
          <w:sz w:val="36"/>
          <w:szCs w:val="36"/>
        </w:rPr>
      </w:pPr>
      <w:r>
        <w:rPr>
          <w:rFonts w:hint="eastAsia" w:ascii="黑体" w:hAnsi="黑体" w:eastAsia="黑体" w:cs="黑体"/>
          <w:bCs/>
          <w:sz w:val="36"/>
          <w:szCs w:val="36"/>
        </w:rPr>
        <w:t>绩效评价报告</w:t>
      </w:r>
    </w:p>
    <w:p w14:paraId="40325EC4">
      <w:pPr>
        <w:ind w:firstLine="318" w:firstLineChars="177"/>
        <w:jc w:val="center"/>
        <w:rPr>
          <w:rFonts w:hint="eastAsia" w:ascii="宋体" w:hAnsi="宋体" w:eastAsia="宋体"/>
          <w:sz w:val="18"/>
          <w:szCs w:val="18"/>
        </w:rPr>
      </w:pPr>
      <w:r>
        <w:rPr>
          <w:rFonts w:hint="eastAsia" w:ascii="宋体" w:hAnsi="宋体" w:eastAsia="宋体"/>
          <w:sz w:val="18"/>
          <w:szCs w:val="18"/>
        </w:rPr>
        <w:t>云京健专审字（2024）第</w:t>
      </w:r>
      <w:r>
        <w:rPr>
          <w:rFonts w:hint="eastAsia" w:ascii="宋体" w:hAnsi="宋体" w:eastAsia="宋体"/>
          <w:sz w:val="18"/>
          <w:szCs w:val="18"/>
          <w:lang w:val="en-US" w:eastAsia="zh-CN"/>
        </w:rPr>
        <w:t>061</w:t>
      </w:r>
      <w:r>
        <w:rPr>
          <w:rFonts w:hint="eastAsia" w:ascii="宋体" w:hAnsi="宋体" w:eastAsia="宋体"/>
          <w:sz w:val="18"/>
          <w:szCs w:val="18"/>
        </w:rPr>
        <w:t>号</w:t>
      </w:r>
    </w:p>
    <w:p w14:paraId="676A652F">
      <w:pPr>
        <w:ind w:firstLine="0" w:firstLineChars="0"/>
        <w:rPr>
          <w:rFonts w:hint="eastAsia" w:ascii="宋体" w:hAnsi="宋体" w:eastAsia="宋体" w:cs="宋体"/>
          <w:b/>
          <w:sz w:val="28"/>
          <w:szCs w:val="28"/>
        </w:rPr>
      </w:pPr>
      <w:r>
        <w:rPr>
          <w:rFonts w:hint="eastAsia" w:ascii="宋体" w:hAnsi="宋体" w:eastAsia="宋体" w:cs="宋体"/>
          <w:b/>
          <w:sz w:val="28"/>
          <w:szCs w:val="28"/>
        </w:rPr>
        <w:t>寻甸回族彝族自治县财政局：</w:t>
      </w:r>
    </w:p>
    <w:p w14:paraId="77B8B00F">
      <w:pPr>
        <w:ind w:firstLine="560"/>
        <w:rPr>
          <w:rFonts w:hint="eastAsia"/>
          <w:sz w:val="28"/>
          <w:szCs w:val="28"/>
        </w:rPr>
      </w:pPr>
      <w:r>
        <w:rPr>
          <w:rFonts w:hint="eastAsia"/>
          <w:sz w:val="28"/>
          <w:szCs w:val="28"/>
        </w:rPr>
        <w:t>我们接受委托，根据</w:t>
      </w:r>
      <w:bookmarkStart w:id="0" w:name="_Hlk143855331"/>
      <w:r>
        <w:rPr>
          <w:rFonts w:hint="eastAsia"/>
          <w:sz w:val="28"/>
          <w:szCs w:val="28"/>
        </w:rPr>
        <w:t>《关于全面推进预算绩效管理改革的实施意见》（寻政发〔</w:t>
      </w:r>
      <w:r>
        <w:rPr>
          <w:sz w:val="28"/>
          <w:szCs w:val="28"/>
        </w:rPr>
        <w:t>2016〕122号）</w:t>
      </w:r>
      <w:bookmarkEnd w:id="0"/>
      <w:r>
        <w:rPr>
          <w:sz w:val="28"/>
          <w:szCs w:val="28"/>
        </w:rPr>
        <w:t>、《关于印发寻甸回族彝族自治县预算绩效管理工作考核办法（试行）的通知》（寻政办发〔2016〕79号）、《关于明确预算绩效管理工作职责的通知》（寻财〔2020〕5号）和</w:t>
      </w:r>
      <w:bookmarkStart w:id="1" w:name="_Hlk143855269"/>
      <w:r>
        <w:rPr>
          <w:sz w:val="28"/>
          <w:szCs w:val="28"/>
        </w:rPr>
        <w:t>《关于</w:t>
      </w:r>
      <w:r>
        <w:rPr>
          <w:rFonts w:hint="eastAsia"/>
          <w:sz w:val="28"/>
          <w:szCs w:val="28"/>
        </w:rPr>
        <w:t>开展</w:t>
      </w:r>
      <w:r>
        <w:rPr>
          <w:sz w:val="28"/>
          <w:szCs w:val="28"/>
        </w:rPr>
        <w:t>202</w:t>
      </w:r>
      <w:r>
        <w:rPr>
          <w:rFonts w:hint="eastAsia"/>
          <w:sz w:val="28"/>
          <w:szCs w:val="28"/>
        </w:rPr>
        <w:t>3</w:t>
      </w:r>
      <w:r>
        <w:rPr>
          <w:sz w:val="28"/>
          <w:szCs w:val="28"/>
        </w:rPr>
        <w:t>年度部门整体支出、重大项目支出和地方政府债券项目支出绩效再评价的通知》（寻财绩〔202</w:t>
      </w:r>
      <w:r>
        <w:rPr>
          <w:rFonts w:hint="eastAsia"/>
          <w:sz w:val="28"/>
          <w:szCs w:val="28"/>
        </w:rPr>
        <w:t>4</w:t>
      </w:r>
      <w:r>
        <w:rPr>
          <w:sz w:val="28"/>
          <w:szCs w:val="28"/>
        </w:rPr>
        <w:t>〕</w:t>
      </w:r>
      <w:r>
        <w:rPr>
          <w:rFonts w:hint="eastAsia"/>
          <w:sz w:val="28"/>
          <w:szCs w:val="28"/>
        </w:rPr>
        <w:t>4</w:t>
      </w:r>
      <w:r>
        <w:rPr>
          <w:sz w:val="28"/>
          <w:szCs w:val="28"/>
        </w:rPr>
        <w:t>号）</w:t>
      </w:r>
      <w:bookmarkEnd w:id="1"/>
      <w:r>
        <w:rPr>
          <w:rFonts w:hint="eastAsia"/>
          <w:sz w:val="28"/>
          <w:szCs w:val="28"/>
        </w:rPr>
        <w:t>等文件要求，组成审计评价组对寻甸回族彝族自治县投资促进局2023年招商引资工作经费（以下简称“项目”）的管理、使用及效益情况进行了绩效评价。寻甸回族彝族自治县投资促进局（以下简称“投资促进局”）对所提供评价资料的真实性、完整性负责。现将绩效评价情况报告如下：</w:t>
      </w:r>
      <w:bookmarkStart w:id="2" w:name="_Toc502134848"/>
    </w:p>
    <w:p w14:paraId="0347368D">
      <w:pPr>
        <w:pStyle w:val="4"/>
        <w:ind w:firstLine="560"/>
        <w:jc w:val="left"/>
        <w:rPr>
          <w:rFonts w:hint="eastAsia" w:ascii="黑体" w:hAnsi="黑体" w:eastAsia="黑体" w:cs="黑体"/>
          <w:sz w:val="28"/>
          <w:szCs w:val="28"/>
        </w:rPr>
      </w:pPr>
      <w:r>
        <w:rPr>
          <w:rFonts w:hint="eastAsia" w:ascii="黑体" w:hAnsi="黑体" w:eastAsia="黑体" w:cs="黑体"/>
          <w:sz w:val="28"/>
          <w:szCs w:val="28"/>
        </w:rPr>
        <w:t>一、基本情况</w:t>
      </w:r>
      <w:bookmarkEnd w:id="2"/>
      <w:bookmarkStart w:id="3" w:name="_Toc502134849"/>
    </w:p>
    <w:p w14:paraId="5E045F84">
      <w:pPr>
        <w:pStyle w:val="4"/>
        <w:ind w:firstLine="560"/>
        <w:jc w:val="left"/>
        <w:rPr>
          <w:rFonts w:hint="eastAsia" w:ascii="楷体" w:hAnsi="楷体" w:eastAsia="楷体" w:cs="楷体"/>
          <w:sz w:val="28"/>
          <w:szCs w:val="28"/>
        </w:rPr>
      </w:pPr>
      <w:bookmarkStart w:id="4" w:name="_Hlk146446416"/>
      <w:r>
        <w:rPr>
          <w:rFonts w:hint="eastAsia" w:ascii="楷体" w:hAnsi="楷体" w:eastAsia="楷体" w:cs="楷体"/>
          <w:sz w:val="28"/>
          <w:szCs w:val="28"/>
        </w:rPr>
        <w:t>(一)项目概况</w:t>
      </w:r>
      <w:bookmarkEnd w:id="3"/>
    </w:p>
    <w:p w14:paraId="68D12FCF">
      <w:pPr>
        <w:ind w:firstLine="560"/>
        <w:rPr>
          <w:rFonts w:hint="eastAsia" w:cs="仿宋"/>
          <w:sz w:val="28"/>
          <w:szCs w:val="28"/>
        </w:rPr>
      </w:pPr>
      <w:r>
        <w:rPr>
          <w:rFonts w:hint="eastAsia" w:cs="仿宋"/>
          <w:sz w:val="28"/>
          <w:szCs w:val="28"/>
        </w:rPr>
        <w:t>1.项目设定背景、目的</w:t>
      </w:r>
    </w:p>
    <w:p w14:paraId="3C23F569">
      <w:pPr>
        <w:ind w:firstLine="560"/>
        <w:rPr>
          <w:rFonts w:hint="eastAsia" w:cs="仿宋"/>
          <w:sz w:val="28"/>
          <w:szCs w:val="28"/>
        </w:rPr>
      </w:pPr>
      <w:r>
        <w:rPr>
          <w:rFonts w:hint="eastAsia" w:cs="仿宋"/>
          <w:sz w:val="28"/>
          <w:szCs w:val="28"/>
        </w:rPr>
        <w:t>寻甸县投资促进局在县委、县政府的坚强领导下，在市投资促进局正确指导下，以习近平新时代中国特色社会主义思想为指导，认真贯彻落实好中央、省市县经济会议精神和国家稳经济大盘各项经济政策措施，紧扣“五区一城”区域经济板块和功能定位，围绕全县“55111”奋斗目标，把项目治谈和项目落地作为义不容辞的职责使命，按照全县“当好排头兵”高质量发展大竞赛工作要求，全力推进招商引资各项工作，项目的立项背景和目的主要是为了推动地方经济增长、提升产业结构优化、创造就业机会、提升居民生活水平，以及应对经济挑战和促进消费复苏。</w:t>
      </w:r>
    </w:p>
    <w:p w14:paraId="4A8A957C">
      <w:pPr>
        <w:ind w:firstLine="560"/>
        <w:rPr>
          <w:rFonts w:hint="eastAsia" w:cs="仿宋"/>
          <w:color w:val="FF0000"/>
          <w:sz w:val="28"/>
          <w:szCs w:val="28"/>
        </w:rPr>
      </w:pPr>
      <w:r>
        <w:rPr>
          <w:rFonts w:hint="eastAsia" w:cs="仿宋"/>
          <w:sz w:val="28"/>
          <w:szCs w:val="28"/>
        </w:rPr>
        <w:t>2.项目立项依据</w:t>
      </w:r>
    </w:p>
    <w:p w14:paraId="419595CE">
      <w:pPr>
        <w:ind w:firstLine="560"/>
        <w:rPr>
          <w:rFonts w:hint="eastAsia" w:cs="仿宋"/>
          <w:sz w:val="28"/>
          <w:szCs w:val="28"/>
        </w:rPr>
      </w:pPr>
      <w:bookmarkStart w:id="5" w:name="_Hlk114838304"/>
      <w:bookmarkStart w:id="6" w:name="_Toc502134850"/>
      <w:r>
        <w:rPr>
          <w:rFonts w:hint="eastAsia" w:cs="仿宋"/>
          <w:sz w:val="28"/>
          <w:szCs w:val="28"/>
        </w:rPr>
        <w:t>(1)</w:t>
      </w:r>
      <w:bookmarkEnd w:id="5"/>
      <w:r>
        <w:rPr>
          <w:rFonts w:hint="eastAsia" w:cs="仿宋"/>
          <w:sz w:val="28"/>
          <w:szCs w:val="28"/>
        </w:rPr>
        <w:t>《国务院关于进一步优化外商投资环境 加大吸引外商投资力度的意见》(国办发〔2023〕11号)；</w:t>
      </w:r>
    </w:p>
    <w:p w14:paraId="2518D627">
      <w:pPr>
        <w:ind w:firstLine="560"/>
        <w:rPr>
          <w:rFonts w:hint="eastAsia" w:cs="仿宋"/>
          <w:sz w:val="28"/>
          <w:szCs w:val="28"/>
        </w:rPr>
      </w:pPr>
      <w:r>
        <w:rPr>
          <w:rFonts w:cs="仿宋"/>
          <w:sz w:val="28"/>
          <w:szCs w:val="28"/>
        </w:rPr>
        <w:t>(2)</w:t>
      </w:r>
      <w:r>
        <w:rPr>
          <w:rFonts w:hint="eastAsia" w:cs="仿宋"/>
          <w:sz w:val="28"/>
          <w:szCs w:val="28"/>
        </w:rPr>
        <w:t>《云南省实施招大引强专项行动若干措施》；</w:t>
      </w:r>
    </w:p>
    <w:p w14:paraId="4D1574B3">
      <w:pPr>
        <w:ind w:firstLine="560"/>
        <w:rPr>
          <w:rFonts w:hint="eastAsia" w:cs="仿宋"/>
          <w:sz w:val="28"/>
          <w:szCs w:val="28"/>
        </w:rPr>
      </w:pPr>
      <w:r>
        <w:rPr>
          <w:rFonts w:hint="eastAsia" w:cs="仿宋"/>
          <w:sz w:val="28"/>
          <w:szCs w:val="28"/>
        </w:rPr>
        <w:t>(3)《云南省产业强省三年行动（2022—2024年）》；</w:t>
      </w:r>
    </w:p>
    <w:p w14:paraId="19D5922D">
      <w:pPr>
        <w:ind w:firstLine="560"/>
        <w:rPr>
          <w:rFonts w:hint="eastAsia" w:cs="仿宋"/>
          <w:color w:val="FF0000"/>
          <w:sz w:val="28"/>
          <w:szCs w:val="28"/>
        </w:rPr>
      </w:pPr>
      <w:r>
        <w:rPr>
          <w:rFonts w:hint="eastAsia" w:cs="仿宋"/>
          <w:sz w:val="28"/>
          <w:szCs w:val="28"/>
        </w:rPr>
        <w:t>(4)《寻甸回族彝族自治县</w:t>
      </w:r>
      <w:bookmarkStart w:id="7" w:name="_Hlk174888471"/>
      <w:r>
        <w:rPr>
          <w:rFonts w:hint="eastAsia" w:cs="仿宋"/>
          <w:sz w:val="28"/>
          <w:szCs w:val="28"/>
        </w:rPr>
        <w:t>国民经济和社会发展第十四个五年规划</w:t>
      </w:r>
      <w:bookmarkEnd w:id="7"/>
      <w:r>
        <w:rPr>
          <w:rFonts w:hint="eastAsia" w:cs="仿宋"/>
          <w:sz w:val="28"/>
          <w:szCs w:val="28"/>
        </w:rPr>
        <w:t>》。</w:t>
      </w:r>
      <w:bookmarkEnd w:id="4"/>
    </w:p>
    <w:p w14:paraId="107FC967">
      <w:pPr>
        <w:ind w:firstLine="560"/>
        <w:rPr>
          <w:rFonts w:hint="eastAsia" w:ascii="楷体" w:hAnsi="楷体" w:eastAsia="楷体" w:cs="楷体"/>
          <w:sz w:val="28"/>
          <w:szCs w:val="28"/>
        </w:rPr>
      </w:pPr>
      <w:r>
        <w:rPr>
          <w:rFonts w:hint="eastAsia" w:ascii="楷体" w:hAnsi="楷体" w:eastAsia="楷体" w:cs="楷体"/>
          <w:sz w:val="28"/>
          <w:szCs w:val="28"/>
        </w:rPr>
        <w:t>(二)</w:t>
      </w:r>
      <w:bookmarkStart w:id="8" w:name="_Hlk146447174"/>
      <w:r>
        <w:rPr>
          <w:rFonts w:hint="eastAsia" w:ascii="楷体" w:hAnsi="楷体" w:eastAsia="楷体" w:cs="楷体"/>
          <w:sz w:val="28"/>
          <w:szCs w:val="28"/>
        </w:rPr>
        <w:t>项目资金安排情况</w:t>
      </w:r>
      <w:bookmarkEnd w:id="6"/>
      <w:bookmarkEnd w:id="8"/>
      <w:bookmarkStart w:id="9" w:name="_Toc502134851"/>
    </w:p>
    <w:p w14:paraId="38ACD19E">
      <w:pPr>
        <w:ind w:firstLine="560"/>
        <w:rPr>
          <w:rFonts w:hint="eastAsia" w:cs="仿宋"/>
          <w:sz w:val="28"/>
          <w:szCs w:val="28"/>
        </w:rPr>
      </w:pPr>
      <w:r>
        <w:rPr>
          <w:rFonts w:hint="eastAsia" w:cs="仿宋"/>
          <w:sz w:val="28"/>
          <w:szCs w:val="28"/>
        </w:rPr>
        <w:t>据</w:t>
      </w:r>
      <w:bookmarkStart w:id="10" w:name="_Hlk174885179"/>
      <w:r>
        <w:rPr>
          <w:rFonts w:hint="eastAsia" w:cs="仿宋"/>
          <w:sz w:val="28"/>
          <w:szCs w:val="28"/>
        </w:rPr>
        <w:t>《寻甸回族彝族自治县财政局关于批复2023年部门预算的通知》（寻财预〔2023〕1号）</w:t>
      </w:r>
      <w:bookmarkEnd w:id="10"/>
      <w:r>
        <w:rPr>
          <w:rFonts w:hint="eastAsia" w:cs="仿宋"/>
          <w:sz w:val="28"/>
          <w:szCs w:val="28"/>
        </w:rPr>
        <w:t>，安排投资促进局项目资金1,000,000.00元。</w:t>
      </w:r>
    </w:p>
    <w:p w14:paraId="58F264F3">
      <w:pPr>
        <w:ind w:firstLine="560"/>
        <w:rPr>
          <w:rFonts w:hint="eastAsia" w:ascii="楷体" w:hAnsi="楷体" w:eastAsia="楷体" w:cs="楷体"/>
          <w:sz w:val="28"/>
          <w:szCs w:val="28"/>
        </w:rPr>
      </w:pPr>
      <w:bookmarkStart w:id="11" w:name="_Hlk146446528"/>
      <w:r>
        <w:rPr>
          <w:rFonts w:hint="eastAsia" w:ascii="楷体" w:hAnsi="楷体" w:eastAsia="楷体" w:cs="楷体"/>
          <w:sz w:val="28"/>
          <w:szCs w:val="28"/>
        </w:rPr>
        <w:t>(三)项目实施内容</w:t>
      </w:r>
      <w:bookmarkEnd w:id="9"/>
    </w:p>
    <w:p w14:paraId="46021132">
      <w:pPr>
        <w:ind w:firstLine="560"/>
        <w:rPr>
          <w:rFonts w:hint="eastAsia" w:cs="仿宋"/>
          <w:sz w:val="28"/>
          <w:szCs w:val="28"/>
        </w:rPr>
      </w:pPr>
      <w:bookmarkStart w:id="12" w:name="_Toc502134852"/>
      <w:r>
        <w:rPr>
          <w:rFonts w:hint="eastAsia" w:cs="仿宋"/>
          <w:sz w:val="28"/>
          <w:szCs w:val="28"/>
        </w:rPr>
        <w:t>1.根据县情实际，策划、编制招商宣传片、投资指南、招商项目册等基础招商资料，做好投资促进对外宣传工作，及时发布本县投资促进政策及重要招商引资政策信息。</w:t>
      </w:r>
    </w:p>
    <w:p w14:paraId="16875CB5">
      <w:pPr>
        <w:ind w:firstLine="560"/>
        <w:rPr>
          <w:rFonts w:hint="eastAsia" w:cs="仿宋"/>
          <w:sz w:val="28"/>
          <w:szCs w:val="28"/>
        </w:rPr>
      </w:pPr>
      <w:r>
        <w:rPr>
          <w:rFonts w:hint="eastAsia" w:cs="仿宋"/>
          <w:sz w:val="28"/>
          <w:szCs w:val="28"/>
        </w:rPr>
        <w:t>2.建立、管理县重大招商引资项目库；负责全县招商引资数据平台、县投资促进网络平台的建设和管理工作。</w:t>
      </w:r>
    </w:p>
    <w:p w14:paraId="3C48C3CA">
      <w:pPr>
        <w:ind w:firstLine="560"/>
        <w:rPr>
          <w:rFonts w:hint="eastAsia" w:cs="仿宋"/>
          <w:sz w:val="28"/>
          <w:szCs w:val="28"/>
        </w:rPr>
      </w:pPr>
      <w:r>
        <w:rPr>
          <w:rFonts w:hint="eastAsia" w:cs="仿宋"/>
          <w:sz w:val="28"/>
          <w:szCs w:val="28"/>
        </w:rPr>
        <w:t>3.统筹协调督导县直有关部门、乡镇（街道）、园区等开展投资促进和重大招商引资项目的协调推进。</w:t>
      </w:r>
    </w:p>
    <w:p w14:paraId="6DBA4D75">
      <w:pPr>
        <w:ind w:firstLine="560"/>
        <w:rPr>
          <w:rFonts w:hint="eastAsia" w:cs="仿宋"/>
          <w:sz w:val="28"/>
          <w:szCs w:val="28"/>
        </w:rPr>
      </w:pPr>
      <w:r>
        <w:rPr>
          <w:rFonts w:hint="eastAsia" w:cs="仿宋"/>
          <w:sz w:val="28"/>
          <w:szCs w:val="28"/>
        </w:rPr>
        <w:t>4.统筹指导全县开展重大招商引资项目全程服务工作，为辖区内重大招商引资项目提供全程服务。</w:t>
      </w:r>
    </w:p>
    <w:p w14:paraId="18D6CC00">
      <w:pPr>
        <w:ind w:firstLine="560"/>
        <w:rPr>
          <w:rFonts w:hint="eastAsia" w:cs="仿宋"/>
          <w:sz w:val="28"/>
          <w:szCs w:val="28"/>
        </w:rPr>
      </w:pPr>
      <w:r>
        <w:rPr>
          <w:rFonts w:hint="eastAsia" w:cs="仿宋"/>
          <w:sz w:val="28"/>
          <w:szCs w:val="28"/>
        </w:rPr>
        <w:t>5.市、县级联动，做好重大招商引资项目的跟踪、协调和督办。</w:t>
      </w:r>
    </w:p>
    <w:p w14:paraId="36697813">
      <w:pPr>
        <w:ind w:firstLine="560"/>
        <w:rPr>
          <w:rFonts w:hint="eastAsia" w:cs="仿宋"/>
          <w:sz w:val="28"/>
          <w:szCs w:val="28"/>
        </w:rPr>
      </w:pPr>
      <w:r>
        <w:rPr>
          <w:rFonts w:hint="eastAsia" w:cs="仿宋"/>
          <w:sz w:val="28"/>
          <w:szCs w:val="28"/>
        </w:rPr>
        <w:t>6.根据招商工作实际，灵活机动开展“一把手”、小分队外出招商和专场招商活动。</w:t>
      </w:r>
      <w:bookmarkEnd w:id="11"/>
    </w:p>
    <w:p w14:paraId="07303F6E">
      <w:pPr>
        <w:ind w:firstLine="560"/>
        <w:rPr>
          <w:rFonts w:hint="eastAsia" w:ascii="楷体" w:hAnsi="楷体" w:eastAsia="楷体" w:cs="楷体"/>
          <w:sz w:val="28"/>
          <w:szCs w:val="28"/>
        </w:rPr>
      </w:pPr>
      <w:bookmarkStart w:id="13" w:name="_Hlk146446621"/>
      <w:r>
        <w:rPr>
          <w:rFonts w:hint="eastAsia" w:ascii="楷体" w:hAnsi="楷体" w:eastAsia="楷体" w:cs="楷体"/>
          <w:sz w:val="28"/>
          <w:szCs w:val="28"/>
        </w:rPr>
        <w:t>(四)项目绩效目标设定情况</w:t>
      </w:r>
      <w:bookmarkEnd w:id="12"/>
    </w:p>
    <w:p w14:paraId="60FE2039">
      <w:pPr>
        <w:ind w:firstLine="560"/>
        <w:rPr>
          <w:rFonts w:hint="eastAsia" w:cs="仿宋"/>
          <w:sz w:val="28"/>
          <w:szCs w:val="28"/>
        </w:rPr>
      </w:pPr>
      <w:r>
        <w:rPr>
          <w:rFonts w:hint="eastAsia" w:cs="仿宋"/>
          <w:sz w:val="28"/>
          <w:szCs w:val="28"/>
        </w:rPr>
        <w:t>投资促进局根据上述项目实施内容，设定了项目总体目标和年度目标。</w:t>
      </w:r>
    </w:p>
    <w:p w14:paraId="10270C91">
      <w:pPr>
        <w:ind w:firstLine="560"/>
        <w:rPr>
          <w:rFonts w:hint="eastAsia" w:cs="仿宋"/>
          <w:sz w:val="28"/>
          <w:szCs w:val="28"/>
        </w:rPr>
      </w:pPr>
      <w:r>
        <w:rPr>
          <w:rFonts w:hint="eastAsia" w:cs="仿宋"/>
          <w:sz w:val="28"/>
          <w:szCs w:val="28"/>
        </w:rPr>
        <w:t>总体目标：研究拟订全县投资促进发展规划，认真贯彻执行投资促进和开放合作的方针、政策、法律、法规。根据县情实际，策划、编制招商宣传片、投资指南、招商项目册等基础招商资料，做好投资促进对外宣传工作，及时发布本县投资促进政策及重要招商引资政策信息。建立、管理县重大招商引资项目库；负责全县招商引资数据平台、县投资促进网络平台的建设和管理工作。统筹协调督导县直有关部门、乡镇（街道）、园区等开展投资促进和重大招商引资项目的协调推进。统筹指导全县开展重大招商引资项目全程服务工作，为辖区内重大招商引资项目提供全程服务。市、县级联动，做好重大招商引资项目的跟踪、协调和督办。根据招商工作实际，灵活机动开展“一把手”、小分队外出招商和专场招商活动。负责做好国内经济合作统计和外商直接投资促进工作，做好县招商引资工作委员会办公室、县招商引资考核办公室日常工作。牵头完成市级招商引资考核工作，负责完成对全县招商引资目标任务的考核工作。负责中介机构招商奖励办法的制定及兑现。</w:t>
      </w:r>
    </w:p>
    <w:p w14:paraId="4519D2B2">
      <w:pPr>
        <w:ind w:firstLine="560"/>
        <w:rPr>
          <w:rFonts w:hint="eastAsia" w:cs="仿宋"/>
          <w:sz w:val="28"/>
          <w:szCs w:val="28"/>
        </w:rPr>
      </w:pPr>
      <w:r>
        <w:rPr>
          <w:rFonts w:hint="eastAsia" w:cs="仿宋"/>
          <w:sz w:val="28"/>
          <w:szCs w:val="28"/>
        </w:rPr>
        <w:t>年度目标：根据县情实际，策划、编制招商宣传片、投资指南、招商项目册等基础招商资料，做好投资促进对外宣传工作，及时发布本县投资促进政策及重要招商引资政策信息。建立、管理县重大招商引资项目库；负责全县招商引资数据平台、县投资促进网络平台的建设和管理工作。统筹协调督导县直有关部门、乡镇（街道）、园区等开展投资促进和重大招商引资项目的协调推进。统筹指导全县开展重大招商引资项目全程服务工作，为辖区内重大招商引资项目提供全程服务。市、县级联动，做好重大招商引资项目的跟踪、协调和督办。根据招商工作实际，灵活机动开展“一把手”、小分队外出招商和专场招商活动。</w:t>
      </w:r>
    </w:p>
    <w:p w14:paraId="0AB4BD1A">
      <w:pPr>
        <w:spacing w:line="240" w:lineRule="auto"/>
        <w:ind w:firstLine="560"/>
        <w:rPr>
          <w:rFonts w:hint="eastAsia"/>
          <w:sz w:val="28"/>
          <w:szCs w:val="28"/>
        </w:rPr>
      </w:pPr>
      <w:r>
        <w:rPr>
          <w:rFonts w:hint="eastAsia" w:cs="仿宋"/>
          <w:sz w:val="28"/>
          <w:szCs w:val="28"/>
        </w:rPr>
        <w:t>根据上述项目年度目标，投资促进局申报的2023年度预算绩效指标及指标值的具体情况如下：</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086"/>
        <w:gridCol w:w="1485"/>
        <w:gridCol w:w="3826"/>
        <w:gridCol w:w="1461"/>
      </w:tblGrid>
      <w:tr w14:paraId="39EAC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85" w:type="pct"/>
            <w:vMerge w:val="restart"/>
            <w:tcBorders>
              <w:tl2br w:val="nil"/>
              <w:tr2bl w:val="nil"/>
            </w:tcBorders>
            <w:shd w:val="clear" w:color="auto" w:fill="auto"/>
            <w:vAlign w:val="center"/>
          </w:tcPr>
          <w:p w14:paraId="7CA48CD9">
            <w:pPr>
              <w:widowControl/>
              <w:spacing w:line="240" w:lineRule="auto"/>
              <w:ind w:firstLine="0" w:firstLineChars="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绩效指标</w:t>
            </w:r>
          </w:p>
          <w:p w14:paraId="52C73808">
            <w:pPr>
              <w:pStyle w:val="2"/>
              <w:spacing w:line="240" w:lineRule="auto"/>
              <w:ind w:firstLine="883"/>
              <w:rPr>
                <w:rFonts w:hint="eastAsia"/>
              </w:rPr>
            </w:pPr>
          </w:p>
        </w:tc>
        <w:tc>
          <w:tcPr>
            <w:tcW w:w="638" w:type="pct"/>
            <w:tcBorders>
              <w:tl2br w:val="nil"/>
              <w:tr2bl w:val="nil"/>
            </w:tcBorders>
            <w:shd w:val="clear" w:color="auto" w:fill="auto"/>
            <w:vAlign w:val="center"/>
          </w:tcPr>
          <w:p w14:paraId="3FBD5D7A">
            <w:pPr>
              <w:widowControl/>
              <w:spacing w:line="240" w:lineRule="auto"/>
              <w:ind w:firstLine="0" w:firstLineChars="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一级指标</w:t>
            </w:r>
          </w:p>
        </w:tc>
        <w:tc>
          <w:tcPr>
            <w:tcW w:w="872" w:type="pct"/>
            <w:tcBorders>
              <w:tl2br w:val="nil"/>
              <w:tr2bl w:val="nil"/>
            </w:tcBorders>
            <w:shd w:val="clear" w:color="auto" w:fill="auto"/>
            <w:vAlign w:val="center"/>
          </w:tcPr>
          <w:p w14:paraId="5EB7F19A">
            <w:pPr>
              <w:widowControl/>
              <w:spacing w:line="240" w:lineRule="auto"/>
              <w:ind w:firstLine="0" w:firstLineChars="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二级指标</w:t>
            </w:r>
          </w:p>
        </w:tc>
        <w:tc>
          <w:tcPr>
            <w:tcW w:w="2247" w:type="pct"/>
            <w:tcBorders>
              <w:tl2br w:val="nil"/>
              <w:tr2bl w:val="nil"/>
            </w:tcBorders>
            <w:shd w:val="clear" w:color="auto" w:fill="auto"/>
            <w:vAlign w:val="center"/>
          </w:tcPr>
          <w:p w14:paraId="51BC8A72">
            <w:pPr>
              <w:widowControl/>
              <w:spacing w:line="240" w:lineRule="auto"/>
              <w:ind w:firstLine="0" w:firstLineChars="0"/>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三级指标</w:t>
            </w:r>
          </w:p>
        </w:tc>
        <w:tc>
          <w:tcPr>
            <w:tcW w:w="858" w:type="pct"/>
            <w:tcBorders>
              <w:tl2br w:val="nil"/>
              <w:tr2bl w:val="nil"/>
            </w:tcBorders>
            <w:shd w:val="clear" w:color="auto" w:fill="auto"/>
            <w:vAlign w:val="center"/>
          </w:tcPr>
          <w:p w14:paraId="491807A9">
            <w:pPr>
              <w:widowControl/>
              <w:spacing w:line="240" w:lineRule="auto"/>
              <w:ind w:firstLine="0" w:firstLineChars="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指标值</w:t>
            </w:r>
          </w:p>
        </w:tc>
      </w:tr>
      <w:tr w14:paraId="47E63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85" w:type="pct"/>
            <w:vMerge w:val="continue"/>
            <w:tcBorders>
              <w:tl2br w:val="nil"/>
              <w:tr2bl w:val="nil"/>
            </w:tcBorders>
            <w:vAlign w:val="center"/>
          </w:tcPr>
          <w:p w14:paraId="7FC123E7">
            <w:pPr>
              <w:widowControl/>
              <w:spacing w:line="240" w:lineRule="auto"/>
              <w:ind w:firstLine="360"/>
              <w:jc w:val="center"/>
              <w:rPr>
                <w:rFonts w:hint="eastAsia" w:asciiTheme="minorEastAsia" w:hAnsiTheme="minorEastAsia" w:eastAsiaTheme="minorEastAsia" w:cstheme="minorEastAsia"/>
                <w:color w:val="000000"/>
                <w:kern w:val="0"/>
                <w:sz w:val="18"/>
                <w:szCs w:val="18"/>
                <w:highlight w:val="yellow"/>
              </w:rPr>
            </w:pPr>
          </w:p>
        </w:tc>
        <w:tc>
          <w:tcPr>
            <w:tcW w:w="638" w:type="pct"/>
            <w:vMerge w:val="restart"/>
            <w:tcBorders>
              <w:tl2br w:val="nil"/>
              <w:tr2bl w:val="nil"/>
            </w:tcBorders>
            <w:shd w:val="clear" w:color="auto" w:fill="auto"/>
            <w:vAlign w:val="center"/>
          </w:tcPr>
          <w:p w14:paraId="2F8B3FEB">
            <w:pPr>
              <w:widowControl/>
              <w:spacing w:line="240" w:lineRule="auto"/>
              <w:ind w:firstLine="0" w:firstLineChars="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产出指标</w:t>
            </w:r>
          </w:p>
        </w:tc>
        <w:tc>
          <w:tcPr>
            <w:tcW w:w="872" w:type="pct"/>
            <w:vMerge w:val="restart"/>
            <w:tcBorders>
              <w:tl2br w:val="nil"/>
              <w:tr2bl w:val="nil"/>
            </w:tcBorders>
            <w:shd w:val="clear" w:color="auto" w:fill="auto"/>
            <w:vAlign w:val="center"/>
          </w:tcPr>
          <w:p w14:paraId="0C1FDC89">
            <w:pPr>
              <w:widowControl/>
              <w:spacing w:line="240" w:lineRule="auto"/>
              <w:ind w:firstLine="0" w:firstLineChars="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数量指标</w:t>
            </w:r>
          </w:p>
        </w:tc>
        <w:tc>
          <w:tcPr>
            <w:tcW w:w="2247" w:type="pct"/>
            <w:tcBorders>
              <w:tl2br w:val="nil"/>
              <w:tr2bl w:val="nil"/>
            </w:tcBorders>
            <w:shd w:val="clear" w:color="auto" w:fill="auto"/>
            <w:vAlign w:val="center"/>
          </w:tcPr>
          <w:p w14:paraId="3D5C3628">
            <w:pPr>
              <w:widowControl/>
              <w:spacing w:line="240" w:lineRule="auto"/>
              <w:ind w:firstLine="0" w:firstLineChars="0"/>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外出招商次数</w:t>
            </w:r>
          </w:p>
        </w:tc>
        <w:tc>
          <w:tcPr>
            <w:tcW w:w="858" w:type="pct"/>
            <w:tcBorders>
              <w:tl2br w:val="nil"/>
              <w:tr2bl w:val="nil"/>
            </w:tcBorders>
            <w:shd w:val="clear" w:color="auto" w:fill="auto"/>
            <w:vAlign w:val="center"/>
          </w:tcPr>
          <w:p w14:paraId="159673D3">
            <w:pPr>
              <w:widowControl/>
              <w:spacing w:line="240" w:lineRule="auto"/>
              <w:ind w:firstLine="0" w:firstLineChars="0"/>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≥5次</w:t>
            </w:r>
          </w:p>
        </w:tc>
      </w:tr>
      <w:tr w14:paraId="1A071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85" w:type="pct"/>
            <w:vMerge w:val="continue"/>
            <w:tcBorders>
              <w:tl2br w:val="nil"/>
              <w:tr2bl w:val="nil"/>
            </w:tcBorders>
            <w:vAlign w:val="center"/>
          </w:tcPr>
          <w:p w14:paraId="5C43E906">
            <w:pPr>
              <w:widowControl/>
              <w:spacing w:line="240" w:lineRule="auto"/>
              <w:ind w:firstLine="360"/>
              <w:jc w:val="center"/>
              <w:rPr>
                <w:rFonts w:hint="eastAsia" w:asciiTheme="minorEastAsia" w:hAnsiTheme="minorEastAsia" w:eastAsiaTheme="minorEastAsia" w:cstheme="minorEastAsia"/>
                <w:color w:val="000000"/>
                <w:kern w:val="0"/>
                <w:sz w:val="18"/>
                <w:szCs w:val="18"/>
                <w:highlight w:val="yellow"/>
              </w:rPr>
            </w:pPr>
          </w:p>
        </w:tc>
        <w:tc>
          <w:tcPr>
            <w:tcW w:w="638" w:type="pct"/>
            <w:vMerge w:val="continue"/>
            <w:tcBorders>
              <w:tl2br w:val="nil"/>
              <w:tr2bl w:val="nil"/>
            </w:tcBorders>
            <w:shd w:val="clear" w:color="auto" w:fill="auto"/>
            <w:vAlign w:val="center"/>
          </w:tcPr>
          <w:p w14:paraId="344F840A">
            <w:pPr>
              <w:widowControl/>
              <w:spacing w:line="240" w:lineRule="auto"/>
              <w:ind w:firstLine="360"/>
              <w:jc w:val="center"/>
              <w:rPr>
                <w:rFonts w:hint="eastAsia" w:asciiTheme="minorEastAsia" w:hAnsiTheme="minorEastAsia" w:eastAsiaTheme="minorEastAsia" w:cstheme="minorEastAsia"/>
                <w:color w:val="000000"/>
                <w:kern w:val="0"/>
                <w:sz w:val="18"/>
                <w:szCs w:val="18"/>
              </w:rPr>
            </w:pPr>
          </w:p>
        </w:tc>
        <w:tc>
          <w:tcPr>
            <w:tcW w:w="872" w:type="pct"/>
            <w:vMerge w:val="continue"/>
            <w:tcBorders>
              <w:tl2br w:val="nil"/>
              <w:tr2bl w:val="nil"/>
            </w:tcBorders>
            <w:shd w:val="clear" w:color="auto" w:fill="auto"/>
            <w:vAlign w:val="center"/>
          </w:tcPr>
          <w:p w14:paraId="69894CF2">
            <w:pPr>
              <w:widowControl/>
              <w:spacing w:line="240" w:lineRule="auto"/>
              <w:ind w:firstLine="360"/>
              <w:jc w:val="center"/>
              <w:rPr>
                <w:rFonts w:hint="eastAsia" w:asciiTheme="minorEastAsia" w:hAnsiTheme="minorEastAsia" w:eastAsiaTheme="minorEastAsia" w:cstheme="minorEastAsia"/>
                <w:color w:val="000000"/>
                <w:kern w:val="0"/>
                <w:sz w:val="18"/>
                <w:szCs w:val="18"/>
              </w:rPr>
            </w:pPr>
          </w:p>
        </w:tc>
        <w:tc>
          <w:tcPr>
            <w:tcW w:w="2247" w:type="pct"/>
            <w:tcBorders>
              <w:tl2br w:val="nil"/>
              <w:tr2bl w:val="nil"/>
            </w:tcBorders>
            <w:shd w:val="clear" w:color="auto" w:fill="auto"/>
            <w:vAlign w:val="center"/>
          </w:tcPr>
          <w:p w14:paraId="5359CD89">
            <w:pPr>
              <w:widowControl/>
              <w:spacing w:line="240" w:lineRule="auto"/>
              <w:ind w:firstLine="0" w:firstLineChars="0"/>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编制投资指南、招商项目册等基础招商资料</w:t>
            </w:r>
          </w:p>
        </w:tc>
        <w:tc>
          <w:tcPr>
            <w:tcW w:w="858" w:type="pct"/>
            <w:tcBorders>
              <w:tl2br w:val="nil"/>
              <w:tr2bl w:val="nil"/>
            </w:tcBorders>
            <w:shd w:val="clear" w:color="auto" w:fill="auto"/>
            <w:vAlign w:val="center"/>
          </w:tcPr>
          <w:p w14:paraId="372ED0A5">
            <w:pPr>
              <w:widowControl/>
              <w:spacing w:line="240" w:lineRule="auto"/>
              <w:ind w:firstLine="0" w:firstLineChars="0"/>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≥1套</w:t>
            </w:r>
          </w:p>
        </w:tc>
      </w:tr>
      <w:tr w14:paraId="7C3A3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85" w:type="pct"/>
            <w:vMerge w:val="continue"/>
            <w:tcBorders>
              <w:tl2br w:val="nil"/>
              <w:tr2bl w:val="nil"/>
            </w:tcBorders>
            <w:vAlign w:val="center"/>
          </w:tcPr>
          <w:p w14:paraId="64E2902E">
            <w:pPr>
              <w:widowControl/>
              <w:spacing w:line="240" w:lineRule="auto"/>
              <w:ind w:firstLine="360"/>
              <w:jc w:val="center"/>
              <w:rPr>
                <w:rFonts w:hint="eastAsia" w:asciiTheme="minorEastAsia" w:hAnsiTheme="minorEastAsia" w:eastAsiaTheme="minorEastAsia" w:cstheme="minorEastAsia"/>
                <w:color w:val="000000"/>
                <w:kern w:val="0"/>
                <w:sz w:val="18"/>
                <w:szCs w:val="18"/>
                <w:highlight w:val="yellow"/>
              </w:rPr>
            </w:pPr>
          </w:p>
        </w:tc>
        <w:tc>
          <w:tcPr>
            <w:tcW w:w="638" w:type="pct"/>
            <w:vMerge w:val="continue"/>
            <w:tcBorders>
              <w:tl2br w:val="nil"/>
              <w:tr2bl w:val="nil"/>
            </w:tcBorders>
            <w:shd w:val="clear" w:color="auto" w:fill="auto"/>
            <w:vAlign w:val="center"/>
          </w:tcPr>
          <w:p w14:paraId="62C21C8F">
            <w:pPr>
              <w:widowControl/>
              <w:spacing w:line="240" w:lineRule="auto"/>
              <w:ind w:firstLine="360"/>
              <w:jc w:val="center"/>
              <w:rPr>
                <w:rFonts w:hint="eastAsia" w:asciiTheme="minorEastAsia" w:hAnsiTheme="minorEastAsia" w:eastAsiaTheme="minorEastAsia" w:cstheme="minorEastAsia"/>
                <w:color w:val="000000"/>
                <w:kern w:val="0"/>
                <w:sz w:val="18"/>
                <w:szCs w:val="18"/>
              </w:rPr>
            </w:pPr>
          </w:p>
        </w:tc>
        <w:tc>
          <w:tcPr>
            <w:tcW w:w="872" w:type="pct"/>
            <w:vMerge w:val="continue"/>
            <w:tcBorders>
              <w:tl2br w:val="nil"/>
              <w:tr2bl w:val="nil"/>
            </w:tcBorders>
            <w:shd w:val="clear" w:color="auto" w:fill="auto"/>
            <w:vAlign w:val="center"/>
          </w:tcPr>
          <w:p w14:paraId="4BCE90B6">
            <w:pPr>
              <w:widowControl/>
              <w:spacing w:line="240" w:lineRule="auto"/>
              <w:ind w:firstLine="360"/>
              <w:jc w:val="center"/>
              <w:rPr>
                <w:rFonts w:hint="eastAsia" w:asciiTheme="minorEastAsia" w:hAnsiTheme="minorEastAsia" w:eastAsiaTheme="minorEastAsia" w:cstheme="minorEastAsia"/>
                <w:color w:val="000000"/>
                <w:kern w:val="0"/>
                <w:sz w:val="18"/>
                <w:szCs w:val="18"/>
              </w:rPr>
            </w:pPr>
          </w:p>
        </w:tc>
        <w:tc>
          <w:tcPr>
            <w:tcW w:w="2247" w:type="pct"/>
            <w:tcBorders>
              <w:tl2br w:val="nil"/>
              <w:tr2bl w:val="nil"/>
            </w:tcBorders>
            <w:shd w:val="clear" w:color="auto" w:fill="auto"/>
            <w:vAlign w:val="center"/>
          </w:tcPr>
          <w:p w14:paraId="4E926C22">
            <w:pPr>
              <w:widowControl/>
              <w:spacing w:line="240" w:lineRule="auto"/>
              <w:ind w:firstLine="0" w:firstLineChars="0"/>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制作招商宣传片</w:t>
            </w:r>
          </w:p>
        </w:tc>
        <w:tc>
          <w:tcPr>
            <w:tcW w:w="858" w:type="pct"/>
            <w:tcBorders>
              <w:tl2br w:val="nil"/>
              <w:tr2bl w:val="nil"/>
            </w:tcBorders>
            <w:shd w:val="clear" w:color="auto" w:fill="auto"/>
            <w:vAlign w:val="center"/>
          </w:tcPr>
          <w:p w14:paraId="624B4245">
            <w:pPr>
              <w:widowControl/>
              <w:spacing w:line="240" w:lineRule="auto"/>
              <w:ind w:firstLine="0" w:firstLineChars="0"/>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≥1部</w:t>
            </w:r>
          </w:p>
        </w:tc>
      </w:tr>
      <w:tr w14:paraId="29E5F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85" w:type="pct"/>
            <w:vMerge w:val="continue"/>
            <w:tcBorders>
              <w:tl2br w:val="nil"/>
              <w:tr2bl w:val="nil"/>
            </w:tcBorders>
            <w:vAlign w:val="center"/>
          </w:tcPr>
          <w:p w14:paraId="613BD90B">
            <w:pPr>
              <w:widowControl/>
              <w:spacing w:line="240" w:lineRule="auto"/>
              <w:ind w:firstLine="360"/>
              <w:jc w:val="center"/>
              <w:rPr>
                <w:rFonts w:hint="eastAsia" w:asciiTheme="minorEastAsia" w:hAnsiTheme="minorEastAsia" w:eastAsiaTheme="minorEastAsia" w:cstheme="minorEastAsia"/>
                <w:color w:val="000000"/>
                <w:kern w:val="0"/>
                <w:sz w:val="18"/>
                <w:szCs w:val="18"/>
                <w:highlight w:val="yellow"/>
              </w:rPr>
            </w:pPr>
          </w:p>
        </w:tc>
        <w:tc>
          <w:tcPr>
            <w:tcW w:w="638" w:type="pct"/>
            <w:vMerge w:val="continue"/>
            <w:tcBorders>
              <w:tl2br w:val="nil"/>
              <w:tr2bl w:val="nil"/>
            </w:tcBorders>
            <w:shd w:val="clear" w:color="auto" w:fill="auto"/>
            <w:vAlign w:val="center"/>
          </w:tcPr>
          <w:p w14:paraId="500260F9">
            <w:pPr>
              <w:widowControl/>
              <w:spacing w:line="240" w:lineRule="auto"/>
              <w:ind w:firstLine="360"/>
              <w:jc w:val="center"/>
              <w:rPr>
                <w:rFonts w:hint="eastAsia" w:asciiTheme="minorEastAsia" w:hAnsiTheme="minorEastAsia" w:eastAsiaTheme="minorEastAsia" w:cstheme="minorEastAsia"/>
                <w:color w:val="000000"/>
                <w:kern w:val="0"/>
                <w:sz w:val="18"/>
                <w:szCs w:val="18"/>
              </w:rPr>
            </w:pPr>
          </w:p>
        </w:tc>
        <w:tc>
          <w:tcPr>
            <w:tcW w:w="872" w:type="pct"/>
            <w:vMerge w:val="restart"/>
            <w:tcBorders>
              <w:tl2br w:val="nil"/>
              <w:tr2bl w:val="nil"/>
            </w:tcBorders>
            <w:shd w:val="clear" w:color="auto" w:fill="auto"/>
            <w:vAlign w:val="center"/>
          </w:tcPr>
          <w:p w14:paraId="064F1278">
            <w:pPr>
              <w:widowControl/>
              <w:spacing w:line="240" w:lineRule="auto"/>
              <w:ind w:firstLine="0" w:firstLineChars="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质量指标</w:t>
            </w:r>
          </w:p>
        </w:tc>
        <w:tc>
          <w:tcPr>
            <w:tcW w:w="2247" w:type="pct"/>
            <w:tcBorders>
              <w:tl2br w:val="nil"/>
              <w:tr2bl w:val="nil"/>
            </w:tcBorders>
            <w:shd w:val="clear" w:color="auto" w:fill="auto"/>
            <w:vAlign w:val="center"/>
          </w:tcPr>
          <w:p w14:paraId="22842930">
            <w:pPr>
              <w:widowControl/>
              <w:spacing w:line="240" w:lineRule="auto"/>
              <w:ind w:firstLine="0" w:firstLineChars="0"/>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外出招商完成率</w:t>
            </w:r>
          </w:p>
        </w:tc>
        <w:tc>
          <w:tcPr>
            <w:tcW w:w="858" w:type="pct"/>
            <w:tcBorders>
              <w:tl2br w:val="nil"/>
              <w:tr2bl w:val="nil"/>
            </w:tcBorders>
            <w:shd w:val="clear" w:color="auto" w:fill="auto"/>
            <w:vAlign w:val="center"/>
          </w:tcPr>
          <w:p w14:paraId="432CD4A1">
            <w:pPr>
              <w:widowControl/>
              <w:spacing w:line="240" w:lineRule="auto"/>
              <w:ind w:firstLine="0" w:firstLineChars="0"/>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≥100%</w:t>
            </w:r>
          </w:p>
        </w:tc>
      </w:tr>
      <w:tr w14:paraId="0EF9D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85" w:type="pct"/>
            <w:vMerge w:val="continue"/>
            <w:tcBorders>
              <w:tl2br w:val="nil"/>
              <w:tr2bl w:val="nil"/>
            </w:tcBorders>
            <w:vAlign w:val="center"/>
          </w:tcPr>
          <w:p w14:paraId="75FBFDF6">
            <w:pPr>
              <w:widowControl/>
              <w:spacing w:line="240" w:lineRule="auto"/>
              <w:ind w:firstLine="360"/>
              <w:jc w:val="center"/>
              <w:rPr>
                <w:rFonts w:hint="eastAsia" w:asciiTheme="minorEastAsia" w:hAnsiTheme="minorEastAsia" w:eastAsiaTheme="minorEastAsia" w:cstheme="minorEastAsia"/>
                <w:color w:val="000000"/>
                <w:kern w:val="0"/>
                <w:sz w:val="18"/>
                <w:szCs w:val="18"/>
                <w:highlight w:val="yellow"/>
              </w:rPr>
            </w:pPr>
          </w:p>
        </w:tc>
        <w:tc>
          <w:tcPr>
            <w:tcW w:w="638" w:type="pct"/>
            <w:vMerge w:val="continue"/>
            <w:tcBorders>
              <w:tl2br w:val="nil"/>
              <w:tr2bl w:val="nil"/>
            </w:tcBorders>
            <w:shd w:val="clear" w:color="auto" w:fill="auto"/>
            <w:vAlign w:val="center"/>
          </w:tcPr>
          <w:p w14:paraId="5F4ACA2A">
            <w:pPr>
              <w:widowControl/>
              <w:spacing w:line="240" w:lineRule="auto"/>
              <w:ind w:firstLine="360"/>
              <w:jc w:val="center"/>
              <w:rPr>
                <w:rFonts w:hint="eastAsia" w:asciiTheme="minorEastAsia" w:hAnsiTheme="minorEastAsia" w:eastAsiaTheme="minorEastAsia" w:cstheme="minorEastAsia"/>
                <w:color w:val="000000"/>
                <w:kern w:val="0"/>
                <w:sz w:val="18"/>
                <w:szCs w:val="18"/>
              </w:rPr>
            </w:pPr>
          </w:p>
        </w:tc>
        <w:tc>
          <w:tcPr>
            <w:tcW w:w="872" w:type="pct"/>
            <w:vMerge w:val="continue"/>
            <w:tcBorders>
              <w:tl2br w:val="nil"/>
              <w:tr2bl w:val="nil"/>
            </w:tcBorders>
            <w:shd w:val="clear" w:color="auto" w:fill="auto"/>
            <w:vAlign w:val="center"/>
          </w:tcPr>
          <w:p w14:paraId="533A9A94">
            <w:pPr>
              <w:widowControl/>
              <w:spacing w:line="240" w:lineRule="auto"/>
              <w:ind w:firstLine="360"/>
              <w:jc w:val="center"/>
              <w:rPr>
                <w:rFonts w:hint="eastAsia" w:asciiTheme="minorEastAsia" w:hAnsiTheme="minorEastAsia" w:eastAsiaTheme="minorEastAsia" w:cstheme="minorEastAsia"/>
                <w:color w:val="000000"/>
                <w:kern w:val="0"/>
                <w:sz w:val="18"/>
                <w:szCs w:val="18"/>
              </w:rPr>
            </w:pPr>
          </w:p>
        </w:tc>
        <w:tc>
          <w:tcPr>
            <w:tcW w:w="2247" w:type="pct"/>
            <w:tcBorders>
              <w:tl2br w:val="nil"/>
              <w:tr2bl w:val="nil"/>
            </w:tcBorders>
            <w:shd w:val="clear" w:color="auto" w:fill="auto"/>
            <w:vAlign w:val="center"/>
          </w:tcPr>
          <w:p w14:paraId="0A48FA22">
            <w:pPr>
              <w:widowControl/>
              <w:spacing w:line="240" w:lineRule="auto"/>
              <w:ind w:firstLine="0" w:firstLineChars="0"/>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投资指南、招商项目册等基础招商资料完成率</w:t>
            </w:r>
          </w:p>
        </w:tc>
        <w:tc>
          <w:tcPr>
            <w:tcW w:w="858" w:type="pct"/>
            <w:tcBorders>
              <w:tl2br w:val="nil"/>
              <w:tr2bl w:val="nil"/>
            </w:tcBorders>
            <w:shd w:val="clear" w:color="auto" w:fill="auto"/>
            <w:vAlign w:val="center"/>
          </w:tcPr>
          <w:p w14:paraId="2CB0A014">
            <w:pPr>
              <w:widowControl/>
              <w:spacing w:line="240" w:lineRule="auto"/>
              <w:ind w:firstLine="0" w:firstLineChars="0"/>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≥100%</w:t>
            </w:r>
          </w:p>
        </w:tc>
      </w:tr>
      <w:tr w14:paraId="36AD2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85" w:type="pct"/>
            <w:vMerge w:val="continue"/>
            <w:tcBorders>
              <w:tl2br w:val="nil"/>
              <w:tr2bl w:val="nil"/>
            </w:tcBorders>
            <w:vAlign w:val="center"/>
          </w:tcPr>
          <w:p w14:paraId="73DFD4AF">
            <w:pPr>
              <w:widowControl/>
              <w:spacing w:line="240" w:lineRule="auto"/>
              <w:ind w:firstLine="420"/>
              <w:jc w:val="center"/>
              <w:rPr>
                <w:rFonts w:hint="eastAsia" w:asciiTheme="minorEastAsia" w:hAnsiTheme="minorEastAsia" w:eastAsiaTheme="minorEastAsia" w:cstheme="minorEastAsia"/>
                <w:color w:val="000000"/>
                <w:kern w:val="0"/>
                <w:sz w:val="21"/>
                <w:szCs w:val="21"/>
                <w:highlight w:val="yellow"/>
              </w:rPr>
            </w:pPr>
          </w:p>
        </w:tc>
        <w:tc>
          <w:tcPr>
            <w:tcW w:w="638" w:type="pct"/>
            <w:vMerge w:val="continue"/>
            <w:tcBorders>
              <w:tl2br w:val="nil"/>
              <w:tr2bl w:val="nil"/>
            </w:tcBorders>
            <w:shd w:val="clear" w:color="auto" w:fill="auto"/>
            <w:vAlign w:val="center"/>
          </w:tcPr>
          <w:p w14:paraId="6CEF3B74">
            <w:pPr>
              <w:widowControl/>
              <w:spacing w:line="240" w:lineRule="auto"/>
              <w:ind w:firstLine="420"/>
              <w:jc w:val="center"/>
              <w:rPr>
                <w:rFonts w:hint="eastAsia" w:asciiTheme="minorEastAsia" w:hAnsiTheme="minorEastAsia" w:eastAsiaTheme="minorEastAsia" w:cstheme="minorEastAsia"/>
                <w:color w:val="000000"/>
                <w:kern w:val="0"/>
                <w:sz w:val="21"/>
                <w:szCs w:val="21"/>
              </w:rPr>
            </w:pPr>
          </w:p>
        </w:tc>
        <w:tc>
          <w:tcPr>
            <w:tcW w:w="872" w:type="pct"/>
            <w:vMerge w:val="continue"/>
            <w:tcBorders>
              <w:tl2br w:val="nil"/>
              <w:tr2bl w:val="nil"/>
            </w:tcBorders>
            <w:shd w:val="clear" w:color="auto" w:fill="auto"/>
            <w:vAlign w:val="center"/>
          </w:tcPr>
          <w:p w14:paraId="30C8B0FA">
            <w:pPr>
              <w:widowControl/>
              <w:spacing w:line="240" w:lineRule="auto"/>
              <w:ind w:firstLine="420"/>
              <w:jc w:val="center"/>
              <w:rPr>
                <w:rFonts w:hint="eastAsia" w:asciiTheme="minorEastAsia" w:hAnsiTheme="minorEastAsia" w:eastAsiaTheme="minorEastAsia" w:cstheme="minorEastAsia"/>
                <w:color w:val="000000"/>
                <w:kern w:val="0"/>
                <w:sz w:val="21"/>
                <w:szCs w:val="21"/>
              </w:rPr>
            </w:pPr>
          </w:p>
        </w:tc>
        <w:tc>
          <w:tcPr>
            <w:tcW w:w="2247" w:type="pct"/>
            <w:tcBorders>
              <w:tl2br w:val="nil"/>
              <w:tr2bl w:val="nil"/>
            </w:tcBorders>
            <w:shd w:val="clear" w:color="auto" w:fill="auto"/>
            <w:vAlign w:val="center"/>
          </w:tcPr>
          <w:p w14:paraId="1E3A2696">
            <w:pPr>
              <w:widowControl/>
              <w:spacing w:line="240" w:lineRule="auto"/>
              <w:ind w:firstLine="0" w:firstLineChars="0"/>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招商宣传片完成率</w:t>
            </w:r>
          </w:p>
        </w:tc>
        <w:tc>
          <w:tcPr>
            <w:tcW w:w="858" w:type="pct"/>
            <w:tcBorders>
              <w:tl2br w:val="nil"/>
              <w:tr2bl w:val="nil"/>
            </w:tcBorders>
            <w:shd w:val="clear" w:color="auto" w:fill="auto"/>
            <w:vAlign w:val="center"/>
          </w:tcPr>
          <w:p w14:paraId="37E71213">
            <w:pPr>
              <w:widowControl/>
              <w:spacing w:line="240" w:lineRule="auto"/>
              <w:ind w:firstLine="0" w:firstLineChars="0"/>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≥100%</w:t>
            </w:r>
          </w:p>
        </w:tc>
      </w:tr>
      <w:tr w14:paraId="18D87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85" w:type="pct"/>
            <w:vMerge w:val="continue"/>
            <w:tcBorders>
              <w:tl2br w:val="nil"/>
              <w:tr2bl w:val="nil"/>
            </w:tcBorders>
            <w:vAlign w:val="center"/>
          </w:tcPr>
          <w:p w14:paraId="4CEB570C">
            <w:pPr>
              <w:widowControl/>
              <w:spacing w:line="240" w:lineRule="auto"/>
              <w:ind w:firstLine="420"/>
              <w:jc w:val="center"/>
              <w:rPr>
                <w:rFonts w:hint="eastAsia" w:asciiTheme="minorEastAsia" w:hAnsiTheme="minorEastAsia" w:eastAsiaTheme="minorEastAsia" w:cstheme="minorEastAsia"/>
                <w:color w:val="000000"/>
                <w:kern w:val="0"/>
                <w:sz w:val="21"/>
                <w:szCs w:val="21"/>
                <w:highlight w:val="yellow"/>
              </w:rPr>
            </w:pPr>
          </w:p>
        </w:tc>
        <w:tc>
          <w:tcPr>
            <w:tcW w:w="638" w:type="pct"/>
            <w:vMerge w:val="continue"/>
            <w:tcBorders>
              <w:tl2br w:val="nil"/>
              <w:tr2bl w:val="nil"/>
            </w:tcBorders>
            <w:vAlign w:val="center"/>
          </w:tcPr>
          <w:p w14:paraId="7B77392E">
            <w:pPr>
              <w:widowControl/>
              <w:spacing w:line="240" w:lineRule="auto"/>
              <w:ind w:firstLine="0" w:firstLineChars="0"/>
              <w:jc w:val="center"/>
              <w:rPr>
                <w:rFonts w:hint="eastAsia" w:asciiTheme="minorEastAsia" w:hAnsiTheme="minorEastAsia" w:eastAsiaTheme="minorEastAsia" w:cstheme="minorEastAsia"/>
                <w:color w:val="000000"/>
                <w:kern w:val="0"/>
                <w:sz w:val="18"/>
                <w:szCs w:val="18"/>
              </w:rPr>
            </w:pPr>
          </w:p>
        </w:tc>
        <w:tc>
          <w:tcPr>
            <w:tcW w:w="872" w:type="pct"/>
            <w:vMerge w:val="restart"/>
            <w:tcBorders>
              <w:tl2br w:val="nil"/>
              <w:tr2bl w:val="nil"/>
            </w:tcBorders>
            <w:shd w:val="clear" w:color="auto" w:fill="auto"/>
            <w:vAlign w:val="center"/>
          </w:tcPr>
          <w:p w14:paraId="27D9810A">
            <w:pPr>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成本指标</w:t>
            </w:r>
          </w:p>
        </w:tc>
        <w:tc>
          <w:tcPr>
            <w:tcW w:w="2247" w:type="pct"/>
            <w:tcBorders>
              <w:tl2br w:val="nil"/>
              <w:tr2bl w:val="nil"/>
            </w:tcBorders>
            <w:shd w:val="clear" w:color="auto" w:fill="auto"/>
            <w:vAlign w:val="center"/>
          </w:tcPr>
          <w:p w14:paraId="5E3822B0">
            <w:pPr>
              <w:widowControl/>
              <w:spacing w:line="240" w:lineRule="auto"/>
              <w:ind w:firstLine="0" w:firstLineChars="0"/>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外出招商经费</w:t>
            </w:r>
          </w:p>
        </w:tc>
        <w:tc>
          <w:tcPr>
            <w:tcW w:w="858" w:type="pct"/>
            <w:tcBorders>
              <w:tl2br w:val="nil"/>
              <w:tr2bl w:val="nil"/>
            </w:tcBorders>
            <w:shd w:val="clear" w:color="auto" w:fill="auto"/>
            <w:vAlign w:val="center"/>
          </w:tcPr>
          <w:p w14:paraId="2A97B3C6">
            <w:pPr>
              <w:widowControl/>
              <w:spacing w:line="240" w:lineRule="auto"/>
              <w:ind w:firstLine="0" w:firstLineChars="0"/>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≤100万元</w:t>
            </w:r>
          </w:p>
        </w:tc>
      </w:tr>
      <w:tr w14:paraId="54D17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85" w:type="pct"/>
            <w:vMerge w:val="continue"/>
            <w:tcBorders>
              <w:tl2br w:val="nil"/>
              <w:tr2bl w:val="nil"/>
            </w:tcBorders>
            <w:vAlign w:val="center"/>
          </w:tcPr>
          <w:p w14:paraId="4C8B3696">
            <w:pPr>
              <w:widowControl/>
              <w:spacing w:line="240" w:lineRule="auto"/>
              <w:ind w:firstLine="420"/>
              <w:jc w:val="center"/>
              <w:rPr>
                <w:rFonts w:hint="eastAsia" w:asciiTheme="minorEastAsia" w:hAnsiTheme="minorEastAsia" w:eastAsiaTheme="minorEastAsia" w:cstheme="minorEastAsia"/>
                <w:color w:val="000000"/>
                <w:kern w:val="0"/>
                <w:sz w:val="21"/>
                <w:szCs w:val="21"/>
                <w:highlight w:val="yellow"/>
              </w:rPr>
            </w:pPr>
          </w:p>
        </w:tc>
        <w:tc>
          <w:tcPr>
            <w:tcW w:w="638" w:type="pct"/>
            <w:vMerge w:val="continue"/>
            <w:tcBorders>
              <w:tl2br w:val="nil"/>
              <w:tr2bl w:val="nil"/>
            </w:tcBorders>
            <w:vAlign w:val="center"/>
          </w:tcPr>
          <w:p w14:paraId="13BA01D8">
            <w:pPr>
              <w:widowControl/>
              <w:spacing w:line="240" w:lineRule="auto"/>
              <w:ind w:firstLine="0" w:firstLineChars="0"/>
              <w:jc w:val="center"/>
              <w:rPr>
                <w:rFonts w:hint="eastAsia" w:asciiTheme="minorEastAsia" w:hAnsiTheme="minorEastAsia" w:eastAsiaTheme="minorEastAsia" w:cstheme="minorEastAsia"/>
                <w:color w:val="000000"/>
                <w:kern w:val="0"/>
                <w:sz w:val="18"/>
                <w:szCs w:val="18"/>
              </w:rPr>
            </w:pPr>
          </w:p>
        </w:tc>
        <w:tc>
          <w:tcPr>
            <w:tcW w:w="872" w:type="pct"/>
            <w:vMerge w:val="continue"/>
            <w:tcBorders>
              <w:tl2br w:val="nil"/>
              <w:tr2bl w:val="nil"/>
            </w:tcBorders>
            <w:shd w:val="clear" w:color="auto" w:fill="auto"/>
            <w:vAlign w:val="center"/>
          </w:tcPr>
          <w:p w14:paraId="61E57DC7">
            <w:pPr>
              <w:spacing w:line="240" w:lineRule="auto"/>
              <w:ind w:firstLine="0" w:firstLineChars="0"/>
              <w:jc w:val="center"/>
              <w:rPr>
                <w:rFonts w:hint="eastAsia" w:asciiTheme="minorEastAsia" w:hAnsiTheme="minorEastAsia" w:eastAsiaTheme="minorEastAsia" w:cstheme="minorEastAsia"/>
                <w:sz w:val="18"/>
                <w:szCs w:val="18"/>
              </w:rPr>
            </w:pPr>
          </w:p>
        </w:tc>
        <w:tc>
          <w:tcPr>
            <w:tcW w:w="2247" w:type="pct"/>
            <w:tcBorders>
              <w:tl2br w:val="nil"/>
              <w:tr2bl w:val="nil"/>
            </w:tcBorders>
            <w:shd w:val="clear" w:color="auto" w:fill="auto"/>
            <w:vAlign w:val="center"/>
          </w:tcPr>
          <w:p w14:paraId="3C1731FB">
            <w:pPr>
              <w:widowControl/>
              <w:spacing w:line="240" w:lineRule="exact"/>
              <w:ind w:firstLine="0" w:firstLineChars="0"/>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制作招商宣传片，编制投资指南、招商项目册等基础招商资料。</w:t>
            </w:r>
          </w:p>
        </w:tc>
        <w:tc>
          <w:tcPr>
            <w:tcW w:w="858" w:type="pct"/>
            <w:tcBorders>
              <w:tl2br w:val="nil"/>
              <w:tr2bl w:val="nil"/>
            </w:tcBorders>
            <w:shd w:val="clear" w:color="auto" w:fill="auto"/>
            <w:vAlign w:val="center"/>
          </w:tcPr>
          <w:p w14:paraId="60E5393B">
            <w:pPr>
              <w:widowControl/>
              <w:spacing w:line="240" w:lineRule="auto"/>
              <w:ind w:firstLine="0" w:firstLineChars="0"/>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≤100万元</w:t>
            </w:r>
          </w:p>
        </w:tc>
      </w:tr>
      <w:tr w14:paraId="47417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85" w:type="pct"/>
            <w:vMerge w:val="continue"/>
            <w:tcBorders>
              <w:tl2br w:val="nil"/>
              <w:tr2bl w:val="nil"/>
            </w:tcBorders>
            <w:vAlign w:val="center"/>
          </w:tcPr>
          <w:p w14:paraId="2B628057">
            <w:pPr>
              <w:widowControl/>
              <w:spacing w:line="240" w:lineRule="auto"/>
              <w:ind w:firstLine="420"/>
              <w:jc w:val="center"/>
              <w:rPr>
                <w:rFonts w:hint="eastAsia" w:asciiTheme="minorEastAsia" w:hAnsiTheme="minorEastAsia" w:eastAsiaTheme="minorEastAsia" w:cstheme="minorEastAsia"/>
                <w:color w:val="000000"/>
                <w:kern w:val="0"/>
                <w:sz w:val="21"/>
                <w:szCs w:val="21"/>
                <w:highlight w:val="yellow"/>
              </w:rPr>
            </w:pPr>
          </w:p>
        </w:tc>
        <w:tc>
          <w:tcPr>
            <w:tcW w:w="638" w:type="pct"/>
            <w:tcBorders>
              <w:tl2br w:val="nil"/>
              <w:tr2bl w:val="nil"/>
            </w:tcBorders>
            <w:vAlign w:val="center"/>
          </w:tcPr>
          <w:p w14:paraId="7CE25342">
            <w:pPr>
              <w:widowControl/>
              <w:spacing w:line="240" w:lineRule="auto"/>
              <w:ind w:firstLine="0" w:firstLineChars="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效益指标</w:t>
            </w:r>
          </w:p>
        </w:tc>
        <w:tc>
          <w:tcPr>
            <w:tcW w:w="872" w:type="pct"/>
            <w:tcBorders>
              <w:tl2br w:val="nil"/>
              <w:tr2bl w:val="nil"/>
            </w:tcBorders>
            <w:shd w:val="clear" w:color="auto" w:fill="auto"/>
            <w:vAlign w:val="center"/>
          </w:tcPr>
          <w:p w14:paraId="11A0FA06">
            <w:pPr>
              <w:spacing w:line="240" w:lineRule="auto"/>
              <w:ind w:firstLine="0" w:firstLineChars="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社会效益指标</w:t>
            </w:r>
          </w:p>
        </w:tc>
        <w:tc>
          <w:tcPr>
            <w:tcW w:w="2247" w:type="pct"/>
            <w:tcBorders>
              <w:tl2br w:val="nil"/>
              <w:tr2bl w:val="nil"/>
            </w:tcBorders>
            <w:shd w:val="clear" w:color="auto" w:fill="auto"/>
            <w:vAlign w:val="center"/>
          </w:tcPr>
          <w:p w14:paraId="67A47325">
            <w:pPr>
              <w:widowControl/>
              <w:spacing w:line="240" w:lineRule="exact"/>
              <w:ind w:firstLine="0" w:firstLineChars="0"/>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项目实施后项目区群众生产、生活条件较以前有较大改善</w:t>
            </w:r>
          </w:p>
        </w:tc>
        <w:tc>
          <w:tcPr>
            <w:tcW w:w="858" w:type="pct"/>
            <w:tcBorders>
              <w:tl2br w:val="nil"/>
              <w:tr2bl w:val="nil"/>
            </w:tcBorders>
            <w:shd w:val="clear" w:color="auto" w:fill="auto"/>
            <w:vAlign w:val="center"/>
          </w:tcPr>
          <w:p w14:paraId="2AE250C6">
            <w:pPr>
              <w:widowControl/>
              <w:spacing w:line="240" w:lineRule="auto"/>
              <w:ind w:firstLine="0" w:firstLineChars="0"/>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≥3年</w:t>
            </w:r>
          </w:p>
        </w:tc>
      </w:tr>
      <w:tr w14:paraId="46C7C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85" w:type="pct"/>
            <w:vMerge w:val="continue"/>
            <w:tcBorders>
              <w:tl2br w:val="nil"/>
              <w:tr2bl w:val="nil"/>
            </w:tcBorders>
            <w:vAlign w:val="center"/>
          </w:tcPr>
          <w:p w14:paraId="23C9001B">
            <w:pPr>
              <w:widowControl/>
              <w:spacing w:line="240" w:lineRule="auto"/>
              <w:ind w:firstLine="420"/>
              <w:jc w:val="center"/>
              <w:rPr>
                <w:rFonts w:hint="eastAsia" w:asciiTheme="minorEastAsia" w:hAnsiTheme="minorEastAsia" w:eastAsiaTheme="minorEastAsia" w:cstheme="minorEastAsia"/>
                <w:color w:val="000000"/>
                <w:kern w:val="0"/>
                <w:sz w:val="21"/>
                <w:szCs w:val="21"/>
                <w:highlight w:val="yellow"/>
              </w:rPr>
            </w:pPr>
          </w:p>
        </w:tc>
        <w:tc>
          <w:tcPr>
            <w:tcW w:w="638" w:type="pct"/>
            <w:tcBorders>
              <w:tl2br w:val="nil"/>
              <w:tr2bl w:val="nil"/>
            </w:tcBorders>
            <w:vAlign w:val="center"/>
          </w:tcPr>
          <w:p w14:paraId="7115D29D">
            <w:pPr>
              <w:widowControl/>
              <w:spacing w:line="240" w:lineRule="exact"/>
              <w:ind w:firstLine="0" w:firstLineChars="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满意度指标</w:t>
            </w:r>
          </w:p>
        </w:tc>
        <w:tc>
          <w:tcPr>
            <w:tcW w:w="872" w:type="pct"/>
            <w:tcBorders>
              <w:tl2br w:val="nil"/>
              <w:tr2bl w:val="nil"/>
            </w:tcBorders>
            <w:shd w:val="clear" w:color="auto" w:fill="auto"/>
            <w:vAlign w:val="center"/>
          </w:tcPr>
          <w:p w14:paraId="6D3DC3D3">
            <w:pPr>
              <w:widowControl/>
              <w:spacing w:line="240" w:lineRule="exact"/>
              <w:ind w:firstLine="0" w:firstLineChars="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服务对象满意度指标</w:t>
            </w:r>
          </w:p>
        </w:tc>
        <w:tc>
          <w:tcPr>
            <w:tcW w:w="2247" w:type="pct"/>
            <w:tcBorders>
              <w:tl2br w:val="nil"/>
              <w:tr2bl w:val="nil"/>
            </w:tcBorders>
            <w:shd w:val="clear" w:color="auto" w:fill="auto"/>
            <w:vAlign w:val="center"/>
          </w:tcPr>
          <w:p w14:paraId="758E59FA">
            <w:pPr>
              <w:widowControl/>
              <w:spacing w:line="240" w:lineRule="exact"/>
              <w:ind w:firstLine="0" w:firstLineChars="0"/>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项目满意度以20个调查对象为限，满意度大于80%</w:t>
            </w:r>
          </w:p>
        </w:tc>
        <w:tc>
          <w:tcPr>
            <w:tcW w:w="858" w:type="pct"/>
            <w:tcBorders>
              <w:tl2br w:val="nil"/>
              <w:tr2bl w:val="nil"/>
            </w:tcBorders>
            <w:shd w:val="clear" w:color="auto" w:fill="auto"/>
            <w:vAlign w:val="center"/>
          </w:tcPr>
          <w:p w14:paraId="711ED469">
            <w:pPr>
              <w:widowControl/>
              <w:spacing w:line="240" w:lineRule="auto"/>
              <w:ind w:firstLine="0" w:firstLineChars="0"/>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≥80%</w:t>
            </w:r>
          </w:p>
        </w:tc>
      </w:tr>
      <w:bookmarkEnd w:id="13"/>
    </w:tbl>
    <w:p w14:paraId="78EE5F48">
      <w:pPr>
        <w:ind w:firstLine="560"/>
        <w:rPr>
          <w:rFonts w:hint="eastAsia"/>
          <w:sz w:val="28"/>
          <w:szCs w:val="28"/>
        </w:rPr>
      </w:pPr>
      <w:r>
        <w:rPr>
          <w:rFonts w:hint="eastAsia"/>
          <w:sz w:val="28"/>
          <w:szCs w:val="28"/>
        </w:rPr>
        <w:t>根据投资促进局提供的绩效目标申报表，申报表填列基本规范完整，通过清晰、可衡量的指标及指标值予以体现，但未设定最能体现项目绩效目标实现程度和项目实施部门职能履职情况的关键的、核心的绩效指标。</w:t>
      </w:r>
    </w:p>
    <w:p w14:paraId="6BCA4830">
      <w:pPr>
        <w:ind w:firstLine="560"/>
        <w:rPr>
          <w:rFonts w:hint="eastAsia"/>
          <w:sz w:val="28"/>
          <w:szCs w:val="28"/>
        </w:rPr>
      </w:pPr>
      <w:r>
        <w:rPr>
          <w:rFonts w:hint="eastAsia"/>
          <w:sz w:val="28"/>
          <w:szCs w:val="28"/>
        </w:rPr>
        <w:t>根据上述情况，评价组结合项目实施内容和《昆明市招商引资工作委员会关于下达2023年度招商引资工作目标的通知》等文件下达的目标任务等，设计</w:t>
      </w:r>
      <w:r>
        <w:rPr>
          <w:sz w:val="28"/>
          <w:szCs w:val="28"/>
        </w:rPr>
        <w:t>个性指标及指标值明细如下：</w:t>
      </w:r>
    </w:p>
    <w:tbl>
      <w:tblPr>
        <w:tblStyle w:val="7"/>
        <w:tblW w:w="8355" w:type="dxa"/>
        <w:tblInd w:w="0" w:type="dxa"/>
        <w:tblLayout w:type="fixed"/>
        <w:tblCellMar>
          <w:top w:w="0" w:type="dxa"/>
          <w:left w:w="0" w:type="dxa"/>
          <w:bottom w:w="0" w:type="dxa"/>
          <w:right w:w="0" w:type="dxa"/>
        </w:tblCellMar>
      </w:tblPr>
      <w:tblGrid>
        <w:gridCol w:w="866"/>
        <w:gridCol w:w="992"/>
        <w:gridCol w:w="1418"/>
        <w:gridCol w:w="4110"/>
        <w:gridCol w:w="969"/>
      </w:tblGrid>
      <w:tr w14:paraId="7D10E8C0">
        <w:tblPrEx>
          <w:tblCellMar>
            <w:top w:w="0" w:type="dxa"/>
            <w:left w:w="0" w:type="dxa"/>
            <w:bottom w:w="0" w:type="dxa"/>
            <w:right w:w="0" w:type="dxa"/>
          </w:tblCellMar>
        </w:tblPrEx>
        <w:trPr>
          <w:cantSplit/>
          <w:trHeight w:val="463" w:hRule="exact"/>
        </w:trPr>
        <w:tc>
          <w:tcPr>
            <w:tcW w:w="86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A403D2B">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18"/>
                <w:szCs w:val="18"/>
              </w:rPr>
              <w:t>绩</w:t>
            </w:r>
            <w:r>
              <w:rPr>
                <w:rFonts w:hint="eastAsia" w:ascii="宋体" w:hAnsi="宋体" w:eastAsia="宋体" w:cs="宋体"/>
                <w:color w:val="000000"/>
                <w:kern w:val="0"/>
                <w:sz w:val="18"/>
                <w:szCs w:val="18"/>
              </w:rPr>
              <w:t>效指标</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76B79">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18"/>
                <w:szCs w:val="18"/>
              </w:rPr>
              <w:t>一级指标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2B410">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18"/>
                <w:szCs w:val="18"/>
              </w:rPr>
              <w:t>二级指标</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278A5">
            <w:pPr>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18"/>
                <w:szCs w:val="18"/>
              </w:rPr>
              <w:t>三级指标</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B1993">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18"/>
                <w:szCs w:val="18"/>
              </w:rPr>
              <w:t>指标值</w:t>
            </w:r>
          </w:p>
        </w:tc>
      </w:tr>
      <w:tr w14:paraId="5FFADB2A">
        <w:tblPrEx>
          <w:tblCellMar>
            <w:top w:w="0" w:type="dxa"/>
            <w:left w:w="0" w:type="dxa"/>
            <w:bottom w:w="0" w:type="dxa"/>
            <w:right w:w="0" w:type="dxa"/>
          </w:tblCellMar>
        </w:tblPrEx>
        <w:trPr>
          <w:cantSplit/>
          <w:trHeight w:val="393" w:hRule="exact"/>
        </w:trPr>
        <w:tc>
          <w:tcPr>
            <w:tcW w:w="86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CBE117A">
            <w:pPr>
              <w:spacing w:line="240" w:lineRule="auto"/>
              <w:ind w:firstLine="420"/>
              <w:jc w:val="center"/>
              <w:rPr>
                <w:rFonts w:hint="eastAsia" w:ascii="宋体" w:hAnsi="宋体" w:eastAsia="宋体" w:cs="宋体"/>
                <w:sz w:val="21"/>
                <w:szCs w:val="21"/>
              </w:rPr>
            </w:pPr>
          </w:p>
        </w:tc>
        <w:tc>
          <w:tcPr>
            <w:tcW w:w="992"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72B13562">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18"/>
                <w:szCs w:val="18"/>
              </w:rPr>
              <w:t>效益指标</w:t>
            </w:r>
          </w:p>
        </w:tc>
        <w:tc>
          <w:tcPr>
            <w:tcW w:w="141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359D60F">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经济效益指标</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875AED3">
            <w:pPr>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招商引资项目落地率</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5C0C964">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r>
      <w:tr w14:paraId="0131D7D4">
        <w:tblPrEx>
          <w:tblCellMar>
            <w:top w:w="0" w:type="dxa"/>
            <w:left w:w="0" w:type="dxa"/>
            <w:bottom w:w="0" w:type="dxa"/>
            <w:right w:w="0" w:type="dxa"/>
          </w:tblCellMar>
        </w:tblPrEx>
        <w:trPr>
          <w:cantSplit/>
          <w:trHeight w:val="388" w:hRule="exact"/>
        </w:trPr>
        <w:tc>
          <w:tcPr>
            <w:tcW w:w="86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BCCA7B9">
            <w:pPr>
              <w:spacing w:line="240" w:lineRule="auto"/>
              <w:ind w:firstLine="420"/>
              <w:jc w:val="center"/>
              <w:rPr>
                <w:rFonts w:hint="eastAsia" w:ascii="宋体" w:hAnsi="宋体" w:eastAsia="宋体" w:cs="宋体"/>
                <w:sz w:val="21"/>
                <w:szCs w:val="21"/>
              </w:rPr>
            </w:pPr>
          </w:p>
        </w:tc>
        <w:tc>
          <w:tcPr>
            <w:tcW w:w="99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754B63A8">
            <w:pPr>
              <w:spacing w:line="240" w:lineRule="auto"/>
              <w:ind w:firstLine="420"/>
              <w:jc w:val="center"/>
              <w:rPr>
                <w:rFonts w:hint="eastAsia" w:ascii="宋体" w:hAnsi="宋体" w:eastAsia="宋体" w:cs="宋体"/>
                <w:sz w:val="21"/>
                <w:szCs w:val="21"/>
              </w:rPr>
            </w:pPr>
          </w:p>
        </w:tc>
        <w:tc>
          <w:tcPr>
            <w:tcW w:w="14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83B232F">
            <w:pPr>
              <w:spacing w:line="240" w:lineRule="auto"/>
              <w:ind w:firstLine="360"/>
              <w:jc w:val="center"/>
              <w:rPr>
                <w:rFonts w:hint="eastAsia" w:ascii="宋体" w:hAnsi="宋体" w:eastAsia="宋体" w:cs="宋体"/>
                <w:sz w:val="18"/>
                <w:szCs w:val="18"/>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FC1A55B">
            <w:pPr>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引进省外产业资金到位率</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2F16163">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≥70%</w:t>
            </w:r>
          </w:p>
        </w:tc>
      </w:tr>
      <w:tr w14:paraId="17F6B89F">
        <w:tblPrEx>
          <w:tblCellMar>
            <w:top w:w="0" w:type="dxa"/>
            <w:left w:w="0" w:type="dxa"/>
            <w:bottom w:w="0" w:type="dxa"/>
            <w:right w:w="0" w:type="dxa"/>
          </w:tblCellMar>
        </w:tblPrEx>
        <w:trPr>
          <w:cantSplit/>
          <w:trHeight w:val="421" w:hRule="exact"/>
        </w:trPr>
        <w:tc>
          <w:tcPr>
            <w:tcW w:w="86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C4D20FF">
            <w:pPr>
              <w:spacing w:line="240" w:lineRule="auto"/>
              <w:ind w:firstLine="420"/>
              <w:jc w:val="center"/>
              <w:rPr>
                <w:rFonts w:hint="eastAsia" w:ascii="宋体" w:hAnsi="宋体" w:eastAsia="宋体" w:cs="宋体"/>
                <w:sz w:val="21"/>
                <w:szCs w:val="21"/>
              </w:rPr>
            </w:pPr>
          </w:p>
        </w:tc>
        <w:tc>
          <w:tcPr>
            <w:tcW w:w="99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55F7A323">
            <w:pPr>
              <w:spacing w:line="240" w:lineRule="auto"/>
              <w:ind w:firstLine="420"/>
              <w:jc w:val="center"/>
              <w:rPr>
                <w:rFonts w:hint="eastAsia" w:ascii="宋体" w:hAnsi="宋体" w:eastAsia="宋体" w:cs="宋体"/>
                <w:sz w:val="21"/>
                <w:szCs w:val="21"/>
              </w:rPr>
            </w:pPr>
          </w:p>
        </w:tc>
        <w:tc>
          <w:tcPr>
            <w:tcW w:w="14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83A6104">
            <w:pPr>
              <w:spacing w:line="240" w:lineRule="auto"/>
              <w:ind w:firstLine="360"/>
              <w:jc w:val="center"/>
              <w:rPr>
                <w:rFonts w:hint="eastAsia" w:ascii="宋体" w:hAnsi="宋体" w:eastAsia="宋体" w:cs="宋体"/>
                <w:sz w:val="18"/>
                <w:szCs w:val="18"/>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2A88E21">
            <w:pPr>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引进项目资金对县域经济发展的促进作用</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76139E3">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明显</w:t>
            </w:r>
          </w:p>
        </w:tc>
      </w:tr>
      <w:tr w14:paraId="4A9817DF">
        <w:tblPrEx>
          <w:tblCellMar>
            <w:top w:w="0" w:type="dxa"/>
            <w:left w:w="0" w:type="dxa"/>
            <w:bottom w:w="0" w:type="dxa"/>
            <w:right w:w="0" w:type="dxa"/>
          </w:tblCellMar>
        </w:tblPrEx>
        <w:trPr>
          <w:cantSplit/>
          <w:trHeight w:val="388" w:hRule="exact"/>
        </w:trPr>
        <w:tc>
          <w:tcPr>
            <w:tcW w:w="86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BAC2CAD">
            <w:pPr>
              <w:spacing w:line="240" w:lineRule="auto"/>
              <w:ind w:firstLine="420"/>
              <w:jc w:val="center"/>
              <w:rPr>
                <w:rFonts w:hint="eastAsia" w:ascii="宋体" w:hAnsi="宋体" w:eastAsia="宋体" w:cs="宋体"/>
                <w:sz w:val="21"/>
                <w:szCs w:val="21"/>
              </w:rPr>
            </w:pPr>
          </w:p>
        </w:tc>
        <w:tc>
          <w:tcPr>
            <w:tcW w:w="99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373AB666">
            <w:pPr>
              <w:spacing w:line="240" w:lineRule="auto"/>
              <w:ind w:firstLine="420"/>
              <w:jc w:val="center"/>
              <w:rPr>
                <w:rFonts w:hint="eastAsia" w:ascii="宋体" w:hAnsi="宋体" w:eastAsia="宋体" w:cs="宋体"/>
                <w:sz w:val="21"/>
                <w:szCs w:val="21"/>
              </w:rPr>
            </w:pPr>
          </w:p>
        </w:tc>
        <w:tc>
          <w:tcPr>
            <w:tcW w:w="14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27440D1">
            <w:pPr>
              <w:spacing w:line="240" w:lineRule="auto"/>
              <w:ind w:firstLine="360"/>
              <w:jc w:val="center"/>
              <w:rPr>
                <w:rFonts w:hint="eastAsia" w:ascii="宋体" w:hAnsi="宋体" w:eastAsia="宋体" w:cs="宋体"/>
                <w:sz w:val="18"/>
                <w:szCs w:val="18"/>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0E782FF">
            <w:pPr>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上年度引进重大产业项目建成投产率</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C9927C8">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≥70%</w:t>
            </w:r>
          </w:p>
        </w:tc>
      </w:tr>
      <w:tr w14:paraId="5E8B72EC">
        <w:tblPrEx>
          <w:tblCellMar>
            <w:top w:w="0" w:type="dxa"/>
            <w:left w:w="0" w:type="dxa"/>
            <w:bottom w:w="0" w:type="dxa"/>
            <w:right w:w="0" w:type="dxa"/>
          </w:tblCellMar>
        </w:tblPrEx>
        <w:trPr>
          <w:cantSplit/>
          <w:trHeight w:val="408" w:hRule="exact"/>
        </w:trPr>
        <w:tc>
          <w:tcPr>
            <w:tcW w:w="86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7D8955C">
            <w:pPr>
              <w:spacing w:line="240" w:lineRule="auto"/>
              <w:ind w:firstLine="420"/>
              <w:jc w:val="center"/>
              <w:rPr>
                <w:rFonts w:hint="eastAsia" w:ascii="宋体" w:hAnsi="宋体" w:eastAsia="宋体" w:cs="宋体"/>
                <w:sz w:val="21"/>
                <w:szCs w:val="21"/>
              </w:rPr>
            </w:pPr>
          </w:p>
        </w:tc>
        <w:tc>
          <w:tcPr>
            <w:tcW w:w="99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5AE6D1F9">
            <w:pPr>
              <w:spacing w:line="240" w:lineRule="auto"/>
              <w:ind w:firstLine="420"/>
              <w:jc w:val="center"/>
              <w:rPr>
                <w:rFonts w:hint="eastAsia" w:ascii="宋体" w:hAnsi="宋体" w:eastAsia="宋体" w:cs="宋体"/>
                <w:sz w:val="21"/>
                <w:szCs w:val="21"/>
              </w:rPr>
            </w:pPr>
          </w:p>
        </w:tc>
        <w:tc>
          <w:tcPr>
            <w:tcW w:w="141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4121858">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社会效益指标</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53CCE79">
            <w:pPr>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招商引资企业重大投诉和问题投诉办结及时率</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8C9BE04">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r>
      <w:tr w14:paraId="08B86BAF">
        <w:tblPrEx>
          <w:tblCellMar>
            <w:top w:w="0" w:type="dxa"/>
            <w:left w:w="0" w:type="dxa"/>
            <w:bottom w:w="0" w:type="dxa"/>
            <w:right w:w="0" w:type="dxa"/>
          </w:tblCellMar>
        </w:tblPrEx>
        <w:trPr>
          <w:cantSplit/>
          <w:trHeight w:val="382" w:hRule="exact"/>
        </w:trPr>
        <w:tc>
          <w:tcPr>
            <w:tcW w:w="86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67A593E">
            <w:pPr>
              <w:spacing w:line="240" w:lineRule="auto"/>
              <w:ind w:firstLine="420"/>
              <w:jc w:val="center"/>
              <w:rPr>
                <w:rFonts w:hint="eastAsia" w:ascii="宋体" w:hAnsi="宋体" w:eastAsia="宋体" w:cs="宋体"/>
                <w:sz w:val="21"/>
                <w:szCs w:val="21"/>
              </w:rPr>
            </w:pPr>
          </w:p>
        </w:tc>
        <w:tc>
          <w:tcPr>
            <w:tcW w:w="99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1EBE5E2A">
            <w:pPr>
              <w:spacing w:line="240" w:lineRule="auto"/>
              <w:ind w:firstLine="420"/>
              <w:jc w:val="center"/>
              <w:rPr>
                <w:rFonts w:hint="eastAsia" w:ascii="宋体" w:hAnsi="宋体" w:eastAsia="宋体" w:cs="宋体"/>
                <w:sz w:val="21"/>
                <w:szCs w:val="21"/>
              </w:rPr>
            </w:pPr>
          </w:p>
        </w:tc>
        <w:tc>
          <w:tcPr>
            <w:tcW w:w="1418"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82F4568">
            <w:pPr>
              <w:spacing w:line="240" w:lineRule="auto"/>
              <w:ind w:firstLine="360"/>
              <w:jc w:val="center"/>
              <w:rPr>
                <w:rFonts w:hint="eastAsia" w:ascii="宋体" w:hAnsi="宋体" w:eastAsia="宋体" w:cs="宋体"/>
                <w:sz w:val="18"/>
                <w:szCs w:val="18"/>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8865996">
            <w:pPr>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寻甸推介宣传覆盖率</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52788CF">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r>
      <w:tr w14:paraId="544C14E7">
        <w:tblPrEx>
          <w:tblCellMar>
            <w:top w:w="0" w:type="dxa"/>
            <w:left w:w="0" w:type="dxa"/>
            <w:bottom w:w="0" w:type="dxa"/>
            <w:right w:w="0" w:type="dxa"/>
          </w:tblCellMar>
        </w:tblPrEx>
        <w:trPr>
          <w:cantSplit/>
          <w:trHeight w:val="530" w:hRule="exact"/>
        </w:trPr>
        <w:tc>
          <w:tcPr>
            <w:tcW w:w="86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4DA5989">
            <w:pPr>
              <w:spacing w:line="240" w:lineRule="auto"/>
              <w:ind w:firstLine="420"/>
              <w:jc w:val="center"/>
              <w:rPr>
                <w:rFonts w:hint="eastAsia" w:ascii="宋体" w:hAnsi="宋体" w:eastAsia="宋体" w:cs="宋体"/>
                <w:sz w:val="21"/>
                <w:szCs w:val="21"/>
              </w:rPr>
            </w:pPr>
          </w:p>
        </w:tc>
        <w:tc>
          <w:tcPr>
            <w:tcW w:w="99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07A9AC59">
            <w:pPr>
              <w:spacing w:line="240" w:lineRule="auto"/>
              <w:ind w:firstLine="420"/>
              <w:jc w:val="center"/>
              <w:rPr>
                <w:rFonts w:hint="eastAsia" w:ascii="宋体" w:hAnsi="宋体" w:eastAsia="宋体" w:cs="宋体"/>
                <w:sz w:val="21"/>
                <w:szCs w:val="21"/>
              </w:rPr>
            </w:pPr>
          </w:p>
        </w:tc>
        <w:tc>
          <w:tcPr>
            <w:tcW w:w="1418"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3459911">
            <w:pPr>
              <w:spacing w:line="240" w:lineRule="auto"/>
              <w:ind w:firstLine="360"/>
              <w:jc w:val="center"/>
              <w:rPr>
                <w:rFonts w:hint="eastAsia" w:ascii="宋体" w:hAnsi="宋体" w:eastAsia="宋体" w:cs="宋体"/>
                <w:sz w:val="18"/>
                <w:szCs w:val="18"/>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00DE6A2">
            <w:pPr>
              <w:widowControl/>
              <w:spacing w:line="240" w:lineRule="exact"/>
              <w:ind w:firstLine="0" w:firstLineChars="0"/>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创建良好营商环境、为寻甸县企业、项目储备提供坚实基础</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055BD4D">
            <w:pPr>
              <w:spacing w:line="240" w:lineRule="exact"/>
              <w:ind w:firstLine="0" w:firstLineChars="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显著</w:t>
            </w:r>
          </w:p>
        </w:tc>
      </w:tr>
      <w:tr w14:paraId="68A831C7">
        <w:tblPrEx>
          <w:tblCellMar>
            <w:top w:w="0" w:type="dxa"/>
            <w:left w:w="0" w:type="dxa"/>
            <w:bottom w:w="0" w:type="dxa"/>
            <w:right w:w="0" w:type="dxa"/>
          </w:tblCellMar>
        </w:tblPrEx>
        <w:trPr>
          <w:cantSplit/>
          <w:trHeight w:val="382" w:hRule="exact"/>
        </w:trPr>
        <w:tc>
          <w:tcPr>
            <w:tcW w:w="86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E0E6400">
            <w:pPr>
              <w:spacing w:line="240" w:lineRule="auto"/>
              <w:ind w:firstLine="420"/>
              <w:jc w:val="center"/>
              <w:rPr>
                <w:rFonts w:hint="eastAsia" w:ascii="宋体" w:hAnsi="宋体" w:eastAsia="宋体" w:cs="宋体"/>
                <w:sz w:val="21"/>
                <w:szCs w:val="21"/>
              </w:rPr>
            </w:pPr>
          </w:p>
        </w:tc>
        <w:tc>
          <w:tcPr>
            <w:tcW w:w="99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591F017B">
            <w:pPr>
              <w:spacing w:line="240" w:lineRule="auto"/>
              <w:ind w:firstLine="420"/>
              <w:jc w:val="center"/>
              <w:rPr>
                <w:rFonts w:hint="eastAsia" w:ascii="宋体" w:hAnsi="宋体" w:eastAsia="宋体" w:cs="宋体"/>
                <w:sz w:val="21"/>
                <w:szCs w:val="21"/>
              </w:rPr>
            </w:pPr>
          </w:p>
        </w:tc>
        <w:tc>
          <w:tcPr>
            <w:tcW w:w="1418"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588AF57">
            <w:pPr>
              <w:spacing w:line="240" w:lineRule="auto"/>
              <w:ind w:firstLine="360"/>
              <w:jc w:val="center"/>
              <w:rPr>
                <w:rFonts w:hint="eastAsia" w:ascii="宋体" w:hAnsi="宋体" w:eastAsia="宋体" w:cs="宋体"/>
                <w:sz w:val="18"/>
                <w:szCs w:val="18"/>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7BB6669">
            <w:pPr>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落地项目后续支持、管养率</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B54A0C3">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r>
      <w:tr w14:paraId="24120371">
        <w:tblPrEx>
          <w:tblCellMar>
            <w:top w:w="0" w:type="dxa"/>
            <w:left w:w="0" w:type="dxa"/>
            <w:bottom w:w="0" w:type="dxa"/>
            <w:right w:w="0" w:type="dxa"/>
          </w:tblCellMar>
        </w:tblPrEx>
        <w:trPr>
          <w:cantSplit/>
          <w:trHeight w:val="382" w:hRule="exact"/>
        </w:trPr>
        <w:tc>
          <w:tcPr>
            <w:tcW w:w="86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6C4AEEA">
            <w:pPr>
              <w:spacing w:line="240" w:lineRule="auto"/>
              <w:ind w:firstLine="420"/>
              <w:jc w:val="center"/>
              <w:rPr>
                <w:rFonts w:hint="eastAsia" w:ascii="宋体" w:hAnsi="宋体" w:eastAsia="宋体" w:cs="宋体"/>
                <w:sz w:val="21"/>
                <w:szCs w:val="21"/>
              </w:rPr>
            </w:pPr>
          </w:p>
        </w:tc>
        <w:tc>
          <w:tcPr>
            <w:tcW w:w="99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6276FF0D">
            <w:pPr>
              <w:spacing w:line="240" w:lineRule="auto"/>
              <w:ind w:firstLine="420"/>
              <w:jc w:val="center"/>
              <w:rPr>
                <w:rFonts w:hint="eastAsia" w:ascii="宋体" w:hAnsi="宋体" w:eastAsia="宋体" w:cs="宋体"/>
                <w:sz w:val="21"/>
                <w:szCs w:val="21"/>
              </w:rPr>
            </w:pPr>
          </w:p>
        </w:tc>
        <w:tc>
          <w:tcPr>
            <w:tcW w:w="1418"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A2390D5">
            <w:pPr>
              <w:spacing w:line="240" w:lineRule="auto"/>
              <w:ind w:firstLine="360"/>
              <w:jc w:val="center"/>
              <w:rPr>
                <w:rFonts w:hint="eastAsia" w:ascii="宋体" w:hAnsi="宋体" w:eastAsia="宋体" w:cs="宋体"/>
                <w:sz w:val="18"/>
                <w:szCs w:val="18"/>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177FF91">
            <w:pPr>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赴省外招商引资方案采纳率</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3941C64">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≥90%</w:t>
            </w:r>
          </w:p>
        </w:tc>
      </w:tr>
      <w:tr w14:paraId="640FF112">
        <w:tblPrEx>
          <w:tblCellMar>
            <w:top w:w="0" w:type="dxa"/>
            <w:left w:w="0" w:type="dxa"/>
            <w:bottom w:w="0" w:type="dxa"/>
            <w:right w:w="0" w:type="dxa"/>
          </w:tblCellMar>
        </w:tblPrEx>
        <w:trPr>
          <w:cantSplit/>
          <w:trHeight w:val="435" w:hRule="exact"/>
        </w:trPr>
        <w:tc>
          <w:tcPr>
            <w:tcW w:w="86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21ADB18">
            <w:pPr>
              <w:spacing w:line="240" w:lineRule="auto"/>
              <w:ind w:firstLine="420"/>
              <w:jc w:val="center"/>
              <w:rPr>
                <w:rFonts w:hint="eastAsia" w:ascii="宋体" w:hAnsi="宋体" w:eastAsia="宋体" w:cs="宋体"/>
                <w:sz w:val="21"/>
                <w:szCs w:val="21"/>
              </w:rPr>
            </w:pPr>
          </w:p>
        </w:tc>
        <w:tc>
          <w:tcPr>
            <w:tcW w:w="992" w:type="dxa"/>
            <w:vMerge w:val="continue"/>
            <w:tcBorders>
              <w:left w:val="single" w:color="000000" w:sz="4" w:space="0"/>
              <w:right w:val="single" w:color="auto" w:sz="4" w:space="0"/>
            </w:tcBorders>
            <w:shd w:val="clear" w:color="auto" w:fill="auto"/>
            <w:noWrap/>
            <w:tcMar>
              <w:top w:w="15" w:type="dxa"/>
              <w:left w:w="15" w:type="dxa"/>
              <w:right w:w="15" w:type="dxa"/>
            </w:tcMar>
            <w:vAlign w:val="center"/>
          </w:tcPr>
          <w:p w14:paraId="3B5407C7">
            <w:pPr>
              <w:spacing w:line="240" w:lineRule="auto"/>
              <w:ind w:firstLine="420"/>
              <w:jc w:val="center"/>
              <w:rPr>
                <w:rFonts w:hint="eastAsia" w:ascii="宋体" w:hAnsi="宋体" w:eastAsia="宋体" w:cs="宋体"/>
                <w:sz w:val="21"/>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BB31E4">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可持续性指标</w:t>
            </w:r>
          </w:p>
        </w:tc>
        <w:tc>
          <w:tcPr>
            <w:tcW w:w="411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575AE14">
            <w:pPr>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可持续性影响期</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3FC39">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≥5年</w:t>
            </w:r>
          </w:p>
        </w:tc>
      </w:tr>
      <w:tr w14:paraId="4B208700">
        <w:tblPrEx>
          <w:tblCellMar>
            <w:top w:w="0" w:type="dxa"/>
            <w:left w:w="0" w:type="dxa"/>
            <w:bottom w:w="0" w:type="dxa"/>
            <w:right w:w="0" w:type="dxa"/>
          </w:tblCellMar>
        </w:tblPrEx>
        <w:trPr>
          <w:cantSplit/>
          <w:trHeight w:val="454" w:hRule="exact"/>
        </w:trPr>
        <w:tc>
          <w:tcPr>
            <w:tcW w:w="86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01BA0">
            <w:pPr>
              <w:spacing w:line="240" w:lineRule="auto"/>
              <w:ind w:firstLine="420"/>
              <w:jc w:val="center"/>
              <w:rPr>
                <w:rFonts w:hint="eastAsia" w:ascii="宋体" w:hAnsi="宋体" w:eastAsia="宋体" w:cs="宋体"/>
                <w:sz w:val="21"/>
                <w:szCs w:val="21"/>
              </w:rPr>
            </w:pPr>
          </w:p>
        </w:tc>
        <w:tc>
          <w:tcPr>
            <w:tcW w:w="992"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350AC07">
            <w:pPr>
              <w:spacing w:line="240" w:lineRule="auto"/>
              <w:ind w:firstLine="420"/>
              <w:jc w:val="center"/>
              <w:rPr>
                <w:rFonts w:hint="eastAsia" w:ascii="宋体" w:hAnsi="宋体" w:eastAsia="宋体" w:cs="宋体"/>
                <w:sz w:val="21"/>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E47FC1">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满意度指标</w:t>
            </w:r>
          </w:p>
        </w:tc>
        <w:tc>
          <w:tcPr>
            <w:tcW w:w="411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105E893">
            <w:pPr>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社会公众或服务对象满意度</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84AF6">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≥90%</w:t>
            </w:r>
          </w:p>
        </w:tc>
      </w:tr>
    </w:tbl>
    <w:p w14:paraId="39E7D75A">
      <w:pPr>
        <w:spacing w:before="312" w:beforeLines="100"/>
        <w:ind w:firstLine="560"/>
        <w:rPr>
          <w:rFonts w:hint="eastAsia" w:ascii="楷体" w:hAnsi="楷体" w:eastAsia="楷体" w:cs="楷体"/>
          <w:color w:val="FF0000"/>
          <w:sz w:val="28"/>
          <w:szCs w:val="28"/>
        </w:rPr>
      </w:pPr>
      <w:bookmarkStart w:id="14" w:name="_Toc502134853"/>
      <w:r>
        <w:rPr>
          <w:rFonts w:hint="eastAsia" w:ascii="楷体" w:hAnsi="楷体" w:eastAsia="楷体" w:cs="楷体"/>
          <w:sz w:val="28"/>
          <w:szCs w:val="28"/>
        </w:rPr>
        <w:t>(五)组织管理情况</w:t>
      </w:r>
      <w:bookmarkEnd w:id="14"/>
    </w:p>
    <w:p w14:paraId="0E3D750F">
      <w:pPr>
        <w:ind w:firstLine="560"/>
        <w:rPr>
          <w:rFonts w:hint="eastAsia"/>
          <w:sz w:val="28"/>
          <w:szCs w:val="28"/>
        </w:rPr>
      </w:pPr>
      <w:r>
        <w:rPr>
          <w:rFonts w:hint="eastAsia"/>
          <w:sz w:val="28"/>
          <w:szCs w:val="28"/>
        </w:rPr>
        <w:t>1.项目实施主体。项目以投资促进局为主管部门，包括投资促进局在内的具有招商引资任务的各招商引资任务的行政事业单位为具体实施单位，组织实施，确保项目任务的完成。</w:t>
      </w:r>
    </w:p>
    <w:p w14:paraId="66C0805C">
      <w:pPr>
        <w:ind w:firstLine="560"/>
        <w:rPr>
          <w:rFonts w:hint="eastAsia"/>
          <w:sz w:val="28"/>
          <w:szCs w:val="28"/>
        </w:rPr>
      </w:pPr>
      <w:r>
        <w:rPr>
          <w:rFonts w:hint="eastAsia"/>
          <w:sz w:val="28"/>
          <w:szCs w:val="28"/>
        </w:rPr>
        <w:t>2.保障措施。一是以项目管理办法保障项目的申报范围、安排导向和实施方式；二是以绩效考核的方式发挥资金效益；三是以预算明细的方式保障资金安排的科学规范，投资促进局建立预算管理制度，规范管理项目。</w:t>
      </w:r>
    </w:p>
    <w:p w14:paraId="0209474E">
      <w:pPr>
        <w:ind w:firstLine="560"/>
        <w:rPr>
          <w:rFonts w:hint="eastAsia"/>
          <w:sz w:val="28"/>
          <w:szCs w:val="28"/>
        </w:rPr>
      </w:pPr>
      <w:r>
        <w:rPr>
          <w:rFonts w:hint="eastAsia"/>
          <w:sz w:val="28"/>
          <w:szCs w:val="28"/>
        </w:rPr>
        <w:t>3.资金安排程序。由投资促进局进行项目经费的测算，测算完后及时将所需资金报县人民政府，通过会议讨论决定最终项目经费。</w:t>
      </w:r>
    </w:p>
    <w:p w14:paraId="390134CF">
      <w:pPr>
        <w:ind w:firstLine="560"/>
        <w:rPr>
          <w:rFonts w:hint="eastAsia"/>
          <w:sz w:val="28"/>
          <w:szCs w:val="28"/>
        </w:rPr>
      </w:pPr>
      <w:r>
        <w:rPr>
          <w:rFonts w:hint="eastAsia"/>
          <w:sz w:val="28"/>
          <w:szCs w:val="28"/>
        </w:rPr>
        <w:t>4.</w:t>
      </w:r>
      <w:bookmarkStart w:id="15" w:name="_Hlk146449449"/>
      <w:r>
        <w:rPr>
          <w:rFonts w:hint="eastAsia"/>
          <w:sz w:val="28"/>
          <w:szCs w:val="28"/>
        </w:rPr>
        <w:t>资金安排标准或依据</w:t>
      </w:r>
      <w:bookmarkEnd w:id="15"/>
      <w:r>
        <w:rPr>
          <w:rFonts w:hint="eastAsia"/>
          <w:sz w:val="28"/>
          <w:szCs w:val="28"/>
        </w:rPr>
        <w:t>。《寻甸回族彝族自治县财政局关于批复2023年部门预算的通知》（寻财预〔2023〕1号）。</w:t>
      </w:r>
    </w:p>
    <w:p w14:paraId="0892B472">
      <w:pPr>
        <w:ind w:firstLine="560"/>
        <w:rPr>
          <w:rFonts w:hint="eastAsia"/>
          <w:sz w:val="28"/>
          <w:szCs w:val="28"/>
        </w:rPr>
      </w:pPr>
      <w:r>
        <w:rPr>
          <w:rFonts w:hint="eastAsia"/>
          <w:sz w:val="28"/>
          <w:szCs w:val="28"/>
        </w:rPr>
        <w:t>5.财务管理。投资促进局制定了《寻甸县投资促进局机关内部管理制度》等财务管理制度。规定了严格的审批制度。加强专项资金管理，严格执行财务管理制度，切实提高财政资金的使用效率。</w:t>
      </w:r>
    </w:p>
    <w:p w14:paraId="7E53A8E3">
      <w:pPr>
        <w:ind w:firstLine="560"/>
        <w:rPr>
          <w:rFonts w:hint="eastAsia"/>
          <w:sz w:val="28"/>
          <w:szCs w:val="28"/>
        </w:rPr>
      </w:pPr>
      <w:r>
        <w:rPr>
          <w:rFonts w:hint="eastAsia"/>
          <w:sz w:val="28"/>
          <w:szCs w:val="28"/>
        </w:rPr>
        <w:t>资金管理及核算主要执行《政府会计制度》。</w:t>
      </w:r>
    </w:p>
    <w:p w14:paraId="6A830C71">
      <w:pPr>
        <w:ind w:firstLine="560"/>
        <w:rPr>
          <w:rFonts w:hint="eastAsia" w:ascii="黑体" w:hAnsi="黑体" w:eastAsia="黑体" w:cs="黑体"/>
          <w:sz w:val="28"/>
          <w:szCs w:val="28"/>
        </w:rPr>
      </w:pPr>
      <w:bookmarkStart w:id="16" w:name="_Toc502134854"/>
      <w:r>
        <w:rPr>
          <w:rFonts w:hint="eastAsia" w:ascii="黑体" w:hAnsi="黑体" w:eastAsia="黑体" w:cs="黑体"/>
          <w:sz w:val="28"/>
          <w:szCs w:val="28"/>
        </w:rPr>
        <w:t>二、绩效自评情况</w:t>
      </w:r>
      <w:bookmarkEnd w:id="16"/>
    </w:p>
    <w:p w14:paraId="40812E2E">
      <w:pPr>
        <w:ind w:firstLine="560"/>
        <w:rPr>
          <w:rFonts w:hint="eastAsia" w:ascii="楷体" w:hAnsi="楷体" w:eastAsia="楷体" w:cs="楷体"/>
          <w:sz w:val="28"/>
          <w:szCs w:val="28"/>
        </w:rPr>
      </w:pPr>
      <w:bookmarkStart w:id="17" w:name="_Toc502134855"/>
      <w:bookmarkStart w:id="18" w:name="_Toc498009772"/>
      <w:r>
        <w:rPr>
          <w:rFonts w:hint="eastAsia" w:ascii="楷体" w:hAnsi="楷体" w:eastAsia="楷体" w:cs="楷体"/>
          <w:sz w:val="28"/>
          <w:szCs w:val="28"/>
        </w:rPr>
        <w:t>(一)绩效自评概述</w:t>
      </w:r>
      <w:bookmarkEnd w:id="17"/>
      <w:bookmarkEnd w:id="18"/>
    </w:p>
    <w:p w14:paraId="36D58077">
      <w:pPr>
        <w:ind w:firstLine="560"/>
        <w:rPr>
          <w:rFonts w:hint="eastAsia"/>
          <w:sz w:val="28"/>
          <w:szCs w:val="28"/>
        </w:rPr>
      </w:pPr>
      <w:bookmarkStart w:id="19" w:name="_Toc502134856"/>
      <w:bookmarkStart w:id="20" w:name="_Toc498009773"/>
      <w:r>
        <w:rPr>
          <w:rFonts w:hint="eastAsia"/>
          <w:sz w:val="28"/>
          <w:szCs w:val="28"/>
        </w:rPr>
        <w:t>根据</w:t>
      </w:r>
      <w:bookmarkStart w:id="21" w:name="_Hlk143869243"/>
      <w:r>
        <w:rPr>
          <w:rFonts w:hint="eastAsia"/>
          <w:sz w:val="28"/>
          <w:szCs w:val="28"/>
        </w:rPr>
        <w:t>《寻甸县财政局关于印发</w:t>
      </w:r>
      <w:r>
        <w:rPr>
          <w:sz w:val="28"/>
          <w:szCs w:val="28"/>
        </w:rPr>
        <w:t>&lt;寻甸县本级部门预算绩效自评管理暂行办法&gt;的通知》（寻财绩</w:t>
      </w:r>
      <w:r>
        <w:rPr>
          <w:rFonts w:hint="eastAsia"/>
          <w:sz w:val="28"/>
          <w:szCs w:val="28"/>
        </w:rPr>
        <w:t>〔2018〕</w:t>
      </w:r>
      <w:r>
        <w:rPr>
          <w:sz w:val="28"/>
          <w:szCs w:val="28"/>
        </w:rPr>
        <w:t>9号）</w:t>
      </w:r>
      <w:bookmarkEnd w:id="21"/>
      <w:r>
        <w:rPr>
          <w:rFonts w:hint="eastAsia"/>
          <w:sz w:val="28"/>
          <w:szCs w:val="28"/>
        </w:rPr>
        <w:t>等文件的规定，投资促进局组织实施了部门整体支出绩效自评，并编制《寻甸回族彝族自治县投资促进局2023年部门整体支出绩效自评报告》，但未编制项目绩效自评报告。</w:t>
      </w:r>
    </w:p>
    <w:p w14:paraId="3F178143">
      <w:pPr>
        <w:ind w:firstLine="560"/>
        <w:rPr>
          <w:rFonts w:hint="eastAsia" w:ascii="楷体" w:hAnsi="楷体" w:eastAsia="楷体" w:cs="楷体"/>
          <w:sz w:val="28"/>
          <w:szCs w:val="28"/>
        </w:rPr>
      </w:pPr>
      <w:r>
        <w:rPr>
          <w:rFonts w:hint="eastAsia" w:ascii="楷体" w:hAnsi="楷体" w:eastAsia="楷体" w:cs="楷体"/>
          <w:sz w:val="28"/>
          <w:szCs w:val="28"/>
        </w:rPr>
        <w:t>(二)绩效自评结论</w:t>
      </w:r>
      <w:bookmarkEnd w:id="19"/>
      <w:bookmarkEnd w:id="20"/>
    </w:p>
    <w:p w14:paraId="2E67ED33">
      <w:pPr>
        <w:ind w:firstLine="560"/>
        <w:rPr>
          <w:rFonts w:hint="eastAsia" w:cs="仿宋"/>
          <w:sz w:val="28"/>
          <w:szCs w:val="28"/>
        </w:rPr>
      </w:pPr>
      <w:r>
        <w:rPr>
          <w:rFonts w:hint="eastAsia" w:cs="仿宋"/>
          <w:sz w:val="28"/>
          <w:szCs w:val="28"/>
        </w:rPr>
        <w:t>据《寻甸回族彝族自治县投资促进局2023年部门整体支出绩效自评报告》，投资促进局2023年部门整体支出自评得分为94.30分，自评等级为“优”。</w:t>
      </w:r>
    </w:p>
    <w:p w14:paraId="64037A98">
      <w:pPr>
        <w:ind w:firstLine="560"/>
        <w:rPr>
          <w:rFonts w:hint="eastAsia" w:ascii="黑体" w:hAnsi="黑体" w:eastAsia="黑体" w:cs="黑体"/>
          <w:sz w:val="28"/>
          <w:szCs w:val="28"/>
        </w:rPr>
      </w:pPr>
      <w:bookmarkStart w:id="22" w:name="_Toc502134857"/>
      <w:r>
        <w:rPr>
          <w:rFonts w:hint="eastAsia" w:ascii="黑体" w:hAnsi="黑体" w:eastAsia="黑体" w:cs="黑体"/>
          <w:sz w:val="28"/>
          <w:szCs w:val="28"/>
        </w:rPr>
        <w:t>三、绩效评价组织情况</w:t>
      </w:r>
      <w:bookmarkEnd w:id="22"/>
    </w:p>
    <w:p w14:paraId="7482F47B">
      <w:pPr>
        <w:ind w:firstLine="560"/>
        <w:rPr>
          <w:rFonts w:hint="eastAsia" w:ascii="楷体" w:hAnsi="楷体" w:eastAsia="楷体" w:cs="楷体"/>
          <w:sz w:val="28"/>
          <w:szCs w:val="28"/>
        </w:rPr>
      </w:pPr>
      <w:bookmarkStart w:id="23" w:name="_Toc502134858"/>
      <w:r>
        <w:rPr>
          <w:rFonts w:hint="eastAsia" w:ascii="楷体" w:hAnsi="楷体" w:eastAsia="楷体" w:cs="楷体"/>
          <w:sz w:val="28"/>
          <w:szCs w:val="28"/>
        </w:rPr>
        <w:t>(一)绩效评价依据</w:t>
      </w:r>
      <w:bookmarkEnd w:id="23"/>
    </w:p>
    <w:p w14:paraId="5EE9F5AA">
      <w:pPr>
        <w:ind w:firstLine="560"/>
        <w:rPr>
          <w:rFonts w:hint="eastAsia" w:cs="仿宋"/>
          <w:sz w:val="28"/>
          <w:szCs w:val="28"/>
        </w:rPr>
      </w:pPr>
      <w:r>
        <w:rPr>
          <w:rFonts w:hint="eastAsia" w:cs="仿宋"/>
          <w:sz w:val="28"/>
          <w:szCs w:val="28"/>
        </w:rPr>
        <w:t>1.《中华人民共和国预算法》（201</w:t>
      </w:r>
      <w:r>
        <w:rPr>
          <w:rFonts w:cs="仿宋"/>
          <w:sz w:val="28"/>
          <w:szCs w:val="28"/>
        </w:rPr>
        <w:t>8</w:t>
      </w:r>
      <w:r>
        <w:rPr>
          <w:rFonts w:hint="eastAsia" w:cs="仿宋"/>
          <w:sz w:val="28"/>
          <w:szCs w:val="28"/>
        </w:rPr>
        <w:t>年修订）；</w:t>
      </w:r>
    </w:p>
    <w:p w14:paraId="508252A6">
      <w:pPr>
        <w:ind w:firstLine="560"/>
        <w:rPr>
          <w:rFonts w:hint="eastAsia" w:cs="仿宋"/>
          <w:sz w:val="28"/>
          <w:szCs w:val="28"/>
        </w:rPr>
      </w:pPr>
      <w:r>
        <w:rPr>
          <w:rFonts w:hint="eastAsia" w:cs="仿宋"/>
          <w:sz w:val="28"/>
          <w:szCs w:val="28"/>
        </w:rPr>
        <w:t>2.《项目支出绩效评价管理办法》（财预〔2020〕10号）；</w:t>
      </w:r>
    </w:p>
    <w:p w14:paraId="32A9869E">
      <w:pPr>
        <w:ind w:firstLine="560"/>
        <w:rPr>
          <w:rFonts w:hint="eastAsia" w:cs="仿宋"/>
          <w:sz w:val="28"/>
          <w:szCs w:val="28"/>
        </w:rPr>
      </w:pPr>
      <w:r>
        <w:rPr>
          <w:rFonts w:hint="eastAsia" w:cs="仿宋"/>
          <w:sz w:val="28"/>
          <w:szCs w:val="28"/>
        </w:rPr>
        <w:t>3.《中共云南省委、云南省人民政府关于全面实施预算管理绩效的意见》（云发〔2019〕11号）；</w:t>
      </w:r>
    </w:p>
    <w:p w14:paraId="2C9E2CD9">
      <w:pPr>
        <w:ind w:firstLine="560"/>
        <w:rPr>
          <w:rFonts w:hint="eastAsia" w:cs="仿宋"/>
          <w:sz w:val="28"/>
          <w:szCs w:val="28"/>
        </w:rPr>
      </w:pPr>
      <w:r>
        <w:rPr>
          <w:rFonts w:hint="eastAsia" w:cs="仿宋"/>
          <w:sz w:val="28"/>
          <w:szCs w:val="28"/>
        </w:rPr>
        <w:t>4.《云南省省级财政预算绩效管理暂行办法》（云财预〔2015〕295号）；</w:t>
      </w:r>
    </w:p>
    <w:p w14:paraId="4B2B4551">
      <w:pPr>
        <w:ind w:firstLine="560"/>
        <w:rPr>
          <w:rFonts w:hint="eastAsia" w:cs="仿宋"/>
          <w:sz w:val="28"/>
          <w:szCs w:val="28"/>
        </w:rPr>
      </w:pPr>
      <w:r>
        <w:rPr>
          <w:rFonts w:hint="eastAsia" w:cs="仿宋"/>
          <w:sz w:val="28"/>
          <w:szCs w:val="28"/>
        </w:rPr>
        <w:t>5.</w:t>
      </w:r>
      <w:bookmarkStart w:id="24" w:name="_Hlk143869363"/>
      <w:r>
        <w:rPr>
          <w:rFonts w:hint="eastAsia" w:cs="仿宋"/>
          <w:sz w:val="28"/>
          <w:szCs w:val="28"/>
        </w:rPr>
        <w:t>《关于全面推进预算绩效管理改革的实施意见》（寻政发〔</w:t>
      </w:r>
      <w:r>
        <w:rPr>
          <w:rFonts w:cs="仿宋"/>
          <w:sz w:val="28"/>
          <w:szCs w:val="28"/>
        </w:rPr>
        <w:t>2016〕122号）</w:t>
      </w:r>
      <w:r>
        <w:rPr>
          <w:rFonts w:hint="eastAsia" w:cs="仿宋"/>
          <w:sz w:val="28"/>
          <w:szCs w:val="28"/>
        </w:rPr>
        <w:t>；</w:t>
      </w:r>
    </w:p>
    <w:p w14:paraId="560F0F03">
      <w:pPr>
        <w:ind w:firstLine="560"/>
        <w:rPr>
          <w:rFonts w:hint="eastAsia" w:cs="仿宋"/>
          <w:sz w:val="28"/>
          <w:szCs w:val="28"/>
        </w:rPr>
      </w:pPr>
      <w:r>
        <w:rPr>
          <w:rFonts w:cs="仿宋"/>
          <w:sz w:val="28"/>
          <w:szCs w:val="28"/>
        </w:rPr>
        <w:t>6.</w:t>
      </w:r>
      <w:r>
        <w:rPr>
          <w:rFonts w:hint="eastAsia" w:cs="仿宋"/>
          <w:sz w:val="28"/>
          <w:szCs w:val="28"/>
        </w:rPr>
        <w:t>《关于开展</w:t>
      </w:r>
      <w:r>
        <w:rPr>
          <w:rFonts w:cs="仿宋"/>
          <w:sz w:val="28"/>
          <w:szCs w:val="28"/>
        </w:rPr>
        <w:t>202</w:t>
      </w:r>
      <w:r>
        <w:rPr>
          <w:rFonts w:hint="eastAsia" w:cs="仿宋"/>
          <w:sz w:val="28"/>
          <w:szCs w:val="28"/>
        </w:rPr>
        <w:t>3</w:t>
      </w:r>
      <w:r>
        <w:rPr>
          <w:rFonts w:cs="仿宋"/>
          <w:sz w:val="28"/>
          <w:szCs w:val="28"/>
        </w:rPr>
        <w:t>年度部门整体支出、重大项目支出和地方政府债券项目支出绩效再评价的通知》（寻财绩〔202</w:t>
      </w:r>
      <w:r>
        <w:rPr>
          <w:rFonts w:hint="eastAsia" w:cs="仿宋"/>
          <w:sz w:val="28"/>
          <w:szCs w:val="28"/>
        </w:rPr>
        <w:t>4</w:t>
      </w:r>
      <w:r>
        <w:rPr>
          <w:rFonts w:cs="仿宋"/>
          <w:sz w:val="28"/>
          <w:szCs w:val="28"/>
        </w:rPr>
        <w:t>〕</w:t>
      </w:r>
      <w:r>
        <w:rPr>
          <w:rFonts w:hint="eastAsia" w:cs="仿宋"/>
          <w:sz w:val="28"/>
          <w:szCs w:val="28"/>
        </w:rPr>
        <w:t>4</w:t>
      </w:r>
      <w:r>
        <w:rPr>
          <w:rFonts w:cs="仿宋"/>
          <w:sz w:val="28"/>
          <w:szCs w:val="28"/>
        </w:rPr>
        <w:t>号）</w:t>
      </w:r>
      <w:r>
        <w:rPr>
          <w:rFonts w:hint="eastAsia" w:cs="仿宋"/>
          <w:sz w:val="28"/>
          <w:szCs w:val="28"/>
        </w:rPr>
        <w:t>；</w:t>
      </w:r>
    </w:p>
    <w:p w14:paraId="1ABFD716">
      <w:pPr>
        <w:ind w:firstLine="560"/>
        <w:rPr>
          <w:rFonts w:hint="eastAsia" w:cs="仿宋"/>
          <w:sz w:val="28"/>
          <w:szCs w:val="28"/>
        </w:rPr>
      </w:pPr>
      <w:r>
        <w:rPr>
          <w:rFonts w:cs="仿宋"/>
          <w:sz w:val="28"/>
          <w:szCs w:val="28"/>
        </w:rPr>
        <w:t>7</w:t>
      </w:r>
      <w:r>
        <w:rPr>
          <w:rFonts w:hint="eastAsia" w:cs="仿宋"/>
          <w:sz w:val="28"/>
          <w:szCs w:val="28"/>
        </w:rPr>
        <w:t>.其他相关依据文件</w:t>
      </w:r>
      <w:bookmarkEnd w:id="24"/>
      <w:r>
        <w:rPr>
          <w:rFonts w:hint="eastAsia" w:cs="仿宋"/>
          <w:sz w:val="28"/>
          <w:szCs w:val="28"/>
        </w:rPr>
        <w:t>。</w:t>
      </w:r>
    </w:p>
    <w:p w14:paraId="4CAB172C">
      <w:pPr>
        <w:ind w:firstLine="560"/>
        <w:rPr>
          <w:rFonts w:hint="eastAsia" w:ascii="楷体" w:hAnsi="楷体" w:eastAsia="楷体" w:cs="楷体"/>
          <w:sz w:val="28"/>
          <w:szCs w:val="28"/>
        </w:rPr>
      </w:pPr>
      <w:bookmarkStart w:id="25" w:name="_Toc502134859"/>
      <w:r>
        <w:rPr>
          <w:rFonts w:hint="eastAsia" w:ascii="楷体" w:hAnsi="楷体" w:eastAsia="楷体" w:cs="楷体"/>
          <w:sz w:val="28"/>
          <w:szCs w:val="28"/>
        </w:rPr>
        <w:t>(二)绩效评价方法</w:t>
      </w:r>
      <w:bookmarkEnd w:id="25"/>
    </w:p>
    <w:p w14:paraId="5AA4C4F4">
      <w:pPr>
        <w:ind w:firstLine="560"/>
        <w:rPr>
          <w:rFonts w:hint="eastAsia" w:cs="仿宋"/>
          <w:sz w:val="28"/>
          <w:szCs w:val="28"/>
        </w:rPr>
      </w:pPr>
      <w:r>
        <w:rPr>
          <w:rFonts w:hint="eastAsia" w:cs="仿宋"/>
          <w:sz w:val="28"/>
          <w:szCs w:val="28"/>
        </w:rPr>
        <w:t>本次绩效评价采取定量与定性相结合的方式，具体实施了审阅、实地踏勘、检查、分析复核、计算、交换和反馈意见、专家会审等程序。通过资料收集、数据填报、案卷研究、实地调研、座谈会、问卷调查等方式，开展实地评价。对2023年项目相关档案资料进行查阅，结合现场核实情况和资金到位使用及结余情况的分析，进行数据分析和取证。</w:t>
      </w:r>
    </w:p>
    <w:p w14:paraId="7E24B9E6">
      <w:pPr>
        <w:ind w:firstLine="560"/>
        <w:rPr>
          <w:rFonts w:hint="eastAsia" w:cs="仿宋"/>
          <w:sz w:val="28"/>
          <w:szCs w:val="28"/>
        </w:rPr>
      </w:pPr>
      <w:r>
        <w:rPr>
          <w:rFonts w:hint="eastAsia" w:cs="仿宋"/>
          <w:sz w:val="28"/>
          <w:szCs w:val="28"/>
        </w:rPr>
        <w:t>具体方法可以采用以下5种方法中的一种，也可多种评价方法并用：目标比较法、成本效益法、历史比较法、专家评价法、问卷调查法、横向比较法。</w:t>
      </w:r>
    </w:p>
    <w:p w14:paraId="61FCB705">
      <w:pPr>
        <w:ind w:firstLine="560"/>
        <w:rPr>
          <w:rFonts w:hint="eastAsia" w:ascii="楷体" w:hAnsi="楷体" w:eastAsia="楷体" w:cs="楷体"/>
          <w:sz w:val="28"/>
          <w:szCs w:val="28"/>
        </w:rPr>
      </w:pPr>
      <w:bookmarkStart w:id="26" w:name="_Toc502134860"/>
      <w:r>
        <w:rPr>
          <w:rFonts w:hint="eastAsia" w:ascii="楷体" w:hAnsi="楷体" w:eastAsia="楷体" w:cs="楷体"/>
          <w:sz w:val="28"/>
          <w:szCs w:val="28"/>
        </w:rPr>
        <w:t>(三)绩效评价指标体系</w:t>
      </w:r>
      <w:bookmarkEnd w:id="26"/>
    </w:p>
    <w:p w14:paraId="37062E6E">
      <w:pPr>
        <w:ind w:firstLine="560"/>
        <w:rPr>
          <w:rFonts w:hint="eastAsia" w:cs="仿宋"/>
          <w:sz w:val="28"/>
          <w:szCs w:val="28"/>
        </w:rPr>
      </w:pPr>
      <w:r>
        <w:rPr>
          <w:rFonts w:hint="eastAsia" w:cs="仿宋"/>
          <w:sz w:val="28"/>
          <w:szCs w:val="28"/>
        </w:rPr>
        <w:t>1.绩效评价指标</w:t>
      </w:r>
    </w:p>
    <w:p w14:paraId="03301638">
      <w:pPr>
        <w:ind w:firstLine="560"/>
        <w:rPr>
          <w:rFonts w:hint="eastAsia" w:cs="仿宋"/>
          <w:sz w:val="28"/>
          <w:szCs w:val="28"/>
        </w:rPr>
      </w:pPr>
      <w:bookmarkStart w:id="27" w:name="_Toc502134861"/>
      <w:r>
        <w:rPr>
          <w:rFonts w:hint="eastAsia" w:cs="仿宋"/>
          <w:sz w:val="28"/>
          <w:szCs w:val="28"/>
        </w:rPr>
        <w:t>本项目绩效评价以100分计，设项目决策、项目执行过程、项目产出、项目效益4个一级指标，权重分别为：1</w:t>
      </w:r>
      <w:r>
        <w:rPr>
          <w:rFonts w:cs="仿宋"/>
          <w:sz w:val="28"/>
          <w:szCs w:val="28"/>
        </w:rPr>
        <w:t>6</w:t>
      </w:r>
      <w:r>
        <w:rPr>
          <w:rFonts w:hint="eastAsia" w:cs="仿宋"/>
          <w:sz w:val="28"/>
          <w:szCs w:val="28"/>
        </w:rPr>
        <w:t>%、2</w:t>
      </w:r>
      <w:r>
        <w:rPr>
          <w:rFonts w:cs="仿宋"/>
          <w:sz w:val="28"/>
          <w:szCs w:val="28"/>
        </w:rPr>
        <w:t>2</w:t>
      </w:r>
      <w:r>
        <w:rPr>
          <w:rFonts w:hint="eastAsia" w:cs="仿宋"/>
          <w:sz w:val="28"/>
          <w:szCs w:val="28"/>
        </w:rPr>
        <w:t>%、3</w:t>
      </w:r>
      <w:r>
        <w:rPr>
          <w:rFonts w:cs="仿宋"/>
          <w:sz w:val="28"/>
          <w:szCs w:val="28"/>
        </w:rPr>
        <w:t>2</w:t>
      </w:r>
      <w:r>
        <w:rPr>
          <w:rFonts w:hint="eastAsia" w:cs="仿宋"/>
          <w:sz w:val="28"/>
          <w:szCs w:val="28"/>
        </w:rPr>
        <w:t>%、30%。在此基础上设定13个二级指标（项目立项、绩效目标、资金投入、资金管理、组织实施、产出数量、产出质量、产出时效、产出成本、经济效益、社会效益、可持续性、满意度），设26个三级指标</w:t>
      </w:r>
      <w:bookmarkStart w:id="28" w:name="_Hlk143856496"/>
      <w:r>
        <w:rPr>
          <w:rFonts w:hint="eastAsia" w:cs="仿宋"/>
          <w:sz w:val="28"/>
          <w:szCs w:val="28"/>
        </w:rPr>
        <w:t>（详见后附“寻甸县投资促进局2023年招商引资工作经费项目支出绩效评价指标体系及评分表”）</w:t>
      </w:r>
      <w:bookmarkEnd w:id="28"/>
      <w:r>
        <w:rPr>
          <w:rFonts w:hint="eastAsia" w:cs="仿宋"/>
          <w:sz w:val="28"/>
          <w:szCs w:val="28"/>
        </w:rPr>
        <w:t>。</w:t>
      </w:r>
    </w:p>
    <w:p w14:paraId="66D1172B">
      <w:pPr>
        <w:ind w:firstLine="560"/>
        <w:rPr>
          <w:rFonts w:hint="eastAsia" w:cs="仿宋"/>
          <w:sz w:val="28"/>
          <w:szCs w:val="28"/>
        </w:rPr>
      </w:pPr>
      <w:r>
        <w:rPr>
          <w:rFonts w:hint="eastAsia" w:cs="仿宋"/>
          <w:sz w:val="28"/>
          <w:szCs w:val="28"/>
        </w:rPr>
        <w:t>2.评价标准</w:t>
      </w:r>
    </w:p>
    <w:p w14:paraId="7E72A8A2">
      <w:pPr>
        <w:ind w:firstLine="560"/>
        <w:rPr>
          <w:rFonts w:hint="eastAsia" w:cs="仿宋"/>
          <w:sz w:val="28"/>
          <w:szCs w:val="28"/>
        </w:rPr>
      </w:pPr>
      <w:r>
        <w:rPr>
          <w:rFonts w:hint="eastAsia" w:cs="仿宋"/>
          <w:sz w:val="28"/>
          <w:szCs w:val="28"/>
        </w:rPr>
        <w:t>(1)项目支出评价得分满分为100分。</w:t>
      </w:r>
    </w:p>
    <w:p w14:paraId="0FBC41CB">
      <w:pPr>
        <w:ind w:firstLine="560"/>
        <w:rPr>
          <w:rFonts w:hint="eastAsia" w:cs="仿宋"/>
          <w:sz w:val="28"/>
          <w:szCs w:val="28"/>
        </w:rPr>
      </w:pPr>
      <w:r>
        <w:rPr>
          <w:rFonts w:hint="eastAsia" w:cs="仿宋"/>
          <w:sz w:val="28"/>
          <w:szCs w:val="28"/>
        </w:rPr>
        <w:t>(2)由审计评价组根据评价情况，对各单项指标分别进行独立打分。</w:t>
      </w:r>
    </w:p>
    <w:p w14:paraId="4434D4CC">
      <w:pPr>
        <w:ind w:firstLine="560"/>
        <w:rPr>
          <w:rFonts w:hint="eastAsia" w:cs="仿宋"/>
          <w:sz w:val="28"/>
          <w:szCs w:val="28"/>
        </w:rPr>
      </w:pPr>
      <w:r>
        <w:rPr>
          <w:rFonts w:hint="eastAsia" w:cs="仿宋"/>
          <w:sz w:val="28"/>
          <w:szCs w:val="28"/>
        </w:rPr>
        <w:t>(3)总评价分为各单项指标得分总和。</w:t>
      </w:r>
    </w:p>
    <w:p w14:paraId="39D47DF6">
      <w:pPr>
        <w:ind w:firstLine="560"/>
        <w:rPr>
          <w:rFonts w:hint="eastAsia" w:cs="仿宋"/>
          <w:sz w:val="28"/>
          <w:szCs w:val="28"/>
        </w:rPr>
      </w:pPr>
      <w:r>
        <w:rPr>
          <w:rFonts w:hint="eastAsia" w:cs="仿宋"/>
          <w:sz w:val="28"/>
          <w:szCs w:val="28"/>
        </w:rPr>
        <w:t>(4)评价结果：根据最终得分情况将评价结果分为四个等级：优（得分≥90分）；良（80分≤得分＜90分）；中（60≤得分＜80分）；差（得分＜60分）。</w:t>
      </w:r>
    </w:p>
    <w:p w14:paraId="27F116C4">
      <w:pPr>
        <w:ind w:firstLine="560"/>
        <w:rPr>
          <w:rFonts w:hint="eastAsia" w:cs="仿宋"/>
          <w:sz w:val="28"/>
          <w:szCs w:val="28"/>
        </w:rPr>
      </w:pPr>
      <w:bookmarkStart w:id="29" w:name="_Toc7874"/>
      <w:bookmarkStart w:id="30" w:name="_Toc25624"/>
      <w:r>
        <w:rPr>
          <w:rFonts w:hint="eastAsia" w:cs="仿宋"/>
          <w:sz w:val="28"/>
          <w:szCs w:val="28"/>
        </w:rPr>
        <w:t>3.数据来源</w:t>
      </w:r>
      <w:bookmarkEnd w:id="29"/>
      <w:bookmarkEnd w:id="30"/>
    </w:p>
    <w:p w14:paraId="67033338">
      <w:pPr>
        <w:ind w:firstLine="560"/>
        <w:rPr>
          <w:rFonts w:hint="eastAsia" w:cs="仿宋"/>
          <w:color w:val="FF0000"/>
          <w:sz w:val="28"/>
          <w:szCs w:val="28"/>
        </w:rPr>
      </w:pPr>
      <w:r>
        <w:rPr>
          <w:rFonts w:hint="eastAsia" w:cs="仿宋"/>
          <w:sz w:val="28"/>
          <w:szCs w:val="28"/>
        </w:rPr>
        <w:t>绩效评价数据由投资促进局提供。</w:t>
      </w:r>
    </w:p>
    <w:bookmarkEnd w:id="27"/>
    <w:p w14:paraId="00D0D945">
      <w:pPr>
        <w:ind w:firstLine="560"/>
        <w:rPr>
          <w:rFonts w:hint="eastAsia" w:ascii="黑体" w:hAnsi="黑体" w:eastAsia="黑体" w:cs="黑体"/>
          <w:sz w:val="28"/>
          <w:szCs w:val="28"/>
        </w:rPr>
      </w:pPr>
      <w:bookmarkStart w:id="31" w:name="_Toc502134862"/>
      <w:r>
        <w:rPr>
          <w:rFonts w:hint="eastAsia" w:ascii="黑体" w:hAnsi="黑体" w:eastAsia="黑体" w:cs="黑体"/>
          <w:sz w:val="28"/>
          <w:szCs w:val="28"/>
        </w:rPr>
        <w:t>四、</w:t>
      </w:r>
      <w:bookmarkEnd w:id="31"/>
      <w:r>
        <w:rPr>
          <w:rFonts w:hint="eastAsia" w:ascii="黑体" w:hAnsi="黑体" w:eastAsia="黑体" w:cs="黑体"/>
          <w:sz w:val="28"/>
          <w:szCs w:val="28"/>
        </w:rPr>
        <w:t>综合评价情况及评价结论</w:t>
      </w:r>
    </w:p>
    <w:p w14:paraId="672BCB16">
      <w:pPr>
        <w:ind w:firstLine="560"/>
        <w:rPr>
          <w:rFonts w:hint="eastAsia" w:cs="仿宋"/>
          <w:sz w:val="28"/>
          <w:szCs w:val="28"/>
        </w:rPr>
      </w:pPr>
      <w:bookmarkStart w:id="32" w:name="_Toc498009781"/>
      <w:r>
        <w:rPr>
          <w:rFonts w:hint="eastAsia" w:cs="仿宋"/>
          <w:sz w:val="28"/>
          <w:szCs w:val="28"/>
        </w:rPr>
        <w:t>投资促进局2023年招商引资工作经费项目绩效评价综合评分84分，评价等级“良”（详见后附“寻甸县投资促进局2023年招商引资工作经费项目支出绩效评价指标体系及评分表”）。</w:t>
      </w:r>
    </w:p>
    <w:p w14:paraId="161AEC7A">
      <w:pPr>
        <w:ind w:firstLine="560"/>
        <w:rPr>
          <w:rFonts w:hint="eastAsia" w:ascii="仿宋_GB2312" w:eastAsia="仿宋_GB2312" w:cs="仿宋"/>
          <w:sz w:val="28"/>
          <w:szCs w:val="28"/>
        </w:rPr>
      </w:pPr>
      <w:r>
        <w:rPr>
          <w:rFonts w:hint="eastAsia" w:cs="仿宋"/>
          <w:sz w:val="28"/>
          <w:szCs w:val="28"/>
        </w:rPr>
        <w:t>综合评价结论：</w:t>
      </w:r>
      <w:bookmarkStart w:id="33" w:name="_Toc502134864"/>
      <w:r>
        <w:rPr>
          <w:rFonts w:hint="eastAsia" w:cs="仿宋"/>
          <w:sz w:val="28"/>
          <w:szCs w:val="28"/>
        </w:rPr>
        <w:t>投资促进局2023年招商引资工作经费项目已实施完成，项目实施取得了良好的产出和效益，改善了营商环境，对保持或增长地方经济总量、保障地方财政收入、增加地方就业等方面产生了良好的效益。</w:t>
      </w:r>
    </w:p>
    <w:bookmarkEnd w:id="32"/>
    <w:bookmarkEnd w:id="33"/>
    <w:p w14:paraId="21EECF53">
      <w:pPr>
        <w:ind w:firstLine="560"/>
        <w:rPr>
          <w:rFonts w:hint="eastAsia" w:ascii="黑体" w:hAnsi="黑体" w:eastAsia="黑体" w:cs="黑体"/>
          <w:sz w:val="28"/>
          <w:szCs w:val="28"/>
        </w:rPr>
      </w:pPr>
      <w:bookmarkStart w:id="34" w:name="_Toc502134866"/>
      <w:bookmarkStart w:id="35" w:name="_Toc498009783"/>
      <w:r>
        <w:rPr>
          <w:rFonts w:hint="eastAsia" w:ascii="黑体" w:hAnsi="黑体" w:eastAsia="黑体" w:cs="黑体"/>
          <w:sz w:val="28"/>
          <w:szCs w:val="28"/>
        </w:rPr>
        <w:t>五、绩效评价情况分析</w:t>
      </w:r>
      <w:bookmarkEnd w:id="34"/>
      <w:bookmarkEnd w:id="35"/>
    </w:p>
    <w:p w14:paraId="6194762C">
      <w:pPr>
        <w:ind w:firstLine="560"/>
        <w:rPr>
          <w:rFonts w:hint="eastAsia" w:ascii="楷体" w:hAnsi="楷体" w:eastAsia="楷体" w:cs="楷体"/>
          <w:sz w:val="28"/>
          <w:szCs w:val="28"/>
        </w:rPr>
      </w:pPr>
      <w:bookmarkStart w:id="36" w:name="_Toc498009784"/>
      <w:bookmarkStart w:id="37" w:name="_Toc502134867"/>
      <w:r>
        <w:rPr>
          <w:rFonts w:hint="eastAsia" w:ascii="楷体" w:hAnsi="楷体" w:eastAsia="楷体" w:cs="楷体"/>
          <w:sz w:val="28"/>
          <w:szCs w:val="28"/>
        </w:rPr>
        <w:t>(一)项目决策分析</w:t>
      </w:r>
      <w:bookmarkEnd w:id="36"/>
      <w:bookmarkEnd w:id="37"/>
    </w:p>
    <w:p w14:paraId="178659B7">
      <w:pPr>
        <w:ind w:firstLine="560"/>
        <w:rPr>
          <w:rFonts w:hint="eastAsia" w:cs="仿宋"/>
          <w:sz w:val="28"/>
          <w:szCs w:val="28"/>
        </w:rPr>
      </w:pPr>
      <w:r>
        <w:rPr>
          <w:rFonts w:hint="eastAsia" w:cs="仿宋"/>
          <w:sz w:val="28"/>
          <w:szCs w:val="28"/>
        </w:rPr>
        <w:t>项目决策满分16.00分，评价综合评分13.</w:t>
      </w:r>
      <w:r>
        <w:rPr>
          <w:rFonts w:cs="仿宋"/>
          <w:sz w:val="28"/>
          <w:szCs w:val="28"/>
        </w:rPr>
        <w:t>5</w:t>
      </w:r>
      <w:r>
        <w:rPr>
          <w:rFonts w:hint="eastAsia" w:cs="仿宋"/>
          <w:sz w:val="28"/>
          <w:szCs w:val="28"/>
        </w:rPr>
        <w:t>0分（占该项满分值的84.38%），具体情况如下：</w:t>
      </w:r>
      <w:bookmarkStart w:id="38" w:name="_Toc502134868"/>
    </w:p>
    <w:p w14:paraId="182C9242">
      <w:pPr>
        <w:ind w:firstLine="560"/>
        <w:rPr>
          <w:rFonts w:hint="eastAsia" w:cs="仿宋"/>
          <w:sz w:val="28"/>
          <w:szCs w:val="28"/>
        </w:rPr>
      </w:pPr>
      <w:r>
        <w:rPr>
          <w:rFonts w:hint="eastAsia" w:cs="仿宋"/>
          <w:sz w:val="28"/>
          <w:szCs w:val="28"/>
        </w:rPr>
        <w:t>1.项目立项依据充分，符合国家法律法规、国民经济发展规划、行业发展规划和相关政策要求，与《寻甸县国民经济和社会发展第十四个五年规划》及部门职能职责等相匹配，属于公共财政支持范围，未与相关部门同类项目或部门内部相关项目重复。</w:t>
      </w:r>
    </w:p>
    <w:p w14:paraId="532D7516">
      <w:pPr>
        <w:ind w:firstLine="560"/>
        <w:rPr>
          <w:rFonts w:hint="eastAsia" w:cs="仿宋"/>
          <w:sz w:val="28"/>
          <w:szCs w:val="28"/>
        </w:rPr>
      </w:pPr>
      <w:r>
        <w:rPr>
          <w:rFonts w:hint="eastAsia" w:cs="仿宋"/>
          <w:sz w:val="28"/>
          <w:szCs w:val="28"/>
        </w:rPr>
        <w:t>项目立项程序基本规范，但未编制并报批项目实施方案或招商引资计划书或类似资料。</w:t>
      </w:r>
    </w:p>
    <w:p w14:paraId="5BD8C1E7">
      <w:pPr>
        <w:ind w:firstLine="560"/>
        <w:rPr>
          <w:rFonts w:hint="eastAsia" w:cs="仿宋"/>
          <w:sz w:val="28"/>
          <w:szCs w:val="28"/>
        </w:rPr>
      </w:pPr>
      <w:r>
        <w:rPr>
          <w:rFonts w:hint="eastAsia" w:cs="仿宋"/>
          <w:sz w:val="28"/>
          <w:szCs w:val="28"/>
        </w:rPr>
        <w:t>2.项目绩效目标合理，所设定的绩效目标与实际工作内容具有相关性，与预算确定的项目投资额或资金量相匹配，符合客观实际、国家相关法律法规、国民经济发展规划和党委政府决策等。</w:t>
      </w:r>
    </w:p>
    <w:p w14:paraId="00F39A1D">
      <w:pPr>
        <w:ind w:firstLine="560"/>
        <w:rPr>
          <w:rFonts w:hint="eastAsia" w:cs="仿宋"/>
          <w:sz w:val="28"/>
          <w:szCs w:val="28"/>
        </w:rPr>
      </w:pPr>
      <w:r>
        <w:rPr>
          <w:rFonts w:hint="eastAsia" w:cs="仿宋"/>
          <w:sz w:val="28"/>
          <w:szCs w:val="28"/>
        </w:rPr>
        <w:t>根据投资促进局提供的《绩效目标申报表》，基本将绩效目标细化分解为具体的工作任务，基本通过清晰、可衡量的指标及指标值予以体现，但效益指标不充分全面，基本未设定最能体现项目绩效目标实现程度和项目实施部门职能履职情况的关键的、核心的绩效指标。</w:t>
      </w:r>
    </w:p>
    <w:p w14:paraId="1C6BFD7D">
      <w:pPr>
        <w:pStyle w:val="4"/>
        <w:spacing w:after="0"/>
        <w:ind w:firstLine="560"/>
        <w:rPr>
          <w:rFonts w:hint="eastAsia" w:cs="仿宋"/>
          <w:sz w:val="28"/>
          <w:szCs w:val="28"/>
        </w:rPr>
      </w:pPr>
      <w:r>
        <w:rPr>
          <w:rFonts w:hint="eastAsia" w:cs="仿宋"/>
          <w:sz w:val="28"/>
          <w:szCs w:val="28"/>
        </w:rPr>
        <w:t>3.项目支出预算依据基本充分、合理，与项目内容相匹配，确定的项目投资额或资金量与工作任务相匹配，预算资金分配依据充分，资金分配额度合理，与项目单位或地方实际相适应。</w:t>
      </w:r>
    </w:p>
    <w:p w14:paraId="75E86BAA">
      <w:pPr>
        <w:ind w:firstLine="560"/>
        <w:rPr>
          <w:rFonts w:hint="eastAsia" w:ascii="楷体" w:hAnsi="楷体" w:eastAsia="楷体" w:cs="楷体"/>
          <w:sz w:val="28"/>
          <w:szCs w:val="28"/>
        </w:rPr>
      </w:pPr>
      <w:r>
        <w:rPr>
          <w:rFonts w:hint="eastAsia" w:ascii="楷体" w:hAnsi="楷体" w:eastAsia="楷体" w:cs="楷体"/>
          <w:sz w:val="28"/>
          <w:szCs w:val="28"/>
        </w:rPr>
        <w:t>(二</w:t>
      </w:r>
      <w:bookmarkStart w:id="39" w:name="_Toc498009785"/>
      <w:r>
        <w:rPr>
          <w:rFonts w:hint="eastAsia" w:ascii="楷体" w:hAnsi="楷体" w:eastAsia="楷体" w:cs="楷体"/>
          <w:sz w:val="28"/>
          <w:szCs w:val="28"/>
        </w:rPr>
        <w:t>)项目过程管理情况分析</w:t>
      </w:r>
      <w:bookmarkEnd w:id="38"/>
      <w:bookmarkEnd w:id="39"/>
    </w:p>
    <w:p w14:paraId="70775A7E">
      <w:pPr>
        <w:ind w:firstLine="560"/>
        <w:rPr>
          <w:rFonts w:hint="eastAsia" w:cs="仿宋"/>
          <w:sz w:val="28"/>
          <w:szCs w:val="28"/>
        </w:rPr>
      </w:pPr>
      <w:r>
        <w:rPr>
          <w:rFonts w:hint="eastAsia" w:cs="仿宋"/>
          <w:sz w:val="28"/>
          <w:szCs w:val="28"/>
        </w:rPr>
        <w:t>项目过程管理满分22.00分，评价综合评分14.99分（占该项满分值的68.14%），具体情况如下：</w:t>
      </w:r>
      <w:bookmarkStart w:id="40" w:name="_Toc502134869"/>
      <w:bookmarkStart w:id="41" w:name="_Toc498009786"/>
    </w:p>
    <w:p w14:paraId="2DD7946D">
      <w:pPr>
        <w:ind w:firstLine="560"/>
        <w:rPr>
          <w:rFonts w:hint="eastAsia" w:cs="仿宋"/>
          <w:sz w:val="28"/>
          <w:szCs w:val="28"/>
        </w:rPr>
      </w:pPr>
      <w:r>
        <w:rPr>
          <w:rFonts w:hint="eastAsia" w:cs="仿宋"/>
          <w:sz w:val="28"/>
          <w:szCs w:val="28"/>
        </w:rPr>
        <w:t>1.2023年项目预算资金</w:t>
      </w:r>
      <w:bookmarkStart w:id="42" w:name="_Hlk174888912"/>
      <w:r>
        <w:rPr>
          <w:rFonts w:hint="eastAsia" w:cs="仿宋"/>
          <w:sz w:val="28"/>
          <w:szCs w:val="28"/>
        </w:rPr>
        <w:t>1,000,000.00</w:t>
      </w:r>
      <w:bookmarkEnd w:id="42"/>
      <w:r>
        <w:rPr>
          <w:rFonts w:hint="eastAsia" w:cs="仿宋"/>
          <w:sz w:val="28"/>
          <w:szCs w:val="28"/>
        </w:rPr>
        <w:t>元，根据项目支出台账，2023年招商引资工作经费实际到位资金</w:t>
      </w:r>
      <w:bookmarkStart w:id="43" w:name="_Hlk143856959"/>
      <w:r>
        <w:rPr>
          <w:rFonts w:hint="eastAsia" w:cs="仿宋"/>
          <w:sz w:val="28"/>
          <w:szCs w:val="28"/>
        </w:rPr>
        <w:t>1,000,000.00</w:t>
      </w:r>
      <w:r>
        <w:rPr>
          <w:rFonts w:cs="仿宋"/>
          <w:sz w:val="28"/>
          <w:szCs w:val="28"/>
        </w:rPr>
        <w:t>元</w:t>
      </w:r>
      <w:bookmarkEnd w:id="43"/>
      <w:r>
        <w:rPr>
          <w:rFonts w:cs="仿宋"/>
          <w:sz w:val="28"/>
          <w:szCs w:val="28"/>
        </w:rPr>
        <w:t>，资金到位率</w:t>
      </w:r>
      <w:r>
        <w:rPr>
          <w:rFonts w:hint="eastAsia" w:cs="仿宋"/>
          <w:sz w:val="28"/>
          <w:szCs w:val="28"/>
        </w:rPr>
        <w:t>100</w:t>
      </w:r>
      <w:r>
        <w:rPr>
          <w:rFonts w:cs="仿宋"/>
          <w:sz w:val="28"/>
          <w:szCs w:val="28"/>
        </w:rPr>
        <w:t>%</w:t>
      </w:r>
      <w:r>
        <w:rPr>
          <w:rFonts w:hint="eastAsia" w:cs="仿宋"/>
          <w:sz w:val="28"/>
          <w:szCs w:val="28"/>
        </w:rPr>
        <w:t>。</w:t>
      </w:r>
    </w:p>
    <w:p w14:paraId="4265EECB">
      <w:pPr>
        <w:ind w:firstLine="560"/>
        <w:rPr>
          <w:rFonts w:hint="eastAsia" w:cs="仿宋"/>
          <w:sz w:val="28"/>
          <w:szCs w:val="28"/>
        </w:rPr>
      </w:pPr>
      <w:r>
        <w:rPr>
          <w:rFonts w:hint="eastAsia" w:cs="仿宋"/>
          <w:sz w:val="28"/>
          <w:szCs w:val="28"/>
        </w:rPr>
        <w:t>2.2023年项目预算收入1,000,000.00</w:t>
      </w:r>
      <w:r>
        <w:rPr>
          <w:rFonts w:cs="仿宋"/>
          <w:sz w:val="28"/>
          <w:szCs w:val="28"/>
        </w:rPr>
        <w:t>元</w:t>
      </w:r>
      <w:r>
        <w:rPr>
          <w:rFonts w:hint="eastAsia" w:cs="仿宋"/>
          <w:sz w:val="28"/>
          <w:szCs w:val="28"/>
        </w:rPr>
        <w:t>，根据项目支出台账，截至2023年12月31日，共计支付相关费用997,576.46元，预算执行率99.76%。</w:t>
      </w:r>
    </w:p>
    <w:p w14:paraId="5B86A960">
      <w:pPr>
        <w:ind w:firstLine="560"/>
        <w:rPr>
          <w:rFonts w:hint="eastAsia" w:cs="仿宋"/>
          <w:sz w:val="28"/>
          <w:szCs w:val="28"/>
        </w:rPr>
      </w:pPr>
      <w:r>
        <w:rPr>
          <w:rFonts w:hint="eastAsia" w:cs="仿宋"/>
          <w:sz w:val="28"/>
          <w:szCs w:val="28"/>
        </w:rPr>
        <w:t>3.项目预算资金使用部分不符合国家财经法规和财务管理制度以及有关专项资金管理办法的规定，部分不符合预算批复的用途，存在超范围使用专项资金、公务采购“三流”不一致等情况。</w:t>
      </w:r>
    </w:p>
    <w:p w14:paraId="581CBA97">
      <w:pPr>
        <w:ind w:firstLine="560"/>
        <w:rPr>
          <w:rFonts w:hint="eastAsia" w:cs="仿宋"/>
          <w:sz w:val="28"/>
          <w:szCs w:val="28"/>
        </w:rPr>
      </w:pPr>
      <w:r>
        <w:rPr>
          <w:rFonts w:hint="eastAsia" w:cs="仿宋"/>
          <w:sz w:val="28"/>
          <w:szCs w:val="28"/>
        </w:rPr>
        <w:t>4.项目财务管理执行《政府会计制度》、《寻甸县投资促进局机关内部管理制度》等有关规定，内控制度基本健全。</w:t>
      </w:r>
    </w:p>
    <w:p w14:paraId="612F1037">
      <w:pPr>
        <w:ind w:firstLine="560"/>
        <w:rPr>
          <w:rFonts w:hint="eastAsia" w:cs="仿宋"/>
          <w:sz w:val="28"/>
          <w:szCs w:val="28"/>
        </w:rPr>
      </w:pPr>
      <w:r>
        <w:rPr>
          <w:rFonts w:hint="eastAsia" w:cs="仿宋"/>
          <w:sz w:val="28"/>
          <w:szCs w:val="28"/>
        </w:rPr>
        <w:t>5.项目在业务管理方面基本执行国家有关法律法规，相关管理制度基本能够得到有效的执行，但抽查发现，存在项目绩效管理不到位、未编制并报批项目实施方案或类似资料等情况。</w:t>
      </w:r>
    </w:p>
    <w:p w14:paraId="658DF441">
      <w:pPr>
        <w:ind w:firstLine="560"/>
        <w:rPr>
          <w:rFonts w:hint="eastAsia" w:ascii="楷体" w:hAnsi="楷体" w:eastAsia="楷体" w:cs="楷体"/>
          <w:sz w:val="28"/>
          <w:szCs w:val="28"/>
        </w:rPr>
      </w:pPr>
      <w:r>
        <w:rPr>
          <w:rFonts w:hint="eastAsia" w:ascii="楷体" w:hAnsi="楷体" w:eastAsia="楷体" w:cs="楷体"/>
          <w:sz w:val="28"/>
          <w:szCs w:val="28"/>
        </w:rPr>
        <w:t>(三)项目产出情况分析</w:t>
      </w:r>
    </w:p>
    <w:p w14:paraId="11E05F7F">
      <w:pPr>
        <w:ind w:firstLine="560"/>
        <w:rPr>
          <w:rFonts w:hint="eastAsia" w:cs="仿宋"/>
          <w:sz w:val="28"/>
          <w:szCs w:val="28"/>
        </w:rPr>
      </w:pPr>
      <w:r>
        <w:rPr>
          <w:rFonts w:hint="eastAsia" w:cs="仿宋"/>
          <w:sz w:val="28"/>
          <w:szCs w:val="28"/>
        </w:rPr>
        <w:t>项目产出满分32.00分，评价综合评分27.60分（占该项满分值的86.25%），具体情况如下：</w:t>
      </w:r>
    </w:p>
    <w:p w14:paraId="1CC931C4">
      <w:pPr>
        <w:ind w:firstLine="560"/>
        <w:rPr>
          <w:rFonts w:hint="eastAsia" w:cs="仿宋"/>
          <w:sz w:val="28"/>
          <w:szCs w:val="28"/>
        </w:rPr>
      </w:pPr>
      <w:r>
        <w:rPr>
          <w:rFonts w:hint="eastAsia" w:cs="仿宋"/>
          <w:sz w:val="28"/>
          <w:szCs w:val="28"/>
        </w:rPr>
        <w:t>1.实际完成率：《昆明市招商引资工作委员会关于下达2023年度招商引资工作目标的通知》下达寻甸县2023年度招商引资目标任务指标:(1)引进省外产业招商到位资金55亿元、(2) 实际利用外资500万美元、(3)引进超10亿元产业项目数1个、(4)新引进世界（中国、民营）500强户数1户、(5)净增外资市场主体目标3户。</w:t>
      </w:r>
    </w:p>
    <w:p w14:paraId="67BC449B">
      <w:pPr>
        <w:ind w:firstLine="560"/>
        <w:rPr>
          <w:rFonts w:hint="eastAsia" w:cs="仿宋"/>
          <w:sz w:val="28"/>
          <w:szCs w:val="28"/>
        </w:rPr>
      </w:pPr>
      <w:r>
        <w:rPr>
          <w:rFonts w:hint="eastAsia" w:cs="仿宋"/>
          <w:sz w:val="28"/>
          <w:szCs w:val="28"/>
        </w:rPr>
        <w:t>根据《2023年1-12月昆明市招商引资工作情况通报》（昆招商委办笺〔2024〕1号）文件，寻甸县实际完成：(1)引进省外产业招商到位资金53.7亿元（完成率97.64%）、 (2)实际利用外资500万美元（完成率100%）、(3)引进超10亿元产业项目数2个（完成率200%）、(4)新引进世界（中国、民营）500强户数1户（未完成）、(5)净增外资市场主体目标6户（完成率200%）。</w:t>
      </w:r>
    </w:p>
    <w:p w14:paraId="38117DEE">
      <w:pPr>
        <w:ind w:firstLine="560"/>
        <w:rPr>
          <w:rFonts w:hint="eastAsia"/>
          <w:sz w:val="28"/>
          <w:szCs w:val="28"/>
        </w:rPr>
      </w:pPr>
      <w:r>
        <w:rPr>
          <w:rFonts w:hint="eastAsia"/>
          <w:sz w:val="28"/>
          <w:szCs w:val="28"/>
        </w:rPr>
        <w:t>2.质量达标率：《中共寻甸回族彝族自治县委办公室寻甸回族彝族自治县人民政府办公室关于2023年度目标管理绩效考核结果的通报》（县委办〔2024〕103号）考核投资促进局为“目标完成良好单位”，考核得分为90.82分，质量达标率为90.82%。</w:t>
      </w:r>
    </w:p>
    <w:p w14:paraId="276010B5">
      <w:pPr>
        <w:ind w:firstLine="560"/>
        <w:rPr>
          <w:rFonts w:hint="eastAsia"/>
          <w:sz w:val="28"/>
          <w:szCs w:val="28"/>
        </w:rPr>
      </w:pPr>
      <w:r>
        <w:rPr>
          <w:rFonts w:hint="eastAsia"/>
          <w:sz w:val="28"/>
          <w:szCs w:val="28"/>
        </w:rPr>
        <w:t>3.完成及时性：投资促进局2023年度目标任务中有两项任务未及时完成，完成及时率为(1)引进省外产业招商到位资金53.7亿元（完成及时率97.64%）、 (2)实际利用外资500万美元（完成及时率100%）、(3)引进超10亿元产业项目数2个（完成及时率100%）、(4)新引进世界（中国、民营）500强户数1户（完成及时率0）、(5)净增外资市场主体目标6户（完成及时率100%）。</w:t>
      </w:r>
    </w:p>
    <w:p w14:paraId="2EF8DB2D">
      <w:pPr>
        <w:ind w:firstLine="560"/>
        <w:rPr>
          <w:rFonts w:hint="eastAsia"/>
          <w:sz w:val="28"/>
          <w:szCs w:val="28"/>
        </w:rPr>
      </w:pPr>
      <w:r>
        <w:rPr>
          <w:rFonts w:hint="eastAsia"/>
          <w:sz w:val="28"/>
          <w:szCs w:val="28"/>
        </w:rPr>
        <w:t>4.成本节约率：投资促进局2023年度招商引资工作经费项目支出总预算为1,000,000.00元，截至2023年12月31日支出项目资金997,576.46元，成本节约率为0.24%。</w:t>
      </w:r>
    </w:p>
    <w:p w14:paraId="3CA0D45D">
      <w:pPr>
        <w:ind w:firstLine="560"/>
        <w:rPr>
          <w:rFonts w:hint="eastAsia" w:ascii="楷体" w:hAnsi="楷体" w:eastAsia="楷体" w:cs="楷体"/>
          <w:sz w:val="28"/>
          <w:szCs w:val="28"/>
        </w:rPr>
      </w:pPr>
      <w:r>
        <w:rPr>
          <w:rFonts w:hint="eastAsia" w:ascii="楷体" w:hAnsi="楷体" w:eastAsia="楷体" w:cs="楷体"/>
          <w:sz w:val="28"/>
          <w:szCs w:val="28"/>
        </w:rPr>
        <w:t>(四)项目绩效情况分析</w:t>
      </w:r>
      <w:bookmarkEnd w:id="40"/>
      <w:bookmarkEnd w:id="41"/>
      <w:bookmarkStart w:id="44" w:name="_Toc498009787"/>
      <w:bookmarkStart w:id="45" w:name="_Toc502134870"/>
    </w:p>
    <w:p w14:paraId="00FFB667">
      <w:pPr>
        <w:ind w:firstLine="560"/>
        <w:rPr>
          <w:rFonts w:hint="eastAsia" w:cs="仿宋"/>
          <w:sz w:val="28"/>
          <w:szCs w:val="28"/>
        </w:rPr>
      </w:pPr>
      <w:r>
        <w:rPr>
          <w:rFonts w:hint="eastAsia" w:cs="仿宋"/>
          <w:sz w:val="28"/>
          <w:szCs w:val="28"/>
        </w:rPr>
        <w:t>项目绩效指标满分30.00分，评价综合评分2</w:t>
      </w:r>
      <w:r>
        <w:rPr>
          <w:rFonts w:cs="仿宋"/>
          <w:sz w:val="28"/>
          <w:szCs w:val="28"/>
        </w:rPr>
        <w:t>7.</w:t>
      </w:r>
      <w:r>
        <w:rPr>
          <w:rFonts w:hint="eastAsia" w:cs="仿宋"/>
          <w:sz w:val="28"/>
          <w:szCs w:val="28"/>
        </w:rPr>
        <w:t>9</w:t>
      </w:r>
      <w:r>
        <w:rPr>
          <w:rFonts w:cs="仿宋"/>
          <w:sz w:val="28"/>
          <w:szCs w:val="28"/>
        </w:rPr>
        <w:t>1</w:t>
      </w:r>
      <w:r>
        <w:rPr>
          <w:rFonts w:hint="eastAsia" w:cs="仿宋"/>
          <w:sz w:val="28"/>
          <w:szCs w:val="28"/>
        </w:rPr>
        <w:t>分（占该项满分值的</w:t>
      </w:r>
      <w:r>
        <w:rPr>
          <w:rFonts w:cs="仿宋"/>
          <w:sz w:val="28"/>
          <w:szCs w:val="28"/>
        </w:rPr>
        <w:t>9</w:t>
      </w:r>
      <w:r>
        <w:rPr>
          <w:rFonts w:hint="eastAsia" w:cs="仿宋"/>
          <w:sz w:val="28"/>
          <w:szCs w:val="28"/>
        </w:rPr>
        <w:t>3</w:t>
      </w:r>
      <w:r>
        <w:rPr>
          <w:rFonts w:cs="仿宋"/>
          <w:sz w:val="28"/>
          <w:szCs w:val="28"/>
        </w:rPr>
        <w:t>.</w:t>
      </w:r>
      <w:r>
        <w:rPr>
          <w:rFonts w:hint="eastAsia" w:cs="仿宋"/>
          <w:sz w:val="28"/>
          <w:szCs w:val="28"/>
        </w:rPr>
        <w:t>03%），具体情况如下：</w:t>
      </w:r>
    </w:p>
    <w:bookmarkEnd w:id="44"/>
    <w:bookmarkEnd w:id="45"/>
    <w:p w14:paraId="63735987">
      <w:pPr>
        <w:ind w:firstLine="560"/>
        <w:rPr>
          <w:rFonts w:hint="eastAsia"/>
          <w:sz w:val="28"/>
          <w:szCs w:val="28"/>
        </w:rPr>
      </w:pPr>
      <w:bookmarkStart w:id="46" w:name="_Toc498009788"/>
      <w:bookmarkStart w:id="47" w:name="_Toc502134871"/>
      <w:r>
        <w:rPr>
          <w:rFonts w:hint="eastAsia"/>
          <w:sz w:val="28"/>
          <w:szCs w:val="28"/>
        </w:rPr>
        <w:t>1.经济效益</w:t>
      </w:r>
    </w:p>
    <w:p w14:paraId="5A201D63">
      <w:pPr>
        <w:ind w:firstLine="560"/>
        <w:rPr>
          <w:rFonts w:hint="eastAsia"/>
          <w:sz w:val="28"/>
          <w:szCs w:val="28"/>
        </w:rPr>
      </w:pPr>
      <w:bookmarkStart w:id="48" w:name="_Hlk177222112"/>
      <w:r>
        <w:rPr>
          <w:rFonts w:hint="eastAsia"/>
          <w:sz w:val="28"/>
          <w:szCs w:val="28"/>
        </w:rPr>
        <w:t>(1)</w:t>
      </w:r>
      <w:bookmarkEnd w:id="48"/>
      <w:r>
        <w:rPr>
          <w:rFonts w:hint="eastAsia"/>
          <w:sz w:val="28"/>
          <w:szCs w:val="28"/>
        </w:rPr>
        <w:t>招商引资项目落地率：2023年投资促进局招商引资新签约项目任务为50个以上，根据昆明市招商引资工作委员会办公室考核的《2023年1-12月昆明市招商引资工作情况通报》（昆招商委办笺〔2024〕1号），投资促进局2023年共完成新签约项目99个，招商引资项目落地率为100%。</w:t>
      </w:r>
    </w:p>
    <w:p w14:paraId="28623FAA">
      <w:pPr>
        <w:ind w:firstLine="560"/>
        <w:rPr>
          <w:rFonts w:hint="eastAsia"/>
          <w:sz w:val="28"/>
          <w:szCs w:val="28"/>
        </w:rPr>
      </w:pPr>
      <w:r>
        <w:rPr>
          <w:rFonts w:hint="eastAsia"/>
          <w:sz w:val="28"/>
          <w:szCs w:val="28"/>
        </w:rPr>
        <w:t>(2)引进省外产业资金到位率：根据昆明市招商引资工作委员会办公室考核的《2023年1-12月昆明市招商引资工作情况通报》（昆招商委办笺〔2024〕1号），</w:t>
      </w:r>
      <w:r>
        <w:rPr>
          <w:rFonts w:hint="eastAsia"/>
          <w:sz w:val="28"/>
          <w:szCs w:val="28"/>
          <w:lang w:eastAsia="zh-CN"/>
        </w:rPr>
        <w:t>截至</w:t>
      </w:r>
      <w:r>
        <w:rPr>
          <w:rFonts w:hint="eastAsia"/>
          <w:sz w:val="28"/>
          <w:szCs w:val="28"/>
        </w:rPr>
        <w:t>2023年12月31日，引进省外产业资金到位率为69.92%。</w:t>
      </w:r>
    </w:p>
    <w:p w14:paraId="686AF0B7">
      <w:pPr>
        <w:ind w:firstLine="560"/>
        <w:rPr>
          <w:rFonts w:hint="eastAsia"/>
          <w:sz w:val="28"/>
          <w:szCs w:val="28"/>
        </w:rPr>
      </w:pPr>
      <w:r>
        <w:rPr>
          <w:rFonts w:hint="eastAsia"/>
          <w:sz w:val="28"/>
          <w:szCs w:val="28"/>
        </w:rPr>
        <w:t>(3)引进项目资金对县域经济发展的促进作用：发放《寻甸县投资促进局2023年度招商引资工作经费项目支出绩效评价满意度调查问卷》共30份，收回30份，有效问卷30份并对其汇总。其中10人认为投资促进局引进项目资金对县域经济发展的促进作用非常明显、13人认为效果比较明显、7人认为效果一般，综合计算其效果为82%。</w:t>
      </w:r>
    </w:p>
    <w:p w14:paraId="044B7675">
      <w:pPr>
        <w:ind w:firstLine="560"/>
        <w:rPr>
          <w:rFonts w:hint="eastAsia"/>
          <w:sz w:val="28"/>
          <w:szCs w:val="28"/>
        </w:rPr>
      </w:pPr>
      <w:r>
        <w:rPr>
          <w:rFonts w:hint="eastAsia"/>
          <w:sz w:val="28"/>
          <w:szCs w:val="28"/>
        </w:rPr>
        <w:t>(4)上年度引进重大产业项目建成投产率：投资促进局对全县2023年以来的招商引资签约项目进行动态跟踪管理，协同全县相关部门做好项目推进的服务保障工作，根据昆明市招商引资工作委员会办公室考核的《2023年1-12月昆明市招商引资工作情况通报》（昆招商委办笺〔2024〕1号），</w:t>
      </w:r>
      <w:r>
        <w:rPr>
          <w:rFonts w:hint="eastAsia"/>
          <w:sz w:val="28"/>
          <w:szCs w:val="28"/>
          <w:lang w:eastAsia="zh-CN"/>
        </w:rPr>
        <w:t>截至</w:t>
      </w:r>
      <w:r>
        <w:rPr>
          <w:rFonts w:hint="eastAsia"/>
          <w:sz w:val="28"/>
          <w:szCs w:val="28"/>
        </w:rPr>
        <w:t>2023年12月31日，投资促进局上年度引进重大产业项目建成投产率为64.71%。</w:t>
      </w:r>
    </w:p>
    <w:p w14:paraId="1383CA62">
      <w:pPr>
        <w:ind w:firstLine="560"/>
        <w:rPr>
          <w:rFonts w:hint="eastAsia"/>
          <w:sz w:val="28"/>
          <w:szCs w:val="28"/>
        </w:rPr>
      </w:pPr>
      <w:r>
        <w:rPr>
          <w:rFonts w:hint="eastAsia"/>
          <w:sz w:val="28"/>
          <w:szCs w:val="28"/>
        </w:rPr>
        <w:t>2.社会效益</w:t>
      </w:r>
    </w:p>
    <w:p w14:paraId="3498D73B">
      <w:pPr>
        <w:ind w:firstLine="560"/>
        <w:rPr>
          <w:rFonts w:hint="eastAsia"/>
          <w:sz w:val="28"/>
          <w:szCs w:val="28"/>
        </w:rPr>
      </w:pPr>
      <w:r>
        <w:rPr>
          <w:rFonts w:hint="eastAsia"/>
          <w:sz w:val="28"/>
          <w:szCs w:val="28"/>
        </w:rPr>
        <w:t>(1)招商引资企业重大投诉和问题投诉办结及时率：县投资促进局2023年未收到相关投诉，也无公开媒体报道，招商引资企业重大投诉和问题投诉办结及时率为100%。</w:t>
      </w:r>
    </w:p>
    <w:p w14:paraId="1FD9FF1E">
      <w:pPr>
        <w:ind w:firstLine="560"/>
        <w:rPr>
          <w:rFonts w:hint="eastAsia"/>
          <w:sz w:val="28"/>
          <w:szCs w:val="28"/>
        </w:rPr>
      </w:pPr>
      <w:r>
        <w:rPr>
          <w:rFonts w:hint="eastAsia"/>
          <w:sz w:val="28"/>
          <w:szCs w:val="28"/>
        </w:rPr>
        <w:t>(2)寻甸推介宣传覆盖率：投资促进局按产业园区4个片区分门别类制作《招商宣传册》，扩大宣传影响力。积极参加治谈会、交易会，推介会，召开招商推介会3次，积极宣传推介我县资源优势和招商引资优惠政策。牵头在昆明长水国际机场组织开展寻旬城市品牌宣传工作，展示寻甸独特的文化魅力和影响力，提升寻甸城市的文化品牌形象，提高项目和资金的吸引力，吸纳更多的潜在投资者。寻甸推介宣传覆盖率为100%。</w:t>
      </w:r>
    </w:p>
    <w:p w14:paraId="0437FB39">
      <w:pPr>
        <w:ind w:firstLine="560"/>
        <w:rPr>
          <w:rFonts w:hint="eastAsia"/>
          <w:sz w:val="28"/>
          <w:szCs w:val="28"/>
        </w:rPr>
      </w:pPr>
      <w:r>
        <w:rPr>
          <w:rFonts w:hint="eastAsia"/>
          <w:sz w:val="28"/>
          <w:szCs w:val="28"/>
        </w:rPr>
        <w:t>(3)创造良好营商环境、为寻甸县企业、项目储备提供坚实基础：发放《寻甸县投资促进局2023年度招商引资工作经费项目支出绩效评价满意度调查问卷》共30份，收回30份，有效问卷30份并对其汇总。其中15人认为投资促进局创造了良好的营商环境、为寻甸县企业、项目储备提供坚实基础非常显著，12人认为效果比较显著，3人认为效果一般，平均比例为88%。</w:t>
      </w:r>
    </w:p>
    <w:p w14:paraId="484B6D6D">
      <w:pPr>
        <w:ind w:firstLine="560"/>
        <w:rPr>
          <w:rFonts w:hint="eastAsia"/>
          <w:sz w:val="28"/>
          <w:szCs w:val="28"/>
        </w:rPr>
      </w:pPr>
      <w:r>
        <w:rPr>
          <w:rFonts w:hint="eastAsia"/>
          <w:sz w:val="28"/>
          <w:szCs w:val="28"/>
        </w:rPr>
        <w:t>(4)落地项目后续支持、管养率：持续做好已签约和落地项目的跟踪服务工作，对全县2023年以来的招商引资签约项目进行动态跟踪管理，协同全县相关部门做好项目推进的服务保障工作，确保项目个个有跟踪、个个有服务、个个有成效。落地项目后续支持、管养率100%。</w:t>
      </w:r>
    </w:p>
    <w:p w14:paraId="58508D72">
      <w:pPr>
        <w:ind w:firstLine="560"/>
        <w:rPr>
          <w:rFonts w:hint="eastAsia"/>
          <w:sz w:val="28"/>
          <w:szCs w:val="28"/>
        </w:rPr>
      </w:pPr>
      <w:r>
        <w:rPr>
          <w:rFonts w:hint="eastAsia"/>
          <w:sz w:val="28"/>
          <w:szCs w:val="28"/>
        </w:rPr>
        <w:t>(5)赴省外招商引资方案采纳率：2023年县投资促进局共起草18份招商引资工作方案初稿，后将初稿报送县人民政府办公室或县委办公室审核，最终根据确定的实施方案开展省外招商引资工作，2023年度投资促进局报送的18份实施方案均被采纳。赴省外招商引资方案采纳率100%。</w:t>
      </w:r>
    </w:p>
    <w:p w14:paraId="6A7C602F">
      <w:pPr>
        <w:ind w:firstLine="560"/>
        <w:rPr>
          <w:rFonts w:hint="eastAsia"/>
          <w:sz w:val="28"/>
          <w:szCs w:val="28"/>
        </w:rPr>
      </w:pPr>
      <w:r>
        <w:rPr>
          <w:rFonts w:hint="eastAsia"/>
          <w:sz w:val="28"/>
          <w:szCs w:val="28"/>
        </w:rPr>
        <w:t>3.满意度</w:t>
      </w:r>
    </w:p>
    <w:p w14:paraId="6D052CE3">
      <w:pPr>
        <w:ind w:firstLine="560"/>
        <w:rPr>
          <w:rFonts w:hint="eastAsia"/>
          <w:sz w:val="28"/>
          <w:szCs w:val="28"/>
        </w:rPr>
      </w:pPr>
      <w:r>
        <w:rPr>
          <w:rFonts w:hint="eastAsia"/>
          <w:sz w:val="28"/>
          <w:szCs w:val="28"/>
        </w:rPr>
        <w:t>根据回收的30份调查问卷统计，“招商引资工作经费”项目实施区的群众对该项目的反馈情况比较好，认为项目实施后对可持续发挥效益方面较为满意，促进了县域的经济发展，寻甸回族彝族自治县投资促进局作为政府工作部门，严格履行部门职责。做好招商引资工作，创建良好营商环境、为寻甸县企业、项目储备提供坚实基础，使得寻甸的经济得到可持续发展。寻甸县投资促进局2023年度招商引资工作经费项目支出绩效情况评价满意度为85.62%。</w:t>
      </w:r>
    </w:p>
    <w:p w14:paraId="6A13FA81">
      <w:pPr>
        <w:ind w:firstLine="560"/>
        <w:rPr>
          <w:rFonts w:hint="eastAsia" w:ascii="黑体" w:hAnsi="黑体" w:eastAsia="黑体" w:cs="黑体"/>
          <w:sz w:val="28"/>
          <w:szCs w:val="28"/>
        </w:rPr>
      </w:pPr>
      <w:r>
        <w:rPr>
          <w:rFonts w:hint="eastAsia" w:ascii="黑体" w:hAnsi="黑体" w:eastAsia="黑体" w:cs="黑体"/>
          <w:sz w:val="28"/>
          <w:szCs w:val="28"/>
        </w:rPr>
        <w:t>六、主要经验及做法</w:t>
      </w:r>
      <w:bookmarkEnd w:id="46"/>
      <w:bookmarkEnd w:id="47"/>
      <w:bookmarkStart w:id="49" w:name="_Toc502134872"/>
      <w:bookmarkStart w:id="50" w:name="_Toc498009789"/>
    </w:p>
    <w:p w14:paraId="7ECD7ABD">
      <w:pPr>
        <w:ind w:firstLine="560"/>
        <w:rPr>
          <w:rFonts w:hint="eastAsia" w:cs="仿宋"/>
          <w:sz w:val="28"/>
          <w:szCs w:val="28"/>
        </w:rPr>
      </w:pPr>
      <w:r>
        <w:rPr>
          <w:rFonts w:hint="eastAsia" w:cs="仿宋"/>
          <w:sz w:val="28"/>
          <w:szCs w:val="28"/>
        </w:rPr>
        <w:t>1.遴聘“招商特使”开展以商招商，通过特使推介寻甸资源优势、投资环境、优惠政策、重点产业和发展规划等。</w:t>
      </w:r>
    </w:p>
    <w:p w14:paraId="5BDF4DF6">
      <w:pPr>
        <w:ind w:firstLine="560"/>
        <w:rPr>
          <w:rFonts w:hint="eastAsia" w:cs="仿宋"/>
          <w:sz w:val="28"/>
          <w:szCs w:val="28"/>
        </w:rPr>
      </w:pPr>
      <w:r>
        <w:rPr>
          <w:rFonts w:hint="eastAsia" w:cs="仿宋"/>
          <w:sz w:val="28"/>
          <w:szCs w:val="28"/>
        </w:rPr>
        <w:t>2.项目落地、实施过程中均积极参与项目监管及把控，进行动态跟踪管理，及时掌握项目进展，纠偏扬长。</w:t>
      </w:r>
    </w:p>
    <w:p w14:paraId="4695E51D">
      <w:pPr>
        <w:ind w:firstLine="560"/>
        <w:rPr>
          <w:rFonts w:hint="eastAsia" w:cs="仿宋"/>
          <w:sz w:val="28"/>
          <w:szCs w:val="28"/>
        </w:rPr>
      </w:pPr>
      <w:r>
        <w:rPr>
          <w:rFonts w:hint="eastAsia" w:cs="仿宋"/>
          <w:sz w:val="28"/>
          <w:szCs w:val="28"/>
        </w:rPr>
        <w:t>3.在年度部门整体支出和项目执行过程中，运用结果及时掌控项目的进展和资金使用情况，有效预防及纠正偏离预算绩效目标的行为，保证支出执行率与预算指标相匹配。</w:t>
      </w:r>
    </w:p>
    <w:p w14:paraId="20BECA0F">
      <w:pPr>
        <w:ind w:firstLine="560"/>
        <w:rPr>
          <w:rFonts w:hint="eastAsia" w:ascii="黑体" w:hAnsi="黑体" w:eastAsia="黑体" w:cs="黑体"/>
          <w:sz w:val="28"/>
          <w:szCs w:val="28"/>
        </w:rPr>
      </w:pPr>
      <w:r>
        <w:rPr>
          <w:rFonts w:hint="eastAsia" w:ascii="黑体" w:hAnsi="黑体" w:eastAsia="黑体" w:cs="黑体"/>
          <w:sz w:val="28"/>
          <w:szCs w:val="28"/>
        </w:rPr>
        <w:t>七、存在的主要问题</w:t>
      </w:r>
      <w:bookmarkEnd w:id="49"/>
      <w:bookmarkEnd w:id="50"/>
    </w:p>
    <w:p w14:paraId="67772AFC">
      <w:pPr>
        <w:ind w:firstLine="560"/>
        <w:rPr>
          <w:rFonts w:hint="eastAsia" w:ascii="楷体" w:hAnsi="楷体" w:eastAsia="楷体" w:cs="楷体"/>
          <w:bCs/>
          <w:sz w:val="28"/>
          <w:szCs w:val="28"/>
        </w:rPr>
      </w:pPr>
      <w:bookmarkStart w:id="51" w:name="_Toc500364179"/>
      <w:bookmarkStart w:id="52" w:name="_Toc500202563"/>
      <w:bookmarkStart w:id="53" w:name="_Toc500849310"/>
      <w:bookmarkStart w:id="54" w:name="_Toc500589022"/>
      <w:bookmarkStart w:id="55" w:name="_Toc502134873"/>
      <w:bookmarkStart w:id="56" w:name="_Toc500440025"/>
      <w:r>
        <w:rPr>
          <w:rFonts w:hint="eastAsia" w:ascii="楷体" w:hAnsi="楷体" w:eastAsia="楷体" w:cs="楷体"/>
          <w:bCs/>
          <w:sz w:val="28"/>
          <w:szCs w:val="28"/>
        </w:rPr>
        <w:t>(一)</w:t>
      </w:r>
      <w:bookmarkStart w:id="57" w:name="_Hlk143876546"/>
      <w:r>
        <w:rPr>
          <w:rFonts w:hint="eastAsia" w:ascii="楷体" w:hAnsi="楷体" w:eastAsia="楷体" w:cs="楷体"/>
          <w:bCs/>
          <w:sz w:val="28"/>
          <w:szCs w:val="28"/>
        </w:rPr>
        <w:t>项目绩效管理不到位</w:t>
      </w:r>
    </w:p>
    <w:p w14:paraId="2A7FBAEF">
      <w:pPr>
        <w:ind w:firstLine="560"/>
        <w:rPr>
          <w:rFonts w:hint="eastAsia" w:cs="楷体"/>
          <w:bCs/>
          <w:sz w:val="28"/>
          <w:szCs w:val="28"/>
        </w:rPr>
      </w:pPr>
      <w:r>
        <w:rPr>
          <w:rFonts w:hint="eastAsia" w:cs="楷体"/>
          <w:bCs/>
          <w:sz w:val="28"/>
          <w:szCs w:val="28"/>
        </w:rPr>
        <w:t>1.绩效目标管理履职不到位</w:t>
      </w:r>
    </w:p>
    <w:p w14:paraId="01332703">
      <w:pPr>
        <w:ind w:firstLine="560"/>
        <w:rPr>
          <w:rFonts w:hint="eastAsia" w:cs="楷体"/>
          <w:bCs/>
          <w:sz w:val="28"/>
          <w:szCs w:val="28"/>
        </w:rPr>
      </w:pPr>
      <w:r>
        <w:rPr>
          <w:rFonts w:hint="eastAsia" w:cs="楷体"/>
          <w:bCs/>
          <w:sz w:val="28"/>
          <w:szCs w:val="28"/>
        </w:rPr>
        <w:t>2023年投资促进局根据资金安排，填报了</w:t>
      </w:r>
      <w:bookmarkStart w:id="58" w:name="_Hlk174891143"/>
      <w:r>
        <w:rPr>
          <w:rFonts w:hint="eastAsia" w:cs="楷体"/>
          <w:bCs/>
          <w:sz w:val="28"/>
          <w:szCs w:val="28"/>
        </w:rPr>
        <w:t>《项目绩效目标申报表》</w:t>
      </w:r>
      <w:bookmarkEnd w:id="58"/>
      <w:r>
        <w:rPr>
          <w:rFonts w:hint="eastAsia" w:cs="楷体"/>
          <w:bCs/>
          <w:sz w:val="28"/>
          <w:szCs w:val="28"/>
        </w:rPr>
        <w:t>并设定5个二级指标10个三级指标。据《项目绩效目标申报表》分析，存在以下问题：</w:t>
      </w:r>
    </w:p>
    <w:p w14:paraId="217600D5">
      <w:pPr>
        <w:ind w:firstLine="560"/>
        <w:rPr>
          <w:rFonts w:hint="eastAsia" w:cs="楷体"/>
          <w:bCs/>
          <w:sz w:val="28"/>
          <w:szCs w:val="28"/>
        </w:rPr>
      </w:pPr>
      <w:r>
        <w:rPr>
          <w:rFonts w:hint="eastAsia" w:cs="楷体"/>
          <w:bCs/>
          <w:sz w:val="28"/>
          <w:szCs w:val="28"/>
        </w:rPr>
        <w:t>(1)设定的绩效目标不规范完整，不准确详实，如：产出指标未设定产出时效指标。</w:t>
      </w:r>
    </w:p>
    <w:p w14:paraId="470ABDBA">
      <w:pPr>
        <w:ind w:firstLine="560"/>
        <w:rPr>
          <w:rFonts w:hint="eastAsia" w:cs="楷体"/>
          <w:bCs/>
          <w:sz w:val="28"/>
          <w:szCs w:val="28"/>
        </w:rPr>
      </w:pPr>
      <w:r>
        <w:rPr>
          <w:rFonts w:hint="eastAsia" w:cs="楷体"/>
          <w:bCs/>
          <w:sz w:val="28"/>
          <w:szCs w:val="28"/>
        </w:rPr>
        <w:t>(2)设定的绩效目标不明确清晰，主要体现为：</w:t>
      </w:r>
    </w:p>
    <w:p w14:paraId="021D53F4">
      <w:pPr>
        <w:ind w:firstLine="560"/>
        <w:rPr>
          <w:rFonts w:hint="eastAsia" w:cs="楷体"/>
          <w:bCs/>
          <w:sz w:val="28"/>
          <w:szCs w:val="28"/>
        </w:rPr>
      </w:pPr>
      <w:r>
        <w:rPr>
          <w:rFonts w:hint="eastAsia" w:cs="楷体"/>
          <w:bCs/>
          <w:sz w:val="28"/>
          <w:szCs w:val="28"/>
        </w:rPr>
        <w:t>①内容不具体，层次不分明，表述不准确，如：设定社会效益指标“项目实施后项目区群众生产、生活条件较以前有较大改善≥3年”。</w:t>
      </w:r>
    </w:p>
    <w:p w14:paraId="3A2A60C7">
      <w:pPr>
        <w:ind w:firstLine="560"/>
        <w:rPr>
          <w:rFonts w:hint="eastAsia" w:cs="楷体"/>
          <w:bCs/>
          <w:sz w:val="28"/>
          <w:szCs w:val="28"/>
        </w:rPr>
      </w:pPr>
      <w:r>
        <w:rPr>
          <w:rFonts w:hint="eastAsia" w:cs="楷体"/>
          <w:bCs/>
          <w:sz w:val="28"/>
          <w:szCs w:val="28"/>
        </w:rPr>
        <w:t>②绩效目标不清晰，未能反映年度目标任务的主要内容，未对项目预期产出和效果进行充分、恰当的描述，如：未按年度目标工作任务明细设定经济效益指标。</w:t>
      </w:r>
    </w:p>
    <w:p w14:paraId="06CF816C">
      <w:pPr>
        <w:ind w:firstLine="560"/>
        <w:rPr>
          <w:rFonts w:hint="eastAsia" w:cs="楷体"/>
          <w:bCs/>
          <w:sz w:val="28"/>
          <w:szCs w:val="28"/>
        </w:rPr>
      </w:pPr>
      <w:r>
        <w:rPr>
          <w:rFonts w:hint="eastAsia" w:cs="楷体"/>
          <w:bCs/>
          <w:sz w:val="28"/>
          <w:szCs w:val="28"/>
        </w:rPr>
        <w:t>(3)设定的绩效指标不科学，主要体现为：</w:t>
      </w:r>
    </w:p>
    <w:p w14:paraId="61A4CF85">
      <w:pPr>
        <w:ind w:firstLine="560"/>
        <w:rPr>
          <w:rFonts w:hint="eastAsia" w:cs="楷体"/>
          <w:bCs/>
          <w:sz w:val="28"/>
          <w:szCs w:val="28"/>
        </w:rPr>
      </w:pPr>
      <w:r>
        <w:rPr>
          <w:rFonts w:hint="eastAsia" w:cs="楷体"/>
          <w:bCs/>
          <w:sz w:val="28"/>
          <w:szCs w:val="28"/>
        </w:rPr>
        <w:t>①设定的绩效指标不全面、充分，未选取最能体现总体目标实现程度的关键指标并明确具体指标值，如：未就项目实施对地方经济、社会、生态等方面设定全面、充分的社会效益指标。</w:t>
      </w:r>
    </w:p>
    <w:p w14:paraId="18F75600">
      <w:pPr>
        <w:ind w:firstLine="560"/>
        <w:rPr>
          <w:rFonts w:hint="eastAsia" w:cs="楷体"/>
          <w:bCs/>
          <w:sz w:val="28"/>
          <w:szCs w:val="28"/>
        </w:rPr>
      </w:pPr>
      <w:r>
        <w:rPr>
          <w:rFonts w:hint="eastAsia" w:cs="楷体"/>
          <w:bCs/>
          <w:sz w:val="28"/>
          <w:szCs w:val="28"/>
        </w:rPr>
        <w:t>②设定的绩效指标未细化、量化绩效总目标。</w:t>
      </w:r>
    </w:p>
    <w:p w14:paraId="63AAECA4">
      <w:pPr>
        <w:ind w:firstLine="560"/>
        <w:rPr>
          <w:rFonts w:hint="eastAsia" w:cs="楷体"/>
          <w:bCs/>
          <w:sz w:val="28"/>
          <w:szCs w:val="28"/>
        </w:rPr>
      </w:pPr>
      <w:r>
        <w:rPr>
          <w:rFonts w:hint="eastAsia" w:cs="楷体"/>
          <w:bCs/>
          <w:sz w:val="28"/>
          <w:szCs w:val="28"/>
        </w:rPr>
        <w:t>2.预算绩效自评工作履行不到位</w:t>
      </w:r>
    </w:p>
    <w:p w14:paraId="2F453F56">
      <w:pPr>
        <w:ind w:firstLine="560"/>
        <w:rPr>
          <w:rFonts w:hint="eastAsia" w:cs="楷体"/>
          <w:bCs/>
          <w:sz w:val="28"/>
          <w:szCs w:val="28"/>
        </w:rPr>
      </w:pPr>
      <w:r>
        <w:rPr>
          <w:rFonts w:hint="eastAsia" w:cs="楷体"/>
          <w:bCs/>
          <w:sz w:val="28"/>
          <w:szCs w:val="28"/>
        </w:rPr>
        <w:t>投资促进局虽然对2023年度部门整体支出实施了绩效自评并形成《寻甸回族彝族自治县投资促进局2023年部门整体支出绩效自评报告》，但未对项目支出实施绩效自评并编制绩效自评报告。</w:t>
      </w:r>
    </w:p>
    <w:p w14:paraId="0D501FC7">
      <w:pPr>
        <w:ind w:firstLine="560"/>
        <w:rPr>
          <w:rFonts w:hint="eastAsia" w:cs="楷体"/>
          <w:bCs/>
          <w:sz w:val="28"/>
          <w:szCs w:val="28"/>
        </w:rPr>
      </w:pPr>
      <w:r>
        <w:rPr>
          <w:rFonts w:hint="eastAsia" w:cs="楷体"/>
          <w:bCs/>
          <w:sz w:val="28"/>
          <w:szCs w:val="28"/>
        </w:rPr>
        <w:t>上述预算绩效管理不到位的情况，不符合《中华人民共和国预算法》第三十二条“……各部门、各单位应当按照……以及绩效目标管理等预算编制规定，……编制本部门、本单位预算草案。”、《中共中央、国务院关于全面实施预算绩效管理的意见》（中发〔2018〕34号）第四条第（七）项“强化绩效目标管理。各地区各部门编制预算时要……全面设置部门和单位整体绩效目标、政策及项目绩效目标。绩效目标不仅要包括产出、成本，还要包括经济效益、社会效益、生态效益、可持续影响和服务对象满意度等绩效指标。……。”和《项目支出绩效评价管理办法》（财预〔2020〕10号）第二十条“各部门负责制定本部门绩效评价办法，组织部门本级和所属单位开展自评工作，汇总自评结果，加强自评结果审核和应用；……。”的规定。</w:t>
      </w:r>
    </w:p>
    <w:p w14:paraId="3B1A23F0">
      <w:pPr>
        <w:ind w:firstLine="560"/>
        <w:rPr>
          <w:rFonts w:hint="eastAsia" w:ascii="楷体" w:hAnsi="楷体" w:eastAsia="楷体"/>
          <w:sz w:val="28"/>
          <w:szCs w:val="28"/>
        </w:rPr>
      </w:pPr>
      <w:r>
        <w:rPr>
          <w:rFonts w:hint="eastAsia" w:ascii="楷体" w:hAnsi="楷体" w:eastAsia="楷体"/>
          <w:sz w:val="28"/>
          <w:szCs w:val="28"/>
        </w:rPr>
        <w:t>(二)超范围使用招商引资工作经费</w:t>
      </w:r>
      <w:r>
        <w:rPr>
          <w:rFonts w:ascii="楷体" w:hAnsi="楷体" w:eastAsia="楷体"/>
          <w:sz w:val="28"/>
          <w:szCs w:val="28"/>
        </w:rPr>
        <w:t>258,115.16</w:t>
      </w:r>
      <w:r>
        <w:rPr>
          <w:rFonts w:hint="eastAsia" w:ascii="楷体" w:hAnsi="楷体" w:eastAsia="楷体"/>
          <w:sz w:val="28"/>
          <w:szCs w:val="28"/>
        </w:rPr>
        <w:t>元</w:t>
      </w:r>
    </w:p>
    <w:p w14:paraId="74E1733B">
      <w:pPr>
        <w:ind w:firstLine="560"/>
        <w:rPr>
          <w:rFonts w:hint="eastAsia" w:cs="楷体"/>
          <w:bCs/>
          <w:sz w:val="28"/>
          <w:szCs w:val="28"/>
        </w:rPr>
      </w:pPr>
      <w:r>
        <w:rPr>
          <w:rFonts w:hint="eastAsia" w:cs="楷体"/>
          <w:bCs/>
          <w:sz w:val="28"/>
          <w:szCs w:val="28"/>
        </w:rPr>
        <w:t>检查发现，投资促进局存在超范围使用招商引资工作经费的情况，具体情况如下：</w:t>
      </w:r>
    </w:p>
    <w:tbl>
      <w:tblPr>
        <w:tblStyle w:val="7"/>
        <w:tblW w:w="8217" w:type="dxa"/>
        <w:tblInd w:w="113" w:type="dxa"/>
        <w:tblLayout w:type="autofit"/>
        <w:tblCellMar>
          <w:top w:w="0" w:type="dxa"/>
          <w:left w:w="108" w:type="dxa"/>
          <w:bottom w:w="0" w:type="dxa"/>
          <w:right w:w="108" w:type="dxa"/>
        </w:tblCellMar>
      </w:tblPr>
      <w:tblGrid>
        <w:gridCol w:w="960"/>
        <w:gridCol w:w="5272"/>
        <w:gridCol w:w="1985"/>
      </w:tblGrid>
      <w:tr w14:paraId="5060ED93">
        <w:tblPrEx>
          <w:tblCellMar>
            <w:top w:w="0" w:type="dxa"/>
            <w:left w:w="108" w:type="dxa"/>
            <w:bottom w:w="0" w:type="dxa"/>
            <w:right w:w="108" w:type="dxa"/>
          </w:tblCellMar>
        </w:tblPrEx>
        <w:trPr>
          <w:trHeight w:val="280" w:hRule="atLeast"/>
        </w:trPr>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9931F6">
            <w:pPr>
              <w:widowControl/>
              <w:spacing w:line="320" w:lineRule="exact"/>
              <w:ind w:firstLine="36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5272" w:type="dxa"/>
            <w:tcBorders>
              <w:top w:val="single" w:color="auto" w:sz="4" w:space="0"/>
              <w:left w:val="nil"/>
              <w:bottom w:val="single" w:color="auto" w:sz="4" w:space="0"/>
              <w:right w:val="single" w:color="auto" w:sz="4" w:space="0"/>
            </w:tcBorders>
            <w:shd w:val="clear" w:color="auto" w:fill="auto"/>
            <w:noWrap/>
            <w:vAlign w:val="center"/>
          </w:tcPr>
          <w:p w14:paraId="221E7513">
            <w:pPr>
              <w:widowControl/>
              <w:spacing w:line="320" w:lineRule="exact"/>
              <w:ind w:firstLine="36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超范围费用名称</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057E110E">
            <w:pPr>
              <w:widowControl/>
              <w:spacing w:line="320" w:lineRule="exact"/>
              <w:ind w:firstLine="360"/>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金额（元）</w:t>
            </w:r>
          </w:p>
        </w:tc>
      </w:tr>
      <w:tr w14:paraId="621C6432">
        <w:tblPrEx>
          <w:tblCellMar>
            <w:top w:w="0" w:type="dxa"/>
            <w:left w:w="108" w:type="dxa"/>
            <w:bottom w:w="0" w:type="dxa"/>
            <w:right w:w="108" w:type="dxa"/>
          </w:tblCellMar>
        </w:tblPrEx>
        <w:trPr>
          <w:trHeight w:val="280" w:hRule="atLeast"/>
        </w:trPr>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0E9A12">
            <w:pPr>
              <w:widowControl/>
              <w:spacing w:line="320" w:lineRule="exact"/>
              <w:ind w:firstLine="36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5272" w:type="dxa"/>
            <w:tcBorders>
              <w:top w:val="single" w:color="auto" w:sz="4" w:space="0"/>
              <w:left w:val="nil"/>
              <w:bottom w:val="single" w:color="auto" w:sz="4" w:space="0"/>
              <w:right w:val="single" w:color="auto" w:sz="4" w:space="0"/>
            </w:tcBorders>
            <w:shd w:val="clear" w:color="auto" w:fill="auto"/>
            <w:noWrap/>
            <w:vAlign w:val="center"/>
          </w:tcPr>
          <w:p w14:paraId="33394CED">
            <w:pPr>
              <w:widowControl/>
              <w:spacing w:line="320" w:lineRule="exact"/>
              <w:ind w:firstLine="36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2023年职工体检费用</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3848F644">
            <w:pPr>
              <w:widowControl/>
              <w:spacing w:line="320" w:lineRule="exact"/>
              <w:ind w:firstLine="360"/>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17,938.00 </w:t>
            </w:r>
          </w:p>
        </w:tc>
      </w:tr>
      <w:tr w14:paraId="0607A9A7">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763CB5AA">
            <w:pPr>
              <w:widowControl/>
              <w:spacing w:line="320" w:lineRule="exact"/>
              <w:ind w:firstLine="36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5272" w:type="dxa"/>
            <w:tcBorders>
              <w:top w:val="nil"/>
              <w:left w:val="nil"/>
              <w:bottom w:val="single" w:color="auto" w:sz="4" w:space="0"/>
              <w:right w:val="single" w:color="auto" w:sz="4" w:space="0"/>
            </w:tcBorders>
            <w:shd w:val="clear" w:color="auto" w:fill="auto"/>
            <w:noWrap/>
            <w:vAlign w:val="center"/>
          </w:tcPr>
          <w:p w14:paraId="1212435B">
            <w:pPr>
              <w:widowControl/>
              <w:spacing w:line="320" w:lineRule="exact"/>
              <w:ind w:firstLine="36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公务用车运行维护费</w:t>
            </w:r>
          </w:p>
        </w:tc>
        <w:tc>
          <w:tcPr>
            <w:tcW w:w="1985" w:type="dxa"/>
            <w:tcBorders>
              <w:top w:val="nil"/>
              <w:left w:val="nil"/>
              <w:bottom w:val="single" w:color="auto" w:sz="4" w:space="0"/>
              <w:right w:val="single" w:color="auto" w:sz="4" w:space="0"/>
            </w:tcBorders>
            <w:shd w:val="clear" w:color="auto" w:fill="auto"/>
            <w:noWrap/>
            <w:vAlign w:val="center"/>
          </w:tcPr>
          <w:p w14:paraId="61AEB2A1">
            <w:pPr>
              <w:widowControl/>
              <w:spacing w:line="320" w:lineRule="exact"/>
              <w:ind w:firstLine="360"/>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5,968.94 </w:t>
            </w:r>
          </w:p>
        </w:tc>
      </w:tr>
      <w:tr w14:paraId="0ACAFE7A">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6F041301">
            <w:pPr>
              <w:widowControl/>
              <w:spacing w:line="320" w:lineRule="exact"/>
              <w:ind w:firstLine="36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5272" w:type="dxa"/>
            <w:tcBorders>
              <w:top w:val="nil"/>
              <w:left w:val="nil"/>
              <w:bottom w:val="single" w:color="auto" w:sz="4" w:space="0"/>
              <w:right w:val="single" w:color="auto" w:sz="4" w:space="0"/>
            </w:tcBorders>
            <w:shd w:val="clear" w:color="auto" w:fill="auto"/>
            <w:noWrap/>
            <w:vAlign w:val="center"/>
          </w:tcPr>
          <w:p w14:paraId="0A59F511">
            <w:pPr>
              <w:widowControl/>
              <w:spacing w:line="320" w:lineRule="exact"/>
              <w:ind w:firstLine="36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2022年考核获优秀奖励</w:t>
            </w:r>
          </w:p>
        </w:tc>
        <w:tc>
          <w:tcPr>
            <w:tcW w:w="1985" w:type="dxa"/>
            <w:tcBorders>
              <w:top w:val="nil"/>
              <w:left w:val="nil"/>
              <w:bottom w:val="single" w:color="auto" w:sz="4" w:space="0"/>
              <w:right w:val="single" w:color="auto" w:sz="4" w:space="0"/>
            </w:tcBorders>
            <w:shd w:val="clear" w:color="auto" w:fill="auto"/>
            <w:noWrap/>
            <w:vAlign w:val="center"/>
          </w:tcPr>
          <w:p w14:paraId="381B4FA3">
            <w:pPr>
              <w:widowControl/>
              <w:spacing w:line="320" w:lineRule="exact"/>
              <w:ind w:firstLine="360"/>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7,500.00 </w:t>
            </w:r>
          </w:p>
        </w:tc>
      </w:tr>
      <w:tr w14:paraId="3A77B8E6">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28915521">
            <w:pPr>
              <w:widowControl/>
              <w:spacing w:line="320" w:lineRule="exact"/>
              <w:ind w:firstLine="36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5272" w:type="dxa"/>
            <w:tcBorders>
              <w:top w:val="nil"/>
              <w:left w:val="nil"/>
              <w:bottom w:val="single" w:color="auto" w:sz="4" w:space="0"/>
              <w:right w:val="single" w:color="auto" w:sz="4" w:space="0"/>
            </w:tcBorders>
            <w:shd w:val="clear" w:color="auto" w:fill="auto"/>
            <w:noWrap/>
            <w:vAlign w:val="center"/>
          </w:tcPr>
          <w:p w14:paraId="6A7B9F6A">
            <w:pPr>
              <w:widowControl/>
              <w:spacing w:line="320" w:lineRule="exact"/>
              <w:ind w:firstLine="36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其他培训费</w:t>
            </w:r>
          </w:p>
        </w:tc>
        <w:tc>
          <w:tcPr>
            <w:tcW w:w="1985" w:type="dxa"/>
            <w:tcBorders>
              <w:top w:val="nil"/>
              <w:left w:val="nil"/>
              <w:bottom w:val="single" w:color="auto" w:sz="4" w:space="0"/>
              <w:right w:val="single" w:color="auto" w:sz="4" w:space="0"/>
            </w:tcBorders>
            <w:shd w:val="clear" w:color="auto" w:fill="auto"/>
            <w:noWrap/>
            <w:vAlign w:val="center"/>
          </w:tcPr>
          <w:p w14:paraId="239F89D7">
            <w:pPr>
              <w:widowControl/>
              <w:spacing w:line="320" w:lineRule="exact"/>
              <w:ind w:firstLine="360"/>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17,737.00 </w:t>
            </w:r>
          </w:p>
        </w:tc>
      </w:tr>
      <w:tr w14:paraId="38F4CD4D">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1DFD2773">
            <w:pPr>
              <w:widowControl/>
              <w:spacing w:line="320" w:lineRule="exact"/>
              <w:ind w:firstLine="36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5272" w:type="dxa"/>
            <w:tcBorders>
              <w:top w:val="nil"/>
              <w:left w:val="nil"/>
              <w:bottom w:val="single" w:color="auto" w:sz="4" w:space="0"/>
              <w:right w:val="single" w:color="auto" w:sz="4" w:space="0"/>
            </w:tcBorders>
            <w:shd w:val="clear" w:color="auto" w:fill="auto"/>
            <w:noWrap/>
            <w:vAlign w:val="center"/>
          </w:tcPr>
          <w:p w14:paraId="13DF1CBB">
            <w:pPr>
              <w:widowControl/>
              <w:spacing w:line="320" w:lineRule="exact"/>
              <w:ind w:firstLine="36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驻村补助</w:t>
            </w:r>
          </w:p>
        </w:tc>
        <w:tc>
          <w:tcPr>
            <w:tcW w:w="1985" w:type="dxa"/>
            <w:tcBorders>
              <w:top w:val="nil"/>
              <w:left w:val="nil"/>
              <w:bottom w:val="single" w:color="auto" w:sz="4" w:space="0"/>
              <w:right w:val="single" w:color="auto" w:sz="4" w:space="0"/>
            </w:tcBorders>
            <w:shd w:val="clear" w:color="auto" w:fill="auto"/>
            <w:noWrap/>
            <w:vAlign w:val="center"/>
          </w:tcPr>
          <w:p w14:paraId="715DDD04">
            <w:pPr>
              <w:widowControl/>
              <w:spacing w:line="320" w:lineRule="exact"/>
              <w:ind w:firstLine="360"/>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47,280.00 </w:t>
            </w:r>
          </w:p>
        </w:tc>
      </w:tr>
      <w:tr w14:paraId="35FBCE2C">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2274DDB7">
            <w:pPr>
              <w:widowControl/>
              <w:spacing w:line="320" w:lineRule="exact"/>
              <w:ind w:firstLine="36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5272" w:type="dxa"/>
            <w:tcBorders>
              <w:top w:val="nil"/>
              <w:left w:val="nil"/>
              <w:bottom w:val="single" w:color="auto" w:sz="4" w:space="0"/>
              <w:right w:val="single" w:color="auto" w:sz="4" w:space="0"/>
            </w:tcBorders>
            <w:shd w:val="clear" w:color="auto" w:fill="auto"/>
            <w:noWrap/>
            <w:vAlign w:val="center"/>
          </w:tcPr>
          <w:p w14:paraId="786A67AE">
            <w:pPr>
              <w:widowControl/>
              <w:spacing w:line="320" w:lineRule="exact"/>
              <w:ind w:firstLine="36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网络费、电话费</w:t>
            </w:r>
          </w:p>
        </w:tc>
        <w:tc>
          <w:tcPr>
            <w:tcW w:w="1985" w:type="dxa"/>
            <w:tcBorders>
              <w:top w:val="nil"/>
              <w:left w:val="nil"/>
              <w:bottom w:val="single" w:color="auto" w:sz="4" w:space="0"/>
              <w:right w:val="single" w:color="auto" w:sz="4" w:space="0"/>
            </w:tcBorders>
            <w:shd w:val="clear" w:color="auto" w:fill="auto"/>
            <w:noWrap/>
            <w:vAlign w:val="center"/>
          </w:tcPr>
          <w:p w14:paraId="251872E0">
            <w:pPr>
              <w:widowControl/>
              <w:spacing w:line="320" w:lineRule="exact"/>
              <w:ind w:firstLine="360"/>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8,626.00 </w:t>
            </w:r>
          </w:p>
        </w:tc>
      </w:tr>
      <w:tr w14:paraId="01076CEB">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18213CD0">
            <w:pPr>
              <w:widowControl/>
              <w:spacing w:line="320" w:lineRule="exact"/>
              <w:ind w:firstLine="36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5272" w:type="dxa"/>
            <w:tcBorders>
              <w:top w:val="nil"/>
              <w:left w:val="nil"/>
              <w:bottom w:val="single" w:color="auto" w:sz="4" w:space="0"/>
              <w:right w:val="single" w:color="auto" w:sz="4" w:space="0"/>
            </w:tcBorders>
            <w:shd w:val="clear" w:color="auto" w:fill="auto"/>
            <w:noWrap/>
            <w:vAlign w:val="center"/>
          </w:tcPr>
          <w:p w14:paraId="4E26AE56">
            <w:pPr>
              <w:widowControl/>
              <w:spacing w:line="320" w:lineRule="exact"/>
              <w:ind w:firstLine="36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公益岗工资和劳务派遣人员工资</w:t>
            </w:r>
          </w:p>
        </w:tc>
        <w:tc>
          <w:tcPr>
            <w:tcW w:w="1985" w:type="dxa"/>
            <w:tcBorders>
              <w:top w:val="nil"/>
              <w:left w:val="nil"/>
              <w:bottom w:val="single" w:color="auto" w:sz="4" w:space="0"/>
              <w:right w:val="single" w:color="auto" w:sz="4" w:space="0"/>
            </w:tcBorders>
            <w:shd w:val="clear" w:color="auto" w:fill="auto"/>
            <w:noWrap/>
            <w:vAlign w:val="center"/>
          </w:tcPr>
          <w:p w14:paraId="3CFAEA9D">
            <w:pPr>
              <w:widowControl/>
              <w:spacing w:line="320" w:lineRule="exact"/>
              <w:ind w:firstLine="360"/>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36,635.83 </w:t>
            </w:r>
          </w:p>
        </w:tc>
      </w:tr>
      <w:tr w14:paraId="360E1F35">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14EA2BB8">
            <w:pPr>
              <w:widowControl/>
              <w:spacing w:line="320" w:lineRule="exact"/>
              <w:ind w:firstLine="36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5272" w:type="dxa"/>
            <w:tcBorders>
              <w:top w:val="nil"/>
              <w:left w:val="nil"/>
              <w:bottom w:val="single" w:color="auto" w:sz="4" w:space="0"/>
              <w:right w:val="single" w:color="auto" w:sz="4" w:space="0"/>
            </w:tcBorders>
            <w:shd w:val="clear" w:color="auto" w:fill="auto"/>
            <w:noWrap/>
            <w:vAlign w:val="center"/>
          </w:tcPr>
          <w:p w14:paraId="769BFC19">
            <w:pPr>
              <w:widowControl/>
              <w:spacing w:line="320" w:lineRule="exact"/>
              <w:ind w:firstLine="36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临时工工资</w:t>
            </w:r>
          </w:p>
        </w:tc>
        <w:tc>
          <w:tcPr>
            <w:tcW w:w="1985" w:type="dxa"/>
            <w:tcBorders>
              <w:top w:val="nil"/>
              <w:left w:val="nil"/>
              <w:bottom w:val="single" w:color="auto" w:sz="4" w:space="0"/>
              <w:right w:val="single" w:color="auto" w:sz="4" w:space="0"/>
            </w:tcBorders>
            <w:shd w:val="clear" w:color="auto" w:fill="auto"/>
            <w:noWrap/>
            <w:vAlign w:val="center"/>
          </w:tcPr>
          <w:p w14:paraId="592330A5">
            <w:pPr>
              <w:widowControl/>
              <w:spacing w:line="320" w:lineRule="exact"/>
              <w:ind w:firstLine="360"/>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31,000.00 </w:t>
            </w:r>
          </w:p>
        </w:tc>
      </w:tr>
      <w:tr w14:paraId="7C3EC608">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56CFF1FE">
            <w:pPr>
              <w:widowControl/>
              <w:spacing w:line="320" w:lineRule="exact"/>
              <w:ind w:firstLine="36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5272" w:type="dxa"/>
            <w:tcBorders>
              <w:top w:val="nil"/>
              <w:left w:val="nil"/>
              <w:bottom w:val="single" w:color="auto" w:sz="4" w:space="0"/>
              <w:right w:val="single" w:color="auto" w:sz="4" w:space="0"/>
            </w:tcBorders>
            <w:shd w:val="clear" w:color="auto" w:fill="auto"/>
            <w:noWrap/>
            <w:vAlign w:val="center"/>
          </w:tcPr>
          <w:p w14:paraId="028390E4">
            <w:pPr>
              <w:widowControl/>
              <w:spacing w:line="320" w:lineRule="exact"/>
              <w:ind w:firstLine="36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水电费</w:t>
            </w:r>
          </w:p>
        </w:tc>
        <w:tc>
          <w:tcPr>
            <w:tcW w:w="1985" w:type="dxa"/>
            <w:tcBorders>
              <w:top w:val="nil"/>
              <w:left w:val="nil"/>
              <w:bottom w:val="single" w:color="auto" w:sz="4" w:space="0"/>
              <w:right w:val="single" w:color="auto" w:sz="4" w:space="0"/>
            </w:tcBorders>
            <w:shd w:val="clear" w:color="auto" w:fill="auto"/>
            <w:noWrap/>
            <w:vAlign w:val="center"/>
          </w:tcPr>
          <w:p w14:paraId="0C5A38B9">
            <w:pPr>
              <w:widowControl/>
              <w:spacing w:line="320" w:lineRule="exact"/>
              <w:ind w:firstLine="360"/>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845.02 </w:t>
            </w:r>
          </w:p>
        </w:tc>
      </w:tr>
      <w:tr w14:paraId="066B159F">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0F4013EA">
            <w:pPr>
              <w:widowControl/>
              <w:spacing w:line="320" w:lineRule="exact"/>
              <w:ind w:firstLine="36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5272" w:type="dxa"/>
            <w:tcBorders>
              <w:top w:val="nil"/>
              <w:left w:val="nil"/>
              <w:bottom w:val="single" w:color="auto" w:sz="4" w:space="0"/>
              <w:right w:val="single" w:color="auto" w:sz="4" w:space="0"/>
            </w:tcBorders>
            <w:shd w:val="clear" w:color="auto" w:fill="auto"/>
            <w:noWrap/>
            <w:vAlign w:val="center"/>
          </w:tcPr>
          <w:p w14:paraId="2848BBAB">
            <w:pPr>
              <w:widowControl/>
              <w:spacing w:line="320" w:lineRule="exact"/>
              <w:ind w:firstLine="36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账户维护年费和手续费</w:t>
            </w:r>
          </w:p>
        </w:tc>
        <w:tc>
          <w:tcPr>
            <w:tcW w:w="1985" w:type="dxa"/>
            <w:tcBorders>
              <w:top w:val="nil"/>
              <w:left w:val="nil"/>
              <w:bottom w:val="single" w:color="auto" w:sz="4" w:space="0"/>
              <w:right w:val="single" w:color="auto" w:sz="4" w:space="0"/>
            </w:tcBorders>
            <w:shd w:val="clear" w:color="auto" w:fill="auto"/>
            <w:noWrap/>
            <w:vAlign w:val="center"/>
          </w:tcPr>
          <w:p w14:paraId="095469CA">
            <w:pPr>
              <w:widowControl/>
              <w:spacing w:line="320" w:lineRule="exact"/>
              <w:ind w:firstLine="360"/>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604.63 </w:t>
            </w:r>
          </w:p>
        </w:tc>
      </w:tr>
      <w:tr w14:paraId="672EA8B7">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552920D2">
            <w:pPr>
              <w:widowControl/>
              <w:spacing w:line="320" w:lineRule="exact"/>
              <w:ind w:firstLine="36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5272" w:type="dxa"/>
            <w:tcBorders>
              <w:top w:val="nil"/>
              <w:left w:val="nil"/>
              <w:bottom w:val="single" w:color="auto" w:sz="4" w:space="0"/>
              <w:right w:val="single" w:color="auto" w:sz="4" w:space="0"/>
            </w:tcBorders>
            <w:shd w:val="clear" w:color="auto" w:fill="auto"/>
            <w:noWrap/>
            <w:vAlign w:val="center"/>
          </w:tcPr>
          <w:p w14:paraId="25DCEAA3">
            <w:pPr>
              <w:widowControl/>
              <w:spacing w:line="320" w:lineRule="exact"/>
              <w:ind w:firstLine="36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物管费（2022.7-2023.6）</w:t>
            </w:r>
          </w:p>
        </w:tc>
        <w:tc>
          <w:tcPr>
            <w:tcW w:w="1985" w:type="dxa"/>
            <w:tcBorders>
              <w:top w:val="nil"/>
              <w:left w:val="nil"/>
              <w:bottom w:val="single" w:color="auto" w:sz="4" w:space="0"/>
              <w:right w:val="single" w:color="auto" w:sz="4" w:space="0"/>
            </w:tcBorders>
            <w:shd w:val="clear" w:color="auto" w:fill="auto"/>
            <w:noWrap/>
            <w:vAlign w:val="center"/>
          </w:tcPr>
          <w:p w14:paraId="27223A98">
            <w:pPr>
              <w:widowControl/>
              <w:spacing w:line="320" w:lineRule="exact"/>
              <w:ind w:firstLine="360"/>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26,500.00 </w:t>
            </w:r>
          </w:p>
        </w:tc>
      </w:tr>
      <w:tr w14:paraId="662B6E05">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040B69F9">
            <w:pPr>
              <w:widowControl/>
              <w:spacing w:line="320" w:lineRule="exact"/>
              <w:ind w:firstLine="36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5272" w:type="dxa"/>
            <w:tcBorders>
              <w:top w:val="nil"/>
              <w:left w:val="nil"/>
              <w:bottom w:val="single" w:color="auto" w:sz="4" w:space="0"/>
              <w:right w:val="single" w:color="auto" w:sz="4" w:space="0"/>
            </w:tcBorders>
            <w:shd w:val="clear" w:color="auto" w:fill="auto"/>
            <w:noWrap/>
            <w:vAlign w:val="center"/>
          </w:tcPr>
          <w:p w14:paraId="44ED21BD">
            <w:pPr>
              <w:widowControl/>
              <w:spacing w:line="320" w:lineRule="exact"/>
              <w:ind w:firstLine="36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购买办公室烧水壶用品费用</w:t>
            </w:r>
          </w:p>
        </w:tc>
        <w:tc>
          <w:tcPr>
            <w:tcW w:w="1985" w:type="dxa"/>
            <w:tcBorders>
              <w:top w:val="nil"/>
              <w:left w:val="nil"/>
              <w:bottom w:val="single" w:color="auto" w:sz="4" w:space="0"/>
              <w:right w:val="single" w:color="auto" w:sz="4" w:space="0"/>
            </w:tcBorders>
            <w:shd w:val="clear" w:color="auto" w:fill="auto"/>
            <w:noWrap/>
            <w:vAlign w:val="center"/>
          </w:tcPr>
          <w:p w14:paraId="583436E9">
            <w:pPr>
              <w:widowControl/>
              <w:spacing w:line="320" w:lineRule="exact"/>
              <w:ind w:firstLine="360"/>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1,220.00 </w:t>
            </w:r>
          </w:p>
        </w:tc>
      </w:tr>
      <w:tr w14:paraId="28A128C2">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2B28ACCE">
            <w:pPr>
              <w:widowControl/>
              <w:spacing w:line="320" w:lineRule="exact"/>
              <w:ind w:firstLine="36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5272" w:type="dxa"/>
            <w:tcBorders>
              <w:top w:val="nil"/>
              <w:left w:val="nil"/>
              <w:bottom w:val="single" w:color="auto" w:sz="4" w:space="0"/>
              <w:right w:val="single" w:color="auto" w:sz="4" w:space="0"/>
            </w:tcBorders>
            <w:shd w:val="clear" w:color="auto" w:fill="auto"/>
            <w:noWrap/>
            <w:vAlign w:val="center"/>
          </w:tcPr>
          <w:p w14:paraId="527A1F65">
            <w:pPr>
              <w:widowControl/>
              <w:spacing w:line="320" w:lineRule="exact"/>
              <w:ind w:firstLine="36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订购《习选》等报刊</w:t>
            </w:r>
          </w:p>
        </w:tc>
        <w:tc>
          <w:tcPr>
            <w:tcW w:w="1985" w:type="dxa"/>
            <w:tcBorders>
              <w:top w:val="nil"/>
              <w:left w:val="nil"/>
              <w:bottom w:val="single" w:color="auto" w:sz="4" w:space="0"/>
              <w:right w:val="single" w:color="auto" w:sz="4" w:space="0"/>
            </w:tcBorders>
            <w:shd w:val="clear" w:color="auto" w:fill="auto"/>
            <w:noWrap/>
            <w:vAlign w:val="center"/>
          </w:tcPr>
          <w:p w14:paraId="32134740">
            <w:pPr>
              <w:widowControl/>
              <w:spacing w:line="320" w:lineRule="exact"/>
              <w:ind w:firstLine="360"/>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11,876.40 </w:t>
            </w:r>
          </w:p>
        </w:tc>
      </w:tr>
      <w:tr w14:paraId="336A916D">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49A57165">
            <w:pPr>
              <w:widowControl/>
              <w:spacing w:line="320" w:lineRule="exact"/>
              <w:ind w:firstLine="36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5272" w:type="dxa"/>
            <w:tcBorders>
              <w:top w:val="nil"/>
              <w:left w:val="nil"/>
              <w:bottom w:val="single" w:color="auto" w:sz="4" w:space="0"/>
              <w:right w:val="single" w:color="auto" w:sz="4" w:space="0"/>
            </w:tcBorders>
            <w:shd w:val="clear" w:color="auto" w:fill="auto"/>
            <w:noWrap/>
            <w:vAlign w:val="center"/>
          </w:tcPr>
          <w:p w14:paraId="6AFBFE24">
            <w:pPr>
              <w:widowControl/>
              <w:spacing w:line="320" w:lineRule="exact"/>
              <w:ind w:firstLine="36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办公室用茶、水</w:t>
            </w:r>
          </w:p>
        </w:tc>
        <w:tc>
          <w:tcPr>
            <w:tcW w:w="1985" w:type="dxa"/>
            <w:tcBorders>
              <w:top w:val="nil"/>
              <w:left w:val="nil"/>
              <w:bottom w:val="single" w:color="auto" w:sz="4" w:space="0"/>
              <w:right w:val="single" w:color="auto" w:sz="4" w:space="0"/>
            </w:tcBorders>
            <w:shd w:val="clear" w:color="auto" w:fill="auto"/>
            <w:noWrap/>
            <w:vAlign w:val="center"/>
          </w:tcPr>
          <w:p w14:paraId="60518BBC">
            <w:pPr>
              <w:widowControl/>
              <w:spacing w:line="320" w:lineRule="exact"/>
              <w:ind w:firstLine="360"/>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4,310.00 </w:t>
            </w:r>
          </w:p>
        </w:tc>
      </w:tr>
      <w:tr w14:paraId="32C60DCA">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1A59CC2E">
            <w:pPr>
              <w:widowControl/>
              <w:spacing w:line="320" w:lineRule="exact"/>
              <w:ind w:firstLine="36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5272" w:type="dxa"/>
            <w:tcBorders>
              <w:top w:val="nil"/>
              <w:left w:val="nil"/>
              <w:bottom w:val="single" w:color="auto" w:sz="4" w:space="0"/>
              <w:right w:val="single" w:color="auto" w:sz="4" w:space="0"/>
            </w:tcBorders>
            <w:shd w:val="clear" w:color="auto" w:fill="auto"/>
            <w:noWrap/>
            <w:vAlign w:val="center"/>
          </w:tcPr>
          <w:p w14:paraId="01FAC26D">
            <w:pPr>
              <w:widowControl/>
              <w:spacing w:line="320" w:lineRule="exact"/>
              <w:ind w:firstLine="36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“河长清河”活动工具费用</w:t>
            </w:r>
          </w:p>
        </w:tc>
        <w:tc>
          <w:tcPr>
            <w:tcW w:w="1985" w:type="dxa"/>
            <w:tcBorders>
              <w:top w:val="nil"/>
              <w:left w:val="nil"/>
              <w:bottom w:val="single" w:color="auto" w:sz="4" w:space="0"/>
              <w:right w:val="single" w:color="auto" w:sz="4" w:space="0"/>
            </w:tcBorders>
            <w:shd w:val="clear" w:color="auto" w:fill="auto"/>
            <w:noWrap/>
            <w:vAlign w:val="center"/>
          </w:tcPr>
          <w:p w14:paraId="0C018E8A">
            <w:pPr>
              <w:widowControl/>
              <w:spacing w:line="320" w:lineRule="exact"/>
              <w:ind w:firstLine="360"/>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416.00 </w:t>
            </w:r>
          </w:p>
        </w:tc>
      </w:tr>
      <w:tr w14:paraId="77F3FF8B">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730BDE0E">
            <w:pPr>
              <w:widowControl/>
              <w:spacing w:line="320" w:lineRule="exact"/>
              <w:ind w:firstLine="36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5272" w:type="dxa"/>
            <w:tcBorders>
              <w:top w:val="nil"/>
              <w:left w:val="nil"/>
              <w:bottom w:val="single" w:color="auto" w:sz="4" w:space="0"/>
              <w:right w:val="single" w:color="auto" w:sz="4" w:space="0"/>
            </w:tcBorders>
            <w:shd w:val="clear" w:color="auto" w:fill="auto"/>
            <w:noWrap/>
            <w:vAlign w:val="center"/>
          </w:tcPr>
          <w:p w14:paraId="2952AE52">
            <w:pPr>
              <w:widowControl/>
              <w:spacing w:line="320" w:lineRule="exact"/>
              <w:ind w:firstLine="36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租车费用</w:t>
            </w:r>
          </w:p>
        </w:tc>
        <w:tc>
          <w:tcPr>
            <w:tcW w:w="1985" w:type="dxa"/>
            <w:tcBorders>
              <w:top w:val="nil"/>
              <w:left w:val="nil"/>
              <w:bottom w:val="single" w:color="auto" w:sz="4" w:space="0"/>
              <w:right w:val="single" w:color="auto" w:sz="4" w:space="0"/>
            </w:tcBorders>
            <w:shd w:val="clear" w:color="auto" w:fill="auto"/>
            <w:noWrap/>
            <w:vAlign w:val="center"/>
          </w:tcPr>
          <w:p w14:paraId="63F638F5">
            <w:pPr>
              <w:widowControl/>
              <w:spacing w:line="320" w:lineRule="exact"/>
              <w:ind w:firstLine="360"/>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5,103.00 </w:t>
            </w:r>
          </w:p>
        </w:tc>
      </w:tr>
      <w:tr w14:paraId="3EC9A1BD">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669F70F4">
            <w:pPr>
              <w:widowControl/>
              <w:spacing w:line="320" w:lineRule="exact"/>
              <w:ind w:firstLine="36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5272" w:type="dxa"/>
            <w:tcBorders>
              <w:top w:val="nil"/>
              <w:left w:val="nil"/>
              <w:bottom w:val="single" w:color="auto" w:sz="4" w:space="0"/>
              <w:right w:val="single" w:color="auto" w:sz="4" w:space="0"/>
            </w:tcBorders>
            <w:shd w:val="clear" w:color="auto" w:fill="auto"/>
            <w:noWrap/>
            <w:vAlign w:val="center"/>
          </w:tcPr>
          <w:p w14:paraId="0DBD2B6B">
            <w:pPr>
              <w:widowControl/>
              <w:spacing w:line="320" w:lineRule="exact"/>
              <w:ind w:firstLine="36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老党员慰问费用</w:t>
            </w:r>
          </w:p>
        </w:tc>
        <w:tc>
          <w:tcPr>
            <w:tcW w:w="1985" w:type="dxa"/>
            <w:tcBorders>
              <w:top w:val="nil"/>
              <w:left w:val="nil"/>
              <w:bottom w:val="single" w:color="auto" w:sz="4" w:space="0"/>
              <w:right w:val="single" w:color="auto" w:sz="4" w:space="0"/>
            </w:tcBorders>
            <w:shd w:val="clear" w:color="auto" w:fill="auto"/>
            <w:noWrap/>
            <w:vAlign w:val="center"/>
          </w:tcPr>
          <w:p w14:paraId="2D375521">
            <w:pPr>
              <w:widowControl/>
              <w:spacing w:line="320" w:lineRule="exact"/>
              <w:ind w:firstLine="360"/>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600.00 </w:t>
            </w:r>
          </w:p>
        </w:tc>
      </w:tr>
      <w:tr w14:paraId="1707312B">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584EA5D4">
            <w:pPr>
              <w:widowControl/>
              <w:spacing w:line="320" w:lineRule="exact"/>
              <w:ind w:firstLine="36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5272" w:type="dxa"/>
            <w:tcBorders>
              <w:top w:val="nil"/>
              <w:left w:val="nil"/>
              <w:bottom w:val="single" w:color="auto" w:sz="4" w:space="0"/>
              <w:right w:val="single" w:color="auto" w:sz="4" w:space="0"/>
            </w:tcBorders>
            <w:shd w:val="clear" w:color="auto" w:fill="auto"/>
            <w:noWrap/>
            <w:vAlign w:val="center"/>
          </w:tcPr>
          <w:p w14:paraId="5C3C8B82">
            <w:pPr>
              <w:widowControl/>
              <w:spacing w:line="320" w:lineRule="exact"/>
              <w:ind w:firstLine="36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办公耗材和办公用品费用</w:t>
            </w:r>
          </w:p>
        </w:tc>
        <w:tc>
          <w:tcPr>
            <w:tcW w:w="1985" w:type="dxa"/>
            <w:tcBorders>
              <w:top w:val="nil"/>
              <w:left w:val="nil"/>
              <w:bottom w:val="single" w:color="auto" w:sz="4" w:space="0"/>
              <w:right w:val="single" w:color="auto" w:sz="4" w:space="0"/>
            </w:tcBorders>
            <w:shd w:val="clear" w:color="auto" w:fill="auto"/>
            <w:noWrap/>
            <w:vAlign w:val="center"/>
          </w:tcPr>
          <w:p w14:paraId="19C0DDBC">
            <w:pPr>
              <w:widowControl/>
              <w:spacing w:line="320" w:lineRule="exact"/>
              <w:ind w:firstLine="360"/>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7,510.00 </w:t>
            </w:r>
          </w:p>
        </w:tc>
      </w:tr>
      <w:tr w14:paraId="40B27BAD">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09F5F71F">
            <w:pPr>
              <w:widowControl/>
              <w:spacing w:line="320" w:lineRule="exact"/>
              <w:ind w:firstLine="36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5272" w:type="dxa"/>
            <w:tcBorders>
              <w:top w:val="nil"/>
              <w:left w:val="nil"/>
              <w:bottom w:val="single" w:color="auto" w:sz="4" w:space="0"/>
              <w:right w:val="single" w:color="auto" w:sz="4" w:space="0"/>
            </w:tcBorders>
            <w:shd w:val="clear" w:color="auto" w:fill="auto"/>
            <w:noWrap/>
            <w:vAlign w:val="center"/>
          </w:tcPr>
          <w:p w14:paraId="3C161217">
            <w:pPr>
              <w:widowControl/>
              <w:spacing w:line="320" w:lineRule="exact"/>
              <w:ind w:firstLine="36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2023年残疾人保证金</w:t>
            </w:r>
          </w:p>
        </w:tc>
        <w:tc>
          <w:tcPr>
            <w:tcW w:w="1985" w:type="dxa"/>
            <w:tcBorders>
              <w:top w:val="nil"/>
              <w:left w:val="nil"/>
              <w:bottom w:val="single" w:color="auto" w:sz="4" w:space="0"/>
              <w:right w:val="single" w:color="auto" w:sz="4" w:space="0"/>
            </w:tcBorders>
            <w:shd w:val="clear" w:color="auto" w:fill="auto"/>
            <w:noWrap/>
            <w:vAlign w:val="center"/>
          </w:tcPr>
          <w:p w14:paraId="35C0CE2E">
            <w:pPr>
              <w:widowControl/>
              <w:spacing w:line="320" w:lineRule="exact"/>
              <w:ind w:firstLine="360"/>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25,804.34 </w:t>
            </w:r>
          </w:p>
        </w:tc>
      </w:tr>
      <w:tr w14:paraId="436D024E">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1A3F61D5">
            <w:pPr>
              <w:widowControl/>
              <w:spacing w:line="320" w:lineRule="exact"/>
              <w:ind w:firstLine="36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5272" w:type="dxa"/>
            <w:tcBorders>
              <w:top w:val="nil"/>
              <w:left w:val="nil"/>
              <w:bottom w:val="single" w:color="auto" w:sz="4" w:space="0"/>
              <w:right w:val="single" w:color="auto" w:sz="4" w:space="0"/>
            </w:tcBorders>
            <w:shd w:val="clear" w:color="auto" w:fill="auto"/>
            <w:noWrap/>
            <w:vAlign w:val="center"/>
          </w:tcPr>
          <w:p w14:paraId="0C98F4E2">
            <w:pPr>
              <w:widowControl/>
              <w:spacing w:line="320" w:lineRule="exact"/>
              <w:ind w:firstLine="36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宣传部组织观看电影（我本是高山）电影票费用</w:t>
            </w:r>
          </w:p>
        </w:tc>
        <w:tc>
          <w:tcPr>
            <w:tcW w:w="1985" w:type="dxa"/>
            <w:tcBorders>
              <w:top w:val="nil"/>
              <w:left w:val="nil"/>
              <w:bottom w:val="single" w:color="auto" w:sz="4" w:space="0"/>
              <w:right w:val="single" w:color="auto" w:sz="4" w:space="0"/>
            </w:tcBorders>
            <w:shd w:val="clear" w:color="auto" w:fill="auto"/>
            <w:noWrap/>
            <w:vAlign w:val="center"/>
          </w:tcPr>
          <w:p w14:paraId="62F74709">
            <w:pPr>
              <w:widowControl/>
              <w:spacing w:line="320" w:lineRule="exact"/>
              <w:ind w:firstLine="360"/>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440.00 </w:t>
            </w:r>
          </w:p>
        </w:tc>
      </w:tr>
      <w:tr w14:paraId="6B3C2438">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47FE429A">
            <w:pPr>
              <w:widowControl/>
              <w:spacing w:line="320" w:lineRule="exact"/>
              <w:ind w:firstLine="36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w:t>
            </w:r>
          </w:p>
        </w:tc>
        <w:tc>
          <w:tcPr>
            <w:tcW w:w="5272" w:type="dxa"/>
            <w:tcBorders>
              <w:top w:val="nil"/>
              <w:left w:val="nil"/>
              <w:bottom w:val="single" w:color="auto" w:sz="4" w:space="0"/>
              <w:right w:val="single" w:color="auto" w:sz="4" w:space="0"/>
            </w:tcBorders>
            <w:shd w:val="clear" w:color="auto" w:fill="auto"/>
            <w:noWrap/>
            <w:vAlign w:val="center"/>
          </w:tcPr>
          <w:p w14:paraId="004DE6BD">
            <w:pPr>
              <w:widowControl/>
              <w:spacing w:line="320" w:lineRule="exact"/>
              <w:ind w:firstLine="36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办公室换锁费用</w:t>
            </w:r>
          </w:p>
        </w:tc>
        <w:tc>
          <w:tcPr>
            <w:tcW w:w="1985" w:type="dxa"/>
            <w:tcBorders>
              <w:top w:val="nil"/>
              <w:left w:val="nil"/>
              <w:bottom w:val="single" w:color="auto" w:sz="4" w:space="0"/>
              <w:right w:val="single" w:color="auto" w:sz="4" w:space="0"/>
            </w:tcBorders>
            <w:shd w:val="clear" w:color="auto" w:fill="auto"/>
            <w:noWrap/>
            <w:vAlign w:val="center"/>
          </w:tcPr>
          <w:p w14:paraId="47999D80">
            <w:pPr>
              <w:widowControl/>
              <w:spacing w:line="320" w:lineRule="exact"/>
              <w:ind w:firstLine="360"/>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200.00 </w:t>
            </w:r>
          </w:p>
        </w:tc>
      </w:tr>
      <w:tr w14:paraId="2E8EA839">
        <w:tblPrEx>
          <w:tblCellMar>
            <w:top w:w="0" w:type="dxa"/>
            <w:left w:w="108" w:type="dxa"/>
            <w:bottom w:w="0" w:type="dxa"/>
            <w:right w:w="108" w:type="dxa"/>
          </w:tblCellMar>
        </w:tblPrEx>
        <w:trPr>
          <w:trHeight w:val="280" w:hRule="atLeast"/>
        </w:trPr>
        <w:tc>
          <w:tcPr>
            <w:tcW w:w="6232"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7D467612">
            <w:pPr>
              <w:widowControl/>
              <w:spacing w:line="320" w:lineRule="exact"/>
              <w:ind w:firstLine="36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合计</w:t>
            </w:r>
          </w:p>
        </w:tc>
        <w:tc>
          <w:tcPr>
            <w:tcW w:w="1985" w:type="dxa"/>
            <w:tcBorders>
              <w:top w:val="nil"/>
              <w:left w:val="nil"/>
              <w:bottom w:val="single" w:color="auto" w:sz="4" w:space="0"/>
              <w:right w:val="single" w:color="auto" w:sz="4" w:space="0"/>
            </w:tcBorders>
            <w:shd w:val="clear" w:color="auto" w:fill="auto"/>
            <w:noWrap/>
            <w:vAlign w:val="center"/>
          </w:tcPr>
          <w:p w14:paraId="132C88F4">
            <w:pPr>
              <w:widowControl/>
              <w:spacing w:line="320" w:lineRule="exact"/>
              <w:ind w:firstLine="360"/>
              <w:jc w:val="right"/>
              <w:rPr>
                <w:rFonts w:hint="eastAsia" w:ascii="宋体" w:hAnsi="宋体" w:eastAsia="宋体" w:cs="宋体"/>
                <w:color w:val="000000"/>
                <w:kern w:val="0"/>
                <w:sz w:val="18"/>
                <w:szCs w:val="18"/>
              </w:rPr>
            </w:pPr>
            <w:bookmarkStart w:id="59" w:name="_Hlk174797655"/>
            <w:r>
              <w:rPr>
                <w:rFonts w:hint="eastAsia" w:ascii="宋体" w:hAnsi="宋体" w:eastAsia="宋体" w:cs="宋体"/>
                <w:color w:val="000000"/>
                <w:kern w:val="0"/>
                <w:sz w:val="18"/>
                <w:szCs w:val="18"/>
              </w:rPr>
              <w:t>258,115.16</w:t>
            </w:r>
            <w:bookmarkEnd w:id="59"/>
            <w:r>
              <w:rPr>
                <w:rFonts w:hint="eastAsia" w:ascii="宋体" w:hAnsi="宋体" w:eastAsia="宋体" w:cs="宋体"/>
                <w:color w:val="000000"/>
                <w:kern w:val="0"/>
                <w:sz w:val="18"/>
                <w:szCs w:val="18"/>
              </w:rPr>
              <w:t xml:space="preserve"> </w:t>
            </w:r>
          </w:p>
        </w:tc>
      </w:tr>
    </w:tbl>
    <w:p w14:paraId="5300541D">
      <w:pPr>
        <w:ind w:firstLine="560"/>
        <w:rPr>
          <w:rFonts w:hint="eastAsia"/>
        </w:rPr>
      </w:pPr>
      <w:r>
        <w:rPr>
          <w:rFonts w:hint="eastAsia"/>
          <w:sz w:val="28"/>
          <w:szCs w:val="28"/>
        </w:rPr>
        <w:t>上述费用支出应为公用经费支出，实为超范围使用招商引资专项经费，不符合《中华人民共和国预算法》第六十三条“各部门、各单位应当加强对预算收入和支出的管理，……不得擅自改变预算支出的用途。”、《中华人民共和国预算法实施条例》第三十八条“各级政府、各部门、各单位应当加强对预算支出的管理，严格执行预算和财政制度，不得擅自扩大支出范围、提高开支标准。”和《行政单位财务规则》（财政部令第113号）第二十二条“行政单位从财政部门或者上级预算单位取得的项目资金，应当按照批准的项目和用途使用，专款专用，……。”的规定。</w:t>
      </w:r>
    </w:p>
    <w:p w14:paraId="4EA7BDA4">
      <w:pPr>
        <w:ind w:firstLine="560"/>
        <w:rPr>
          <w:rFonts w:hint="eastAsia" w:ascii="楷体" w:hAnsi="楷体" w:eastAsia="楷体"/>
          <w:sz w:val="28"/>
          <w:szCs w:val="28"/>
        </w:rPr>
      </w:pPr>
      <w:r>
        <w:rPr>
          <w:rFonts w:hint="eastAsia" w:ascii="楷体" w:hAnsi="楷体" w:eastAsia="楷体"/>
          <w:sz w:val="28"/>
          <w:szCs w:val="28"/>
        </w:rPr>
        <w:t>(三)公务采购“三流”不一致</w:t>
      </w:r>
    </w:p>
    <w:p w14:paraId="14232601">
      <w:pPr>
        <w:ind w:firstLine="560"/>
        <w:rPr>
          <w:rFonts w:hint="eastAsia"/>
          <w:sz w:val="28"/>
          <w:szCs w:val="28"/>
        </w:rPr>
      </w:pPr>
      <w:r>
        <w:rPr>
          <w:rFonts w:hint="eastAsia"/>
          <w:sz w:val="28"/>
          <w:szCs w:val="28"/>
        </w:rPr>
        <w:t>抽查发现，2023年度投资促进局存在公务采购未执行对公结算或使用公务卡结算，且“三流”不一致的情况，如：</w:t>
      </w:r>
    </w:p>
    <w:p w14:paraId="4EA24A2E">
      <w:pPr>
        <w:ind w:firstLine="560"/>
        <w:rPr>
          <w:rFonts w:hint="eastAsia"/>
          <w:sz w:val="28"/>
          <w:szCs w:val="28"/>
        </w:rPr>
      </w:pPr>
      <w:r>
        <w:rPr>
          <w:rFonts w:hint="eastAsia"/>
          <w:sz w:val="28"/>
          <w:szCs w:val="28"/>
        </w:rPr>
        <w:t>(1)2023年2月记账16号凭证“购买办公室烧水壶用品费用”960.00元，销售方为云南德田茶业有限公司，款项由经办人垫付后报销支付至经办人个人私卡，未执行对公结算。</w:t>
      </w:r>
    </w:p>
    <w:p w14:paraId="76F92F24">
      <w:pPr>
        <w:ind w:firstLine="560"/>
        <w:rPr>
          <w:rFonts w:hint="eastAsia"/>
          <w:sz w:val="28"/>
          <w:szCs w:val="28"/>
        </w:rPr>
      </w:pPr>
      <w:bookmarkStart w:id="60" w:name="_Hlk174892258"/>
      <w:r>
        <w:rPr>
          <w:rFonts w:hint="eastAsia"/>
          <w:sz w:val="28"/>
          <w:szCs w:val="28"/>
        </w:rPr>
        <w:t>(2)</w:t>
      </w:r>
      <w:bookmarkEnd w:id="60"/>
      <w:r>
        <w:rPr>
          <w:rFonts w:hint="eastAsia"/>
          <w:sz w:val="28"/>
          <w:szCs w:val="28"/>
        </w:rPr>
        <w:t>2023年11月记账11号凭证“办公室换锁费用”200.00元，销售方为寻甸智诚安防科技有限公司，款项由经办人垫付后报销支付至经办人个人私卡，未执行对公结算。</w:t>
      </w:r>
    </w:p>
    <w:p w14:paraId="1C8DA5CF">
      <w:pPr>
        <w:ind w:firstLine="560"/>
        <w:rPr>
          <w:rFonts w:hint="eastAsia"/>
          <w:sz w:val="28"/>
          <w:szCs w:val="28"/>
        </w:rPr>
      </w:pPr>
      <w:r>
        <w:rPr>
          <w:rFonts w:hint="eastAsia"/>
          <w:sz w:val="28"/>
          <w:szCs w:val="28"/>
        </w:rPr>
        <w:t>(3)2023年11月记账13号凭证“订《保密工作》”180.00元，为订《保密工作》，销售方为金城出版社有限公司，款项由经办人垫付后报销支付至经办人个人私卡，未执行对公结算。</w:t>
      </w:r>
    </w:p>
    <w:p w14:paraId="011EA69B">
      <w:pPr>
        <w:ind w:firstLine="560"/>
        <w:rPr>
          <w:rFonts w:hint="eastAsia"/>
          <w:sz w:val="28"/>
          <w:szCs w:val="28"/>
        </w:rPr>
      </w:pPr>
      <w:r>
        <w:rPr>
          <w:rFonts w:hint="eastAsia"/>
          <w:sz w:val="28"/>
          <w:szCs w:val="28"/>
        </w:rPr>
        <w:t>(4)2023年6月记账11号凭证“公务之家数字更新手续费”158.00元，销售方为北京四方启点科技有限公司，款项由经办人垫付后报销支付至经办人个人私卡，未执行对公结算。</w:t>
      </w:r>
    </w:p>
    <w:p w14:paraId="0FEA48D3">
      <w:pPr>
        <w:ind w:firstLine="560"/>
        <w:rPr>
          <w:rFonts w:hint="eastAsia"/>
          <w:sz w:val="28"/>
          <w:szCs w:val="28"/>
        </w:rPr>
      </w:pPr>
      <w:r>
        <w:rPr>
          <w:rFonts w:hint="eastAsia"/>
          <w:sz w:val="28"/>
          <w:szCs w:val="28"/>
        </w:rPr>
        <w:t>上述情况资金流与供货方或服务提供方不一致，均由经办人报销后支付至经办人个人私卡，未执行对公账户结算的情况，不符合《转发财政部、审计署、中国人民银行关于清理检查‘小金库’意见的通知》(国办发〔1995〕第29号)第一条“凡违反国家财经法规及其他有关规定，……，私存私放的各项资金，均属小金库。”和《国家税务总局关于加强增值税征收管理若干问题的通知》（国税发〔1995〕192号）第一条第三项“纳税人购进货物或应税劳务，支付运输费用，所支付款项的单位，必须与开具抵扣凭证的销货单位、提供劳务的单位一致，……。”的规定。</w:t>
      </w:r>
    </w:p>
    <w:p w14:paraId="78D58017">
      <w:pPr>
        <w:ind w:firstLine="560"/>
        <w:rPr>
          <w:rFonts w:hint="eastAsia" w:ascii="楷体" w:hAnsi="楷体" w:eastAsia="楷体"/>
          <w:sz w:val="28"/>
          <w:szCs w:val="28"/>
        </w:rPr>
      </w:pPr>
      <w:r>
        <w:rPr>
          <w:rFonts w:hint="eastAsia" w:ascii="楷体" w:hAnsi="楷体" w:eastAsia="楷体"/>
          <w:sz w:val="28"/>
          <w:szCs w:val="28"/>
        </w:rPr>
        <w:t>(四)未编制并报批项目实施方案或类似资料</w:t>
      </w:r>
    </w:p>
    <w:p w14:paraId="3EB3E72B">
      <w:pPr>
        <w:ind w:firstLine="560"/>
        <w:rPr>
          <w:rFonts w:hint="eastAsia"/>
          <w:sz w:val="28"/>
          <w:szCs w:val="28"/>
        </w:rPr>
      </w:pPr>
      <w:r>
        <w:rPr>
          <w:rFonts w:hint="eastAsia"/>
          <w:sz w:val="28"/>
          <w:szCs w:val="28"/>
        </w:rPr>
        <w:t>2023年度，投资促进局仅据招商引资活动目的地制订并报批《外出招商方案》，未制订并报批项目整体实施方案、招商引资计划书或类似资料，不符合《国务院关于进一步深化预算管理制度改革的意见》（国发〔2021〕5号）第四条第（十四）项“……做实做细项目储备，纳入预算项目库的项目应当按规定完成可行性研究论证、制定具体实施计划等各项前期工作，做到预算一经批准即可实施，……。” 和《关于推进预算绩效管理的指导意见》（财预[2011]416号）第三条第（一）项第1款“……预算绩效计划要详细说明为达到绩效目标拟采取的工作程序、方式方法、资金需求、信息资源等，并有明确的职责和分工。”的规定。</w:t>
      </w:r>
    </w:p>
    <w:bookmarkEnd w:id="51"/>
    <w:bookmarkEnd w:id="52"/>
    <w:bookmarkEnd w:id="53"/>
    <w:bookmarkEnd w:id="54"/>
    <w:bookmarkEnd w:id="55"/>
    <w:bookmarkEnd w:id="56"/>
    <w:bookmarkEnd w:id="57"/>
    <w:p w14:paraId="1D172A98">
      <w:pPr>
        <w:ind w:firstLine="560"/>
        <w:rPr>
          <w:rFonts w:hint="eastAsia" w:ascii="黑体" w:hAnsi="黑体" w:eastAsia="黑体" w:cs="黑体"/>
          <w:sz w:val="28"/>
          <w:szCs w:val="28"/>
        </w:rPr>
      </w:pPr>
      <w:bookmarkStart w:id="61" w:name="_Toc498009790"/>
      <w:bookmarkStart w:id="62" w:name="_Toc502134879"/>
      <w:r>
        <w:rPr>
          <w:rFonts w:hint="eastAsia" w:ascii="黑体" w:hAnsi="黑体" w:eastAsia="黑体" w:cs="黑体"/>
          <w:sz w:val="28"/>
          <w:szCs w:val="28"/>
        </w:rPr>
        <w:t>八、建议</w:t>
      </w:r>
      <w:bookmarkEnd w:id="61"/>
      <w:bookmarkEnd w:id="62"/>
      <w:bookmarkStart w:id="63" w:name="_Toc498009791"/>
      <w:bookmarkStart w:id="64" w:name="_Toc500364185"/>
      <w:bookmarkStart w:id="65" w:name="_Toc500202569"/>
      <w:bookmarkStart w:id="66" w:name="_Toc502134880"/>
      <w:bookmarkStart w:id="67" w:name="_Toc500440031"/>
      <w:bookmarkStart w:id="68" w:name="_Toc500589028"/>
      <w:bookmarkStart w:id="69" w:name="_Toc500849317"/>
    </w:p>
    <w:bookmarkEnd w:id="63"/>
    <w:bookmarkEnd w:id="64"/>
    <w:bookmarkEnd w:id="65"/>
    <w:bookmarkEnd w:id="66"/>
    <w:bookmarkEnd w:id="67"/>
    <w:bookmarkEnd w:id="68"/>
    <w:bookmarkEnd w:id="69"/>
    <w:p w14:paraId="32E070F3">
      <w:pPr>
        <w:ind w:firstLine="495" w:firstLineChars="177"/>
        <w:rPr>
          <w:rFonts w:hint="eastAsia" w:ascii="楷体" w:hAnsi="楷体" w:eastAsia="楷体" w:cs="仿宋"/>
          <w:sz w:val="28"/>
          <w:szCs w:val="28"/>
        </w:rPr>
      </w:pPr>
      <w:r>
        <w:rPr>
          <w:rFonts w:hint="eastAsia" w:ascii="楷体" w:hAnsi="楷体" w:eastAsia="楷体" w:cs="仿宋"/>
          <w:sz w:val="28"/>
          <w:szCs w:val="28"/>
        </w:rPr>
        <w:t>(一)加强绩效评价结果应用</w:t>
      </w:r>
    </w:p>
    <w:p w14:paraId="6759F563">
      <w:pPr>
        <w:ind w:firstLine="495" w:firstLineChars="177"/>
        <w:rPr>
          <w:rFonts w:hint="eastAsia"/>
          <w:sz w:val="28"/>
          <w:szCs w:val="28"/>
        </w:rPr>
      </w:pPr>
      <w:r>
        <w:rPr>
          <w:rFonts w:hint="eastAsia"/>
          <w:sz w:val="28"/>
          <w:szCs w:val="28"/>
        </w:rPr>
        <w:t>1.切实加强绩效评价结果运用</w:t>
      </w:r>
    </w:p>
    <w:p w14:paraId="0127D260">
      <w:pPr>
        <w:ind w:firstLine="495" w:firstLineChars="177"/>
        <w:rPr>
          <w:rFonts w:hint="eastAsia"/>
          <w:sz w:val="28"/>
          <w:szCs w:val="28"/>
        </w:rPr>
      </w:pPr>
      <w:r>
        <w:rPr>
          <w:rFonts w:hint="eastAsia"/>
          <w:sz w:val="28"/>
          <w:szCs w:val="28"/>
        </w:rPr>
        <w:t>按照《中华人民共和国预算法》等法律法规的规定，在预算绩效审核、审批、监督检查时，切实将绩效评价结果作为下一年度预算安排及相关责任落实的依据之一。同时根据《中共中央、国务院关于全面实施预算绩效管理的意见》（中发〔201</w:t>
      </w:r>
      <w:r>
        <w:rPr>
          <w:sz w:val="28"/>
          <w:szCs w:val="28"/>
        </w:rPr>
        <w:t>8</w:t>
      </w:r>
      <w:r>
        <w:rPr>
          <w:rFonts w:hint="eastAsia"/>
          <w:sz w:val="28"/>
          <w:szCs w:val="28"/>
        </w:rPr>
        <w:t>〕34号）第八条第（十八）项“……各级政府要将预算绩效结果纳入政府绩效和干部政绩考核体系，作为领导干部选拔任用、公务员考核的重要参考。……。”的规定，将绩效评价结果作为单位及单位相关负责人评优、评先、晋升、考核考评的必要依据之一。切实贯彻执行“预算编制有目标、预算执行有监控、预算完成有评价、评价结果有反馈、反馈结果有应用”和“谁用钱谁负责，用钱必问效，无效要问责”的预算绩效管理原则。</w:t>
      </w:r>
    </w:p>
    <w:p w14:paraId="6FBE6691">
      <w:pPr>
        <w:ind w:firstLine="495" w:firstLineChars="177"/>
        <w:rPr>
          <w:rFonts w:hint="eastAsia"/>
          <w:sz w:val="28"/>
          <w:szCs w:val="28"/>
        </w:rPr>
      </w:pPr>
      <w:r>
        <w:rPr>
          <w:sz w:val="28"/>
          <w:szCs w:val="28"/>
        </w:rPr>
        <w:t>2.</w:t>
      </w:r>
      <w:r>
        <w:rPr>
          <w:rFonts w:hint="eastAsia"/>
          <w:sz w:val="28"/>
          <w:szCs w:val="28"/>
        </w:rPr>
        <w:t>提高对绩效评价及评价结果应用重要性的认识</w:t>
      </w:r>
    </w:p>
    <w:p w14:paraId="7671C3A2">
      <w:pPr>
        <w:ind w:firstLine="495" w:firstLineChars="177"/>
        <w:rPr>
          <w:rFonts w:hint="eastAsia"/>
          <w:sz w:val="28"/>
          <w:szCs w:val="28"/>
        </w:rPr>
      </w:pPr>
      <w:r>
        <w:rPr>
          <w:rFonts w:hint="eastAsia"/>
          <w:sz w:val="28"/>
          <w:szCs w:val="28"/>
        </w:rPr>
        <w:t>高度重视绩效评价及评价结果的应用工作，充分发挥绩效评价“以评促管”效能，积极探索和建立一套与预算管理相结合、多渠道应用评价结果的有效机制，努力提高绩效意识和财政资金使用效益。充分认识到进一步深化预算管理制度改革的重要意义。</w:t>
      </w:r>
    </w:p>
    <w:p w14:paraId="056B0615">
      <w:pPr>
        <w:ind w:firstLine="495" w:firstLineChars="177"/>
        <w:rPr>
          <w:rFonts w:hint="eastAsia"/>
          <w:sz w:val="28"/>
          <w:szCs w:val="28"/>
        </w:rPr>
      </w:pPr>
      <w:r>
        <w:rPr>
          <w:sz w:val="28"/>
          <w:szCs w:val="28"/>
        </w:rPr>
        <w:t>3.</w:t>
      </w:r>
      <w:r>
        <w:rPr>
          <w:rFonts w:hint="eastAsia"/>
          <w:sz w:val="28"/>
          <w:szCs w:val="28"/>
        </w:rPr>
        <w:t>建立评价结果反馈与整改机制</w:t>
      </w:r>
    </w:p>
    <w:p w14:paraId="75D4FA37">
      <w:pPr>
        <w:ind w:firstLine="495" w:firstLineChars="177"/>
        <w:rPr>
          <w:rFonts w:hint="eastAsia"/>
          <w:sz w:val="28"/>
          <w:szCs w:val="28"/>
        </w:rPr>
      </w:pPr>
      <w:r>
        <w:rPr>
          <w:rFonts w:hint="eastAsia"/>
          <w:sz w:val="28"/>
          <w:szCs w:val="28"/>
        </w:rPr>
        <w:t>评价结果反馈与整改是绩效评价工作的重要内容和组成部分。财政主管部门要在评价工作结束后，以正式文件或反馈书的形式，将评价项目绩效情况、存在的问题及相关建议反馈给被评价单位，并督促其落实整改，以增强绩效评价工作的约束力。被评价单位要针对项目实施中存在的问题和建议进行认真整改，并将落实整改情况以整改报告书的形式反馈财政主管部门。</w:t>
      </w:r>
    </w:p>
    <w:p w14:paraId="068FFEBA">
      <w:pPr>
        <w:ind w:firstLine="495" w:firstLineChars="177"/>
        <w:rPr>
          <w:rFonts w:hint="eastAsia" w:ascii="楷体" w:hAnsi="楷体" w:eastAsia="楷体" w:cs="仿宋"/>
          <w:sz w:val="28"/>
          <w:szCs w:val="28"/>
        </w:rPr>
      </w:pPr>
      <w:r>
        <w:rPr>
          <w:rFonts w:hint="eastAsia" w:ascii="楷体" w:hAnsi="楷体" w:eastAsia="楷体" w:cs="仿宋"/>
          <w:sz w:val="28"/>
          <w:szCs w:val="28"/>
        </w:rPr>
        <w:t>(二</w:t>
      </w:r>
      <w:r>
        <w:rPr>
          <w:rFonts w:ascii="楷体" w:hAnsi="楷体" w:eastAsia="楷体" w:cs="仿宋"/>
          <w:sz w:val="28"/>
          <w:szCs w:val="28"/>
        </w:rPr>
        <w:t>)</w:t>
      </w:r>
      <w:r>
        <w:rPr>
          <w:rFonts w:hint="eastAsia" w:ascii="楷体" w:hAnsi="楷体" w:eastAsia="楷体" w:cs="仿宋"/>
          <w:sz w:val="28"/>
          <w:szCs w:val="28"/>
        </w:rPr>
        <w:t>强化预算绩效目标管理主体责任</w:t>
      </w:r>
    </w:p>
    <w:p w14:paraId="5D2BEB07">
      <w:pPr>
        <w:ind w:firstLine="495" w:firstLineChars="177"/>
        <w:rPr>
          <w:rFonts w:hint="eastAsia"/>
          <w:sz w:val="28"/>
          <w:szCs w:val="28"/>
        </w:rPr>
      </w:pPr>
      <w:r>
        <w:rPr>
          <w:rFonts w:hint="eastAsia"/>
          <w:sz w:val="28"/>
          <w:szCs w:val="28"/>
        </w:rPr>
        <w:t>1</w:t>
      </w:r>
      <w:r>
        <w:rPr>
          <w:sz w:val="28"/>
          <w:szCs w:val="28"/>
        </w:rPr>
        <w:t>.</w:t>
      </w:r>
      <w:r>
        <w:rPr>
          <w:rFonts w:hint="eastAsia"/>
          <w:sz w:val="28"/>
          <w:szCs w:val="28"/>
        </w:rPr>
        <w:t>强化绩效目标管理主体责任</w:t>
      </w:r>
    </w:p>
    <w:p w14:paraId="78E453FD">
      <w:pPr>
        <w:ind w:firstLine="495" w:firstLineChars="177"/>
        <w:rPr>
          <w:rFonts w:hint="eastAsia"/>
          <w:sz w:val="28"/>
          <w:szCs w:val="28"/>
        </w:rPr>
      </w:pPr>
      <w:r>
        <w:rPr>
          <w:rFonts w:hint="eastAsia"/>
          <w:sz w:val="28"/>
          <w:szCs w:val="28"/>
        </w:rPr>
        <w:t>各部门、各单位在编制年度绩效目标时，应切实履行绩效目标管理主体责任，结合部门中长期规划、部门职能职责及年度的主要工作任务，梳理完善部门总体绩效目标和年度绩效目标，根据绩效目标确定具体的绩效指标，并设定清晰明确、规范完整、充分全面、最能体现总体目标实现程度的关键性、最具代表性、最能直接反映产出和效益的核心指标并明确具体指标值。</w:t>
      </w:r>
    </w:p>
    <w:p w14:paraId="6A77190D">
      <w:pPr>
        <w:ind w:firstLine="495" w:firstLineChars="177"/>
        <w:rPr>
          <w:rFonts w:hint="eastAsia"/>
          <w:sz w:val="28"/>
          <w:szCs w:val="28"/>
        </w:rPr>
      </w:pPr>
      <w:r>
        <w:rPr>
          <w:rFonts w:hint="eastAsia"/>
          <w:sz w:val="28"/>
          <w:szCs w:val="28"/>
        </w:rPr>
        <w:t>2</w:t>
      </w:r>
      <w:r>
        <w:rPr>
          <w:sz w:val="28"/>
          <w:szCs w:val="28"/>
        </w:rPr>
        <w:t>.</w:t>
      </w:r>
      <w:r>
        <w:rPr>
          <w:rFonts w:hint="eastAsia"/>
          <w:sz w:val="28"/>
          <w:szCs w:val="28"/>
        </w:rPr>
        <w:t>强化绩效运行跟踪监控主体责任</w:t>
      </w:r>
    </w:p>
    <w:p w14:paraId="76090992">
      <w:pPr>
        <w:ind w:firstLine="495" w:firstLineChars="177"/>
        <w:rPr>
          <w:rFonts w:hint="eastAsia"/>
          <w:sz w:val="28"/>
          <w:szCs w:val="28"/>
        </w:rPr>
      </w:pPr>
      <w:r>
        <w:rPr>
          <w:rFonts w:hint="eastAsia"/>
          <w:sz w:val="28"/>
          <w:szCs w:val="28"/>
        </w:rPr>
        <w:t>各单位、各部门应建立并执行项目支出绩效运行跟踪监控机制，切实履行绩效跟踪监控主体责任，预算执行过程中及时对项目支出的绩效目标运行情况进行全覆盖跟踪监控管理，形成绩效跟踪监控报告或类似资料，定期采集绩效运行信息并汇总分析，对绩效目标运行情况进行跟踪管理和督促检查、纠偏扬长，发现绩效运行目标与预期绩效目标发生偏离时，要及时采取措施予以纠正。</w:t>
      </w:r>
    </w:p>
    <w:p w14:paraId="53C11DEC">
      <w:pPr>
        <w:ind w:firstLine="495" w:firstLineChars="177"/>
        <w:rPr>
          <w:rFonts w:hint="eastAsia"/>
          <w:sz w:val="28"/>
          <w:szCs w:val="28"/>
        </w:rPr>
      </w:pPr>
      <w:r>
        <w:rPr>
          <w:sz w:val="28"/>
          <w:szCs w:val="28"/>
        </w:rPr>
        <w:t>3.</w:t>
      </w:r>
      <w:r>
        <w:rPr>
          <w:rFonts w:hint="eastAsia"/>
          <w:sz w:val="28"/>
          <w:szCs w:val="28"/>
        </w:rPr>
        <w:t>加强绩效评价指标体系建设</w:t>
      </w:r>
    </w:p>
    <w:p w14:paraId="32A5D88D">
      <w:pPr>
        <w:ind w:firstLine="495" w:firstLineChars="177"/>
        <w:rPr>
          <w:rFonts w:hint="eastAsia"/>
          <w:sz w:val="28"/>
          <w:szCs w:val="28"/>
        </w:rPr>
      </w:pPr>
      <w:r>
        <w:rPr>
          <w:rFonts w:hint="eastAsia"/>
          <w:sz w:val="28"/>
          <w:szCs w:val="28"/>
        </w:rPr>
        <w:t>进一步加大绩效评价制度建设和完善</w:t>
      </w:r>
      <w:bookmarkStart w:id="70" w:name="_Hlk138864084"/>
      <w:r>
        <w:rPr>
          <w:rFonts w:hint="eastAsia"/>
          <w:sz w:val="28"/>
          <w:szCs w:val="28"/>
        </w:rPr>
        <w:t>绩效评价指标体系建设</w:t>
      </w:r>
      <w:bookmarkEnd w:id="70"/>
      <w:r>
        <w:rPr>
          <w:rFonts w:hint="eastAsia"/>
          <w:sz w:val="28"/>
          <w:szCs w:val="28"/>
        </w:rPr>
        <w:t>，在制度上加强规范管理，在执行中加大督促力度，让绩效评价工作真正走上制度化、规范化、标准化的新台阶，加强领导、统一思想、明确责任，制定由相关部门牵头、各部门参与的绩效评价管理制度和绩效评价指标体系建设。</w:t>
      </w:r>
    </w:p>
    <w:p w14:paraId="1F716FB1">
      <w:pPr>
        <w:ind w:firstLine="495" w:firstLineChars="177"/>
        <w:rPr>
          <w:rFonts w:hint="eastAsia" w:ascii="楷体" w:hAnsi="楷体" w:eastAsia="楷体" w:cs="仿宋"/>
          <w:sz w:val="28"/>
          <w:szCs w:val="28"/>
        </w:rPr>
      </w:pPr>
      <w:r>
        <w:rPr>
          <w:rFonts w:hint="eastAsia" w:ascii="楷体" w:hAnsi="楷体" w:eastAsia="楷体" w:cs="仿宋"/>
          <w:sz w:val="28"/>
          <w:szCs w:val="28"/>
        </w:rPr>
        <w:t>(三)加强学习，提高认识</w:t>
      </w:r>
    </w:p>
    <w:p w14:paraId="5DD6A44D">
      <w:pPr>
        <w:ind w:firstLine="495" w:firstLineChars="177"/>
        <w:rPr>
          <w:rFonts w:hint="eastAsia"/>
          <w:sz w:val="28"/>
          <w:szCs w:val="28"/>
        </w:rPr>
      </w:pPr>
      <w:r>
        <w:rPr>
          <w:rFonts w:hint="eastAsia"/>
          <w:sz w:val="28"/>
          <w:szCs w:val="28"/>
        </w:rPr>
        <w:t>认真学习并严格按照《中华人民共和国预算法》、《中华人民共和国会计法》、《政府会计制度》、《政府会计准则》及运用指南和解释等系列法律法规，规范资金使用合规性和会计核算准确性。对项目具体实施单位资金使用、管理等情况进行有效的日常财务监控检查，保障项目资金合法合规使用，保证项目资金安全和专款专用。</w:t>
      </w:r>
    </w:p>
    <w:p w14:paraId="4B2CF70A">
      <w:pPr>
        <w:ind w:firstLine="495" w:firstLineChars="177"/>
        <w:rPr>
          <w:rFonts w:hint="eastAsia"/>
          <w:sz w:val="28"/>
          <w:szCs w:val="28"/>
        </w:rPr>
      </w:pPr>
      <w:r>
        <w:rPr>
          <w:rFonts w:hint="eastAsia"/>
          <w:sz w:val="28"/>
          <w:szCs w:val="28"/>
        </w:rPr>
        <w:t>切实转变思想观念，牢固树立绩效意识，深入贯彻落实科学发展观，完善公共财政体系，推进财政科学化精细化管理，强化预算支出的责任和效率，提高财政资金使用效益。</w:t>
      </w:r>
    </w:p>
    <w:p w14:paraId="170E06EA">
      <w:pPr>
        <w:ind w:firstLine="495" w:firstLineChars="177"/>
        <w:rPr>
          <w:rFonts w:hint="eastAsia" w:ascii="楷体" w:hAnsi="楷体" w:eastAsia="楷体" w:cs="仿宋"/>
          <w:sz w:val="28"/>
          <w:szCs w:val="28"/>
        </w:rPr>
      </w:pPr>
      <w:r>
        <w:rPr>
          <w:rFonts w:hint="eastAsia" w:ascii="楷体" w:hAnsi="楷体" w:eastAsia="楷体" w:cs="仿宋"/>
          <w:sz w:val="28"/>
          <w:szCs w:val="28"/>
        </w:rPr>
        <w:t>(四)关于绩效管理的建议</w:t>
      </w:r>
    </w:p>
    <w:p w14:paraId="102BEF0A">
      <w:pPr>
        <w:ind w:firstLine="495" w:firstLineChars="177"/>
        <w:rPr>
          <w:rFonts w:hint="eastAsia"/>
          <w:sz w:val="28"/>
          <w:szCs w:val="28"/>
        </w:rPr>
      </w:pPr>
      <w:r>
        <w:rPr>
          <w:rFonts w:hint="eastAsia"/>
          <w:sz w:val="28"/>
          <w:szCs w:val="28"/>
        </w:rPr>
        <w:t>1.绩效目标管理</w:t>
      </w:r>
    </w:p>
    <w:p w14:paraId="007E16AC">
      <w:pPr>
        <w:ind w:firstLine="495" w:firstLineChars="177"/>
        <w:rPr>
          <w:rFonts w:hint="eastAsia"/>
          <w:sz w:val="28"/>
          <w:szCs w:val="28"/>
        </w:rPr>
      </w:pPr>
      <w:r>
        <w:rPr>
          <w:rFonts w:hint="eastAsia"/>
          <w:sz w:val="28"/>
          <w:szCs w:val="28"/>
        </w:rPr>
        <w:t>按照“谁申报预算谁设定”的原则，预算单位在绩效目标管理方面的职责，主要是绩效目标的设定。建议按以下方法设定项目绩效目标：</w:t>
      </w:r>
    </w:p>
    <w:p w14:paraId="00387544">
      <w:pPr>
        <w:ind w:firstLine="495" w:firstLineChars="177"/>
        <w:rPr>
          <w:rFonts w:hint="eastAsia"/>
          <w:sz w:val="28"/>
          <w:szCs w:val="28"/>
        </w:rPr>
      </w:pPr>
      <w:r>
        <w:rPr>
          <w:rFonts w:hint="eastAsia"/>
          <w:sz w:val="28"/>
          <w:szCs w:val="28"/>
        </w:rPr>
        <w:t>(1)梳理项目功能：对项目的功能进行梳理，包括资金性质、预期投入、支出范围、实施内容、工作任务、受益对象等，明确项目的功能特性。尤其是产出数量指标的设定，须根据项目实施内容和工作任务数量，充分、全面设定数量指标。</w:t>
      </w:r>
    </w:p>
    <w:p w14:paraId="10F76EB3">
      <w:pPr>
        <w:ind w:firstLine="495" w:firstLineChars="177"/>
        <w:rPr>
          <w:rFonts w:hint="eastAsia"/>
          <w:sz w:val="28"/>
          <w:szCs w:val="28"/>
        </w:rPr>
      </w:pPr>
      <w:r>
        <w:rPr>
          <w:rFonts w:hint="eastAsia"/>
          <w:sz w:val="28"/>
          <w:szCs w:val="28"/>
        </w:rPr>
        <w:t>(2)确定总体目标：依据项目的功能特性，预计项目实施在一定时期内所要达到的总体产出和效果，确定项目所要实现的总体目标，并以定量和定性相结合的方式进行表述。</w:t>
      </w:r>
    </w:p>
    <w:p w14:paraId="7F5E8274">
      <w:pPr>
        <w:ind w:firstLine="495" w:firstLineChars="177"/>
        <w:rPr>
          <w:rFonts w:hint="eastAsia"/>
          <w:sz w:val="28"/>
          <w:szCs w:val="28"/>
        </w:rPr>
      </w:pPr>
      <w:r>
        <w:rPr>
          <w:rFonts w:hint="eastAsia"/>
          <w:sz w:val="28"/>
          <w:szCs w:val="28"/>
        </w:rPr>
        <w:t>(3)确定绩效指标：对项目支出总体目标进行细化分解，从中概括、提炼出最能反映总体目标预期实现程度的关键性指标，并将其确定为相应的绩效指标。</w:t>
      </w:r>
    </w:p>
    <w:p w14:paraId="67BFA422">
      <w:pPr>
        <w:ind w:firstLine="495" w:firstLineChars="177"/>
        <w:rPr>
          <w:rFonts w:hint="eastAsia"/>
          <w:sz w:val="28"/>
          <w:szCs w:val="28"/>
        </w:rPr>
      </w:pPr>
      <w:r>
        <w:rPr>
          <w:rFonts w:hint="eastAsia"/>
          <w:sz w:val="28"/>
          <w:szCs w:val="28"/>
        </w:rPr>
        <w:t>(4)确定指标值：通过收集相关基准数据，确定绩效标准，并结合项目预期进展、预计投入等情况，确定绩效指标的具体数值。</w:t>
      </w:r>
    </w:p>
    <w:p w14:paraId="3E08A044">
      <w:pPr>
        <w:ind w:firstLine="495" w:firstLineChars="177"/>
        <w:rPr>
          <w:rFonts w:hint="eastAsia"/>
          <w:sz w:val="28"/>
          <w:szCs w:val="28"/>
        </w:rPr>
      </w:pPr>
      <w:r>
        <w:rPr>
          <w:rFonts w:hint="eastAsia"/>
          <w:sz w:val="28"/>
          <w:szCs w:val="28"/>
        </w:rPr>
        <w:t>2.绩效自评</w:t>
      </w:r>
    </w:p>
    <w:p w14:paraId="6BF92A77">
      <w:pPr>
        <w:ind w:firstLine="495" w:firstLineChars="177"/>
        <w:rPr>
          <w:rFonts w:hint="eastAsia"/>
          <w:sz w:val="28"/>
          <w:szCs w:val="28"/>
        </w:rPr>
      </w:pPr>
      <w:r>
        <w:rPr>
          <w:rFonts w:hint="eastAsia"/>
          <w:sz w:val="28"/>
          <w:szCs w:val="28"/>
        </w:rPr>
        <w:t>绩效自评是预算单位主体责任之一，按照绩效评价管理原则，须先有项目产出和效果的绩效自评结果，才有预算主管部门的绩效评价基础。自评程序及方法建议如下：</w:t>
      </w:r>
    </w:p>
    <w:p w14:paraId="50DF084C">
      <w:pPr>
        <w:ind w:firstLine="495" w:firstLineChars="177"/>
        <w:rPr>
          <w:rFonts w:hint="eastAsia"/>
          <w:sz w:val="28"/>
          <w:szCs w:val="28"/>
        </w:rPr>
      </w:pPr>
      <w:r>
        <w:rPr>
          <w:rFonts w:hint="eastAsia"/>
          <w:sz w:val="28"/>
          <w:szCs w:val="28"/>
        </w:rPr>
        <w:t>(1)遵循“目标引领、科学规范、客观公正、结果导向”的原则。</w:t>
      </w:r>
    </w:p>
    <w:p w14:paraId="174E2933">
      <w:pPr>
        <w:ind w:firstLine="495" w:firstLineChars="177"/>
        <w:rPr>
          <w:rFonts w:hint="eastAsia"/>
          <w:sz w:val="28"/>
          <w:szCs w:val="28"/>
        </w:rPr>
      </w:pPr>
      <w:r>
        <w:rPr>
          <w:rFonts w:hint="eastAsia"/>
          <w:sz w:val="28"/>
          <w:szCs w:val="28"/>
        </w:rPr>
        <w:t>(2)拟定评价计划。明确评价组织实施方式，确定评价目的、内容、任务、依据、评价时间及要求等方面的情况。</w:t>
      </w:r>
    </w:p>
    <w:p w14:paraId="2C8F37FC">
      <w:pPr>
        <w:ind w:firstLine="495" w:firstLineChars="177"/>
        <w:rPr>
          <w:rFonts w:hint="eastAsia"/>
          <w:sz w:val="28"/>
          <w:szCs w:val="28"/>
        </w:rPr>
      </w:pPr>
      <w:r>
        <w:rPr>
          <w:rFonts w:hint="eastAsia"/>
          <w:sz w:val="28"/>
          <w:szCs w:val="28"/>
        </w:rPr>
        <w:t>(3)根据评价计划拟定组织实施方案、评价指标体系等具体评价方案。</w:t>
      </w:r>
    </w:p>
    <w:p w14:paraId="0D6389B4">
      <w:pPr>
        <w:ind w:firstLine="495" w:firstLineChars="177"/>
        <w:rPr>
          <w:rFonts w:hint="eastAsia"/>
          <w:sz w:val="28"/>
          <w:szCs w:val="28"/>
        </w:rPr>
      </w:pPr>
      <w:r>
        <w:rPr>
          <w:rFonts w:hint="eastAsia"/>
          <w:sz w:val="28"/>
          <w:szCs w:val="28"/>
        </w:rPr>
        <w:t>(4)收集项目资料，采集项目数据，形成评价底稿。</w:t>
      </w:r>
    </w:p>
    <w:p w14:paraId="3EA678FC">
      <w:pPr>
        <w:ind w:firstLine="495" w:firstLineChars="177"/>
        <w:rPr>
          <w:rFonts w:hint="eastAsia"/>
          <w:sz w:val="28"/>
          <w:szCs w:val="28"/>
        </w:rPr>
      </w:pPr>
      <w:r>
        <w:rPr>
          <w:rFonts w:hint="eastAsia"/>
          <w:sz w:val="28"/>
          <w:szCs w:val="28"/>
        </w:rPr>
        <w:t>①项目资料包括但不限于（可以是电子资料和数据，但需随函附上目录清单）：a.资金支出明细账、完工项目验收资料（基本建设项目还应包括财务决算审计报告、竣工财务决算批复文件等）；b.项目申报立项的文件资料、项目调整的文件资料、资金管理办法、项目组织实施有关规定、资金支出总账等；c.反映绩效评价指标所对应绩效点的相关佐证材料，如：项目所提供公共产品数量的证明，项目所产生经济效益的凭证。</w:t>
      </w:r>
    </w:p>
    <w:p w14:paraId="137C370A">
      <w:pPr>
        <w:ind w:firstLine="495" w:firstLineChars="177"/>
        <w:rPr>
          <w:rFonts w:hint="eastAsia"/>
          <w:sz w:val="28"/>
          <w:szCs w:val="28"/>
        </w:rPr>
      </w:pPr>
      <w:r>
        <w:rPr>
          <w:rFonts w:hint="eastAsia"/>
          <w:sz w:val="28"/>
          <w:szCs w:val="28"/>
        </w:rPr>
        <w:t>②完成自评底稿：a.详细记录评价数据及其来源；b.详细记录自评方法和过程；c.根据采集的数据和证据资料，计算每个绩效指标的实际指标值，并与目标值比较，并详细记录于底稿；d.详细记录每一个绩效指标的评价分值的计算过程及依据；e.详细记录绩效偏差原因分析及改进措施。</w:t>
      </w:r>
    </w:p>
    <w:p w14:paraId="1F5825CB">
      <w:pPr>
        <w:ind w:firstLine="495" w:firstLineChars="177"/>
        <w:rPr>
          <w:rFonts w:hint="eastAsia"/>
          <w:sz w:val="28"/>
          <w:szCs w:val="28"/>
        </w:rPr>
      </w:pPr>
      <w:r>
        <w:rPr>
          <w:rFonts w:hint="eastAsia"/>
          <w:sz w:val="28"/>
          <w:szCs w:val="28"/>
        </w:rPr>
        <w:t>(5)编制绩效自评报告。绩效自评报告的参考格式参照《项目支出绩效评价管理办法》（财预〔2020〕10 号）附件。</w:t>
      </w:r>
    </w:p>
    <w:p w14:paraId="13AEA834">
      <w:pPr>
        <w:ind w:firstLine="495" w:firstLineChars="177"/>
        <w:rPr>
          <w:rFonts w:hint="eastAsia"/>
          <w:sz w:val="28"/>
          <w:szCs w:val="28"/>
        </w:rPr>
      </w:pPr>
      <w:r>
        <w:rPr>
          <w:rFonts w:hint="eastAsia"/>
          <w:sz w:val="28"/>
          <w:szCs w:val="28"/>
        </w:rPr>
        <w:t>3.绩效运行跟踪监控</w:t>
      </w:r>
    </w:p>
    <w:p w14:paraId="2E7782FF">
      <w:pPr>
        <w:ind w:firstLine="495" w:firstLineChars="177"/>
        <w:rPr>
          <w:rFonts w:hint="eastAsia"/>
          <w:sz w:val="28"/>
          <w:szCs w:val="28"/>
        </w:rPr>
      </w:pPr>
      <w:r>
        <w:rPr>
          <w:rFonts w:hint="eastAsia"/>
          <w:sz w:val="28"/>
          <w:szCs w:val="28"/>
        </w:rPr>
        <w:t>在项目执行过程中，单位应采取绩效跟踪、数据核查和实地调研等动态监控方式，及时掌控项目的进展和资金使用情况，及时纠正偏离预算绩效目标的行为。</w:t>
      </w:r>
    </w:p>
    <w:p w14:paraId="0E6A175C">
      <w:pPr>
        <w:ind w:firstLine="495" w:firstLineChars="177"/>
        <w:rPr>
          <w:rFonts w:hint="eastAsia"/>
          <w:sz w:val="28"/>
          <w:szCs w:val="28"/>
        </w:rPr>
      </w:pPr>
      <w:r>
        <w:rPr>
          <w:rFonts w:hint="eastAsia"/>
          <w:sz w:val="28"/>
          <w:szCs w:val="28"/>
        </w:rPr>
        <w:t>跟踪方法：目标比较法，即定期采集绩效运行信息并汇总分析，将财政资金的绩效实现情况与预期绩效目标（即预算批复的绩效目标）进行比较，围绕预算执行、任务完成、实施措施、资金管理及使用、效益情况等进行分析评判。</w:t>
      </w:r>
    </w:p>
    <w:p w14:paraId="170EE1CA">
      <w:pPr>
        <w:ind w:firstLine="495" w:firstLineChars="177"/>
        <w:rPr>
          <w:rFonts w:hint="eastAsia"/>
          <w:sz w:val="28"/>
          <w:szCs w:val="28"/>
        </w:rPr>
      </w:pPr>
      <w:r>
        <w:rPr>
          <w:rFonts w:hint="eastAsia" w:ascii="楷体" w:hAnsi="楷体" w:eastAsia="楷体" w:cs="仿宋"/>
          <w:sz w:val="28"/>
          <w:szCs w:val="28"/>
        </w:rPr>
        <w:t>(五</w:t>
      </w:r>
      <w:r>
        <w:rPr>
          <w:rFonts w:ascii="楷体" w:hAnsi="楷体" w:eastAsia="楷体" w:cs="仿宋"/>
          <w:sz w:val="28"/>
          <w:szCs w:val="28"/>
        </w:rPr>
        <w:t>)</w:t>
      </w:r>
      <w:r>
        <w:rPr>
          <w:rFonts w:hint="eastAsia" w:ascii="楷体" w:hAnsi="楷体" w:eastAsia="楷体" w:cs="仿宋"/>
          <w:sz w:val="28"/>
          <w:szCs w:val="28"/>
        </w:rPr>
        <w:t>具体问题处理建议</w:t>
      </w:r>
    </w:p>
    <w:p w14:paraId="1236AFC2">
      <w:pPr>
        <w:ind w:firstLine="560"/>
        <w:rPr>
          <w:rFonts w:hint="eastAsia" w:cs="仿宋"/>
          <w:sz w:val="28"/>
          <w:szCs w:val="28"/>
        </w:rPr>
      </w:pPr>
      <w:r>
        <w:rPr>
          <w:rFonts w:hint="eastAsia" w:cs="仿宋"/>
          <w:sz w:val="28"/>
          <w:szCs w:val="28"/>
        </w:rPr>
        <w:t>1.针对上述“超范围使用招商引资工作经费”的问题，建议投资促进局严肃财经纪律，杜绝挤占、挪用项目经费的情况，纠正项目经费与公用经费混报预算的错误做法。</w:t>
      </w:r>
    </w:p>
    <w:p w14:paraId="6BFD4072">
      <w:pPr>
        <w:ind w:firstLine="560"/>
        <w:rPr>
          <w:rFonts w:hint="eastAsia" w:cs="仿宋"/>
          <w:sz w:val="28"/>
          <w:szCs w:val="28"/>
        </w:rPr>
      </w:pPr>
      <w:r>
        <w:rPr>
          <w:rFonts w:hint="eastAsia" w:cs="仿宋"/>
          <w:sz w:val="28"/>
          <w:szCs w:val="28"/>
        </w:rPr>
        <w:t>2.针对上述“公务采购“三流”不一致”、“未编制并报批项目实施方案或类似资料”的问题，建议投资促进局加强财务管理和业务管理，严格执行财经法规规定，严肃财经纪律，依法行政。</w:t>
      </w:r>
    </w:p>
    <w:p w14:paraId="6B6D40FE">
      <w:pPr>
        <w:ind w:firstLine="560"/>
        <w:rPr>
          <w:rFonts w:hint="eastAsia" w:cs="仿宋"/>
          <w:sz w:val="28"/>
          <w:szCs w:val="28"/>
        </w:rPr>
      </w:pPr>
    </w:p>
    <w:p w14:paraId="09F021C7">
      <w:pPr>
        <w:ind w:firstLine="560"/>
        <w:rPr>
          <w:rFonts w:hint="eastAsia" w:cs="仿宋"/>
          <w:sz w:val="28"/>
          <w:szCs w:val="28"/>
        </w:rPr>
      </w:pPr>
      <w:r>
        <w:rPr>
          <w:rFonts w:hint="eastAsia" w:cs="仿宋"/>
          <w:sz w:val="28"/>
          <w:szCs w:val="28"/>
        </w:rPr>
        <w:t>附件：寻甸县投资促进局2023年招商引资工作经费项目支出绩效评价指标体系及评分表</w:t>
      </w:r>
    </w:p>
    <w:p w14:paraId="5015B8E3">
      <w:pPr>
        <w:ind w:firstLine="560"/>
        <w:rPr>
          <w:rFonts w:hint="eastAsia" w:cs="仿宋"/>
          <w:sz w:val="13"/>
          <w:szCs w:val="13"/>
        </w:rPr>
      </w:pPr>
      <w:r>
        <w:rPr>
          <w:rFonts w:hint="eastAsia" w:cs="仿宋"/>
          <w:sz w:val="28"/>
          <w:szCs w:val="28"/>
        </w:rPr>
        <w:t xml:space="preserve">                           </w:t>
      </w:r>
    </w:p>
    <w:p w14:paraId="6C62C8DD">
      <w:pPr>
        <w:ind w:firstLine="0" w:firstLineChars="0"/>
        <w:rPr>
          <w:rFonts w:hint="eastAsia" w:cs="仿宋"/>
          <w:sz w:val="28"/>
          <w:szCs w:val="28"/>
        </w:rPr>
      </w:pPr>
      <w:r>
        <w:rPr>
          <w:rFonts w:hint="eastAsia" w:cs="仿宋"/>
          <w:sz w:val="28"/>
          <w:szCs w:val="28"/>
        </w:rPr>
        <w:t>云南京健会计师事务所（普通合伙）     中国注册会计师：</w:t>
      </w:r>
    </w:p>
    <w:p w14:paraId="24C0C7FD">
      <w:pPr>
        <w:spacing w:line="240" w:lineRule="auto"/>
        <w:ind w:firstLine="5040" w:firstLineChars="2100"/>
        <w:rPr>
          <w:rFonts w:hint="eastAsia" w:cs="仿宋"/>
          <w:szCs w:val="24"/>
        </w:rPr>
      </w:pPr>
    </w:p>
    <w:p w14:paraId="12C4F893">
      <w:pPr>
        <w:spacing w:line="240" w:lineRule="auto"/>
        <w:ind w:firstLine="5040" w:firstLineChars="2100"/>
        <w:rPr>
          <w:rFonts w:hint="eastAsia" w:cs="仿宋"/>
          <w:szCs w:val="24"/>
        </w:rPr>
      </w:pPr>
    </w:p>
    <w:p w14:paraId="2980D3B4">
      <w:pPr>
        <w:spacing w:line="240" w:lineRule="auto"/>
        <w:ind w:firstLine="1400" w:firstLineChars="500"/>
        <w:rPr>
          <w:rFonts w:hint="eastAsia" w:cs="仿宋"/>
          <w:sz w:val="28"/>
          <w:szCs w:val="28"/>
        </w:rPr>
      </w:pPr>
      <w:r>
        <w:rPr>
          <w:rFonts w:hint="eastAsia" w:cs="仿宋"/>
          <w:sz w:val="28"/>
          <w:szCs w:val="28"/>
        </w:rPr>
        <w:t>中国•昆明                  中国注册会计师：</w:t>
      </w:r>
    </w:p>
    <w:p w14:paraId="4E4671FD">
      <w:pPr>
        <w:pStyle w:val="4"/>
        <w:spacing w:line="240" w:lineRule="auto"/>
        <w:ind w:firstLine="300"/>
        <w:rPr>
          <w:rFonts w:hint="eastAsia"/>
          <w:sz w:val="15"/>
          <w:szCs w:val="15"/>
        </w:rPr>
      </w:pPr>
    </w:p>
    <w:p w14:paraId="7F8FC954">
      <w:pPr>
        <w:spacing w:line="240" w:lineRule="auto"/>
        <w:ind w:firstLine="560"/>
        <w:rPr>
          <w:rFonts w:hint="eastAsia" w:ascii="仿宋_GB2312" w:hAnsi="仿宋_GB2312" w:eastAsia="仿宋_GB2312" w:cs="仿宋_GB2312"/>
          <w:sz w:val="28"/>
          <w:szCs w:val="28"/>
          <w:highlight w:val="yellow"/>
        </w:rPr>
      </w:pPr>
      <w:r>
        <w:rPr>
          <w:rFonts w:hint="eastAsia" w:cs="仿宋"/>
          <w:sz w:val="28"/>
          <w:szCs w:val="28"/>
        </w:rPr>
        <w:t xml:space="preserve">                           二〇二四年九月二十五日</w:t>
      </w:r>
    </w:p>
    <w:sectPr>
      <w:footerReference r:id="rId11" w:type="default"/>
      <w:pgSz w:w="11906" w:h="16838"/>
      <w:pgMar w:top="1440" w:right="1803" w:bottom="1440" w:left="1803" w:header="1020" w:footer="992" w:gutter="0"/>
      <w:pgBorders>
        <w:top w:val="single" w:color="auto" w:sz="4" w:space="1"/>
        <w:bottom w:val="single" w:color="auto" w:sz="4" w:space="1"/>
      </w:pgBorders>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3E923">
    <w:pPr>
      <w:pStyle w:val="5"/>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2BA15">
    <w:pPr>
      <w:pStyle w:val="5"/>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BBE5A">
    <w:pPr>
      <w:pStyle w:val="5"/>
      <w:ind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6BBC8">
    <w:pPr>
      <w:spacing w:line="240" w:lineRule="auto"/>
      <w:ind w:firstLine="0" w:firstLineChars="0"/>
      <w:rPr>
        <w:rFonts w:hint="eastAsia" w:ascii="宋体" w:hAnsi="宋体" w:eastAsia="宋体" w:cs="宋体"/>
        <w:sz w:val="18"/>
        <w:szCs w:val="18"/>
      </w:rPr>
    </w:pPr>
    <w:r>
      <w:rPr>
        <w:sz w:val="18"/>
        <w:szCs w:val="18"/>
      </w:rPr>
      <mc:AlternateContent>
        <mc:Choice Requires="wps">
          <w:drawing>
            <wp:anchor distT="0" distB="0" distL="114300" distR="114300" simplePos="0" relativeHeight="251661312" behindDoc="0" locked="0" layoutInCell="1" allowOverlap="1">
              <wp:simplePos x="0" y="0"/>
              <wp:positionH relativeFrom="margin">
                <wp:posOffset>2074545</wp:posOffset>
              </wp:positionH>
              <wp:positionV relativeFrom="paragraph">
                <wp:posOffset>635</wp:posOffset>
              </wp:positionV>
              <wp:extent cx="1473200" cy="279400"/>
              <wp:effectExtent l="0" t="0" r="12700" b="6350"/>
              <wp:wrapNone/>
              <wp:docPr id="5" name="文本框 5"/>
              <wp:cNvGraphicFramePr/>
              <a:graphic xmlns:a="http://schemas.openxmlformats.org/drawingml/2006/main">
                <a:graphicData uri="http://schemas.microsoft.com/office/word/2010/wordprocessingShape">
                  <wps:wsp>
                    <wps:cNvSpPr txBox="1"/>
                    <wps:spPr>
                      <a:xfrm>
                        <a:off x="0" y="0"/>
                        <a:ext cx="1473200" cy="27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F6AA4D">
                          <w:pPr>
                            <w:pStyle w:val="5"/>
                            <w:ind w:firstLine="360"/>
                            <w:rPr>
                              <w:rFonts w:hint="eastAsia"/>
                            </w:rPr>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24</w:t>
                          </w:r>
                          <w:r>
                            <w:t>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63.35pt;margin-top:0.05pt;height:22pt;width:116pt;mso-position-horizontal-relative:margin;z-index:251661312;mso-width-relative:page;mso-height-relative:page;" filled="f" stroked="f" coordsize="21600,21600" o:gfxdata="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rs0XzNUAAAAHAQAADwAAAAAAAAABACAAAAAiAAAAZHJzL2Rvd25yZXYueG1sUEsB&#10;AhQAFAAAAAgAh07iQBCBNIoxAgAAVgQAAA4AAAAAAAAAAQAgAAAAJAEAAGRycy9lMm9Eb2MueG1s&#10;UEsFBgAAAAAGAAYAWQEAAMcFAAAAAA==&#10;">
              <v:fill on="f" focussize="0,0"/>
              <v:stroke on="f" weight="0.5pt"/>
              <v:imagedata o:title=""/>
              <o:lock v:ext="edit" aspectratio="f"/>
              <v:textbox inset="0mm,0mm,0mm,0mm">
                <w:txbxContent>
                  <w:p w14:paraId="75F6AA4D">
                    <w:pPr>
                      <w:pStyle w:val="5"/>
                      <w:ind w:firstLine="360"/>
                      <w:rPr>
                        <w:rFonts w:hint="eastAsia"/>
                      </w:rPr>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24</w:t>
                    </w:r>
                    <w:r>
                      <w:t>页</w:t>
                    </w:r>
                  </w:p>
                </w:txbxContent>
              </v:textbox>
            </v:shape>
          </w:pict>
        </mc:Fallback>
      </mc:AlternateContent>
    </w:r>
  </w:p>
  <w:p w14:paraId="7DBE96B5">
    <w:pPr>
      <w:spacing w:line="240" w:lineRule="auto"/>
      <w:ind w:firstLine="0" w:firstLineChars="0"/>
      <w:jc w:val="distribute"/>
      <w:rPr>
        <w:rFonts w:ascii="Calibri" w:hAnsi="Calibri" w:cs="Calibri"/>
        <w:sz w:val="18"/>
        <w:szCs w:val="18"/>
      </w:rPr>
    </w:pPr>
    <w:r>
      <w:rPr>
        <w:rFonts w:hint="eastAsia" w:ascii="宋体" w:hAnsi="宋体" w:eastAsia="宋体" w:cs="宋体"/>
        <w:szCs w:val="21"/>
      </w:rPr>
      <mc:AlternateContent>
        <mc:Choice Requires="wps">
          <w:drawing>
            <wp:anchor distT="0" distB="0" distL="114300" distR="114300" simplePos="0" relativeHeight="251660288" behindDoc="0" locked="0" layoutInCell="1" allowOverlap="1">
              <wp:simplePos x="0" y="0"/>
              <wp:positionH relativeFrom="margin">
                <wp:posOffset>1553210</wp:posOffset>
              </wp:positionH>
              <wp:positionV relativeFrom="paragraph">
                <wp:posOffset>76200</wp:posOffset>
              </wp:positionV>
              <wp:extent cx="495300" cy="149225"/>
              <wp:effectExtent l="0" t="0" r="0" b="0"/>
              <wp:wrapNone/>
              <wp:docPr id="6" name="文本框 6"/>
              <wp:cNvGraphicFramePr/>
              <a:graphic xmlns:a="http://schemas.openxmlformats.org/drawingml/2006/main">
                <a:graphicData uri="http://schemas.microsoft.com/office/word/2010/wordprocessingShape">
                  <wps:wsp>
                    <wps:cNvSpPr txBox="1"/>
                    <wps:spPr>
                      <a:xfrm flipH="1">
                        <a:off x="0" y="0"/>
                        <a:ext cx="495300" cy="149225"/>
                      </a:xfrm>
                      <a:prstGeom prst="rect">
                        <a:avLst/>
                      </a:prstGeom>
                      <a:noFill/>
                      <a:ln>
                        <a:noFill/>
                      </a:ln>
                    </wps:spPr>
                    <wps:txbx>
                      <w:txbxContent>
                        <w:p w14:paraId="6B577785">
                          <w:pPr>
                            <w:pStyle w:val="5"/>
                            <w:ind w:firstLine="360"/>
                            <w:rPr>
                              <w:rFonts w:hint="eastAsia"/>
                            </w:rPr>
                          </w:pPr>
                        </w:p>
                      </w:txbxContent>
                    </wps:txbx>
                    <wps:bodyPr lIns="0" tIns="0" rIns="0" bIns="0">
                      <a:noAutofit/>
                    </wps:bodyPr>
                  </wps:wsp>
                </a:graphicData>
              </a:graphic>
            </wp:anchor>
          </w:drawing>
        </mc:Choice>
        <mc:Fallback>
          <w:pict>
            <v:shape id="_x0000_s1026" o:spid="_x0000_s1026" o:spt="202" type="#_x0000_t202" style="position:absolute;left:0pt;flip:x;margin-left:122.3pt;margin-top:6pt;height:11.75pt;width:39pt;mso-position-horizontal-relative:margin;z-index:251660288;mso-width-relative:page;mso-height-relative:page;" filled="f" stroked="f" coordsize="21600,21600" o:gfxdata="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e+RtLXAAAACQEAAA8AAAAAAAAAAQAgAAAAIgAAAGRycy9kb3ducmV2&#10;LnhtbFBLAQIUABQAAAAIAIdO4kBhtChnxAEAAIkDAAAOAAAAAAAAAAEAIAAAACYBAABkcnMvZTJv&#10;RG9jLnhtbFBLBQYAAAAABgAGAFkBAABcBQAAAAA=&#10;">
              <v:fill on="f" focussize="0,0"/>
              <v:stroke on="f"/>
              <v:imagedata o:title=""/>
              <o:lock v:ext="edit" aspectratio="f"/>
              <v:textbox inset="0mm,0mm,0mm,0mm">
                <w:txbxContent>
                  <w:p w14:paraId="6B577785">
                    <w:pPr>
                      <w:pStyle w:val="5"/>
                      <w:ind w:firstLine="360"/>
                      <w:rPr>
                        <w:rFonts w:hint="eastAsia"/>
                      </w:rPr>
                    </w:pPr>
                  </w:p>
                </w:txbxContent>
              </v:textbox>
            </v:shape>
          </w:pict>
        </mc:Fallback>
      </mc:AlternateContent>
    </w:r>
    <w:r>
      <w:rPr>
        <w:rFonts w:ascii="Calibri" w:hAnsi="Calibri" w:cs="Calibri"/>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E0983">
                          <w:pPr>
                            <w:pStyle w:val="5"/>
                            <w:ind w:firstLine="0" w:firstLineChars="0"/>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C8E0983">
                    <w:pPr>
                      <w:pStyle w:val="5"/>
                      <w:ind w:firstLine="0" w:firstLineChars="0"/>
                      <w:rPr>
                        <w:rFonts w:hint="eastAsi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05486">
    <w:pPr>
      <w:pStyle w:val="6"/>
      <w:spacing w:line="240" w:lineRule="auto"/>
      <w:ind w:firstLine="0" w:firstLineChars="0"/>
      <w:jc w:val="right"/>
      <w:rPr>
        <w:rFonts w:hint="eastAsia" w:ascii="隶书" w:eastAsia="隶书"/>
        <w:sz w:val="21"/>
        <w:szCs w:val="21"/>
      </w:rPr>
    </w:pPr>
    <w:r>
      <w:rPr>
        <w:rFonts w:hint="eastAsia" w:ascii="隶书" w:eastAsia="隶书"/>
        <w:sz w:val="21"/>
        <w:szCs w:val="21"/>
      </w:rPr>
      <w:t>云南京健会计师事务所（普通合伙）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603DC">
    <w:pPr>
      <w:pStyle w:val="6"/>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2CBA1">
    <w:pPr>
      <w:pStyle w:val="6"/>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YzU2NDZlZWRhZGY1YzdjNGExMDUwNGJjODllMjkifQ=="/>
  </w:docVars>
  <w:rsids>
    <w:rsidRoot w:val="00AE6716"/>
    <w:rsid w:val="00004A7D"/>
    <w:rsid w:val="00015509"/>
    <w:rsid w:val="00024B3C"/>
    <w:rsid w:val="00031C05"/>
    <w:rsid w:val="00044A09"/>
    <w:rsid w:val="0004720A"/>
    <w:rsid w:val="000539ED"/>
    <w:rsid w:val="00072D53"/>
    <w:rsid w:val="0009447D"/>
    <w:rsid w:val="000A11AC"/>
    <w:rsid w:val="000A531E"/>
    <w:rsid w:val="000A5F28"/>
    <w:rsid w:val="000D1D34"/>
    <w:rsid w:val="000E2072"/>
    <w:rsid w:val="000E2CD2"/>
    <w:rsid w:val="000F3900"/>
    <w:rsid w:val="001239EA"/>
    <w:rsid w:val="00146A33"/>
    <w:rsid w:val="001A6F17"/>
    <w:rsid w:val="001B0A62"/>
    <w:rsid w:val="001D58E7"/>
    <w:rsid w:val="001E2978"/>
    <w:rsid w:val="001E531F"/>
    <w:rsid w:val="001E5BB7"/>
    <w:rsid w:val="00213DF8"/>
    <w:rsid w:val="00214176"/>
    <w:rsid w:val="002415BB"/>
    <w:rsid w:val="00247CE8"/>
    <w:rsid w:val="002715D8"/>
    <w:rsid w:val="00275F57"/>
    <w:rsid w:val="002A7DDA"/>
    <w:rsid w:val="002C1BE5"/>
    <w:rsid w:val="002C2048"/>
    <w:rsid w:val="002E6145"/>
    <w:rsid w:val="002F42E5"/>
    <w:rsid w:val="00306B3F"/>
    <w:rsid w:val="00370B44"/>
    <w:rsid w:val="00370D57"/>
    <w:rsid w:val="003712D1"/>
    <w:rsid w:val="00374C05"/>
    <w:rsid w:val="003935FA"/>
    <w:rsid w:val="003A1E68"/>
    <w:rsid w:val="003A2646"/>
    <w:rsid w:val="003A27F7"/>
    <w:rsid w:val="003C273F"/>
    <w:rsid w:val="003C6FD3"/>
    <w:rsid w:val="003D4214"/>
    <w:rsid w:val="003D4925"/>
    <w:rsid w:val="00422D75"/>
    <w:rsid w:val="00431574"/>
    <w:rsid w:val="004329B0"/>
    <w:rsid w:val="004827A0"/>
    <w:rsid w:val="00496EB2"/>
    <w:rsid w:val="004A457C"/>
    <w:rsid w:val="004C613D"/>
    <w:rsid w:val="004D23FD"/>
    <w:rsid w:val="004D6964"/>
    <w:rsid w:val="004E4EB7"/>
    <w:rsid w:val="00511D5C"/>
    <w:rsid w:val="00514775"/>
    <w:rsid w:val="00514EE6"/>
    <w:rsid w:val="00535B87"/>
    <w:rsid w:val="00566750"/>
    <w:rsid w:val="00571DF9"/>
    <w:rsid w:val="005727DD"/>
    <w:rsid w:val="00586C37"/>
    <w:rsid w:val="005B7FB7"/>
    <w:rsid w:val="005C573E"/>
    <w:rsid w:val="005D0C23"/>
    <w:rsid w:val="005E6414"/>
    <w:rsid w:val="00611E60"/>
    <w:rsid w:val="006149C5"/>
    <w:rsid w:val="00623BDD"/>
    <w:rsid w:val="006306BF"/>
    <w:rsid w:val="00660567"/>
    <w:rsid w:val="00662030"/>
    <w:rsid w:val="0066613F"/>
    <w:rsid w:val="006703CD"/>
    <w:rsid w:val="00677396"/>
    <w:rsid w:val="00684DAC"/>
    <w:rsid w:val="0068706F"/>
    <w:rsid w:val="006A4A0B"/>
    <w:rsid w:val="006B193F"/>
    <w:rsid w:val="006B4261"/>
    <w:rsid w:val="006C5BA8"/>
    <w:rsid w:val="006C798D"/>
    <w:rsid w:val="006E1538"/>
    <w:rsid w:val="006E5D1A"/>
    <w:rsid w:val="006F40FD"/>
    <w:rsid w:val="00706862"/>
    <w:rsid w:val="00710420"/>
    <w:rsid w:val="007162A6"/>
    <w:rsid w:val="00731649"/>
    <w:rsid w:val="00736B13"/>
    <w:rsid w:val="00754A4A"/>
    <w:rsid w:val="00755A36"/>
    <w:rsid w:val="0076291C"/>
    <w:rsid w:val="007716F2"/>
    <w:rsid w:val="0077314F"/>
    <w:rsid w:val="007926C2"/>
    <w:rsid w:val="007B2524"/>
    <w:rsid w:val="007D06F9"/>
    <w:rsid w:val="007D1762"/>
    <w:rsid w:val="007E3680"/>
    <w:rsid w:val="008071AD"/>
    <w:rsid w:val="008445D5"/>
    <w:rsid w:val="00861AF7"/>
    <w:rsid w:val="00864C20"/>
    <w:rsid w:val="008758D4"/>
    <w:rsid w:val="008975E0"/>
    <w:rsid w:val="008B0C94"/>
    <w:rsid w:val="008C3EB0"/>
    <w:rsid w:val="008D6179"/>
    <w:rsid w:val="008D6685"/>
    <w:rsid w:val="008E34DF"/>
    <w:rsid w:val="008F605A"/>
    <w:rsid w:val="00913BC2"/>
    <w:rsid w:val="00913D9D"/>
    <w:rsid w:val="00932D0E"/>
    <w:rsid w:val="009444DF"/>
    <w:rsid w:val="00946B34"/>
    <w:rsid w:val="00976639"/>
    <w:rsid w:val="009850B8"/>
    <w:rsid w:val="009B15DF"/>
    <w:rsid w:val="009B5809"/>
    <w:rsid w:val="00A03A36"/>
    <w:rsid w:val="00A10757"/>
    <w:rsid w:val="00A13752"/>
    <w:rsid w:val="00A265F4"/>
    <w:rsid w:val="00A417E5"/>
    <w:rsid w:val="00A4267B"/>
    <w:rsid w:val="00A46FBA"/>
    <w:rsid w:val="00A53BC4"/>
    <w:rsid w:val="00A61FB0"/>
    <w:rsid w:val="00A93F09"/>
    <w:rsid w:val="00A975BA"/>
    <w:rsid w:val="00A978AE"/>
    <w:rsid w:val="00AA11B3"/>
    <w:rsid w:val="00AB3ECE"/>
    <w:rsid w:val="00AC4D51"/>
    <w:rsid w:val="00AE3791"/>
    <w:rsid w:val="00AE6716"/>
    <w:rsid w:val="00AE7FDF"/>
    <w:rsid w:val="00B01956"/>
    <w:rsid w:val="00B03049"/>
    <w:rsid w:val="00B22112"/>
    <w:rsid w:val="00B709E3"/>
    <w:rsid w:val="00B71E1A"/>
    <w:rsid w:val="00B82FB0"/>
    <w:rsid w:val="00B95EE7"/>
    <w:rsid w:val="00BA0CAD"/>
    <w:rsid w:val="00BA4C2C"/>
    <w:rsid w:val="00BA7942"/>
    <w:rsid w:val="00BA7A3B"/>
    <w:rsid w:val="00BB55B8"/>
    <w:rsid w:val="00BC4075"/>
    <w:rsid w:val="00BD2F72"/>
    <w:rsid w:val="00BE23D6"/>
    <w:rsid w:val="00BF04C3"/>
    <w:rsid w:val="00BF6340"/>
    <w:rsid w:val="00C14BCF"/>
    <w:rsid w:val="00C36906"/>
    <w:rsid w:val="00C3762A"/>
    <w:rsid w:val="00C413D1"/>
    <w:rsid w:val="00C56F4D"/>
    <w:rsid w:val="00C75453"/>
    <w:rsid w:val="00C9074D"/>
    <w:rsid w:val="00C91185"/>
    <w:rsid w:val="00CF1ACB"/>
    <w:rsid w:val="00CF4C96"/>
    <w:rsid w:val="00D10B47"/>
    <w:rsid w:val="00D10C8C"/>
    <w:rsid w:val="00D161F4"/>
    <w:rsid w:val="00D1717B"/>
    <w:rsid w:val="00D345AF"/>
    <w:rsid w:val="00D8024C"/>
    <w:rsid w:val="00DB458C"/>
    <w:rsid w:val="00DB612D"/>
    <w:rsid w:val="00DC665C"/>
    <w:rsid w:val="00DE7A9A"/>
    <w:rsid w:val="00E347F1"/>
    <w:rsid w:val="00E42ADD"/>
    <w:rsid w:val="00E44E2E"/>
    <w:rsid w:val="00E5225A"/>
    <w:rsid w:val="00E55D71"/>
    <w:rsid w:val="00E6785B"/>
    <w:rsid w:val="00E8619D"/>
    <w:rsid w:val="00EA399B"/>
    <w:rsid w:val="00EB637E"/>
    <w:rsid w:val="00EC490D"/>
    <w:rsid w:val="00ED25C7"/>
    <w:rsid w:val="00ED6A1B"/>
    <w:rsid w:val="00EF030D"/>
    <w:rsid w:val="00F048D4"/>
    <w:rsid w:val="00F25CCF"/>
    <w:rsid w:val="00F31A45"/>
    <w:rsid w:val="00F523CD"/>
    <w:rsid w:val="00F67974"/>
    <w:rsid w:val="00FB1D37"/>
    <w:rsid w:val="00FB218F"/>
    <w:rsid w:val="00FE4897"/>
    <w:rsid w:val="00FF214A"/>
    <w:rsid w:val="00FF2222"/>
    <w:rsid w:val="010C6983"/>
    <w:rsid w:val="012C7DC0"/>
    <w:rsid w:val="012F3B23"/>
    <w:rsid w:val="01432CF3"/>
    <w:rsid w:val="01436F9F"/>
    <w:rsid w:val="01880A19"/>
    <w:rsid w:val="018C388B"/>
    <w:rsid w:val="01B65C30"/>
    <w:rsid w:val="01C64855"/>
    <w:rsid w:val="01E26F97"/>
    <w:rsid w:val="02151E80"/>
    <w:rsid w:val="022E0963"/>
    <w:rsid w:val="0257031E"/>
    <w:rsid w:val="02684EB4"/>
    <w:rsid w:val="026D72F2"/>
    <w:rsid w:val="02A02758"/>
    <w:rsid w:val="02A3463C"/>
    <w:rsid w:val="02A70805"/>
    <w:rsid w:val="02BC2BBA"/>
    <w:rsid w:val="02EA73E1"/>
    <w:rsid w:val="0307577D"/>
    <w:rsid w:val="03BD28D6"/>
    <w:rsid w:val="045C346D"/>
    <w:rsid w:val="048A2A24"/>
    <w:rsid w:val="049401D8"/>
    <w:rsid w:val="04AC5FBE"/>
    <w:rsid w:val="04E77027"/>
    <w:rsid w:val="05145211"/>
    <w:rsid w:val="0521507F"/>
    <w:rsid w:val="055C6AE7"/>
    <w:rsid w:val="05634866"/>
    <w:rsid w:val="057F1E81"/>
    <w:rsid w:val="05FB5DC4"/>
    <w:rsid w:val="06186903"/>
    <w:rsid w:val="062A6E20"/>
    <w:rsid w:val="06404308"/>
    <w:rsid w:val="06790629"/>
    <w:rsid w:val="06A96071"/>
    <w:rsid w:val="06BD18CD"/>
    <w:rsid w:val="06DD1B0A"/>
    <w:rsid w:val="06DE5211"/>
    <w:rsid w:val="070077AC"/>
    <w:rsid w:val="07014EC2"/>
    <w:rsid w:val="074C6A10"/>
    <w:rsid w:val="075C167D"/>
    <w:rsid w:val="07D475CA"/>
    <w:rsid w:val="07F53CEB"/>
    <w:rsid w:val="080C5426"/>
    <w:rsid w:val="081D15C4"/>
    <w:rsid w:val="08281E83"/>
    <w:rsid w:val="08310243"/>
    <w:rsid w:val="08932548"/>
    <w:rsid w:val="08BE1A5F"/>
    <w:rsid w:val="08E46646"/>
    <w:rsid w:val="095F41FF"/>
    <w:rsid w:val="09734E97"/>
    <w:rsid w:val="09790F31"/>
    <w:rsid w:val="097C2206"/>
    <w:rsid w:val="09811723"/>
    <w:rsid w:val="09943BCA"/>
    <w:rsid w:val="09BE3873"/>
    <w:rsid w:val="09D850BF"/>
    <w:rsid w:val="0A177A6F"/>
    <w:rsid w:val="0A9F4057"/>
    <w:rsid w:val="0ABE7C42"/>
    <w:rsid w:val="0AD41505"/>
    <w:rsid w:val="0B114150"/>
    <w:rsid w:val="0B2B5475"/>
    <w:rsid w:val="0B316DB7"/>
    <w:rsid w:val="0B45384A"/>
    <w:rsid w:val="0BFF1C88"/>
    <w:rsid w:val="0C016446"/>
    <w:rsid w:val="0C1D7C13"/>
    <w:rsid w:val="0C230B9E"/>
    <w:rsid w:val="0C45114E"/>
    <w:rsid w:val="0C4F19D8"/>
    <w:rsid w:val="0CC071D9"/>
    <w:rsid w:val="0CD226F8"/>
    <w:rsid w:val="0CD33493"/>
    <w:rsid w:val="0CED7F3F"/>
    <w:rsid w:val="0D4940A8"/>
    <w:rsid w:val="0D654235"/>
    <w:rsid w:val="0D831253"/>
    <w:rsid w:val="0DBA5E70"/>
    <w:rsid w:val="0DCA5DE1"/>
    <w:rsid w:val="0DE47989"/>
    <w:rsid w:val="0DFA4270"/>
    <w:rsid w:val="0E4873B8"/>
    <w:rsid w:val="0E62232C"/>
    <w:rsid w:val="0E69015E"/>
    <w:rsid w:val="0E6C554A"/>
    <w:rsid w:val="0E732050"/>
    <w:rsid w:val="0EA96822"/>
    <w:rsid w:val="0F201299"/>
    <w:rsid w:val="0F3026BC"/>
    <w:rsid w:val="0F4F24AB"/>
    <w:rsid w:val="0F6F0C3D"/>
    <w:rsid w:val="0FA554CA"/>
    <w:rsid w:val="102D258D"/>
    <w:rsid w:val="106C2346"/>
    <w:rsid w:val="106C7654"/>
    <w:rsid w:val="10762E0B"/>
    <w:rsid w:val="10A3523B"/>
    <w:rsid w:val="10A41CED"/>
    <w:rsid w:val="10AD2C55"/>
    <w:rsid w:val="10C43B87"/>
    <w:rsid w:val="11041BAB"/>
    <w:rsid w:val="110B1D5E"/>
    <w:rsid w:val="111D6972"/>
    <w:rsid w:val="11352493"/>
    <w:rsid w:val="11365128"/>
    <w:rsid w:val="1150050C"/>
    <w:rsid w:val="11686341"/>
    <w:rsid w:val="11CA17ED"/>
    <w:rsid w:val="11DA58D8"/>
    <w:rsid w:val="11E920D6"/>
    <w:rsid w:val="120A0F69"/>
    <w:rsid w:val="1225668C"/>
    <w:rsid w:val="122660D5"/>
    <w:rsid w:val="12320C01"/>
    <w:rsid w:val="1256332B"/>
    <w:rsid w:val="1283031A"/>
    <w:rsid w:val="128565DB"/>
    <w:rsid w:val="12DB208F"/>
    <w:rsid w:val="12ED67D7"/>
    <w:rsid w:val="12FC68FF"/>
    <w:rsid w:val="130C2193"/>
    <w:rsid w:val="130E3903"/>
    <w:rsid w:val="13166809"/>
    <w:rsid w:val="132922C3"/>
    <w:rsid w:val="13544641"/>
    <w:rsid w:val="13943B2C"/>
    <w:rsid w:val="13D5523A"/>
    <w:rsid w:val="13D656DB"/>
    <w:rsid w:val="13D7779C"/>
    <w:rsid w:val="13DF48A7"/>
    <w:rsid w:val="144D3492"/>
    <w:rsid w:val="144D747C"/>
    <w:rsid w:val="145A1383"/>
    <w:rsid w:val="14D5415A"/>
    <w:rsid w:val="14D9678B"/>
    <w:rsid w:val="14FC5A91"/>
    <w:rsid w:val="15AC577F"/>
    <w:rsid w:val="15EE2E40"/>
    <w:rsid w:val="16446A3C"/>
    <w:rsid w:val="16476D7F"/>
    <w:rsid w:val="16523EA2"/>
    <w:rsid w:val="16DD2D5E"/>
    <w:rsid w:val="16E01397"/>
    <w:rsid w:val="16EA3483"/>
    <w:rsid w:val="174C1CD5"/>
    <w:rsid w:val="1752026A"/>
    <w:rsid w:val="175A563C"/>
    <w:rsid w:val="179C442C"/>
    <w:rsid w:val="17D26242"/>
    <w:rsid w:val="186561F9"/>
    <w:rsid w:val="18736211"/>
    <w:rsid w:val="18772165"/>
    <w:rsid w:val="18B6616D"/>
    <w:rsid w:val="18E933C9"/>
    <w:rsid w:val="18FD2189"/>
    <w:rsid w:val="19250992"/>
    <w:rsid w:val="19BA7F53"/>
    <w:rsid w:val="19BE25D1"/>
    <w:rsid w:val="19EB2EA3"/>
    <w:rsid w:val="1A032ECE"/>
    <w:rsid w:val="1A17016E"/>
    <w:rsid w:val="1A1F29A8"/>
    <w:rsid w:val="1A3C7AF1"/>
    <w:rsid w:val="1A3D12CC"/>
    <w:rsid w:val="1A545436"/>
    <w:rsid w:val="1A6C6495"/>
    <w:rsid w:val="1AE02712"/>
    <w:rsid w:val="1AE80A5A"/>
    <w:rsid w:val="1AEA56AB"/>
    <w:rsid w:val="1AF104DA"/>
    <w:rsid w:val="1B045886"/>
    <w:rsid w:val="1B082591"/>
    <w:rsid w:val="1B3E28E5"/>
    <w:rsid w:val="1B552716"/>
    <w:rsid w:val="1B6D5FA5"/>
    <w:rsid w:val="1B6F0F2D"/>
    <w:rsid w:val="1B79551A"/>
    <w:rsid w:val="1BA928F0"/>
    <w:rsid w:val="1C2D714A"/>
    <w:rsid w:val="1C6D0C27"/>
    <w:rsid w:val="1C6D274D"/>
    <w:rsid w:val="1C7707CD"/>
    <w:rsid w:val="1C906637"/>
    <w:rsid w:val="1CC9627E"/>
    <w:rsid w:val="1CD55A4A"/>
    <w:rsid w:val="1D0F7A8E"/>
    <w:rsid w:val="1D1B0AD1"/>
    <w:rsid w:val="1D221FDC"/>
    <w:rsid w:val="1D2F1285"/>
    <w:rsid w:val="1D3941A5"/>
    <w:rsid w:val="1D4C7ED3"/>
    <w:rsid w:val="1D7736C9"/>
    <w:rsid w:val="1D831AE5"/>
    <w:rsid w:val="1D8D6A3B"/>
    <w:rsid w:val="1D904FA5"/>
    <w:rsid w:val="1DC03EC1"/>
    <w:rsid w:val="1DD14027"/>
    <w:rsid w:val="1DE925A7"/>
    <w:rsid w:val="1E010BC0"/>
    <w:rsid w:val="1E2C4E59"/>
    <w:rsid w:val="1EB01ACB"/>
    <w:rsid w:val="1ED05892"/>
    <w:rsid w:val="1ED53D73"/>
    <w:rsid w:val="1EE8779D"/>
    <w:rsid w:val="1F4164DF"/>
    <w:rsid w:val="1F591721"/>
    <w:rsid w:val="1F6F6360"/>
    <w:rsid w:val="1F8B1E2F"/>
    <w:rsid w:val="1F91086F"/>
    <w:rsid w:val="1FE2356A"/>
    <w:rsid w:val="200244D1"/>
    <w:rsid w:val="201E59ED"/>
    <w:rsid w:val="2025021C"/>
    <w:rsid w:val="20356024"/>
    <w:rsid w:val="20536DBE"/>
    <w:rsid w:val="20694D65"/>
    <w:rsid w:val="20A14E27"/>
    <w:rsid w:val="20D30E0A"/>
    <w:rsid w:val="20D60287"/>
    <w:rsid w:val="20FC17FA"/>
    <w:rsid w:val="2114179F"/>
    <w:rsid w:val="21197B5A"/>
    <w:rsid w:val="216A2D40"/>
    <w:rsid w:val="21B96FEE"/>
    <w:rsid w:val="21C127EB"/>
    <w:rsid w:val="21CB0D2F"/>
    <w:rsid w:val="21E17F5C"/>
    <w:rsid w:val="21E23314"/>
    <w:rsid w:val="21EC0A72"/>
    <w:rsid w:val="21EF780B"/>
    <w:rsid w:val="221055AD"/>
    <w:rsid w:val="223F479F"/>
    <w:rsid w:val="223F5AC1"/>
    <w:rsid w:val="22583D0D"/>
    <w:rsid w:val="225F634C"/>
    <w:rsid w:val="229064AC"/>
    <w:rsid w:val="22C67807"/>
    <w:rsid w:val="22C92735"/>
    <w:rsid w:val="22CB5EF7"/>
    <w:rsid w:val="22E86417"/>
    <w:rsid w:val="230C5D84"/>
    <w:rsid w:val="231435FF"/>
    <w:rsid w:val="2325225E"/>
    <w:rsid w:val="23950F27"/>
    <w:rsid w:val="23B177E1"/>
    <w:rsid w:val="24211347"/>
    <w:rsid w:val="24310DD4"/>
    <w:rsid w:val="246D2625"/>
    <w:rsid w:val="248C6DDD"/>
    <w:rsid w:val="24900048"/>
    <w:rsid w:val="24BB522A"/>
    <w:rsid w:val="24F37529"/>
    <w:rsid w:val="24FF72D3"/>
    <w:rsid w:val="250F2C31"/>
    <w:rsid w:val="251E0472"/>
    <w:rsid w:val="2520642A"/>
    <w:rsid w:val="25286AA1"/>
    <w:rsid w:val="252B25EC"/>
    <w:rsid w:val="25364DC1"/>
    <w:rsid w:val="253C3631"/>
    <w:rsid w:val="25462E4B"/>
    <w:rsid w:val="258309B4"/>
    <w:rsid w:val="25862011"/>
    <w:rsid w:val="258C0E52"/>
    <w:rsid w:val="260D7D0C"/>
    <w:rsid w:val="261A1FEA"/>
    <w:rsid w:val="261C3DE4"/>
    <w:rsid w:val="263A71E2"/>
    <w:rsid w:val="26690FCD"/>
    <w:rsid w:val="26963F27"/>
    <w:rsid w:val="269B1693"/>
    <w:rsid w:val="26DF0CD6"/>
    <w:rsid w:val="26ED48AE"/>
    <w:rsid w:val="271B4099"/>
    <w:rsid w:val="278F4F46"/>
    <w:rsid w:val="27A01740"/>
    <w:rsid w:val="27C416DF"/>
    <w:rsid w:val="27EF7121"/>
    <w:rsid w:val="28192057"/>
    <w:rsid w:val="281D28B1"/>
    <w:rsid w:val="283519AE"/>
    <w:rsid w:val="283C3A8D"/>
    <w:rsid w:val="2884724B"/>
    <w:rsid w:val="28870583"/>
    <w:rsid w:val="28D97FCA"/>
    <w:rsid w:val="28E7113E"/>
    <w:rsid w:val="291B5803"/>
    <w:rsid w:val="292F68A9"/>
    <w:rsid w:val="294D2F40"/>
    <w:rsid w:val="29733142"/>
    <w:rsid w:val="29A033E8"/>
    <w:rsid w:val="29BC365E"/>
    <w:rsid w:val="2A1C5137"/>
    <w:rsid w:val="2A3E70CF"/>
    <w:rsid w:val="2A6B5300"/>
    <w:rsid w:val="2A871926"/>
    <w:rsid w:val="2AC250CD"/>
    <w:rsid w:val="2B3602D5"/>
    <w:rsid w:val="2B4E7485"/>
    <w:rsid w:val="2B80177F"/>
    <w:rsid w:val="2B90159F"/>
    <w:rsid w:val="2B993748"/>
    <w:rsid w:val="2BAE482F"/>
    <w:rsid w:val="2BBE1DE2"/>
    <w:rsid w:val="2BE36683"/>
    <w:rsid w:val="2BE90021"/>
    <w:rsid w:val="2C706F8B"/>
    <w:rsid w:val="2C9B3A25"/>
    <w:rsid w:val="2CC24680"/>
    <w:rsid w:val="2DA362F7"/>
    <w:rsid w:val="2DC42BAC"/>
    <w:rsid w:val="2DDB1185"/>
    <w:rsid w:val="2DDE1315"/>
    <w:rsid w:val="2E70008E"/>
    <w:rsid w:val="2E795570"/>
    <w:rsid w:val="2EB4177E"/>
    <w:rsid w:val="2F32229C"/>
    <w:rsid w:val="2F474DB3"/>
    <w:rsid w:val="30065DDB"/>
    <w:rsid w:val="308D7FA8"/>
    <w:rsid w:val="30B1378E"/>
    <w:rsid w:val="30F14E48"/>
    <w:rsid w:val="30F25A6D"/>
    <w:rsid w:val="31202692"/>
    <w:rsid w:val="31202FD3"/>
    <w:rsid w:val="312A5619"/>
    <w:rsid w:val="31A23AE0"/>
    <w:rsid w:val="31C37AEC"/>
    <w:rsid w:val="32145CC4"/>
    <w:rsid w:val="32350A5C"/>
    <w:rsid w:val="32477ABF"/>
    <w:rsid w:val="325970B3"/>
    <w:rsid w:val="32CC0E3B"/>
    <w:rsid w:val="32DF1CBC"/>
    <w:rsid w:val="32E84C40"/>
    <w:rsid w:val="33656E24"/>
    <w:rsid w:val="33816DA8"/>
    <w:rsid w:val="33F469AE"/>
    <w:rsid w:val="340B3A91"/>
    <w:rsid w:val="34214870"/>
    <w:rsid w:val="345A637A"/>
    <w:rsid w:val="348D4052"/>
    <w:rsid w:val="34960E51"/>
    <w:rsid w:val="34B93037"/>
    <w:rsid w:val="34C2659C"/>
    <w:rsid w:val="34ED24C6"/>
    <w:rsid w:val="350911FE"/>
    <w:rsid w:val="35212153"/>
    <w:rsid w:val="3544533E"/>
    <w:rsid w:val="354C0B93"/>
    <w:rsid w:val="355B423F"/>
    <w:rsid w:val="357D6768"/>
    <w:rsid w:val="35BF3B38"/>
    <w:rsid w:val="35E23F6E"/>
    <w:rsid w:val="35EC067D"/>
    <w:rsid w:val="36215071"/>
    <w:rsid w:val="36314683"/>
    <w:rsid w:val="36472C7B"/>
    <w:rsid w:val="36753A20"/>
    <w:rsid w:val="36B0540D"/>
    <w:rsid w:val="36B326B4"/>
    <w:rsid w:val="36C17BFE"/>
    <w:rsid w:val="36CE2123"/>
    <w:rsid w:val="36D60122"/>
    <w:rsid w:val="36D9255D"/>
    <w:rsid w:val="37290822"/>
    <w:rsid w:val="373206A1"/>
    <w:rsid w:val="378E3DE6"/>
    <w:rsid w:val="37A32806"/>
    <w:rsid w:val="37D751E2"/>
    <w:rsid w:val="380B1DFE"/>
    <w:rsid w:val="38276F53"/>
    <w:rsid w:val="382E6775"/>
    <w:rsid w:val="385852A1"/>
    <w:rsid w:val="386F48E8"/>
    <w:rsid w:val="38A16914"/>
    <w:rsid w:val="38A718AB"/>
    <w:rsid w:val="38D91E08"/>
    <w:rsid w:val="38E0103A"/>
    <w:rsid w:val="38E063FB"/>
    <w:rsid w:val="38F230E0"/>
    <w:rsid w:val="393C79BC"/>
    <w:rsid w:val="3971570C"/>
    <w:rsid w:val="39945652"/>
    <w:rsid w:val="39B234B0"/>
    <w:rsid w:val="39CC0DE9"/>
    <w:rsid w:val="3A056E55"/>
    <w:rsid w:val="3A5860F9"/>
    <w:rsid w:val="3A896034"/>
    <w:rsid w:val="3A9F1F4F"/>
    <w:rsid w:val="3AA23B34"/>
    <w:rsid w:val="3AB45EB9"/>
    <w:rsid w:val="3AD018DF"/>
    <w:rsid w:val="3B013692"/>
    <w:rsid w:val="3B1667F3"/>
    <w:rsid w:val="3B3358B7"/>
    <w:rsid w:val="3B493B46"/>
    <w:rsid w:val="3B55625B"/>
    <w:rsid w:val="3B597FFC"/>
    <w:rsid w:val="3B660AEC"/>
    <w:rsid w:val="3B760DD2"/>
    <w:rsid w:val="3B86620D"/>
    <w:rsid w:val="3BB421DB"/>
    <w:rsid w:val="3BE552CD"/>
    <w:rsid w:val="3BF2764E"/>
    <w:rsid w:val="3C021C37"/>
    <w:rsid w:val="3C0540D6"/>
    <w:rsid w:val="3C24092A"/>
    <w:rsid w:val="3C693243"/>
    <w:rsid w:val="3C976231"/>
    <w:rsid w:val="3C9B25CD"/>
    <w:rsid w:val="3CAA0274"/>
    <w:rsid w:val="3D1746DC"/>
    <w:rsid w:val="3D237BE8"/>
    <w:rsid w:val="3D2C4D79"/>
    <w:rsid w:val="3D366EF4"/>
    <w:rsid w:val="3D4142F0"/>
    <w:rsid w:val="3D511084"/>
    <w:rsid w:val="3D642282"/>
    <w:rsid w:val="3D6F1615"/>
    <w:rsid w:val="3D7B5779"/>
    <w:rsid w:val="3D8A5584"/>
    <w:rsid w:val="3D9B2911"/>
    <w:rsid w:val="3D9C39EF"/>
    <w:rsid w:val="3DA235BF"/>
    <w:rsid w:val="3DB15E99"/>
    <w:rsid w:val="3DB46368"/>
    <w:rsid w:val="3DD8680E"/>
    <w:rsid w:val="3DFD5343"/>
    <w:rsid w:val="3E3062DB"/>
    <w:rsid w:val="3E850F52"/>
    <w:rsid w:val="3E9B2E8A"/>
    <w:rsid w:val="3E9F6A9D"/>
    <w:rsid w:val="3F1672F1"/>
    <w:rsid w:val="3F231079"/>
    <w:rsid w:val="3F4B41E0"/>
    <w:rsid w:val="3F592467"/>
    <w:rsid w:val="3F5D0E23"/>
    <w:rsid w:val="3F8245EF"/>
    <w:rsid w:val="3F8B2040"/>
    <w:rsid w:val="3F913ED2"/>
    <w:rsid w:val="3FAC1725"/>
    <w:rsid w:val="3FAD78C2"/>
    <w:rsid w:val="3FF47E41"/>
    <w:rsid w:val="400F00BB"/>
    <w:rsid w:val="405C3701"/>
    <w:rsid w:val="40615229"/>
    <w:rsid w:val="40733563"/>
    <w:rsid w:val="40B10190"/>
    <w:rsid w:val="40B74800"/>
    <w:rsid w:val="411613DD"/>
    <w:rsid w:val="41516E1E"/>
    <w:rsid w:val="416027A0"/>
    <w:rsid w:val="416E5398"/>
    <w:rsid w:val="418862CD"/>
    <w:rsid w:val="41A449A2"/>
    <w:rsid w:val="421B2713"/>
    <w:rsid w:val="42284FC8"/>
    <w:rsid w:val="42770C8F"/>
    <w:rsid w:val="429B2E0A"/>
    <w:rsid w:val="42AA5444"/>
    <w:rsid w:val="42F5056C"/>
    <w:rsid w:val="42FB7CE0"/>
    <w:rsid w:val="431112AD"/>
    <w:rsid w:val="43232F1C"/>
    <w:rsid w:val="433663BD"/>
    <w:rsid w:val="43561DE5"/>
    <w:rsid w:val="435E21EF"/>
    <w:rsid w:val="436B4467"/>
    <w:rsid w:val="43D9345F"/>
    <w:rsid w:val="440138B3"/>
    <w:rsid w:val="44154208"/>
    <w:rsid w:val="44394D1C"/>
    <w:rsid w:val="44406011"/>
    <w:rsid w:val="445451F2"/>
    <w:rsid w:val="44620BD2"/>
    <w:rsid w:val="446D7633"/>
    <w:rsid w:val="4488315B"/>
    <w:rsid w:val="4493471C"/>
    <w:rsid w:val="449C2C79"/>
    <w:rsid w:val="44B00229"/>
    <w:rsid w:val="44BE2144"/>
    <w:rsid w:val="44DF23A8"/>
    <w:rsid w:val="450736B6"/>
    <w:rsid w:val="45341CE2"/>
    <w:rsid w:val="45532B45"/>
    <w:rsid w:val="45621D42"/>
    <w:rsid w:val="45630290"/>
    <w:rsid w:val="45934454"/>
    <w:rsid w:val="4595257E"/>
    <w:rsid w:val="459D705A"/>
    <w:rsid w:val="45C42CBF"/>
    <w:rsid w:val="45DA2707"/>
    <w:rsid w:val="460E2404"/>
    <w:rsid w:val="46162C84"/>
    <w:rsid w:val="462E0F20"/>
    <w:rsid w:val="465F798A"/>
    <w:rsid w:val="46AC1B1A"/>
    <w:rsid w:val="46B80FA9"/>
    <w:rsid w:val="46CD7454"/>
    <w:rsid w:val="46FD0BBA"/>
    <w:rsid w:val="473D6FFA"/>
    <w:rsid w:val="47620B5A"/>
    <w:rsid w:val="476A374A"/>
    <w:rsid w:val="47C33349"/>
    <w:rsid w:val="47E54BDD"/>
    <w:rsid w:val="47E62852"/>
    <w:rsid w:val="4809270E"/>
    <w:rsid w:val="48155FBD"/>
    <w:rsid w:val="484F1501"/>
    <w:rsid w:val="48616542"/>
    <w:rsid w:val="487C4B5B"/>
    <w:rsid w:val="488B3ADA"/>
    <w:rsid w:val="489578D5"/>
    <w:rsid w:val="48C756C4"/>
    <w:rsid w:val="48F347C2"/>
    <w:rsid w:val="48F40872"/>
    <w:rsid w:val="490910CB"/>
    <w:rsid w:val="49466876"/>
    <w:rsid w:val="49672FCD"/>
    <w:rsid w:val="497D1E37"/>
    <w:rsid w:val="49A21D84"/>
    <w:rsid w:val="49C079A0"/>
    <w:rsid w:val="49E56842"/>
    <w:rsid w:val="4A202CB3"/>
    <w:rsid w:val="4A4C0BBD"/>
    <w:rsid w:val="4A741CD0"/>
    <w:rsid w:val="4AB169D3"/>
    <w:rsid w:val="4AE523B5"/>
    <w:rsid w:val="4AFF1CE5"/>
    <w:rsid w:val="4AFF2850"/>
    <w:rsid w:val="4B2C2C5C"/>
    <w:rsid w:val="4B3948BD"/>
    <w:rsid w:val="4B542445"/>
    <w:rsid w:val="4B8633C6"/>
    <w:rsid w:val="4BAE6978"/>
    <w:rsid w:val="4BF85767"/>
    <w:rsid w:val="4C4609B9"/>
    <w:rsid w:val="4C6B50F5"/>
    <w:rsid w:val="4C7613FB"/>
    <w:rsid w:val="4C9A610C"/>
    <w:rsid w:val="4CAB4A57"/>
    <w:rsid w:val="4CAF036C"/>
    <w:rsid w:val="4CB545C0"/>
    <w:rsid w:val="4CBB7439"/>
    <w:rsid w:val="4CBE1C08"/>
    <w:rsid w:val="4CFA12DC"/>
    <w:rsid w:val="4D317C9E"/>
    <w:rsid w:val="4D356131"/>
    <w:rsid w:val="4D521D49"/>
    <w:rsid w:val="4D5F31CA"/>
    <w:rsid w:val="4D635CDE"/>
    <w:rsid w:val="4D647E46"/>
    <w:rsid w:val="4D6B2FF6"/>
    <w:rsid w:val="4D7C15EC"/>
    <w:rsid w:val="4DA21BCB"/>
    <w:rsid w:val="4DA31278"/>
    <w:rsid w:val="4E022AED"/>
    <w:rsid w:val="4E0F5AA6"/>
    <w:rsid w:val="4E7B47FF"/>
    <w:rsid w:val="4E800E7B"/>
    <w:rsid w:val="4EC57FA6"/>
    <w:rsid w:val="4EDD2F85"/>
    <w:rsid w:val="4EE759E0"/>
    <w:rsid w:val="4EFB1785"/>
    <w:rsid w:val="4EFC0E40"/>
    <w:rsid w:val="4F073576"/>
    <w:rsid w:val="4F32383F"/>
    <w:rsid w:val="4F4201F9"/>
    <w:rsid w:val="4F596DC1"/>
    <w:rsid w:val="4F5B18B4"/>
    <w:rsid w:val="4F746E17"/>
    <w:rsid w:val="4F7E527E"/>
    <w:rsid w:val="4F9948BE"/>
    <w:rsid w:val="4F9A7281"/>
    <w:rsid w:val="4FAE6D31"/>
    <w:rsid w:val="4FB16A86"/>
    <w:rsid w:val="50114985"/>
    <w:rsid w:val="50173009"/>
    <w:rsid w:val="504B0595"/>
    <w:rsid w:val="508470D2"/>
    <w:rsid w:val="50CC2E3A"/>
    <w:rsid w:val="50E37FBB"/>
    <w:rsid w:val="516C1EC9"/>
    <w:rsid w:val="518F192B"/>
    <w:rsid w:val="51A35549"/>
    <w:rsid w:val="51C96CF8"/>
    <w:rsid w:val="51E16B22"/>
    <w:rsid w:val="51E71584"/>
    <w:rsid w:val="520134A4"/>
    <w:rsid w:val="52417CD3"/>
    <w:rsid w:val="525A2598"/>
    <w:rsid w:val="528D2D69"/>
    <w:rsid w:val="52A72CB9"/>
    <w:rsid w:val="52C645C7"/>
    <w:rsid w:val="5308234F"/>
    <w:rsid w:val="531A7701"/>
    <w:rsid w:val="533A7773"/>
    <w:rsid w:val="535A4036"/>
    <w:rsid w:val="535E0C0C"/>
    <w:rsid w:val="536F55E2"/>
    <w:rsid w:val="539A7C35"/>
    <w:rsid w:val="53EE2B63"/>
    <w:rsid w:val="541259A4"/>
    <w:rsid w:val="54221113"/>
    <w:rsid w:val="543625D7"/>
    <w:rsid w:val="54410718"/>
    <w:rsid w:val="5506526C"/>
    <w:rsid w:val="55497B99"/>
    <w:rsid w:val="556F44BF"/>
    <w:rsid w:val="557E0DC2"/>
    <w:rsid w:val="55981C1E"/>
    <w:rsid w:val="559E43DB"/>
    <w:rsid w:val="55CC0E83"/>
    <w:rsid w:val="5615080D"/>
    <w:rsid w:val="561574B3"/>
    <w:rsid w:val="56250D86"/>
    <w:rsid w:val="566A5330"/>
    <w:rsid w:val="567F26ED"/>
    <w:rsid w:val="568024C8"/>
    <w:rsid w:val="568F79BF"/>
    <w:rsid w:val="56A33FC4"/>
    <w:rsid w:val="56A763F2"/>
    <w:rsid w:val="56BE663C"/>
    <w:rsid w:val="56CD2153"/>
    <w:rsid w:val="56E75D17"/>
    <w:rsid w:val="56F312B5"/>
    <w:rsid w:val="56F74C0E"/>
    <w:rsid w:val="572B04F0"/>
    <w:rsid w:val="572B4176"/>
    <w:rsid w:val="57664E51"/>
    <w:rsid w:val="577603E3"/>
    <w:rsid w:val="5789602C"/>
    <w:rsid w:val="57D9376A"/>
    <w:rsid w:val="580649F2"/>
    <w:rsid w:val="58226B70"/>
    <w:rsid w:val="58230A94"/>
    <w:rsid w:val="58351BA6"/>
    <w:rsid w:val="584F5D9B"/>
    <w:rsid w:val="58795EFF"/>
    <w:rsid w:val="58835B9A"/>
    <w:rsid w:val="58B22CF9"/>
    <w:rsid w:val="58B840B1"/>
    <w:rsid w:val="58C67791"/>
    <w:rsid w:val="58F23A2C"/>
    <w:rsid w:val="58F33BD7"/>
    <w:rsid w:val="595950A7"/>
    <w:rsid w:val="5983654E"/>
    <w:rsid w:val="599B6043"/>
    <w:rsid w:val="59AB446D"/>
    <w:rsid w:val="5A1437A3"/>
    <w:rsid w:val="5A1F2A6A"/>
    <w:rsid w:val="5A321CCA"/>
    <w:rsid w:val="5A4031BD"/>
    <w:rsid w:val="5A742FCA"/>
    <w:rsid w:val="5A7557BC"/>
    <w:rsid w:val="5A7E34D5"/>
    <w:rsid w:val="5A801F1C"/>
    <w:rsid w:val="5AAB0EAB"/>
    <w:rsid w:val="5AC64458"/>
    <w:rsid w:val="5AD56AE1"/>
    <w:rsid w:val="5AF42D65"/>
    <w:rsid w:val="5AF96C92"/>
    <w:rsid w:val="5B6B2916"/>
    <w:rsid w:val="5B721AD3"/>
    <w:rsid w:val="5BA5390B"/>
    <w:rsid w:val="5BAF49EA"/>
    <w:rsid w:val="5BCF2B45"/>
    <w:rsid w:val="5BDC583E"/>
    <w:rsid w:val="5BDD7D44"/>
    <w:rsid w:val="5C2D62B3"/>
    <w:rsid w:val="5C331F55"/>
    <w:rsid w:val="5C37747F"/>
    <w:rsid w:val="5C3978AE"/>
    <w:rsid w:val="5C661078"/>
    <w:rsid w:val="5C7A4320"/>
    <w:rsid w:val="5C9167F0"/>
    <w:rsid w:val="5C930CB2"/>
    <w:rsid w:val="5CAE6718"/>
    <w:rsid w:val="5CED33FE"/>
    <w:rsid w:val="5CFE4B36"/>
    <w:rsid w:val="5D152663"/>
    <w:rsid w:val="5D250AE8"/>
    <w:rsid w:val="5D810B69"/>
    <w:rsid w:val="5D8562D6"/>
    <w:rsid w:val="5DA67B5E"/>
    <w:rsid w:val="5DB26B1C"/>
    <w:rsid w:val="5DC77A74"/>
    <w:rsid w:val="5DD80BA4"/>
    <w:rsid w:val="5DE65906"/>
    <w:rsid w:val="5DF10DD6"/>
    <w:rsid w:val="5E107A6E"/>
    <w:rsid w:val="5E240474"/>
    <w:rsid w:val="5E4A08B0"/>
    <w:rsid w:val="5E552402"/>
    <w:rsid w:val="5E581806"/>
    <w:rsid w:val="5EA954DA"/>
    <w:rsid w:val="5EF60C22"/>
    <w:rsid w:val="5F165F74"/>
    <w:rsid w:val="5F3E22C2"/>
    <w:rsid w:val="5F474EA9"/>
    <w:rsid w:val="5F8F3F9D"/>
    <w:rsid w:val="5FC33A72"/>
    <w:rsid w:val="5FE44BCC"/>
    <w:rsid w:val="5FFA3215"/>
    <w:rsid w:val="601278AE"/>
    <w:rsid w:val="602074C3"/>
    <w:rsid w:val="60342152"/>
    <w:rsid w:val="607F216A"/>
    <w:rsid w:val="609D0C9B"/>
    <w:rsid w:val="60D3361E"/>
    <w:rsid w:val="60F942D1"/>
    <w:rsid w:val="612912AD"/>
    <w:rsid w:val="613220FF"/>
    <w:rsid w:val="61446D7C"/>
    <w:rsid w:val="614B06AC"/>
    <w:rsid w:val="617C14DD"/>
    <w:rsid w:val="61B32B71"/>
    <w:rsid w:val="61B844A8"/>
    <w:rsid w:val="61D62E95"/>
    <w:rsid w:val="61D8581E"/>
    <w:rsid w:val="61FF2F13"/>
    <w:rsid w:val="622218C3"/>
    <w:rsid w:val="6222364C"/>
    <w:rsid w:val="6239511B"/>
    <w:rsid w:val="62473027"/>
    <w:rsid w:val="62641F1A"/>
    <w:rsid w:val="627B7180"/>
    <w:rsid w:val="6308246A"/>
    <w:rsid w:val="6308767C"/>
    <w:rsid w:val="63287634"/>
    <w:rsid w:val="63396070"/>
    <w:rsid w:val="634867D2"/>
    <w:rsid w:val="63525AAC"/>
    <w:rsid w:val="63531E3F"/>
    <w:rsid w:val="639768D2"/>
    <w:rsid w:val="63C05149"/>
    <w:rsid w:val="63F95E7B"/>
    <w:rsid w:val="64047A76"/>
    <w:rsid w:val="64107C83"/>
    <w:rsid w:val="641761B2"/>
    <w:rsid w:val="6429437B"/>
    <w:rsid w:val="648A2DED"/>
    <w:rsid w:val="64AA5921"/>
    <w:rsid w:val="64E965E9"/>
    <w:rsid w:val="64F613A1"/>
    <w:rsid w:val="64FB67B9"/>
    <w:rsid w:val="650F0297"/>
    <w:rsid w:val="65311AE8"/>
    <w:rsid w:val="65372FB5"/>
    <w:rsid w:val="6579788B"/>
    <w:rsid w:val="65A56F80"/>
    <w:rsid w:val="65CD5AEB"/>
    <w:rsid w:val="65D200C7"/>
    <w:rsid w:val="65D31262"/>
    <w:rsid w:val="65DE71F4"/>
    <w:rsid w:val="65E7615B"/>
    <w:rsid w:val="66067D88"/>
    <w:rsid w:val="662F3C78"/>
    <w:rsid w:val="66807846"/>
    <w:rsid w:val="66953C5B"/>
    <w:rsid w:val="669B2A9B"/>
    <w:rsid w:val="669F55F1"/>
    <w:rsid w:val="67157EB9"/>
    <w:rsid w:val="673B62F2"/>
    <w:rsid w:val="674F16A7"/>
    <w:rsid w:val="67906BAE"/>
    <w:rsid w:val="679D3EE7"/>
    <w:rsid w:val="67D36A56"/>
    <w:rsid w:val="67D56B92"/>
    <w:rsid w:val="67E036E9"/>
    <w:rsid w:val="67E5573D"/>
    <w:rsid w:val="683E687F"/>
    <w:rsid w:val="68430FB9"/>
    <w:rsid w:val="68C61A50"/>
    <w:rsid w:val="68E311B2"/>
    <w:rsid w:val="68FF3ACA"/>
    <w:rsid w:val="6900055E"/>
    <w:rsid w:val="690A6C79"/>
    <w:rsid w:val="69223AE7"/>
    <w:rsid w:val="69251ED4"/>
    <w:rsid w:val="692A4AFD"/>
    <w:rsid w:val="69326652"/>
    <w:rsid w:val="69347AF7"/>
    <w:rsid w:val="693A50E1"/>
    <w:rsid w:val="696E1979"/>
    <w:rsid w:val="69AA7B28"/>
    <w:rsid w:val="69B14B4E"/>
    <w:rsid w:val="69C175E5"/>
    <w:rsid w:val="69C56D45"/>
    <w:rsid w:val="69F57E4B"/>
    <w:rsid w:val="6A1221A1"/>
    <w:rsid w:val="6A233920"/>
    <w:rsid w:val="6A6366AE"/>
    <w:rsid w:val="6A8B6B18"/>
    <w:rsid w:val="6A9352A2"/>
    <w:rsid w:val="6A9A1577"/>
    <w:rsid w:val="6AA338E6"/>
    <w:rsid w:val="6AC86E77"/>
    <w:rsid w:val="6AF13C0D"/>
    <w:rsid w:val="6B5F4E4D"/>
    <w:rsid w:val="6B654FB0"/>
    <w:rsid w:val="6B6E1CA4"/>
    <w:rsid w:val="6BAF6941"/>
    <w:rsid w:val="6BCC1F13"/>
    <w:rsid w:val="6BD91EBE"/>
    <w:rsid w:val="6BE1101B"/>
    <w:rsid w:val="6C24259C"/>
    <w:rsid w:val="6C3219E1"/>
    <w:rsid w:val="6C5579CA"/>
    <w:rsid w:val="6C72726E"/>
    <w:rsid w:val="6CB44AB8"/>
    <w:rsid w:val="6CD509C5"/>
    <w:rsid w:val="6CE4138B"/>
    <w:rsid w:val="6CFA7874"/>
    <w:rsid w:val="6D514C03"/>
    <w:rsid w:val="6D69125F"/>
    <w:rsid w:val="6DA76031"/>
    <w:rsid w:val="6DA81CE8"/>
    <w:rsid w:val="6DBE17E3"/>
    <w:rsid w:val="6DCC1FAB"/>
    <w:rsid w:val="6DE537AC"/>
    <w:rsid w:val="6E096EF8"/>
    <w:rsid w:val="6E1534FA"/>
    <w:rsid w:val="6E160574"/>
    <w:rsid w:val="6E816BBF"/>
    <w:rsid w:val="6E9134A9"/>
    <w:rsid w:val="6ED5286B"/>
    <w:rsid w:val="6F1A7E1A"/>
    <w:rsid w:val="6F314155"/>
    <w:rsid w:val="6FF85E6E"/>
    <w:rsid w:val="700A48AB"/>
    <w:rsid w:val="70245076"/>
    <w:rsid w:val="704E5507"/>
    <w:rsid w:val="705A51FE"/>
    <w:rsid w:val="70935E14"/>
    <w:rsid w:val="70A4763A"/>
    <w:rsid w:val="70B22023"/>
    <w:rsid w:val="70D45314"/>
    <w:rsid w:val="70DB1C8A"/>
    <w:rsid w:val="717B1403"/>
    <w:rsid w:val="71A147B9"/>
    <w:rsid w:val="71D842FA"/>
    <w:rsid w:val="71E65CC9"/>
    <w:rsid w:val="71F00255"/>
    <w:rsid w:val="71F1377E"/>
    <w:rsid w:val="721434B7"/>
    <w:rsid w:val="725F33BF"/>
    <w:rsid w:val="72651EB0"/>
    <w:rsid w:val="729C267B"/>
    <w:rsid w:val="72B23E6D"/>
    <w:rsid w:val="72C251F0"/>
    <w:rsid w:val="72D87B33"/>
    <w:rsid w:val="72DD5B9E"/>
    <w:rsid w:val="72F54E01"/>
    <w:rsid w:val="731A2D6E"/>
    <w:rsid w:val="73374395"/>
    <w:rsid w:val="7366202F"/>
    <w:rsid w:val="737A786F"/>
    <w:rsid w:val="73B461E3"/>
    <w:rsid w:val="73B604ED"/>
    <w:rsid w:val="73EE50F4"/>
    <w:rsid w:val="740D3F11"/>
    <w:rsid w:val="741257AC"/>
    <w:rsid w:val="742B1612"/>
    <w:rsid w:val="7441199D"/>
    <w:rsid w:val="74420B02"/>
    <w:rsid w:val="745C550C"/>
    <w:rsid w:val="74A064AE"/>
    <w:rsid w:val="74D46B08"/>
    <w:rsid w:val="74D96958"/>
    <w:rsid w:val="74FE6B71"/>
    <w:rsid w:val="74FE774A"/>
    <w:rsid w:val="75023274"/>
    <w:rsid w:val="75184790"/>
    <w:rsid w:val="75577D7F"/>
    <w:rsid w:val="755D5C19"/>
    <w:rsid w:val="757022FB"/>
    <w:rsid w:val="75A15325"/>
    <w:rsid w:val="75B2473D"/>
    <w:rsid w:val="75C03D91"/>
    <w:rsid w:val="75EF6235"/>
    <w:rsid w:val="75F71F3B"/>
    <w:rsid w:val="763563F5"/>
    <w:rsid w:val="766D57C1"/>
    <w:rsid w:val="76801850"/>
    <w:rsid w:val="769714F7"/>
    <w:rsid w:val="76AC2318"/>
    <w:rsid w:val="76BC6C30"/>
    <w:rsid w:val="76E17F51"/>
    <w:rsid w:val="76E83D9B"/>
    <w:rsid w:val="76F7624B"/>
    <w:rsid w:val="772571D5"/>
    <w:rsid w:val="7730088B"/>
    <w:rsid w:val="77411D56"/>
    <w:rsid w:val="774839AC"/>
    <w:rsid w:val="77605E1A"/>
    <w:rsid w:val="77742983"/>
    <w:rsid w:val="77800D5D"/>
    <w:rsid w:val="77827BF3"/>
    <w:rsid w:val="778B633D"/>
    <w:rsid w:val="7793327E"/>
    <w:rsid w:val="77C232DA"/>
    <w:rsid w:val="77D973E1"/>
    <w:rsid w:val="77EA3464"/>
    <w:rsid w:val="78021C7B"/>
    <w:rsid w:val="780C1E19"/>
    <w:rsid w:val="786B70AF"/>
    <w:rsid w:val="78760913"/>
    <w:rsid w:val="7881477B"/>
    <w:rsid w:val="788F38A7"/>
    <w:rsid w:val="78A46720"/>
    <w:rsid w:val="78AD0AA4"/>
    <w:rsid w:val="78FD09AB"/>
    <w:rsid w:val="79010BD2"/>
    <w:rsid w:val="79017261"/>
    <w:rsid w:val="79346435"/>
    <w:rsid w:val="796608A4"/>
    <w:rsid w:val="7999176C"/>
    <w:rsid w:val="79AB2DAA"/>
    <w:rsid w:val="79B661E6"/>
    <w:rsid w:val="79CA7D83"/>
    <w:rsid w:val="79F12D18"/>
    <w:rsid w:val="7A461590"/>
    <w:rsid w:val="7A506505"/>
    <w:rsid w:val="7A6822EA"/>
    <w:rsid w:val="7A814BA2"/>
    <w:rsid w:val="7A88510B"/>
    <w:rsid w:val="7A942566"/>
    <w:rsid w:val="7AAC5343"/>
    <w:rsid w:val="7B4D10C0"/>
    <w:rsid w:val="7B5E19E1"/>
    <w:rsid w:val="7B8D502D"/>
    <w:rsid w:val="7BD0668B"/>
    <w:rsid w:val="7BD55037"/>
    <w:rsid w:val="7BEA41E2"/>
    <w:rsid w:val="7C1C27D8"/>
    <w:rsid w:val="7C230E82"/>
    <w:rsid w:val="7C304BF8"/>
    <w:rsid w:val="7C461A40"/>
    <w:rsid w:val="7C5C2009"/>
    <w:rsid w:val="7C655175"/>
    <w:rsid w:val="7C6D71FD"/>
    <w:rsid w:val="7C7E2620"/>
    <w:rsid w:val="7C8243CE"/>
    <w:rsid w:val="7C9902EC"/>
    <w:rsid w:val="7C9B318C"/>
    <w:rsid w:val="7CCE3276"/>
    <w:rsid w:val="7CCE4670"/>
    <w:rsid w:val="7CDD6CC4"/>
    <w:rsid w:val="7D341239"/>
    <w:rsid w:val="7D374E9E"/>
    <w:rsid w:val="7D477545"/>
    <w:rsid w:val="7D617FEB"/>
    <w:rsid w:val="7D6C6C25"/>
    <w:rsid w:val="7D82688C"/>
    <w:rsid w:val="7D936B21"/>
    <w:rsid w:val="7DB41EC3"/>
    <w:rsid w:val="7E141252"/>
    <w:rsid w:val="7E915EE4"/>
    <w:rsid w:val="7E930BA3"/>
    <w:rsid w:val="7E985166"/>
    <w:rsid w:val="7EAA35F1"/>
    <w:rsid w:val="7EFE7213"/>
    <w:rsid w:val="7F171BCC"/>
    <w:rsid w:val="7F37013C"/>
    <w:rsid w:val="7F401C7A"/>
    <w:rsid w:val="7F5F1232"/>
    <w:rsid w:val="7F7316D3"/>
    <w:rsid w:val="7F755C75"/>
    <w:rsid w:val="7FA119C3"/>
    <w:rsid w:val="7FA3150B"/>
    <w:rsid w:val="7FC239A0"/>
    <w:rsid w:val="7FEB5D35"/>
    <w:rsid w:val="7FEB6D9F"/>
    <w:rsid w:val="7FF84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3" w:firstLineChars="200"/>
      <w:jc w:val="both"/>
    </w:pPr>
    <w:rPr>
      <w:rFonts w:ascii="仿宋" w:hAnsi="仿宋" w:eastAsia="仿宋" w:cstheme="minorBidi"/>
      <w:kern w:val="2"/>
      <w:sz w:val="24"/>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9"/>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正文文本 字符"/>
    <w:basedOn w:val="8"/>
    <w:link w:val="4"/>
    <w:qFormat/>
    <w:uiPriority w:val="99"/>
    <w:rPr>
      <w:rFonts w:asciiTheme="minorHAnsi" w:hAnsiTheme="minorHAnsi" w:eastAsiaTheme="minorEastAsia" w:cstheme="minorBidi"/>
      <w:kern w:val="2"/>
      <w:sz w:val="21"/>
      <w:szCs w:val="22"/>
    </w:rPr>
  </w:style>
  <w:style w:type="character" w:customStyle="1" w:styleId="10">
    <w:name w:val="标题 1 字符"/>
    <w:basedOn w:val="8"/>
    <w:link w:val="2"/>
    <w:qFormat/>
    <w:uiPriority w:val="0"/>
    <w:rPr>
      <w:rFonts w:asciiTheme="minorHAnsi" w:hAnsiTheme="minorHAnsi" w:eastAsiaTheme="minorEastAsia" w:cstheme="minorBidi"/>
      <w:b/>
      <w:bCs/>
      <w:kern w:val="44"/>
      <w:sz w:val="44"/>
      <w:szCs w:val="44"/>
    </w:rPr>
  </w:style>
  <w:style w:type="paragraph" w:customStyle="1" w:styleId="11">
    <w:name w:val="TOC 标题1"/>
    <w:basedOn w:val="2"/>
    <w:next w:val="1"/>
    <w:semiHidden/>
    <w:unhideWhenUsed/>
    <w:qFormat/>
    <w:uiPriority w:val="39"/>
    <w:pPr>
      <w:outlineLvl w:val="9"/>
    </w:pPr>
    <w:rPr>
      <w:rFonts w:ascii="Times New Roman" w:hAnsi="Times New Roman" w:eastAsia="宋体" w:cs="Times New Roman"/>
    </w:rPr>
  </w:style>
  <w:style w:type="paragraph" w:customStyle="1" w:styleId="12">
    <w:name w:val="TOC 标题11"/>
    <w:basedOn w:val="2"/>
    <w:next w:val="1"/>
    <w:semiHidden/>
    <w:unhideWhenUsed/>
    <w:qFormat/>
    <w:uiPriority w:val="39"/>
    <w:pPr>
      <w:outlineLvl w:val="9"/>
    </w:pPr>
    <w:rPr>
      <w:rFonts w:ascii="Times New Roman" w:hAnsi="Times New Roman" w:eastAsia="宋体" w:cs="Times New Roman"/>
    </w:rPr>
  </w:style>
  <w:style w:type="paragraph" w:styleId="13">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12324</Words>
  <Characters>13322</Characters>
  <Lines>98</Lines>
  <Paragraphs>27</Paragraphs>
  <TotalTime>0</TotalTime>
  <ScaleCrop>false</ScaleCrop>
  <LinksUpToDate>false</LinksUpToDate>
  <CharactersWithSpaces>13400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2020-08-18T02:52:00Z</dcterms:created>
  <dc:creator>de'l'l</dc:creator>
  <cp:lastModifiedBy>听潮</cp:lastModifiedBy>
  <cp:lastPrinted>2022-09-27T01:49:00Z</cp:lastPrinted>
  <dcterms:modified xsi:type="dcterms:W3CDTF">2024-12-11T02:28:21Z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462967812C1E474C94D3CB0B61D37F3B_13</vt:lpwstr>
  </property>
</Properties>
</file>