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13746">
      <w:pPr>
        <w:spacing w:line="600" w:lineRule="atLeast"/>
        <w:ind w:firstLine="0" w:firstLineChars="0"/>
        <w:jc w:val="center"/>
        <w:rPr>
          <w:rFonts w:cs="仿宋"/>
          <w:b/>
          <w:sz w:val="36"/>
          <w:szCs w:val="36"/>
        </w:rPr>
      </w:pPr>
      <w:bookmarkStart w:id="75" w:name="_GoBack"/>
      <w:bookmarkEnd w:id="75"/>
    </w:p>
    <w:p w14:paraId="438296C7">
      <w:pPr>
        <w:pStyle w:val="2"/>
        <w:ind w:firstLine="883"/>
      </w:pPr>
    </w:p>
    <w:p w14:paraId="2C22538B">
      <w:pPr>
        <w:pStyle w:val="3"/>
        <w:spacing w:line="600" w:lineRule="atLeast"/>
        <w:ind w:firstLine="0" w:firstLineChars="0"/>
      </w:pPr>
    </w:p>
    <w:p w14:paraId="3BEBD08A">
      <w:pPr>
        <w:spacing w:line="600" w:lineRule="exact"/>
        <w:ind w:firstLine="0" w:firstLineChars="0"/>
        <w:jc w:val="center"/>
        <w:outlineLvl w:val="0"/>
        <w:rPr>
          <w:rFonts w:hint="eastAsia" w:ascii="宋体" w:hAnsi="宋体" w:eastAsia="宋体" w:cs="Times New Roman"/>
          <w:szCs w:val="24"/>
        </w:rPr>
      </w:pPr>
      <w:r>
        <w:rPr>
          <w:rFonts w:hint="eastAsia" w:ascii="宋体" w:hAnsi="宋体" w:eastAsia="宋体" w:cs="Times New Roman"/>
          <w:szCs w:val="24"/>
        </w:rPr>
        <w:t>寻甸回族彝族自治县土地储备中心2019年土地储备专项债券项目项目支出</w:t>
      </w:r>
    </w:p>
    <w:p w14:paraId="60AC1E30">
      <w:pPr>
        <w:spacing w:line="600" w:lineRule="exact"/>
        <w:ind w:firstLine="0" w:firstLineChars="0"/>
        <w:jc w:val="center"/>
        <w:outlineLvl w:val="0"/>
        <w:rPr>
          <w:rFonts w:hint="eastAsia" w:ascii="宋体" w:hAnsi="宋体" w:eastAsia="宋体" w:cs="Times New Roman"/>
          <w:sz w:val="36"/>
          <w:szCs w:val="36"/>
        </w:rPr>
      </w:pPr>
      <w:r>
        <w:rPr>
          <w:rFonts w:hint="eastAsia" w:ascii="宋体" w:hAnsi="宋体" w:eastAsia="宋体" w:cs="Times New Roman"/>
          <w:sz w:val="36"/>
          <w:szCs w:val="36"/>
        </w:rPr>
        <w:t>绩效评价报告</w:t>
      </w:r>
    </w:p>
    <w:p w14:paraId="460F1265">
      <w:pPr>
        <w:spacing w:line="600" w:lineRule="exact"/>
        <w:ind w:firstLine="0" w:firstLineChars="0"/>
        <w:jc w:val="center"/>
        <w:rPr>
          <w:rFonts w:hint="eastAsia" w:ascii="仿宋_GB2312" w:hAnsi="仿宋_GB2312" w:eastAsia="仿宋_GB2312" w:cs="仿宋_GB2312"/>
          <w:sz w:val="32"/>
          <w:szCs w:val="32"/>
        </w:rPr>
      </w:pPr>
    </w:p>
    <w:p w14:paraId="4B41894D">
      <w:pPr>
        <w:pStyle w:val="2"/>
        <w:ind w:firstLine="883"/>
        <w:rPr>
          <w:rFonts w:hint="eastAsia"/>
        </w:rPr>
      </w:pPr>
    </w:p>
    <w:p w14:paraId="2C3D3C4B">
      <w:pPr>
        <w:ind w:firstLine="480"/>
      </w:pPr>
    </w:p>
    <w:p w14:paraId="3CAD989B">
      <w:pPr>
        <w:pStyle w:val="2"/>
        <w:ind w:firstLine="883"/>
        <w:rPr>
          <w:rFonts w:hint="eastAsia"/>
        </w:rPr>
      </w:pPr>
    </w:p>
    <w:p w14:paraId="443EE39C">
      <w:pPr>
        <w:spacing w:line="600" w:lineRule="exact"/>
        <w:ind w:firstLine="0" w:firstLineChars="0"/>
        <w:rPr>
          <w:rFonts w:hint="eastAsia"/>
        </w:rPr>
      </w:pPr>
    </w:p>
    <w:p w14:paraId="3BAEB3C2">
      <w:pPr>
        <w:pStyle w:val="2"/>
        <w:ind w:firstLine="883"/>
        <w:rPr>
          <w:rFonts w:hint="eastAsia"/>
        </w:rPr>
      </w:pPr>
    </w:p>
    <w:p w14:paraId="3832FC62">
      <w:pPr>
        <w:spacing w:line="600" w:lineRule="exact"/>
        <w:ind w:left="1500" w:hanging="1500" w:hangingChars="500"/>
        <w:jc w:val="left"/>
        <w:outlineLvl w:val="0"/>
        <w:rPr>
          <w:rFonts w:hint="eastAsia" w:ascii="宋体" w:hAnsi="宋体" w:eastAsia="宋体" w:cs="宋体"/>
          <w:sz w:val="30"/>
          <w:szCs w:val="30"/>
        </w:rPr>
      </w:pPr>
      <w:r>
        <w:rPr>
          <w:rFonts w:hint="eastAsia" w:ascii="宋体" w:hAnsi="宋体" w:eastAsia="宋体" w:cs="宋体"/>
          <w:sz w:val="30"/>
          <w:szCs w:val="30"/>
        </w:rPr>
        <w:t>项目名称：2019年土地储备专项债券项目支出绩效评价</w:t>
      </w:r>
    </w:p>
    <w:p w14:paraId="17090C74">
      <w:pPr>
        <w:spacing w:line="600" w:lineRule="exact"/>
        <w:ind w:firstLine="0" w:firstLineChars="0"/>
        <w:jc w:val="left"/>
        <w:outlineLvl w:val="0"/>
        <w:rPr>
          <w:rFonts w:hint="eastAsia" w:ascii="宋体" w:hAnsi="宋体" w:eastAsia="宋体" w:cs="宋体"/>
          <w:sz w:val="30"/>
          <w:szCs w:val="30"/>
        </w:rPr>
      </w:pPr>
      <w:r>
        <w:rPr>
          <w:rFonts w:hint="eastAsia" w:ascii="宋体" w:hAnsi="宋体" w:eastAsia="宋体" w:cs="宋体"/>
          <w:sz w:val="30"/>
          <w:szCs w:val="30"/>
        </w:rPr>
        <w:t>评价单位：寻甸回族彝族自治县土地储备中心</w:t>
      </w:r>
    </w:p>
    <w:p w14:paraId="512F713E">
      <w:pPr>
        <w:spacing w:line="600" w:lineRule="exact"/>
        <w:ind w:firstLine="0" w:firstLineChars="0"/>
        <w:jc w:val="left"/>
        <w:outlineLvl w:val="0"/>
        <w:rPr>
          <w:rFonts w:hint="eastAsia" w:ascii="宋体" w:hAnsi="宋体" w:eastAsia="宋体" w:cs="宋体"/>
          <w:sz w:val="30"/>
          <w:szCs w:val="30"/>
        </w:rPr>
      </w:pPr>
      <w:r>
        <w:rPr>
          <w:rFonts w:hint="eastAsia" w:ascii="宋体" w:hAnsi="宋体" w:eastAsia="宋体" w:cs="宋体"/>
          <w:sz w:val="30"/>
          <w:szCs w:val="30"/>
        </w:rPr>
        <w:t>委托部门：寻甸回族彝族自治县财政局</w:t>
      </w:r>
    </w:p>
    <w:p w14:paraId="24182CB8">
      <w:pPr>
        <w:spacing w:line="600" w:lineRule="exact"/>
        <w:ind w:firstLine="0" w:firstLineChars="0"/>
        <w:jc w:val="left"/>
        <w:rPr>
          <w:rFonts w:hint="eastAsia" w:ascii="宋体" w:hAnsi="宋体" w:eastAsia="宋体" w:cs="宋体"/>
          <w:b/>
          <w:sz w:val="30"/>
          <w:szCs w:val="30"/>
        </w:rPr>
      </w:pPr>
      <w:r>
        <w:rPr>
          <w:rFonts w:hint="eastAsia" w:ascii="宋体" w:hAnsi="宋体" w:eastAsia="宋体" w:cs="宋体"/>
          <w:sz w:val="30"/>
          <w:szCs w:val="30"/>
        </w:rPr>
        <w:t>评价机构：云南京健会计师事务所（普通合伙）</w:t>
      </w:r>
    </w:p>
    <w:p w14:paraId="2922B489">
      <w:pPr>
        <w:ind w:firstLine="0" w:firstLineChars="0"/>
        <w:jc w:val="center"/>
        <w:rPr>
          <w:rFonts w:hint="eastAsia" w:ascii="黑体" w:hAnsi="黑体" w:eastAsia="黑体" w:cs="黑体"/>
          <w:bCs/>
          <w:sz w:val="21"/>
          <w:szCs w:val="21"/>
        </w:rPr>
      </w:pPr>
    </w:p>
    <w:p w14:paraId="3374AC35">
      <w:pPr>
        <w:ind w:firstLine="0" w:firstLineChars="0"/>
        <w:jc w:val="center"/>
        <w:rPr>
          <w:rFonts w:hint="eastAsia" w:ascii="黑体" w:hAnsi="黑体" w:eastAsia="黑体" w:cs="黑体"/>
          <w:bCs/>
          <w:sz w:val="21"/>
          <w:szCs w:val="21"/>
        </w:rPr>
      </w:pPr>
    </w:p>
    <w:p w14:paraId="58364433">
      <w:pPr>
        <w:ind w:firstLine="0" w:firstLineChars="0"/>
        <w:jc w:val="center"/>
        <w:rPr>
          <w:rFonts w:hint="eastAsia" w:ascii="黑体" w:hAnsi="黑体" w:eastAsia="黑体" w:cs="黑体"/>
          <w:bCs/>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1077" w:footer="992" w:gutter="0"/>
          <w:pgBorders>
            <w:top w:val="single" w:color="auto" w:sz="4" w:space="1"/>
            <w:bottom w:val="single" w:color="auto" w:sz="4" w:space="1"/>
          </w:pgBorders>
          <w:cols w:space="425" w:num="1"/>
          <w:docGrid w:type="lines" w:linePitch="312" w:charSpace="0"/>
        </w:sectPr>
      </w:pPr>
    </w:p>
    <w:p w14:paraId="668DA76C">
      <w:pPr>
        <w:ind w:firstLine="0" w:firstLineChars="0"/>
        <w:jc w:val="center"/>
        <w:rPr>
          <w:rFonts w:hint="eastAsia" w:ascii="黑体" w:hAnsi="黑体" w:eastAsia="黑体" w:cs="黑体"/>
          <w:bCs/>
          <w:sz w:val="21"/>
          <w:szCs w:val="21"/>
        </w:rPr>
      </w:pPr>
      <w:r>
        <w:rPr>
          <w:rFonts w:hint="eastAsia" w:ascii="黑体" w:hAnsi="黑体" w:eastAsia="黑体" w:cs="黑体"/>
          <w:bCs/>
          <w:szCs w:val="24"/>
        </w:rPr>
        <w:t>寻甸回族彝族自治县土地储备中心</w:t>
      </w:r>
      <w:bookmarkStart w:id="0" w:name="_Hlk177211860"/>
      <w:r>
        <w:rPr>
          <w:rFonts w:hint="eastAsia" w:ascii="黑体" w:hAnsi="黑体" w:eastAsia="黑体" w:cs="黑体"/>
          <w:bCs/>
          <w:szCs w:val="24"/>
        </w:rPr>
        <w:t>2019年土地储备专项债券</w:t>
      </w:r>
      <w:bookmarkEnd w:id="0"/>
      <w:r>
        <w:rPr>
          <w:rFonts w:hint="eastAsia" w:ascii="黑体" w:hAnsi="黑体" w:eastAsia="黑体" w:cs="黑体"/>
          <w:bCs/>
          <w:szCs w:val="24"/>
        </w:rPr>
        <w:t>项目支出</w:t>
      </w:r>
    </w:p>
    <w:p w14:paraId="635CC2E8">
      <w:pPr>
        <w:ind w:firstLine="720"/>
        <w:jc w:val="center"/>
        <w:rPr>
          <w:rFonts w:hint="eastAsia" w:ascii="黑体" w:hAnsi="黑体" w:eastAsia="黑体" w:cs="黑体"/>
          <w:bCs/>
          <w:sz w:val="36"/>
          <w:szCs w:val="36"/>
        </w:rPr>
      </w:pPr>
      <w:r>
        <w:rPr>
          <w:rFonts w:hint="eastAsia" w:ascii="黑体" w:hAnsi="黑体" w:eastAsia="黑体" w:cs="黑体"/>
          <w:bCs/>
          <w:sz w:val="36"/>
          <w:szCs w:val="36"/>
        </w:rPr>
        <w:t>绩效评价报告</w:t>
      </w:r>
    </w:p>
    <w:p w14:paraId="78AE34F7">
      <w:pPr>
        <w:ind w:firstLine="318" w:firstLineChars="177"/>
        <w:jc w:val="center"/>
        <w:rPr>
          <w:rFonts w:hint="eastAsia" w:ascii="宋体" w:hAnsi="宋体" w:eastAsia="宋体"/>
          <w:sz w:val="18"/>
          <w:szCs w:val="18"/>
        </w:rPr>
      </w:pPr>
      <w:r>
        <w:rPr>
          <w:rFonts w:hint="eastAsia" w:ascii="宋体" w:hAnsi="宋体" w:eastAsia="宋体"/>
          <w:sz w:val="18"/>
          <w:szCs w:val="18"/>
        </w:rPr>
        <w:t>云京健专审字（2024）第</w:t>
      </w:r>
      <w:r>
        <w:rPr>
          <w:rFonts w:hint="eastAsia" w:ascii="宋体" w:hAnsi="宋体" w:eastAsia="宋体"/>
          <w:sz w:val="18"/>
          <w:szCs w:val="18"/>
          <w:lang w:val="en-US" w:eastAsia="zh-CN"/>
        </w:rPr>
        <w:t>064</w:t>
      </w:r>
      <w:r>
        <w:rPr>
          <w:rFonts w:hint="eastAsia" w:ascii="宋体" w:hAnsi="宋体" w:eastAsia="宋体"/>
          <w:sz w:val="18"/>
          <w:szCs w:val="18"/>
        </w:rPr>
        <w:t>号</w:t>
      </w:r>
    </w:p>
    <w:p w14:paraId="4E32DD24">
      <w:pPr>
        <w:ind w:firstLine="0" w:firstLineChars="0"/>
        <w:rPr>
          <w:rFonts w:hint="eastAsia" w:ascii="宋体" w:hAnsi="宋体" w:eastAsia="宋体" w:cs="宋体"/>
          <w:b/>
          <w:sz w:val="28"/>
          <w:szCs w:val="28"/>
        </w:rPr>
      </w:pPr>
      <w:r>
        <w:rPr>
          <w:rFonts w:hint="eastAsia" w:ascii="宋体" w:hAnsi="宋体" w:eastAsia="宋体" w:cs="宋体"/>
          <w:b/>
          <w:sz w:val="28"/>
          <w:szCs w:val="28"/>
        </w:rPr>
        <w:t>寻甸回族彝族自治县财政局：</w:t>
      </w:r>
    </w:p>
    <w:p w14:paraId="105AA032">
      <w:pPr>
        <w:ind w:firstLine="560"/>
        <w:rPr>
          <w:rFonts w:hint="eastAsia"/>
          <w:sz w:val="28"/>
          <w:szCs w:val="28"/>
        </w:rPr>
      </w:pPr>
      <w:r>
        <w:rPr>
          <w:rFonts w:hint="eastAsia"/>
          <w:sz w:val="28"/>
          <w:szCs w:val="28"/>
        </w:rPr>
        <w:t>我们接受委托，根据</w:t>
      </w:r>
      <w:bookmarkStart w:id="1" w:name="_Hlk143855331"/>
      <w:r>
        <w:rPr>
          <w:rFonts w:hint="eastAsia"/>
          <w:sz w:val="28"/>
          <w:szCs w:val="28"/>
        </w:rPr>
        <w:t>《关于全面推进预算绩效管理改革的实施意见》（寻政发〔</w:t>
      </w:r>
      <w:r>
        <w:rPr>
          <w:sz w:val="28"/>
          <w:szCs w:val="28"/>
        </w:rPr>
        <w:t>2016〕122号）</w:t>
      </w:r>
      <w:bookmarkEnd w:id="1"/>
      <w:r>
        <w:rPr>
          <w:sz w:val="28"/>
          <w:szCs w:val="28"/>
        </w:rPr>
        <w:t>、《关于印发寻甸回族彝族自治县预算绩效管理工作考核办法（试行）的通知》（寻政办发〔2016〕79号）、《关于明确预算绩效管理工作职责的通知》（寻财〔2020〕5号）和</w:t>
      </w:r>
      <w:bookmarkStart w:id="2" w:name="_Hlk143855269"/>
      <w:r>
        <w:rPr>
          <w:sz w:val="28"/>
          <w:szCs w:val="28"/>
        </w:rPr>
        <w:t>《关于</w:t>
      </w:r>
      <w:r>
        <w:rPr>
          <w:rFonts w:hint="eastAsia"/>
          <w:sz w:val="28"/>
          <w:szCs w:val="28"/>
        </w:rPr>
        <w:t>开展</w:t>
      </w:r>
      <w:r>
        <w:rPr>
          <w:sz w:val="28"/>
          <w:szCs w:val="28"/>
        </w:rPr>
        <w:t>202</w:t>
      </w:r>
      <w:r>
        <w:rPr>
          <w:rFonts w:hint="eastAsia"/>
          <w:sz w:val="28"/>
          <w:szCs w:val="28"/>
        </w:rPr>
        <w:t>3</w:t>
      </w:r>
      <w:r>
        <w:rPr>
          <w:sz w:val="28"/>
          <w:szCs w:val="28"/>
        </w:rPr>
        <w:t>年度部门整体支出、重大项目支出和地方政府债券项目支出绩效再评价的通知》（寻财绩〔202</w:t>
      </w:r>
      <w:r>
        <w:rPr>
          <w:rFonts w:hint="eastAsia"/>
          <w:sz w:val="28"/>
          <w:szCs w:val="28"/>
        </w:rPr>
        <w:t>4</w:t>
      </w:r>
      <w:r>
        <w:rPr>
          <w:sz w:val="28"/>
          <w:szCs w:val="28"/>
        </w:rPr>
        <w:t>〕</w:t>
      </w:r>
      <w:r>
        <w:rPr>
          <w:rFonts w:hint="eastAsia"/>
          <w:sz w:val="28"/>
          <w:szCs w:val="28"/>
        </w:rPr>
        <w:t>4</w:t>
      </w:r>
      <w:r>
        <w:rPr>
          <w:sz w:val="28"/>
          <w:szCs w:val="28"/>
        </w:rPr>
        <w:t>号）</w:t>
      </w:r>
      <w:bookmarkEnd w:id="2"/>
      <w:r>
        <w:rPr>
          <w:rFonts w:hint="eastAsia"/>
          <w:sz w:val="28"/>
          <w:szCs w:val="28"/>
        </w:rPr>
        <w:t>等文件要求，组成审计评价组对寻甸回族彝族自治县土地储备中心2019年土地储备专项债券资金（以下简称“项目”）的管理、使用及效益情况进行了绩效评价。寻甸回族彝族自治县土地储备中心（以下简称“土储中心”）对所提供评价资料的真实性、完整性负责。现将绩效评价情况报告如下：</w:t>
      </w:r>
      <w:bookmarkStart w:id="3" w:name="_Toc502134848"/>
    </w:p>
    <w:p w14:paraId="7FC06A23">
      <w:pPr>
        <w:ind w:firstLine="560"/>
        <w:rPr>
          <w:rFonts w:hint="eastAsia" w:ascii="黑体" w:hAnsi="黑体" w:eastAsia="黑体" w:cs="黑体"/>
          <w:b/>
          <w:bCs/>
          <w:sz w:val="28"/>
          <w:szCs w:val="28"/>
        </w:rPr>
      </w:pPr>
      <w:r>
        <w:rPr>
          <w:rFonts w:hint="eastAsia" w:ascii="黑体" w:hAnsi="黑体" w:eastAsia="黑体" w:cs="黑体"/>
          <w:sz w:val="28"/>
          <w:szCs w:val="28"/>
        </w:rPr>
        <w:t>一、基本情况</w:t>
      </w:r>
      <w:bookmarkEnd w:id="3"/>
      <w:bookmarkStart w:id="4" w:name="_Toc502134849"/>
    </w:p>
    <w:p w14:paraId="13B4C7F7">
      <w:pPr>
        <w:ind w:firstLine="560"/>
        <w:rPr>
          <w:rFonts w:hint="eastAsia" w:ascii="楷体" w:hAnsi="楷体" w:eastAsia="楷体" w:cs="楷体"/>
          <w:sz w:val="28"/>
          <w:szCs w:val="28"/>
        </w:rPr>
      </w:pPr>
      <w:r>
        <w:rPr>
          <w:rFonts w:hint="eastAsia" w:ascii="楷体" w:hAnsi="楷体" w:eastAsia="楷体" w:cs="楷体"/>
          <w:sz w:val="28"/>
          <w:szCs w:val="28"/>
        </w:rPr>
        <w:t>(一)项目概况</w:t>
      </w:r>
      <w:bookmarkEnd w:id="4"/>
    </w:p>
    <w:p w14:paraId="1967FCF7">
      <w:pPr>
        <w:ind w:firstLine="560"/>
        <w:rPr>
          <w:rFonts w:hint="eastAsia" w:cs="仿宋"/>
          <w:sz w:val="28"/>
          <w:szCs w:val="28"/>
        </w:rPr>
      </w:pPr>
      <w:r>
        <w:rPr>
          <w:rFonts w:hint="eastAsia" w:cs="仿宋"/>
          <w:sz w:val="28"/>
          <w:szCs w:val="28"/>
        </w:rPr>
        <w:t>1.项目设定背景、目的</w:t>
      </w:r>
    </w:p>
    <w:p w14:paraId="7CCB88F7">
      <w:pPr>
        <w:ind w:firstLine="560"/>
        <w:rPr>
          <w:rFonts w:hint="eastAsia" w:cs="仿宋"/>
          <w:sz w:val="28"/>
          <w:szCs w:val="28"/>
        </w:rPr>
      </w:pPr>
      <w:r>
        <w:rPr>
          <w:rFonts w:hint="eastAsia" w:cs="仿宋"/>
          <w:sz w:val="28"/>
          <w:szCs w:val="28"/>
        </w:rPr>
        <w:t>根据《昆明市土地储备管理办法》，为完善土地储备制度，加强土地宏观调控，规范土地市场运行，促进土地节约集约利用，合理配置土地资源，提高建设用地保障能力和城市土地经营水平，土地储备中心实施土地收储、供应及成本评审工作。</w:t>
      </w:r>
    </w:p>
    <w:p w14:paraId="5DCC7ADE">
      <w:pPr>
        <w:ind w:firstLine="560"/>
        <w:rPr>
          <w:rFonts w:hint="eastAsia" w:cs="仿宋"/>
          <w:sz w:val="28"/>
          <w:szCs w:val="28"/>
        </w:rPr>
      </w:pPr>
      <w:r>
        <w:rPr>
          <w:rFonts w:hint="eastAsia" w:cs="仿宋"/>
          <w:sz w:val="28"/>
          <w:szCs w:val="28"/>
        </w:rPr>
        <w:t>土地储备专项债券是地方政府为储备土地发行的，以项目对应并纳入政府性基金预算管理的国有土地使用权出让收入或国有土地收益基金收入偿还的地方政府专项债券。申报发行土地储备专项债券，是解决土地储备工作资金来源的重要渠道，是促进地方土地供应的有效途径。</w:t>
      </w:r>
    </w:p>
    <w:p w14:paraId="67D26AC4">
      <w:pPr>
        <w:ind w:firstLine="560"/>
        <w:rPr>
          <w:rFonts w:hint="eastAsia" w:cs="仿宋"/>
          <w:sz w:val="28"/>
          <w:szCs w:val="28"/>
        </w:rPr>
      </w:pPr>
      <w:r>
        <w:rPr>
          <w:rFonts w:hint="eastAsia" w:cs="仿宋"/>
          <w:sz w:val="28"/>
          <w:szCs w:val="28"/>
        </w:rPr>
        <w:t>为实现土地储备和土地供应良性滚动发展，实现城乡建设有地可用，地方政府依据自身财力和资金状况及城乡发展需要，制定土地储备计划并具体组织实施土地收储工作。为完成牧靡路地块、月华路南段地块、锦秀广场地块、凤梧华府地块的土地收储及供应，经云南省财政厅专家组评审通过后，发行了牧靡路地块、月华路南段地块、锦秀广场地块、凤梧华府地块土地储备专项债券。</w:t>
      </w:r>
    </w:p>
    <w:p w14:paraId="6F458892">
      <w:pPr>
        <w:ind w:firstLine="560"/>
        <w:rPr>
          <w:rFonts w:hint="eastAsia" w:cs="仿宋"/>
          <w:sz w:val="28"/>
          <w:szCs w:val="28"/>
        </w:rPr>
      </w:pPr>
      <w:r>
        <w:rPr>
          <w:rFonts w:hint="eastAsia" w:cs="仿宋"/>
          <w:sz w:val="28"/>
          <w:szCs w:val="28"/>
        </w:rPr>
        <w:t>2.项目立项依据</w:t>
      </w:r>
      <w:bookmarkStart w:id="5" w:name="_Toc502134850"/>
    </w:p>
    <w:p w14:paraId="64D3CE7D">
      <w:pPr>
        <w:ind w:firstLine="560"/>
        <w:rPr>
          <w:rFonts w:hint="eastAsia" w:cs="仿宋"/>
          <w:sz w:val="28"/>
          <w:szCs w:val="28"/>
        </w:rPr>
      </w:pPr>
      <w:r>
        <w:rPr>
          <w:rFonts w:hint="eastAsia" w:cs="仿宋"/>
          <w:sz w:val="28"/>
          <w:szCs w:val="28"/>
        </w:rPr>
        <w:t>(1)《云南省土地管理条例》；</w:t>
      </w:r>
    </w:p>
    <w:p w14:paraId="2CA5895F">
      <w:pPr>
        <w:ind w:firstLine="560"/>
        <w:rPr>
          <w:rFonts w:hint="eastAsia" w:cs="仿宋"/>
          <w:sz w:val="28"/>
          <w:szCs w:val="28"/>
        </w:rPr>
      </w:pPr>
      <w:r>
        <w:rPr>
          <w:rFonts w:hint="eastAsia" w:cs="仿宋"/>
          <w:sz w:val="28"/>
          <w:szCs w:val="28"/>
        </w:rPr>
        <w:t>(2)《昆明市土地储备管理办法》（昆明市人民政府第97号令）；</w:t>
      </w:r>
    </w:p>
    <w:p w14:paraId="6593D3EE">
      <w:pPr>
        <w:ind w:firstLine="560"/>
        <w:rPr>
          <w:rFonts w:hint="eastAsia" w:cs="仿宋"/>
          <w:sz w:val="28"/>
          <w:szCs w:val="28"/>
        </w:rPr>
      </w:pPr>
      <w:r>
        <w:rPr>
          <w:rFonts w:hint="eastAsia" w:cs="仿宋"/>
          <w:sz w:val="28"/>
          <w:szCs w:val="28"/>
        </w:rPr>
        <w:t>(3)《昆明市土地储备支出核算管理办法》（昆政办[2010]75号）；</w:t>
      </w:r>
    </w:p>
    <w:p w14:paraId="73364A2B">
      <w:pPr>
        <w:ind w:firstLine="560"/>
        <w:rPr>
          <w:rFonts w:hint="eastAsia" w:cs="仿宋"/>
          <w:sz w:val="28"/>
          <w:szCs w:val="28"/>
        </w:rPr>
      </w:pPr>
      <w:r>
        <w:rPr>
          <w:rFonts w:hint="eastAsia" w:cs="仿宋"/>
          <w:sz w:val="28"/>
          <w:szCs w:val="28"/>
        </w:rPr>
        <w:t>(4)《寻甸县储备土地管护及临时利用实施方案（试行）》（寻政办发[2019]13号）；</w:t>
      </w:r>
    </w:p>
    <w:p w14:paraId="371DD6AC">
      <w:pPr>
        <w:ind w:firstLine="560"/>
        <w:rPr>
          <w:rFonts w:hint="eastAsia" w:cs="仿宋"/>
          <w:sz w:val="28"/>
          <w:szCs w:val="28"/>
        </w:rPr>
      </w:pPr>
      <w:r>
        <w:rPr>
          <w:rFonts w:hint="eastAsia" w:cs="仿宋"/>
          <w:sz w:val="28"/>
          <w:szCs w:val="28"/>
        </w:rPr>
        <w:t>(5)《昆明市寻甸回族彝族自治县土地储备项目专项债券实施方案》。</w:t>
      </w:r>
    </w:p>
    <w:p w14:paraId="0EC16811">
      <w:pPr>
        <w:ind w:firstLine="560"/>
        <w:rPr>
          <w:rFonts w:hint="eastAsia" w:ascii="楷体" w:hAnsi="楷体" w:eastAsia="楷体" w:cs="楷体"/>
          <w:sz w:val="28"/>
          <w:szCs w:val="28"/>
        </w:rPr>
      </w:pPr>
      <w:r>
        <w:rPr>
          <w:rFonts w:hint="eastAsia" w:ascii="楷体" w:hAnsi="楷体" w:eastAsia="楷体" w:cs="楷体"/>
          <w:sz w:val="28"/>
          <w:szCs w:val="28"/>
        </w:rPr>
        <w:t>(二)项目资金安排情况</w:t>
      </w:r>
      <w:bookmarkEnd w:id="5"/>
    </w:p>
    <w:p w14:paraId="7F381320">
      <w:pPr>
        <w:ind w:firstLine="560"/>
        <w:rPr>
          <w:rFonts w:hint="eastAsia" w:cs="仿宋"/>
          <w:sz w:val="28"/>
          <w:szCs w:val="28"/>
        </w:rPr>
      </w:pPr>
      <w:bookmarkStart w:id="6" w:name="_Toc502134851"/>
      <w:r>
        <w:rPr>
          <w:rFonts w:hint="eastAsia" w:cs="仿宋"/>
          <w:sz w:val="28"/>
          <w:szCs w:val="28"/>
        </w:rPr>
        <w:t>1.《昆明市寻甸回族彝族自治县土地储备项目专项债券实施方案》发行凤梧华府地块土地储备专项债券8000万元，2020年8月资金到位8000万元。</w:t>
      </w:r>
    </w:p>
    <w:p w14:paraId="297DB1A4">
      <w:pPr>
        <w:ind w:firstLine="560"/>
        <w:rPr>
          <w:rFonts w:hint="eastAsia" w:cs="仿宋"/>
          <w:sz w:val="28"/>
          <w:szCs w:val="28"/>
        </w:rPr>
      </w:pPr>
      <w:r>
        <w:rPr>
          <w:rFonts w:hint="eastAsia" w:cs="仿宋"/>
          <w:sz w:val="28"/>
          <w:szCs w:val="28"/>
        </w:rPr>
        <w:t>2.《昆明市寻甸回族彝族自治县土地储备项目专项债券实施方案》发行锦秀广场地块土地储备专项债券6800万元，2020年8月资金到位6800万元（该地块土地储备专项债券9000万元，2020年9月根据《昆明市财政局 昆明市发展和改革委员会关于梳理上报2020及以前年度新增专项债券用途调整需求的通知》调整2200万元至牧靡路地块）。</w:t>
      </w:r>
    </w:p>
    <w:p w14:paraId="308D1E6B">
      <w:pPr>
        <w:ind w:firstLine="560"/>
        <w:rPr>
          <w:rFonts w:hint="eastAsia" w:cs="仿宋"/>
          <w:sz w:val="28"/>
          <w:szCs w:val="28"/>
        </w:rPr>
      </w:pPr>
      <w:r>
        <w:rPr>
          <w:rFonts w:hint="eastAsia" w:cs="仿宋"/>
          <w:sz w:val="28"/>
          <w:szCs w:val="28"/>
        </w:rPr>
        <w:t>3.《昆明市寻甸回族彝族自治县土地储备项目专项债券实施方案》发行月华路南段地块土地储备专项债券7000万元，2020年8月资金到位7000万元。</w:t>
      </w:r>
    </w:p>
    <w:p w14:paraId="2CF9A8D4">
      <w:pPr>
        <w:ind w:firstLine="560"/>
        <w:rPr>
          <w:rFonts w:hint="eastAsia" w:cs="仿宋"/>
          <w:sz w:val="28"/>
          <w:szCs w:val="28"/>
        </w:rPr>
      </w:pPr>
      <w:r>
        <w:rPr>
          <w:rFonts w:hint="eastAsia" w:cs="仿宋"/>
          <w:sz w:val="28"/>
          <w:szCs w:val="28"/>
        </w:rPr>
        <w:t>4.《昆明市寻甸回族彝族自治县土地储备项目专项债券实施方案》发行牧靡路地块土地储备专项债券2200万元，2020年8月资金到位2200万元。</w:t>
      </w:r>
    </w:p>
    <w:p w14:paraId="4E3F455C">
      <w:pPr>
        <w:ind w:firstLine="560"/>
        <w:rPr>
          <w:rFonts w:hint="eastAsia" w:ascii="楷体" w:hAnsi="楷体" w:eastAsia="楷体" w:cs="楷体"/>
          <w:sz w:val="28"/>
          <w:szCs w:val="28"/>
        </w:rPr>
      </w:pPr>
      <w:r>
        <w:rPr>
          <w:rFonts w:hint="eastAsia" w:ascii="楷体" w:hAnsi="楷体" w:eastAsia="楷体" w:cs="楷体"/>
          <w:sz w:val="28"/>
          <w:szCs w:val="28"/>
        </w:rPr>
        <w:t>(三)项目实施内容</w:t>
      </w:r>
      <w:bookmarkEnd w:id="6"/>
      <w:bookmarkStart w:id="7" w:name="_Toc502134852"/>
    </w:p>
    <w:p w14:paraId="24A6698D">
      <w:pPr>
        <w:ind w:firstLine="560"/>
        <w:rPr>
          <w:rFonts w:hint="eastAsia" w:cs="仿宋"/>
          <w:sz w:val="28"/>
          <w:szCs w:val="28"/>
        </w:rPr>
      </w:pPr>
      <w:r>
        <w:rPr>
          <w:rFonts w:hint="eastAsia" w:cs="仿宋"/>
          <w:sz w:val="28"/>
          <w:szCs w:val="28"/>
        </w:rPr>
        <w:t>项目由土地储备中心主管并具体实施，专项债券资金主要用于土地报批征收、拆迁，片区内市政道路建设，管线新建、迁改等土地一级开发。项目具体情况为：</w:t>
      </w:r>
    </w:p>
    <w:p w14:paraId="35387935">
      <w:pPr>
        <w:ind w:firstLine="560"/>
        <w:rPr>
          <w:rFonts w:hint="eastAsia" w:cs="仿宋"/>
          <w:sz w:val="28"/>
          <w:szCs w:val="28"/>
        </w:rPr>
      </w:pPr>
      <w:r>
        <w:rPr>
          <w:rFonts w:hint="eastAsia" w:cs="仿宋"/>
          <w:sz w:val="28"/>
          <w:szCs w:val="28"/>
        </w:rPr>
        <w:t>1.凤梧华府地块：该地块位于寻甸县中心城区范围内，总规模232.30亩，其中82.41亩已完成转用报批（云国土资复[2010]783号）。</w:t>
      </w:r>
    </w:p>
    <w:p w14:paraId="24E53CD3">
      <w:pPr>
        <w:ind w:firstLine="560"/>
        <w:rPr>
          <w:rFonts w:hint="eastAsia" w:cs="仿宋"/>
          <w:sz w:val="28"/>
          <w:szCs w:val="28"/>
        </w:rPr>
      </w:pPr>
      <w:r>
        <w:rPr>
          <w:rFonts w:hint="eastAsia" w:cs="仿宋"/>
          <w:sz w:val="28"/>
          <w:szCs w:val="28"/>
        </w:rPr>
        <w:t>2.锦秀广场地块：该地块位于寻甸县中心城区范围内，总规模301.41亩，其中252.74亩已完成转用报批（云国土资复[2012]77号、云国土资复[2012]01019号、云国土资复[2010]783号）。</w:t>
      </w:r>
    </w:p>
    <w:p w14:paraId="1B0F86F8">
      <w:pPr>
        <w:ind w:firstLine="560"/>
        <w:rPr>
          <w:rFonts w:hint="eastAsia" w:cs="仿宋"/>
          <w:sz w:val="28"/>
          <w:szCs w:val="28"/>
        </w:rPr>
      </w:pPr>
      <w:r>
        <w:rPr>
          <w:rFonts w:hint="eastAsia" w:cs="仿宋"/>
          <w:sz w:val="28"/>
          <w:szCs w:val="28"/>
        </w:rPr>
        <w:t>3.月华路南段地块：该地块位于寻甸县中心城区范围内，总规模212.44亩。</w:t>
      </w:r>
    </w:p>
    <w:p w14:paraId="0549E8EC">
      <w:pPr>
        <w:ind w:firstLine="560"/>
        <w:rPr>
          <w:rFonts w:hint="eastAsia" w:cs="仿宋"/>
          <w:sz w:val="28"/>
          <w:szCs w:val="28"/>
        </w:rPr>
      </w:pPr>
      <w:r>
        <w:rPr>
          <w:rFonts w:hint="eastAsia" w:cs="仿宋"/>
          <w:sz w:val="28"/>
          <w:szCs w:val="28"/>
        </w:rPr>
        <w:t>4.牧靡路地块：该地块位于寻甸县县城东城区，总规模166.61亩，已完成转用报批（云国土资复[2012]01019号）。</w:t>
      </w:r>
    </w:p>
    <w:p w14:paraId="7AFD35AE">
      <w:pPr>
        <w:ind w:firstLine="560"/>
        <w:rPr>
          <w:rFonts w:hint="eastAsia" w:ascii="楷体" w:hAnsi="楷体" w:eastAsia="楷体" w:cs="楷体"/>
          <w:sz w:val="28"/>
          <w:szCs w:val="28"/>
        </w:rPr>
      </w:pPr>
      <w:r>
        <w:rPr>
          <w:rFonts w:hint="eastAsia" w:ascii="楷体" w:hAnsi="楷体" w:eastAsia="楷体" w:cs="楷体"/>
          <w:sz w:val="28"/>
          <w:szCs w:val="28"/>
        </w:rPr>
        <w:t>(四)</w:t>
      </w:r>
      <w:bookmarkStart w:id="8" w:name="_Hlk145787341"/>
      <w:r>
        <w:rPr>
          <w:rFonts w:hint="eastAsia" w:ascii="楷体" w:hAnsi="楷体" w:eastAsia="楷体" w:cs="楷体"/>
          <w:sz w:val="28"/>
          <w:szCs w:val="28"/>
        </w:rPr>
        <w:t>项目绩效目标设定情况</w:t>
      </w:r>
      <w:bookmarkEnd w:id="7"/>
      <w:bookmarkEnd w:id="8"/>
    </w:p>
    <w:p w14:paraId="784336DE">
      <w:pPr>
        <w:ind w:firstLine="560"/>
        <w:rPr>
          <w:rFonts w:hint="eastAsia" w:cs="仿宋"/>
          <w:sz w:val="28"/>
          <w:szCs w:val="28"/>
        </w:rPr>
      </w:pPr>
      <w:bookmarkStart w:id="9" w:name="_Hlk144996368"/>
      <w:r>
        <w:rPr>
          <w:rFonts w:hint="eastAsia" w:cs="仿宋"/>
          <w:sz w:val="28"/>
          <w:szCs w:val="28"/>
        </w:rPr>
        <w:t>土储中心未在“预算一体化”系统中申报项目预算及绩效目标，根据《2019年云南省昆明市寻甸回族彝族自治县锦秀广场土地储备项目专项债券实施方案》等4个方案分析，项目预期总体绩效目标如下：</w:t>
      </w:r>
    </w:p>
    <w:p w14:paraId="233D9430">
      <w:pPr>
        <w:ind w:firstLine="560"/>
        <w:rPr>
          <w:rFonts w:hint="eastAsia" w:cs="仿宋"/>
          <w:sz w:val="28"/>
          <w:szCs w:val="28"/>
        </w:rPr>
      </w:pPr>
      <w:r>
        <w:rPr>
          <w:rFonts w:hint="eastAsia" w:cs="仿宋"/>
          <w:sz w:val="28"/>
          <w:szCs w:val="28"/>
        </w:rPr>
        <w:t>1.完成凤梧华府地块232.30亩</w:t>
      </w:r>
      <w:bookmarkStart w:id="10" w:name="_Hlk177213082"/>
      <w:r>
        <w:rPr>
          <w:rFonts w:hint="eastAsia" w:cs="仿宋"/>
          <w:sz w:val="28"/>
          <w:szCs w:val="28"/>
        </w:rPr>
        <w:t>土地一级开发并收储。</w:t>
      </w:r>
      <w:bookmarkEnd w:id="10"/>
    </w:p>
    <w:p w14:paraId="0C6ABB33">
      <w:pPr>
        <w:ind w:firstLine="560"/>
        <w:rPr>
          <w:rFonts w:hint="eastAsia" w:cs="仿宋"/>
          <w:sz w:val="28"/>
          <w:szCs w:val="28"/>
        </w:rPr>
      </w:pPr>
      <w:r>
        <w:rPr>
          <w:rFonts w:hint="eastAsia" w:cs="仿宋"/>
          <w:sz w:val="28"/>
          <w:szCs w:val="28"/>
        </w:rPr>
        <w:t>2.完成锦秀广场地块301.41亩土地一级开发并收储。</w:t>
      </w:r>
    </w:p>
    <w:p w14:paraId="759C4B1F">
      <w:pPr>
        <w:ind w:firstLine="560"/>
        <w:rPr>
          <w:rFonts w:hint="eastAsia" w:cs="仿宋"/>
          <w:sz w:val="28"/>
          <w:szCs w:val="28"/>
        </w:rPr>
      </w:pPr>
      <w:r>
        <w:rPr>
          <w:rFonts w:hint="eastAsia" w:cs="仿宋"/>
          <w:sz w:val="28"/>
          <w:szCs w:val="28"/>
        </w:rPr>
        <w:t>3.完成月华路南段地块212.44亩土地一级开发并收储。</w:t>
      </w:r>
    </w:p>
    <w:p w14:paraId="2EA937AA">
      <w:pPr>
        <w:ind w:firstLine="560"/>
        <w:rPr>
          <w:rFonts w:hint="eastAsia" w:cs="仿宋"/>
          <w:sz w:val="28"/>
          <w:szCs w:val="28"/>
        </w:rPr>
      </w:pPr>
      <w:r>
        <w:rPr>
          <w:rFonts w:hint="eastAsia" w:cs="仿宋"/>
          <w:sz w:val="28"/>
          <w:szCs w:val="28"/>
        </w:rPr>
        <w:t>4.完成牧靡路地块166.61亩土地一级开发并收储。</w:t>
      </w:r>
    </w:p>
    <w:p w14:paraId="33819E5D">
      <w:pPr>
        <w:ind w:firstLine="560"/>
        <w:rPr>
          <w:rFonts w:hint="eastAsia"/>
          <w:sz w:val="28"/>
          <w:szCs w:val="28"/>
        </w:rPr>
      </w:pPr>
      <w:r>
        <w:rPr>
          <w:rFonts w:hint="eastAsia" w:cs="仿宋"/>
          <w:sz w:val="28"/>
          <w:szCs w:val="28"/>
        </w:rPr>
        <w:t>以</w:t>
      </w:r>
      <w:bookmarkStart w:id="11" w:name="_Hlk177215292"/>
      <w:r>
        <w:rPr>
          <w:rFonts w:hint="eastAsia" w:cs="仿宋"/>
          <w:sz w:val="28"/>
          <w:szCs w:val="28"/>
        </w:rPr>
        <w:t>《2019年云南省昆明市寻甸回族彝族自治县凤梧华府土地储备项目专项债券实施方案》</w:t>
      </w:r>
      <w:bookmarkEnd w:id="11"/>
      <w:r>
        <w:rPr>
          <w:rFonts w:hint="eastAsia" w:cs="仿宋"/>
          <w:sz w:val="28"/>
          <w:szCs w:val="28"/>
        </w:rPr>
        <w:t>为例，归纳了凤梧华府土地储备项目绩效指标及指标值如下：</w:t>
      </w:r>
    </w:p>
    <w:tbl>
      <w:tblPr>
        <w:tblStyle w:val="7"/>
        <w:tblW w:w="47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1943"/>
        <w:gridCol w:w="2999"/>
        <w:gridCol w:w="1841"/>
      </w:tblGrid>
      <w:tr w14:paraId="58EE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blHeader/>
          <w:jc w:val="center"/>
        </w:trPr>
        <w:tc>
          <w:tcPr>
            <w:tcW w:w="785" w:type="pct"/>
            <w:tcBorders>
              <w:tl2br w:val="nil"/>
              <w:tr2bl w:val="nil"/>
            </w:tcBorders>
            <w:shd w:val="clear" w:color="auto" w:fill="auto"/>
            <w:vAlign w:val="center"/>
          </w:tcPr>
          <w:p w14:paraId="0EA536F8">
            <w:pPr>
              <w:widowControl/>
              <w:ind w:firstLine="0" w:firstLineChars="0"/>
              <w:jc w:val="center"/>
              <w:rPr>
                <w:rFonts w:hint="eastAsia" w:ascii="宋体" w:hAnsi="宋体" w:eastAsia="宋体" w:cs="宋体"/>
                <w:color w:val="000000"/>
                <w:kern w:val="0"/>
                <w:sz w:val="18"/>
                <w:szCs w:val="18"/>
              </w:rPr>
            </w:pPr>
            <w:bookmarkStart w:id="12" w:name="_Hlk144923174"/>
            <w:r>
              <w:rPr>
                <w:rFonts w:hint="eastAsia" w:ascii="宋体" w:hAnsi="宋体" w:eastAsia="宋体" w:cs="宋体"/>
                <w:color w:val="000000"/>
                <w:kern w:val="0"/>
                <w:sz w:val="18"/>
                <w:szCs w:val="18"/>
              </w:rPr>
              <w:t>一级指标</w:t>
            </w:r>
          </w:p>
        </w:tc>
        <w:tc>
          <w:tcPr>
            <w:tcW w:w="1207" w:type="pct"/>
            <w:tcBorders>
              <w:tl2br w:val="nil"/>
              <w:tr2bl w:val="nil"/>
            </w:tcBorders>
            <w:shd w:val="clear" w:color="auto" w:fill="auto"/>
            <w:vAlign w:val="center"/>
          </w:tcPr>
          <w:p w14:paraId="733A921F">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1863" w:type="pct"/>
            <w:tcBorders>
              <w:tl2br w:val="nil"/>
              <w:tr2bl w:val="nil"/>
            </w:tcBorders>
            <w:shd w:val="clear" w:color="auto" w:fill="auto"/>
            <w:vAlign w:val="center"/>
          </w:tcPr>
          <w:p w14:paraId="29049AC9">
            <w:pPr>
              <w:widowControl/>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144" w:type="pct"/>
            <w:tcBorders>
              <w:tl2br w:val="nil"/>
              <w:tr2bl w:val="nil"/>
            </w:tcBorders>
            <w:shd w:val="clear" w:color="auto" w:fill="auto"/>
            <w:vAlign w:val="center"/>
          </w:tcPr>
          <w:p w14:paraId="30B2DDAC">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指标值</w:t>
            </w:r>
          </w:p>
        </w:tc>
      </w:tr>
      <w:tr w14:paraId="0226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5" w:type="pct"/>
            <w:vMerge w:val="restart"/>
            <w:tcBorders>
              <w:tl2br w:val="nil"/>
              <w:tr2bl w:val="nil"/>
            </w:tcBorders>
            <w:shd w:val="clear" w:color="auto" w:fill="auto"/>
            <w:vAlign w:val="center"/>
          </w:tcPr>
          <w:p w14:paraId="5F6E92DA">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产出指标</w:t>
            </w:r>
          </w:p>
        </w:tc>
        <w:tc>
          <w:tcPr>
            <w:tcW w:w="1207" w:type="pct"/>
            <w:vMerge w:val="restart"/>
            <w:tcBorders>
              <w:tl2br w:val="nil"/>
              <w:tr2bl w:val="nil"/>
            </w:tcBorders>
            <w:shd w:val="clear" w:color="auto" w:fill="auto"/>
            <w:vAlign w:val="center"/>
          </w:tcPr>
          <w:p w14:paraId="30048E36">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1863" w:type="pct"/>
            <w:tcBorders>
              <w:tl2br w:val="nil"/>
              <w:tr2bl w:val="nil"/>
            </w:tcBorders>
            <w:shd w:val="clear" w:color="auto" w:fill="auto"/>
            <w:vAlign w:val="center"/>
          </w:tcPr>
          <w:p w14:paraId="39D07F5D">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收储土地面积</w:t>
            </w:r>
          </w:p>
        </w:tc>
        <w:tc>
          <w:tcPr>
            <w:tcW w:w="1144" w:type="pct"/>
            <w:tcBorders>
              <w:tl2br w:val="nil"/>
              <w:tr2bl w:val="nil"/>
            </w:tcBorders>
            <w:shd w:val="clear" w:color="auto" w:fill="auto"/>
            <w:vAlign w:val="center"/>
          </w:tcPr>
          <w:p w14:paraId="0EB2F325">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232.30亩</w:t>
            </w:r>
          </w:p>
        </w:tc>
      </w:tr>
      <w:tr w14:paraId="7D2C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5" w:type="pct"/>
            <w:vMerge w:val="continue"/>
            <w:tcBorders>
              <w:tl2br w:val="nil"/>
              <w:tr2bl w:val="nil"/>
            </w:tcBorders>
            <w:shd w:val="clear" w:color="auto" w:fill="auto"/>
            <w:vAlign w:val="center"/>
          </w:tcPr>
          <w:p w14:paraId="1E5072FD">
            <w:pPr>
              <w:widowControl/>
              <w:ind w:firstLine="0" w:firstLineChars="0"/>
              <w:jc w:val="center"/>
              <w:rPr>
                <w:rFonts w:hint="eastAsia" w:ascii="宋体" w:hAnsi="宋体" w:eastAsia="宋体" w:cs="宋体"/>
                <w:color w:val="000000"/>
                <w:kern w:val="0"/>
                <w:sz w:val="18"/>
                <w:szCs w:val="18"/>
              </w:rPr>
            </w:pPr>
          </w:p>
        </w:tc>
        <w:tc>
          <w:tcPr>
            <w:tcW w:w="1207" w:type="pct"/>
            <w:vMerge w:val="continue"/>
            <w:tcBorders>
              <w:tl2br w:val="nil"/>
              <w:tr2bl w:val="nil"/>
            </w:tcBorders>
            <w:shd w:val="clear" w:color="auto" w:fill="auto"/>
            <w:vAlign w:val="center"/>
          </w:tcPr>
          <w:p w14:paraId="0F581C5F">
            <w:pPr>
              <w:widowControl/>
              <w:ind w:firstLine="0" w:firstLineChars="0"/>
              <w:jc w:val="center"/>
              <w:rPr>
                <w:rFonts w:hint="eastAsia" w:ascii="宋体" w:hAnsi="宋体" w:eastAsia="宋体" w:cs="宋体"/>
                <w:color w:val="000000"/>
                <w:kern w:val="0"/>
                <w:sz w:val="18"/>
                <w:szCs w:val="18"/>
              </w:rPr>
            </w:pPr>
          </w:p>
        </w:tc>
        <w:tc>
          <w:tcPr>
            <w:tcW w:w="1863" w:type="pct"/>
            <w:tcBorders>
              <w:tl2br w:val="nil"/>
              <w:tr2bl w:val="nil"/>
            </w:tcBorders>
            <w:shd w:val="clear" w:color="auto" w:fill="auto"/>
            <w:vAlign w:val="center"/>
          </w:tcPr>
          <w:p w14:paraId="4245256E">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拆迁房屋面积</w:t>
            </w:r>
          </w:p>
        </w:tc>
        <w:tc>
          <w:tcPr>
            <w:tcW w:w="1144" w:type="pct"/>
            <w:tcBorders>
              <w:tl2br w:val="nil"/>
              <w:tr2bl w:val="nil"/>
            </w:tcBorders>
            <w:shd w:val="clear" w:color="auto" w:fill="auto"/>
            <w:vAlign w:val="center"/>
          </w:tcPr>
          <w:p w14:paraId="71B9BA49">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≥2000㎡</w:t>
            </w:r>
          </w:p>
        </w:tc>
      </w:tr>
      <w:tr w14:paraId="1C62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5" w:type="pct"/>
            <w:vMerge w:val="continue"/>
            <w:tcBorders>
              <w:tl2br w:val="nil"/>
              <w:tr2bl w:val="nil"/>
            </w:tcBorders>
            <w:shd w:val="clear" w:color="auto" w:fill="auto"/>
            <w:vAlign w:val="center"/>
          </w:tcPr>
          <w:p w14:paraId="2C7AE92B">
            <w:pPr>
              <w:widowControl/>
              <w:ind w:firstLine="0" w:firstLineChars="0"/>
              <w:jc w:val="center"/>
              <w:rPr>
                <w:rFonts w:hint="eastAsia" w:ascii="宋体" w:hAnsi="宋体" w:eastAsia="宋体" w:cs="宋体"/>
                <w:color w:val="000000"/>
                <w:kern w:val="0"/>
                <w:sz w:val="18"/>
                <w:szCs w:val="18"/>
              </w:rPr>
            </w:pPr>
          </w:p>
        </w:tc>
        <w:tc>
          <w:tcPr>
            <w:tcW w:w="1207" w:type="pct"/>
            <w:vMerge w:val="continue"/>
            <w:tcBorders>
              <w:tl2br w:val="nil"/>
              <w:tr2bl w:val="nil"/>
            </w:tcBorders>
            <w:shd w:val="clear" w:color="auto" w:fill="auto"/>
            <w:vAlign w:val="center"/>
          </w:tcPr>
          <w:p w14:paraId="024FD3B1">
            <w:pPr>
              <w:widowControl/>
              <w:ind w:firstLine="0" w:firstLineChars="0"/>
              <w:jc w:val="center"/>
              <w:rPr>
                <w:rFonts w:hint="eastAsia" w:ascii="宋体" w:hAnsi="宋体" w:eastAsia="宋体" w:cs="宋体"/>
                <w:color w:val="000000"/>
                <w:kern w:val="0"/>
                <w:sz w:val="18"/>
                <w:szCs w:val="18"/>
              </w:rPr>
            </w:pPr>
          </w:p>
        </w:tc>
        <w:tc>
          <w:tcPr>
            <w:tcW w:w="1863" w:type="pct"/>
            <w:tcBorders>
              <w:tl2br w:val="nil"/>
              <w:tr2bl w:val="nil"/>
            </w:tcBorders>
            <w:shd w:val="clear" w:color="auto" w:fill="auto"/>
            <w:vAlign w:val="center"/>
          </w:tcPr>
          <w:p w14:paraId="4B78E233">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投资完成率率</w:t>
            </w:r>
          </w:p>
        </w:tc>
        <w:tc>
          <w:tcPr>
            <w:tcW w:w="1144" w:type="pct"/>
            <w:tcBorders>
              <w:tl2br w:val="nil"/>
              <w:tr2bl w:val="nil"/>
            </w:tcBorders>
            <w:shd w:val="clear" w:color="auto" w:fill="auto"/>
            <w:vAlign w:val="center"/>
          </w:tcPr>
          <w:p w14:paraId="778AA182">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r>
      <w:tr w14:paraId="0624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5" w:type="pct"/>
            <w:vMerge w:val="continue"/>
            <w:tcBorders>
              <w:tl2br w:val="nil"/>
              <w:tr2bl w:val="nil"/>
            </w:tcBorders>
            <w:shd w:val="clear" w:color="auto" w:fill="auto"/>
            <w:vAlign w:val="center"/>
          </w:tcPr>
          <w:p w14:paraId="194683B7">
            <w:pPr>
              <w:widowControl/>
              <w:ind w:firstLine="0" w:firstLineChars="0"/>
              <w:jc w:val="center"/>
              <w:rPr>
                <w:rFonts w:hint="eastAsia" w:ascii="宋体" w:hAnsi="宋体" w:eastAsia="宋体" w:cs="宋体"/>
                <w:color w:val="000000"/>
                <w:kern w:val="0"/>
                <w:sz w:val="18"/>
                <w:szCs w:val="18"/>
              </w:rPr>
            </w:pPr>
          </w:p>
        </w:tc>
        <w:tc>
          <w:tcPr>
            <w:tcW w:w="1207" w:type="pct"/>
            <w:tcBorders>
              <w:tl2br w:val="nil"/>
              <w:tr2bl w:val="nil"/>
            </w:tcBorders>
            <w:shd w:val="clear" w:color="auto" w:fill="auto"/>
            <w:vAlign w:val="center"/>
          </w:tcPr>
          <w:p w14:paraId="4137BA7A">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1863" w:type="pct"/>
            <w:tcBorders>
              <w:tl2br w:val="nil"/>
              <w:tr2bl w:val="nil"/>
            </w:tcBorders>
            <w:shd w:val="clear" w:color="auto" w:fill="auto"/>
            <w:vAlign w:val="center"/>
          </w:tcPr>
          <w:p w14:paraId="11F9C09A">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工程建设质量</w:t>
            </w:r>
          </w:p>
        </w:tc>
        <w:tc>
          <w:tcPr>
            <w:tcW w:w="1144" w:type="pct"/>
            <w:tcBorders>
              <w:tl2br w:val="nil"/>
              <w:tr2bl w:val="nil"/>
            </w:tcBorders>
            <w:shd w:val="clear" w:color="auto" w:fill="auto"/>
            <w:vAlign w:val="center"/>
          </w:tcPr>
          <w:p w14:paraId="355E8519">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合格</w:t>
            </w:r>
          </w:p>
        </w:tc>
      </w:tr>
      <w:tr w14:paraId="33AE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5" w:type="pct"/>
            <w:vMerge w:val="continue"/>
            <w:tcBorders>
              <w:tl2br w:val="nil"/>
              <w:tr2bl w:val="nil"/>
            </w:tcBorders>
            <w:shd w:val="clear" w:color="auto" w:fill="auto"/>
            <w:vAlign w:val="center"/>
          </w:tcPr>
          <w:p w14:paraId="5214CA0F">
            <w:pPr>
              <w:widowControl/>
              <w:ind w:firstLine="0" w:firstLineChars="0"/>
              <w:jc w:val="center"/>
              <w:rPr>
                <w:rFonts w:hint="eastAsia" w:ascii="宋体" w:hAnsi="宋体" w:eastAsia="宋体" w:cs="宋体"/>
                <w:color w:val="000000"/>
                <w:kern w:val="0"/>
                <w:sz w:val="18"/>
                <w:szCs w:val="18"/>
              </w:rPr>
            </w:pPr>
          </w:p>
        </w:tc>
        <w:tc>
          <w:tcPr>
            <w:tcW w:w="1207" w:type="pct"/>
            <w:vMerge w:val="restart"/>
            <w:tcBorders>
              <w:tl2br w:val="nil"/>
              <w:tr2bl w:val="nil"/>
            </w:tcBorders>
            <w:shd w:val="clear" w:color="auto" w:fill="auto"/>
            <w:vAlign w:val="center"/>
          </w:tcPr>
          <w:p w14:paraId="02988A6E">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1863" w:type="pct"/>
            <w:tcBorders>
              <w:tl2br w:val="nil"/>
              <w:tr2bl w:val="nil"/>
            </w:tcBorders>
            <w:shd w:val="clear" w:color="auto" w:fill="auto"/>
            <w:vAlign w:val="center"/>
          </w:tcPr>
          <w:p w14:paraId="31033D6F">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开工时效</w:t>
            </w:r>
          </w:p>
        </w:tc>
        <w:tc>
          <w:tcPr>
            <w:tcW w:w="1144" w:type="pct"/>
            <w:tcBorders>
              <w:tl2br w:val="nil"/>
              <w:tr2bl w:val="nil"/>
            </w:tcBorders>
            <w:shd w:val="clear" w:color="auto" w:fill="auto"/>
            <w:vAlign w:val="center"/>
          </w:tcPr>
          <w:p w14:paraId="645889E4">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2020年8月开工</w:t>
            </w:r>
          </w:p>
        </w:tc>
      </w:tr>
      <w:tr w14:paraId="16A0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5" w:type="pct"/>
            <w:vMerge w:val="continue"/>
            <w:tcBorders>
              <w:tl2br w:val="nil"/>
              <w:tr2bl w:val="nil"/>
            </w:tcBorders>
            <w:shd w:val="clear" w:color="auto" w:fill="auto"/>
            <w:vAlign w:val="center"/>
          </w:tcPr>
          <w:p w14:paraId="550824F2">
            <w:pPr>
              <w:widowControl/>
              <w:ind w:firstLine="0" w:firstLineChars="0"/>
              <w:jc w:val="center"/>
              <w:rPr>
                <w:rFonts w:hint="eastAsia" w:ascii="宋体" w:hAnsi="宋体" w:eastAsia="宋体" w:cs="宋体"/>
                <w:color w:val="000000"/>
                <w:kern w:val="0"/>
                <w:sz w:val="18"/>
                <w:szCs w:val="18"/>
              </w:rPr>
            </w:pPr>
          </w:p>
        </w:tc>
        <w:tc>
          <w:tcPr>
            <w:tcW w:w="1207" w:type="pct"/>
            <w:vMerge w:val="continue"/>
            <w:tcBorders>
              <w:tl2br w:val="nil"/>
              <w:tr2bl w:val="nil"/>
            </w:tcBorders>
            <w:shd w:val="clear" w:color="auto" w:fill="auto"/>
            <w:vAlign w:val="center"/>
          </w:tcPr>
          <w:p w14:paraId="347E380C">
            <w:pPr>
              <w:widowControl/>
              <w:ind w:firstLine="0" w:firstLineChars="0"/>
              <w:jc w:val="center"/>
              <w:rPr>
                <w:rFonts w:hint="eastAsia" w:ascii="宋体" w:hAnsi="宋体" w:eastAsia="宋体" w:cs="宋体"/>
                <w:color w:val="000000"/>
                <w:kern w:val="0"/>
                <w:sz w:val="18"/>
                <w:szCs w:val="18"/>
              </w:rPr>
            </w:pPr>
          </w:p>
        </w:tc>
        <w:tc>
          <w:tcPr>
            <w:tcW w:w="1863" w:type="pct"/>
            <w:tcBorders>
              <w:tl2br w:val="nil"/>
              <w:tr2bl w:val="nil"/>
            </w:tcBorders>
            <w:shd w:val="clear" w:color="auto" w:fill="auto"/>
            <w:vAlign w:val="center"/>
          </w:tcPr>
          <w:p w14:paraId="6938FFEB">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完工时效</w:t>
            </w:r>
          </w:p>
        </w:tc>
        <w:tc>
          <w:tcPr>
            <w:tcW w:w="1144" w:type="pct"/>
            <w:tcBorders>
              <w:tl2br w:val="nil"/>
              <w:tr2bl w:val="nil"/>
            </w:tcBorders>
            <w:shd w:val="clear" w:color="auto" w:fill="auto"/>
            <w:vAlign w:val="center"/>
          </w:tcPr>
          <w:p w14:paraId="4ABED939">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2023年12月竣工</w:t>
            </w:r>
          </w:p>
        </w:tc>
      </w:tr>
      <w:tr w14:paraId="2B8D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5" w:type="pct"/>
            <w:vMerge w:val="continue"/>
            <w:tcBorders>
              <w:tl2br w:val="nil"/>
              <w:tr2bl w:val="nil"/>
            </w:tcBorders>
            <w:shd w:val="clear" w:color="auto" w:fill="auto"/>
            <w:vAlign w:val="center"/>
          </w:tcPr>
          <w:p w14:paraId="5F8A2E64">
            <w:pPr>
              <w:widowControl/>
              <w:ind w:firstLine="0" w:firstLineChars="0"/>
              <w:jc w:val="center"/>
              <w:rPr>
                <w:rFonts w:hint="eastAsia" w:ascii="宋体" w:hAnsi="宋体" w:eastAsia="宋体" w:cs="宋体"/>
                <w:color w:val="000000"/>
                <w:kern w:val="0"/>
                <w:sz w:val="18"/>
                <w:szCs w:val="18"/>
              </w:rPr>
            </w:pPr>
          </w:p>
        </w:tc>
        <w:tc>
          <w:tcPr>
            <w:tcW w:w="1207" w:type="pct"/>
            <w:vMerge w:val="restart"/>
            <w:tcBorders>
              <w:tl2br w:val="nil"/>
              <w:tr2bl w:val="nil"/>
            </w:tcBorders>
            <w:shd w:val="clear" w:color="auto" w:fill="auto"/>
            <w:vAlign w:val="center"/>
          </w:tcPr>
          <w:p w14:paraId="532295E8">
            <w:pPr>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1863" w:type="pct"/>
            <w:tcBorders>
              <w:tl2br w:val="nil"/>
              <w:tr2bl w:val="nil"/>
            </w:tcBorders>
            <w:shd w:val="clear" w:color="auto" w:fill="auto"/>
            <w:vAlign w:val="center"/>
          </w:tcPr>
          <w:p w14:paraId="70DDCE7A">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专债资金</w:t>
            </w:r>
          </w:p>
        </w:tc>
        <w:tc>
          <w:tcPr>
            <w:tcW w:w="1144" w:type="pct"/>
            <w:tcBorders>
              <w:tl2br w:val="nil"/>
              <w:tr2bl w:val="nil"/>
            </w:tcBorders>
            <w:shd w:val="clear" w:color="auto" w:fill="auto"/>
            <w:vAlign w:val="center"/>
          </w:tcPr>
          <w:p w14:paraId="08471F6D">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8000万元</w:t>
            </w:r>
          </w:p>
        </w:tc>
      </w:tr>
      <w:tr w14:paraId="7C88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5" w:type="pct"/>
            <w:vMerge w:val="continue"/>
            <w:tcBorders>
              <w:tl2br w:val="nil"/>
              <w:tr2bl w:val="nil"/>
            </w:tcBorders>
            <w:shd w:val="clear" w:color="auto" w:fill="auto"/>
            <w:vAlign w:val="center"/>
          </w:tcPr>
          <w:p w14:paraId="6E714FD9">
            <w:pPr>
              <w:widowControl/>
              <w:ind w:firstLine="0" w:firstLineChars="0"/>
              <w:jc w:val="center"/>
              <w:rPr>
                <w:rFonts w:hint="eastAsia" w:ascii="宋体" w:hAnsi="宋体" w:eastAsia="宋体" w:cs="宋体"/>
                <w:color w:val="000000"/>
                <w:kern w:val="0"/>
                <w:sz w:val="18"/>
                <w:szCs w:val="18"/>
              </w:rPr>
            </w:pPr>
          </w:p>
        </w:tc>
        <w:tc>
          <w:tcPr>
            <w:tcW w:w="1207" w:type="pct"/>
            <w:vMerge w:val="continue"/>
            <w:tcBorders>
              <w:tl2br w:val="nil"/>
              <w:tr2bl w:val="nil"/>
            </w:tcBorders>
            <w:shd w:val="clear" w:color="auto" w:fill="auto"/>
            <w:vAlign w:val="center"/>
          </w:tcPr>
          <w:p w14:paraId="0C111A84">
            <w:pPr>
              <w:widowControl/>
              <w:ind w:firstLine="0" w:firstLineChars="0"/>
              <w:jc w:val="center"/>
              <w:rPr>
                <w:rFonts w:hint="eastAsia" w:ascii="宋体" w:hAnsi="宋体" w:eastAsia="宋体" w:cs="宋体"/>
                <w:color w:val="000000"/>
                <w:kern w:val="0"/>
                <w:sz w:val="18"/>
                <w:szCs w:val="18"/>
              </w:rPr>
            </w:pPr>
          </w:p>
        </w:tc>
        <w:tc>
          <w:tcPr>
            <w:tcW w:w="1863" w:type="pct"/>
            <w:tcBorders>
              <w:tl2br w:val="nil"/>
              <w:tr2bl w:val="nil"/>
            </w:tcBorders>
            <w:shd w:val="clear" w:color="auto" w:fill="auto"/>
            <w:vAlign w:val="center"/>
          </w:tcPr>
          <w:p w14:paraId="0732F5F9">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财政预算</w:t>
            </w:r>
          </w:p>
        </w:tc>
        <w:tc>
          <w:tcPr>
            <w:tcW w:w="1144" w:type="pct"/>
            <w:tcBorders>
              <w:tl2br w:val="nil"/>
              <w:tr2bl w:val="nil"/>
            </w:tcBorders>
            <w:shd w:val="clear" w:color="auto" w:fill="auto"/>
            <w:vAlign w:val="center"/>
          </w:tcPr>
          <w:p w14:paraId="491317E4">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3373.02万元</w:t>
            </w:r>
          </w:p>
        </w:tc>
      </w:tr>
      <w:tr w14:paraId="70F6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5" w:type="pct"/>
            <w:vMerge w:val="restart"/>
            <w:tcBorders>
              <w:tl2br w:val="nil"/>
              <w:tr2bl w:val="nil"/>
            </w:tcBorders>
            <w:shd w:val="clear" w:color="auto" w:fill="auto"/>
            <w:vAlign w:val="center"/>
          </w:tcPr>
          <w:p w14:paraId="154F85DE">
            <w:pPr>
              <w:ind w:firstLine="180" w:firstLineChars="1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效益指标</w:t>
            </w:r>
          </w:p>
        </w:tc>
        <w:tc>
          <w:tcPr>
            <w:tcW w:w="1207" w:type="pct"/>
            <w:vMerge w:val="restart"/>
            <w:tcBorders>
              <w:tl2br w:val="nil"/>
              <w:tr2bl w:val="nil"/>
            </w:tcBorders>
            <w:shd w:val="clear" w:color="auto" w:fill="auto"/>
            <w:vAlign w:val="center"/>
          </w:tcPr>
          <w:p w14:paraId="26CF4FB8">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经济效益指标</w:t>
            </w:r>
          </w:p>
        </w:tc>
        <w:tc>
          <w:tcPr>
            <w:tcW w:w="1863" w:type="pct"/>
            <w:tcBorders>
              <w:tl2br w:val="nil"/>
              <w:tr2bl w:val="nil"/>
            </w:tcBorders>
            <w:shd w:val="clear" w:color="auto" w:fill="auto"/>
            <w:vAlign w:val="center"/>
          </w:tcPr>
          <w:p w14:paraId="7A3216EA">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项目总投资收益率</w:t>
            </w:r>
          </w:p>
        </w:tc>
        <w:tc>
          <w:tcPr>
            <w:tcW w:w="1144" w:type="pct"/>
            <w:tcBorders>
              <w:tl2br w:val="nil"/>
              <w:tr2bl w:val="nil"/>
            </w:tcBorders>
            <w:shd w:val="clear" w:color="auto" w:fill="auto"/>
            <w:vAlign w:val="center"/>
          </w:tcPr>
          <w:p w14:paraId="6EA5FD60">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≥7.21%</w:t>
            </w:r>
          </w:p>
        </w:tc>
      </w:tr>
      <w:tr w14:paraId="6383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5" w:type="pct"/>
            <w:vMerge w:val="continue"/>
            <w:tcBorders>
              <w:tl2br w:val="nil"/>
              <w:tr2bl w:val="nil"/>
            </w:tcBorders>
            <w:shd w:val="clear" w:color="auto" w:fill="auto"/>
            <w:vAlign w:val="center"/>
          </w:tcPr>
          <w:p w14:paraId="1B0082AF">
            <w:pPr>
              <w:ind w:firstLine="360"/>
              <w:jc w:val="center"/>
              <w:rPr>
                <w:rFonts w:hint="eastAsia" w:ascii="宋体" w:hAnsi="宋体" w:eastAsia="宋体" w:cs="宋体"/>
                <w:color w:val="000000"/>
                <w:kern w:val="0"/>
                <w:sz w:val="18"/>
                <w:szCs w:val="18"/>
              </w:rPr>
            </w:pPr>
          </w:p>
        </w:tc>
        <w:tc>
          <w:tcPr>
            <w:tcW w:w="1207" w:type="pct"/>
            <w:vMerge w:val="continue"/>
            <w:tcBorders>
              <w:tl2br w:val="nil"/>
              <w:tr2bl w:val="nil"/>
            </w:tcBorders>
            <w:shd w:val="clear" w:color="auto" w:fill="auto"/>
            <w:vAlign w:val="center"/>
          </w:tcPr>
          <w:p w14:paraId="7DA22D91">
            <w:pPr>
              <w:widowControl/>
              <w:ind w:firstLine="0" w:firstLineChars="0"/>
              <w:jc w:val="center"/>
              <w:rPr>
                <w:rFonts w:hint="eastAsia" w:ascii="宋体" w:hAnsi="宋体" w:eastAsia="宋体" w:cs="宋体"/>
                <w:color w:val="000000"/>
                <w:kern w:val="0"/>
                <w:sz w:val="18"/>
                <w:szCs w:val="18"/>
              </w:rPr>
            </w:pPr>
          </w:p>
        </w:tc>
        <w:tc>
          <w:tcPr>
            <w:tcW w:w="1863" w:type="pct"/>
            <w:tcBorders>
              <w:tl2br w:val="nil"/>
              <w:tr2bl w:val="nil"/>
            </w:tcBorders>
            <w:shd w:val="clear" w:color="auto" w:fill="auto"/>
            <w:vAlign w:val="center"/>
          </w:tcPr>
          <w:p w14:paraId="51BB0424">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项目总投资</w:t>
            </w:r>
          </w:p>
        </w:tc>
        <w:tc>
          <w:tcPr>
            <w:tcW w:w="1144" w:type="pct"/>
            <w:tcBorders>
              <w:tl2br w:val="nil"/>
              <w:tr2bl w:val="nil"/>
            </w:tcBorders>
            <w:shd w:val="clear" w:color="auto" w:fill="auto"/>
            <w:vAlign w:val="center"/>
          </w:tcPr>
          <w:p w14:paraId="0E9ACBA6">
            <w:pPr>
              <w:widowControl/>
              <w:spacing w:line="240" w:lineRule="exact"/>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16041.74万元</w:t>
            </w:r>
          </w:p>
        </w:tc>
      </w:tr>
      <w:tr w14:paraId="7140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5" w:type="pct"/>
            <w:vMerge w:val="continue"/>
            <w:tcBorders>
              <w:tl2br w:val="nil"/>
              <w:tr2bl w:val="nil"/>
            </w:tcBorders>
            <w:shd w:val="clear" w:color="auto" w:fill="auto"/>
            <w:vAlign w:val="center"/>
          </w:tcPr>
          <w:p w14:paraId="6E073E05">
            <w:pPr>
              <w:ind w:firstLine="360"/>
              <w:jc w:val="center"/>
              <w:rPr>
                <w:rFonts w:hint="eastAsia" w:ascii="宋体" w:hAnsi="宋体" w:eastAsia="宋体" w:cs="宋体"/>
                <w:color w:val="000000"/>
                <w:kern w:val="0"/>
                <w:sz w:val="18"/>
                <w:szCs w:val="18"/>
              </w:rPr>
            </w:pPr>
          </w:p>
        </w:tc>
        <w:tc>
          <w:tcPr>
            <w:tcW w:w="1207" w:type="pct"/>
            <w:vMerge w:val="continue"/>
            <w:tcBorders>
              <w:tl2br w:val="nil"/>
              <w:tr2bl w:val="nil"/>
            </w:tcBorders>
            <w:shd w:val="clear" w:color="auto" w:fill="auto"/>
            <w:vAlign w:val="center"/>
          </w:tcPr>
          <w:p w14:paraId="26E3486B">
            <w:pPr>
              <w:widowControl/>
              <w:ind w:firstLine="0" w:firstLineChars="0"/>
              <w:jc w:val="center"/>
              <w:rPr>
                <w:rFonts w:hint="eastAsia" w:ascii="宋体" w:hAnsi="宋体" w:eastAsia="宋体" w:cs="宋体"/>
                <w:color w:val="000000"/>
                <w:kern w:val="0"/>
                <w:sz w:val="18"/>
                <w:szCs w:val="18"/>
              </w:rPr>
            </w:pPr>
          </w:p>
        </w:tc>
        <w:tc>
          <w:tcPr>
            <w:tcW w:w="1863" w:type="pct"/>
            <w:tcBorders>
              <w:tl2br w:val="nil"/>
              <w:tr2bl w:val="nil"/>
            </w:tcBorders>
            <w:shd w:val="clear" w:color="auto" w:fill="auto"/>
            <w:vAlign w:val="center"/>
          </w:tcPr>
          <w:p w14:paraId="785DFB6C">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土地出让收入</w:t>
            </w:r>
          </w:p>
        </w:tc>
        <w:tc>
          <w:tcPr>
            <w:tcW w:w="1144" w:type="pct"/>
            <w:tcBorders>
              <w:tl2br w:val="nil"/>
              <w:tr2bl w:val="nil"/>
            </w:tcBorders>
            <w:shd w:val="clear" w:color="auto" w:fill="auto"/>
            <w:vAlign w:val="center"/>
          </w:tcPr>
          <w:p w14:paraId="4883542C">
            <w:pPr>
              <w:widowControl/>
              <w:spacing w:line="240" w:lineRule="exact"/>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17287.80万元</w:t>
            </w:r>
          </w:p>
        </w:tc>
      </w:tr>
      <w:tr w14:paraId="385E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5" w:type="pct"/>
            <w:vMerge w:val="continue"/>
            <w:tcBorders>
              <w:tl2br w:val="nil"/>
              <w:tr2bl w:val="nil"/>
            </w:tcBorders>
            <w:shd w:val="clear" w:color="auto" w:fill="auto"/>
            <w:vAlign w:val="center"/>
          </w:tcPr>
          <w:p w14:paraId="21C8A440">
            <w:pPr>
              <w:ind w:firstLine="360"/>
              <w:jc w:val="center"/>
              <w:rPr>
                <w:rFonts w:hint="eastAsia" w:ascii="宋体" w:hAnsi="宋体" w:eastAsia="宋体" w:cs="宋体"/>
                <w:color w:val="000000"/>
                <w:kern w:val="0"/>
                <w:sz w:val="18"/>
                <w:szCs w:val="18"/>
              </w:rPr>
            </w:pPr>
          </w:p>
        </w:tc>
        <w:tc>
          <w:tcPr>
            <w:tcW w:w="1207" w:type="pct"/>
            <w:vMerge w:val="continue"/>
            <w:tcBorders>
              <w:tl2br w:val="nil"/>
              <w:tr2bl w:val="nil"/>
            </w:tcBorders>
            <w:shd w:val="clear" w:color="auto" w:fill="auto"/>
            <w:vAlign w:val="center"/>
          </w:tcPr>
          <w:p w14:paraId="2951EF23">
            <w:pPr>
              <w:widowControl/>
              <w:ind w:firstLine="0" w:firstLineChars="0"/>
              <w:jc w:val="center"/>
              <w:rPr>
                <w:rFonts w:hint="eastAsia" w:ascii="宋体" w:hAnsi="宋体" w:eastAsia="宋体" w:cs="宋体"/>
                <w:color w:val="000000"/>
                <w:kern w:val="0"/>
                <w:sz w:val="18"/>
                <w:szCs w:val="18"/>
              </w:rPr>
            </w:pPr>
          </w:p>
        </w:tc>
        <w:tc>
          <w:tcPr>
            <w:tcW w:w="1863" w:type="pct"/>
            <w:tcBorders>
              <w:tl2br w:val="nil"/>
              <w:tr2bl w:val="nil"/>
            </w:tcBorders>
            <w:shd w:val="clear" w:color="auto" w:fill="auto"/>
            <w:vAlign w:val="center"/>
          </w:tcPr>
          <w:p w14:paraId="474FDAEB">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项目净利润</w:t>
            </w:r>
          </w:p>
        </w:tc>
        <w:tc>
          <w:tcPr>
            <w:tcW w:w="1144" w:type="pct"/>
            <w:tcBorders>
              <w:tl2br w:val="nil"/>
              <w:tr2bl w:val="nil"/>
            </w:tcBorders>
            <w:shd w:val="clear" w:color="auto" w:fill="auto"/>
            <w:vAlign w:val="center"/>
          </w:tcPr>
          <w:p w14:paraId="5D8E54F7">
            <w:pPr>
              <w:widowControl/>
              <w:spacing w:line="240" w:lineRule="exact"/>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1246.06万元</w:t>
            </w:r>
          </w:p>
        </w:tc>
      </w:tr>
      <w:tr w14:paraId="24A3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5" w:type="pct"/>
            <w:vMerge w:val="continue"/>
            <w:tcBorders>
              <w:tl2br w:val="nil"/>
              <w:tr2bl w:val="nil"/>
            </w:tcBorders>
            <w:shd w:val="clear" w:color="auto" w:fill="auto"/>
            <w:vAlign w:val="center"/>
          </w:tcPr>
          <w:p w14:paraId="4B405993">
            <w:pPr>
              <w:ind w:firstLine="360"/>
              <w:jc w:val="center"/>
              <w:rPr>
                <w:rFonts w:hint="eastAsia" w:ascii="宋体" w:hAnsi="宋体" w:eastAsia="宋体" w:cs="宋体"/>
                <w:color w:val="000000"/>
                <w:kern w:val="0"/>
                <w:sz w:val="18"/>
                <w:szCs w:val="18"/>
              </w:rPr>
            </w:pPr>
          </w:p>
        </w:tc>
        <w:tc>
          <w:tcPr>
            <w:tcW w:w="1207" w:type="pct"/>
            <w:vMerge w:val="continue"/>
            <w:tcBorders>
              <w:tl2br w:val="nil"/>
              <w:tr2bl w:val="nil"/>
            </w:tcBorders>
            <w:shd w:val="clear" w:color="auto" w:fill="auto"/>
            <w:vAlign w:val="center"/>
          </w:tcPr>
          <w:p w14:paraId="7EB9308B">
            <w:pPr>
              <w:widowControl/>
              <w:ind w:firstLine="0" w:firstLineChars="0"/>
              <w:jc w:val="center"/>
              <w:rPr>
                <w:rFonts w:hint="eastAsia" w:ascii="宋体" w:hAnsi="宋体" w:eastAsia="宋体" w:cs="宋体"/>
                <w:color w:val="000000"/>
                <w:kern w:val="0"/>
                <w:sz w:val="18"/>
                <w:szCs w:val="18"/>
              </w:rPr>
            </w:pPr>
          </w:p>
        </w:tc>
        <w:tc>
          <w:tcPr>
            <w:tcW w:w="1863" w:type="pct"/>
            <w:tcBorders>
              <w:tl2br w:val="nil"/>
              <w:tr2bl w:val="nil"/>
            </w:tcBorders>
            <w:shd w:val="clear" w:color="auto" w:fill="auto"/>
            <w:vAlign w:val="center"/>
          </w:tcPr>
          <w:p w14:paraId="21884407">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可支配收入覆盖倍数</w:t>
            </w:r>
          </w:p>
        </w:tc>
        <w:tc>
          <w:tcPr>
            <w:tcW w:w="1144" w:type="pct"/>
            <w:tcBorders>
              <w:tl2br w:val="nil"/>
              <w:tr2bl w:val="nil"/>
            </w:tcBorders>
            <w:shd w:val="clear" w:color="auto" w:fill="auto"/>
            <w:vAlign w:val="center"/>
          </w:tcPr>
          <w:p w14:paraId="03A67A04">
            <w:pPr>
              <w:widowControl/>
              <w:spacing w:line="240" w:lineRule="exact"/>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1.29</w:t>
            </w:r>
          </w:p>
        </w:tc>
      </w:tr>
      <w:tr w14:paraId="3A7D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5" w:type="pct"/>
            <w:vMerge w:val="continue"/>
            <w:tcBorders>
              <w:tl2br w:val="nil"/>
              <w:tr2bl w:val="nil"/>
            </w:tcBorders>
            <w:shd w:val="clear" w:color="auto" w:fill="auto"/>
            <w:vAlign w:val="center"/>
          </w:tcPr>
          <w:p w14:paraId="3147CA3E">
            <w:pPr>
              <w:ind w:firstLine="360"/>
              <w:jc w:val="center"/>
              <w:rPr>
                <w:rFonts w:hint="eastAsia" w:ascii="宋体" w:hAnsi="宋体" w:eastAsia="宋体" w:cs="宋体"/>
                <w:color w:val="000000"/>
                <w:kern w:val="0"/>
                <w:sz w:val="18"/>
                <w:szCs w:val="18"/>
              </w:rPr>
            </w:pPr>
          </w:p>
        </w:tc>
        <w:tc>
          <w:tcPr>
            <w:tcW w:w="1207" w:type="pct"/>
            <w:vMerge w:val="restart"/>
            <w:tcBorders>
              <w:tl2br w:val="nil"/>
              <w:tr2bl w:val="nil"/>
            </w:tcBorders>
            <w:shd w:val="clear" w:color="auto" w:fill="auto"/>
            <w:vAlign w:val="center"/>
          </w:tcPr>
          <w:p w14:paraId="2A26713C">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社会效益指标</w:t>
            </w:r>
          </w:p>
        </w:tc>
        <w:tc>
          <w:tcPr>
            <w:tcW w:w="1863" w:type="pct"/>
            <w:tcBorders>
              <w:tl2br w:val="nil"/>
              <w:tr2bl w:val="nil"/>
            </w:tcBorders>
            <w:shd w:val="clear" w:color="auto" w:fill="auto"/>
            <w:vAlign w:val="center"/>
          </w:tcPr>
          <w:p w14:paraId="1FD2D3EE">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土地资源保障</w:t>
            </w:r>
          </w:p>
        </w:tc>
        <w:tc>
          <w:tcPr>
            <w:tcW w:w="1144" w:type="pct"/>
            <w:tcBorders>
              <w:tl2br w:val="nil"/>
              <w:tr2bl w:val="nil"/>
            </w:tcBorders>
            <w:shd w:val="clear" w:color="auto" w:fill="auto"/>
            <w:vAlign w:val="center"/>
          </w:tcPr>
          <w:p w14:paraId="76190FB9">
            <w:pPr>
              <w:widowControl/>
              <w:spacing w:line="240" w:lineRule="exact"/>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显著</w:t>
            </w:r>
          </w:p>
        </w:tc>
      </w:tr>
      <w:tr w14:paraId="6D0D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5" w:type="pct"/>
            <w:vMerge w:val="continue"/>
            <w:tcBorders>
              <w:tl2br w:val="nil"/>
              <w:tr2bl w:val="nil"/>
            </w:tcBorders>
            <w:shd w:val="clear" w:color="auto" w:fill="auto"/>
            <w:vAlign w:val="center"/>
          </w:tcPr>
          <w:p w14:paraId="202C8594">
            <w:pPr>
              <w:widowControl/>
              <w:ind w:firstLine="0" w:firstLineChars="0"/>
              <w:jc w:val="center"/>
              <w:rPr>
                <w:rFonts w:hint="eastAsia" w:ascii="宋体" w:hAnsi="宋体" w:eastAsia="宋体" w:cs="宋体"/>
                <w:color w:val="000000"/>
                <w:kern w:val="0"/>
                <w:sz w:val="18"/>
                <w:szCs w:val="18"/>
              </w:rPr>
            </w:pPr>
          </w:p>
        </w:tc>
        <w:tc>
          <w:tcPr>
            <w:tcW w:w="1207" w:type="pct"/>
            <w:vMerge w:val="continue"/>
            <w:tcBorders>
              <w:tl2br w:val="nil"/>
              <w:tr2bl w:val="nil"/>
            </w:tcBorders>
            <w:shd w:val="clear" w:color="auto" w:fill="auto"/>
            <w:vAlign w:val="center"/>
          </w:tcPr>
          <w:p w14:paraId="670D4366">
            <w:pPr>
              <w:widowControl/>
              <w:ind w:firstLine="0" w:firstLineChars="0"/>
              <w:jc w:val="center"/>
              <w:rPr>
                <w:rFonts w:hint="eastAsia" w:ascii="宋体" w:hAnsi="宋体" w:eastAsia="宋体" w:cs="宋体"/>
                <w:color w:val="000000"/>
                <w:kern w:val="0"/>
                <w:sz w:val="18"/>
                <w:szCs w:val="18"/>
              </w:rPr>
            </w:pPr>
          </w:p>
        </w:tc>
        <w:tc>
          <w:tcPr>
            <w:tcW w:w="1863" w:type="pct"/>
            <w:tcBorders>
              <w:tl2br w:val="nil"/>
              <w:tr2bl w:val="nil"/>
            </w:tcBorders>
            <w:shd w:val="clear" w:color="auto" w:fill="auto"/>
            <w:vAlign w:val="center"/>
          </w:tcPr>
          <w:p w14:paraId="02DF8895">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土地资源最优配置</w:t>
            </w:r>
          </w:p>
        </w:tc>
        <w:tc>
          <w:tcPr>
            <w:tcW w:w="1144" w:type="pct"/>
            <w:tcBorders>
              <w:tl2br w:val="nil"/>
              <w:tr2bl w:val="nil"/>
            </w:tcBorders>
            <w:shd w:val="clear" w:color="auto" w:fill="auto"/>
            <w:vAlign w:val="center"/>
          </w:tcPr>
          <w:p w14:paraId="54877E84">
            <w:pPr>
              <w:widowControl/>
              <w:spacing w:line="240" w:lineRule="exact"/>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明显</w:t>
            </w:r>
          </w:p>
        </w:tc>
      </w:tr>
      <w:tr w14:paraId="3D53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5" w:type="pct"/>
            <w:vMerge w:val="continue"/>
            <w:tcBorders>
              <w:tl2br w:val="nil"/>
              <w:tr2bl w:val="nil"/>
            </w:tcBorders>
            <w:shd w:val="clear" w:color="auto" w:fill="auto"/>
            <w:vAlign w:val="center"/>
          </w:tcPr>
          <w:p w14:paraId="669316D4">
            <w:pPr>
              <w:widowControl/>
              <w:ind w:firstLine="0" w:firstLineChars="0"/>
              <w:jc w:val="center"/>
              <w:rPr>
                <w:rFonts w:hint="eastAsia" w:ascii="宋体" w:hAnsi="宋体" w:eastAsia="宋体" w:cs="宋体"/>
                <w:color w:val="000000"/>
                <w:kern w:val="0"/>
                <w:sz w:val="18"/>
                <w:szCs w:val="18"/>
              </w:rPr>
            </w:pPr>
          </w:p>
        </w:tc>
        <w:tc>
          <w:tcPr>
            <w:tcW w:w="1207" w:type="pct"/>
            <w:vMerge w:val="continue"/>
            <w:tcBorders>
              <w:tl2br w:val="nil"/>
              <w:tr2bl w:val="nil"/>
            </w:tcBorders>
            <w:shd w:val="clear" w:color="auto" w:fill="auto"/>
            <w:vAlign w:val="center"/>
          </w:tcPr>
          <w:p w14:paraId="33DFAF23">
            <w:pPr>
              <w:widowControl/>
              <w:ind w:firstLine="0" w:firstLineChars="0"/>
              <w:jc w:val="center"/>
              <w:rPr>
                <w:rFonts w:hint="eastAsia" w:ascii="宋体" w:hAnsi="宋体" w:eastAsia="宋体" w:cs="宋体"/>
                <w:color w:val="000000"/>
                <w:kern w:val="0"/>
                <w:sz w:val="18"/>
                <w:szCs w:val="18"/>
              </w:rPr>
            </w:pPr>
          </w:p>
        </w:tc>
        <w:tc>
          <w:tcPr>
            <w:tcW w:w="1863" w:type="pct"/>
            <w:tcBorders>
              <w:tl2br w:val="nil"/>
              <w:tr2bl w:val="nil"/>
            </w:tcBorders>
            <w:shd w:val="clear" w:color="auto" w:fill="auto"/>
            <w:vAlign w:val="center"/>
          </w:tcPr>
          <w:p w14:paraId="274EAFAD">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促进社会发展</w:t>
            </w:r>
          </w:p>
        </w:tc>
        <w:tc>
          <w:tcPr>
            <w:tcW w:w="1144" w:type="pct"/>
            <w:tcBorders>
              <w:tl2br w:val="nil"/>
              <w:tr2bl w:val="nil"/>
            </w:tcBorders>
            <w:shd w:val="clear" w:color="auto" w:fill="auto"/>
            <w:vAlign w:val="center"/>
          </w:tcPr>
          <w:p w14:paraId="10B65126">
            <w:pPr>
              <w:widowControl/>
              <w:spacing w:line="240" w:lineRule="exact"/>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明显</w:t>
            </w:r>
          </w:p>
        </w:tc>
      </w:tr>
      <w:tr w14:paraId="7E72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5" w:type="pct"/>
            <w:vMerge w:val="continue"/>
            <w:tcBorders>
              <w:tl2br w:val="nil"/>
              <w:tr2bl w:val="nil"/>
            </w:tcBorders>
            <w:shd w:val="clear" w:color="auto" w:fill="auto"/>
            <w:vAlign w:val="center"/>
          </w:tcPr>
          <w:p w14:paraId="6ECA2DB7">
            <w:pPr>
              <w:widowControl/>
              <w:ind w:firstLine="0" w:firstLineChars="0"/>
              <w:jc w:val="center"/>
              <w:rPr>
                <w:rFonts w:hint="eastAsia" w:ascii="宋体" w:hAnsi="宋体" w:eastAsia="宋体" w:cs="宋体"/>
                <w:color w:val="000000"/>
                <w:kern w:val="0"/>
                <w:sz w:val="18"/>
                <w:szCs w:val="18"/>
              </w:rPr>
            </w:pPr>
          </w:p>
        </w:tc>
        <w:tc>
          <w:tcPr>
            <w:tcW w:w="1207" w:type="pct"/>
            <w:tcBorders>
              <w:tl2br w:val="nil"/>
              <w:tr2bl w:val="nil"/>
            </w:tcBorders>
            <w:shd w:val="clear" w:color="auto" w:fill="auto"/>
            <w:vAlign w:val="center"/>
          </w:tcPr>
          <w:p w14:paraId="5D48B13A">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生态效益指标</w:t>
            </w:r>
          </w:p>
        </w:tc>
        <w:tc>
          <w:tcPr>
            <w:tcW w:w="1863" w:type="pct"/>
            <w:tcBorders>
              <w:tl2br w:val="nil"/>
              <w:tr2bl w:val="nil"/>
            </w:tcBorders>
            <w:shd w:val="clear" w:color="auto" w:fill="auto"/>
            <w:vAlign w:val="center"/>
          </w:tcPr>
          <w:p w14:paraId="48C3DFB4">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耕地资源保护与生态环境保护作用</w:t>
            </w:r>
          </w:p>
        </w:tc>
        <w:tc>
          <w:tcPr>
            <w:tcW w:w="1144" w:type="pct"/>
            <w:tcBorders>
              <w:tl2br w:val="nil"/>
              <w:tr2bl w:val="nil"/>
            </w:tcBorders>
            <w:shd w:val="clear" w:color="auto" w:fill="auto"/>
            <w:vAlign w:val="center"/>
          </w:tcPr>
          <w:p w14:paraId="1D69C9DE">
            <w:pPr>
              <w:widowControl/>
              <w:spacing w:line="240" w:lineRule="exact"/>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明显</w:t>
            </w:r>
          </w:p>
        </w:tc>
      </w:tr>
      <w:bookmarkEnd w:id="12"/>
    </w:tbl>
    <w:p w14:paraId="11CE5555">
      <w:pPr>
        <w:ind w:firstLine="560"/>
        <w:rPr>
          <w:rFonts w:hint="eastAsia"/>
          <w:sz w:val="28"/>
          <w:szCs w:val="28"/>
        </w:rPr>
      </w:pPr>
      <w:r>
        <w:rPr>
          <w:rFonts w:hint="eastAsia"/>
          <w:sz w:val="28"/>
          <w:szCs w:val="28"/>
        </w:rPr>
        <w:t>根据《2019年云南省昆明市寻甸回族彝族自治县凤梧华府土地储备项目专项债券实施方案》等方案，除产出指标和经济效益基本充分全面、科学明确外，设定的社会效益指标不充分全面，基本未通过清晰、可衡量的指标及指标值予以体现，未设定最能体现项目绩效目标实现程度和项目实施部门职能履职情况的关键的、核心的绩效指标。</w:t>
      </w:r>
    </w:p>
    <w:bookmarkEnd w:id="9"/>
    <w:p w14:paraId="1485E196">
      <w:pPr>
        <w:ind w:firstLine="560"/>
        <w:rPr>
          <w:rFonts w:hint="eastAsia"/>
          <w:sz w:val="28"/>
          <w:szCs w:val="28"/>
        </w:rPr>
      </w:pPr>
      <w:r>
        <w:rPr>
          <w:rFonts w:hint="eastAsia"/>
          <w:sz w:val="28"/>
          <w:szCs w:val="28"/>
        </w:rPr>
        <w:t>根据上述情况，</w:t>
      </w:r>
      <w:bookmarkStart w:id="13" w:name="_Hlk177311368"/>
      <w:r>
        <w:rPr>
          <w:rFonts w:hint="eastAsia"/>
          <w:sz w:val="28"/>
          <w:szCs w:val="28"/>
        </w:rPr>
        <w:t>绩效评价组在与土储中心充分沟通一致后，根据项目具体实施内容，结合项目设定的背景、目的及依据</w:t>
      </w:r>
      <w:bookmarkEnd w:id="13"/>
      <w:r>
        <w:rPr>
          <w:rFonts w:hint="eastAsia"/>
          <w:sz w:val="28"/>
          <w:szCs w:val="28"/>
        </w:rPr>
        <w:t>、尤其项目为实施期间的项目特点等，将项目个性指标及指标值设定如下</w:t>
      </w:r>
      <w:r>
        <w:rPr>
          <w:sz w:val="28"/>
          <w:szCs w:val="28"/>
        </w:rPr>
        <w:t>：</w:t>
      </w:r>
    </w:p>
    <w:tbl>
      <w:tblPr>
        <w:tblStyle w:val="7"/>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5"/>
        <w:gridCol w:w="1128"/>
        <w:gridCol w:w="1933"/>
        <w:gridCol w:w="3119"/>
        <w:gridCol w:w="1110"/>
      </w:tblGrid>
      <w:tr w14:paraId="50C8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exact"/>
        </w:trPr>
        <w:tc>
          <w:tcPr>
            <w:tcW w:w="1065" w:type="dxa"/>
            <w:vMerge w:val="restart"/>
            <w:shd w:val="clear" w:color="auto" w:fill="auto"/>
            <w:tcMar>
              <w:top w:w="15" w:type="dxa"/>
              <w:left w:w="15" w:type="dxa"/>
              <w:right w:w="15" w:type="dxa"/>
            </w:tcMar>
            <w:vAlign w:val="center"/>
          </w:tcPr>
          <w:p w14:paraId="6F2BEC50">
            <w:pPr>
              <w:spacing w:after="240"/>
              <w:ind w:firstLine="0" w:firstLineChars="0"/>
              <w:jc w:val="center"/>
              <w:rPr>
                <w:rFonts w:hint="eastAsia" w:ascii="宋体" w:hAnsi="宋体" w:eastAsia="宋体" w:cs="宋体"/>
                <w:sz w:val="18"/>
                <w:szCs w:val="18"/>
              </w:rPr>
            </w:pPr>
            <w:r>
              <w:rPr>
                <w:rFonts w:hint="eastAsia" w:ascii="宋体" w:hAnsi="宋体" w:eastAsia="宋体" w:cs="宋体"/>
                <w:sz w:val="18"/>
                <w:szCs w:val="18"/>
              </w:rPr>
              <w:t>绩</w:t>
            </w:r>
            <w:r>
              <w:rPr>
                <w:rFonts w:hint="eastAsia" w:ascii="宋体" w:hAnsi="宋体" w:eastAsia="宋体" w:cs="宋体"/>
                <w:color w:val="000000"/>
                <w:kern w:val="0"/>
                <w:sz w:val="18"/>
                <w:szCs w:val="18"/>
              </w:rPr>
              <w:t>效指标</w:t>
            </w:r>
          </w:p>
        </w:tc>
        <w:tc>
          <w:tcPr>
            <w:tcW w:w="1128" w:type="dxa"/>
            <w:shd w:val="clear" w:color="auto" w:fill="auto"/>
            <w:tcMar>
              <w:top w:w="15" w:type="dxa"/>
              <w:left w:w="15" w:type="dxa"/>
              <w:right w:w="15" w:type="dxa"/>
            </w:tcMar>
            <w:vAlign w:val="center"/>
          </w:tcPr>
          <w:p w14:paraId="0315BB71">
            <w:pPr>
              <w:spacing w:after="240"/>
              <w:ind w:firstLine="0" w:firstLineChars="0"/>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933" w:type="dxa"/>
            <w:shd w:val="clear" w:color="auto" w:fill="auto"/>
            <w:tcMar>
              <w:top w:w="15" w:type="dxa"/>
              <w:left w:w="15" w:type="dxa"/>
              <w:right w:w="15" w:type="dxa"/>
            </w:tcMar>
            <w:vAlign w:val="center"/>
          </w:tcPr>
          <w:p w14:paraId="73C4939F">
            <w:pPr>
              <w:spacing w:after="240"/>
              <w:ind w:firstLine="0" w:firstLineChars="0"/>
              <w:jc w:val="center"/>
              <w:rPr>
                <w:rFonts w:hint="eastAsia" w:ascii="宋体" w:hAnsi="宋体" w:eastAsia="宋体" w:cs="宋体"/>
                <w:sz w:val="18"/>
                <w:szCs w:val="18"/>
              </w:rPr>
            </w:pPr>
            <w:r>
              <w:rPr>
                <w:rFonts w:hint="eastAsia" w:ascii="宋体" w:hAnsi="宋体" w:eastAsia="宋体" w:cs="宋体"/>
                <w:sz w:val="18"/>
                <w:szCs w:val="18"/>
              </w:rPr>
              <w:t>二级指标</w:t>
            </w:r>
          </w:p>
        </w:tc>
        <w:tc>
          <w:tcPr>
            <w:tcW w:w="3119" w:type="dxa"/>
            <w:shd w:val="clear" w:color="auto" w:fill="auto"/>
            <w:tcMar>
              <w:top w:w="15" w:type="dxa"/>
              <w:left w:w="15" w:type="dxa"/>
              <w:right w:w="15" w:type="dxa"/>
            </w:tcMar>
            <w:vAlign w:val="center"/>
          </w:tcPr>
          <w:p w14:paraId="57603618">
            <w:pPr>
              <w:spacing w:after="240"/>
              <w:ind w:firstLine="0" w:firstLineChars="0"/>
              <w:jc w:val="center"/>
              <w:rPr>
                <w:rFonts w:hint="eastAsia" w:ascii="宋体" w:hAnsi="宋体" w:eastAsia="宋体" w:cs="宋体"/>
                <w:sz w:val="18"/>
                <w:szCs w:val="18"/>
              </w:rPr>
            </w:pPr>
            <w:r>
              <w:rPr>
                <w:rFonts w:hint="eastAsia" w:ascii="宋体" w:hAnsi="宋体" w:eastAsia="宋体" w:cs="宋体"/>
                <w:sz w:val="18"/>
                <w:szCs w:val="18"/>
              </w:rPr>
              <w:t>三级指标</w:t>
            </w:r>
          </w:p>
        </w:tc>
        <w:tc>
          <w:tcPr>
            <w:tcW w:w="1110" w:type="dxa"/>
            <w:shd w:val="clear" w:color="auto" w:fill="auto"/>
            <w:tcMar>
              <w:top w:w="15" w:type="dxa"/>
              <w:left w:w="15" w:type="dxa"/>
              <w:right w:w="15" w:type="dxa"/>
            </w:tcMar>
            <w:vAlign w:val="center"/>
          </w:tcPr>
          <w:p w14:paraId="210826E3">
            <w:pPr>
              <w:spacing w:after="240"/>
              <w:ind w:firstLine="0" w:firstLineChars="0"/>
              <w:jc w:val="center"/>
              <w:rPr>
                <w:rFonts w:hint="eastAsia" w:ascii="宋体" w:hAnsi="宋体" w:eastAsia="宋体" w:cs="宋体"/>
                <w:sz w:val="18"/>
                <w:szCs w:val="18"/>
              </w:rPr>
            </w:pPr>
            <w:r>
              <w:rPr>
                <w:rFonts w:hint="eastAsia" w:ascii="宋体" w:hAnsi="宋体" w:eastAsia="宋体" w:cs="宋体"/>
                <w:sz w:val="18"/>
                <w:szCs w:val="18"/>
              </w:rPr>
              <w:t>指标值</w:t>
            </w:r>
          </w:p>
        </w:tc>
      </w:tr>
      <w:tr w14:paraId="09BB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2" w:hRule="exact"/>
        </w:trPr>
        <w:tc>
          <w:tcPr>
            <w:tcW w:w="1065" w:type="dxa"/>
            <w:vMerge w:val="continue"/>
            <w:shd w:val="clear" w:color="auto" w:fill="auto"/>
            <w:tcMar>
              <w:top w:w="15" w:type="dxa"/>
              <w:left w:w="15" w:type="dxa"/>
              <w:right w:w="15" w:type="dxa"/>
            </w:tcMar>
            <w:vAlign w:val="center"/>
          </w:tcPr>
          <w:p w14:paraId="3D0B6392">
            <w:pPr>
              <w:spacing w:after="240"/>
              <w:ind w:firstLine="360"/>
              <w:jc w:val="center"/>
              <w:rPr>
                <w:rFonts w:hint="eastAsia" w:ascii="宋体" w:hAnsi="宋体" w:eastAsia="宋体" w:cs="宋体"/>
                <w:sz w:val="18"/>
                <w:szCs w:val="18"/>
              </w:rPr>
            </w:pPr>
          </w:p>
        </w:tc>
        <w:tc>
          <w:tcPr>
            <w:tcW w:w="1128" w:type="dxa"/>
            <w:vMerge w:val="restart"/>
            <w:shd w:val="clear" w:color="auto" w:fill="auto"/>
            <w:noWrap/>
            <w:tcMar>
              <w:top w:w="15" w:type="dxa"/>
              <w:left w:w="15" w:type="dxa"/>
              <w:right w:w="15" w:type="dxa"/>
            </w:tcMar>
            <w:vAlign w:val="center"/>
          </w:tcPr>
          <w:p w14:paraId="78F7A2D0">
            <w:pPr>
              <w:spacing w:after="240"/>
              <w:ind w:firstLine="360"/>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933" w:type="dxa"/>
            <w:vMerge w:val="restart"/>
            <w:shd w:val="clear" w:color="auto" w:fill="auto"/>
            <w:tcMar>
              <w:top w:w="15" w:type="dxa"/>
              <w:left w:w="15" w:type="dxa"/>
              <w:right w:w="15" w:type="dxa"/>
            </w:tcMar>
            <w:vAlign w:val="center"/>
          </w:tcPr>
          <w:p w14:paraId="4F2E1067">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社会效益指标</w:t>
            </w:r>
          </w:p>
        </w:tc>
        <w:tc>
          <w:tcPr>
            <w:tcW w:w="3119" w:type="dxa"/>
            <w:shd w:val="clear" w:color="auto" w:fill="auto"/>
            <w:tcMar>
              <w:top w:w="15" w:type="dxa"/>
              <w:left w:w="15" w:type="dxa"/>
              <w:right w:w="15" w:type="dxa"/>
            </w:tcMar>
          </w:tcPr>
          <w:p w14:paraId="35382F96">
            <w:pPr>
              <w:spacing w:after="240"/>
              <w:ind w:firstLine="0" w:firstLineChars="0"/>
              <w:jc w:val="left"/>
              <w:rPr>
                <w:rFonts w:hint="eastAsia" w:ascii="宋体" w:hAnsi="宋体" w:eastAsia="宋体" w:cs="宋体"/>
                <w:sz w:val="18"/>
                <w:szCs w:val="18"/>
              </w:rPr>
            </w:pPr>
            <w:r>
              <w:rPr>
                <w:rFonts w:hint="eastAsia" w:ascii="宋体" w:hAnsi="宋体" w:eastAsia="宋体" w:cs="宋体"/>
                <w:sz w:val="18"/>
                <w:szCs w:val="18"/>
              </w:rPr>
              <w:t>基本建设程序合规率</w:t>
            </w:r>
          </w:p>
        </w:tc>
        <w:tc>
          <w:tcPr>
            <w:tcW w:w="1110" w:type="dxa"/>
            <w:shd w:val="clear" w:color="auto" w:fill="auto"/>
            <w:tcMar>
              <w:top w:w="15" w:type="dxa"/>
              <w:left w:w="15" w:type="dxa"/>
              <w:right w:w="15" w:type="dxa"/>
            </w:tcMar>
          </w:tcPr>
          <w:p w14:paraId="4786641C">
            <w:pPr>
              <w:spacing w:after="240"/>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14:paraId="6104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exact"/>
        </w:trPr>
        <w:tc>
          <w:tcPr>
            <w:tcW w:w="1065" w:type="dxa"/>
            <w:vMerge w:val="continue"/>
            <w:shd w:val="clear" w:color="auto" w:fill="auto"/>
            <w:tcMar>
              <w:top w:w="15" w:type="dxa"/>
              <w:left w:w="15" w:type="dxa"/>
              <w:right w:w="15" w:type="dxa"/>
            </w:tcMar>
            <w:vAlign w:val="center"/>
          </w:tcPr>
          <w:p w14:paraId="743CA650">
            <w:pPr>
              <w:spacing w:after="240"/>
              <w:ind w:firstLine="360"/>
              <w:jc w:val="center"/>
              <w:rPr>
                <w:rFonts w:hint="eastAsia" w:ascii="宋体" w:hAnsi="宋体" w:eastAsia="宋体" w:cs="宋体"/>
                <w:sz w:val="18"/>
                <w:szCs w:val="18"/>
              </w:rPr>
            </w:pPr>
          </w:p>
        </w:tc>
        <w:tc>
          <w:tcPr>
            <w:tcW w:w="1128" w:type="dxa"/>
            <w:vMerge w:val="continue"/>
            <w:shd w:val="clear" w:color="auto" w:fill="auto"/>
            <w:noWrap/>
            <w:tcMar>
              <w:top w:w="15" w:type="dxa"/>
              <w:left w:w="15" w:type="dxa"/>
              <w:right w:w="15" w:type="dxa"/>
            </w:tcMar>
            <w:vAlign w:val="center"/>
          </w:tcPr>
          <w:p w14:paraId="55C52F8A">
            <w:pPr>
              <w:spacing w:after="240"/>
              <w:ind w:firstLine="360"/>
              <w:jc w:val="center"/>
              <w:rPr>
                <w:rFonts w:hint="eastAsia" w:ascii="宋体" w:hAnsi="宋体" w:eastAsia="宋体" w:cs="宋体"/>
                <w:sz w:val="18"/>
                <w:szCs w:val="18"/>
              </w:rPr>
            </w:pPr>
          </w:p>
        </w:tc>
        <w:tc>
          <w:tcPr>
            <w:tcW w:w="1933" w:type="dxa"/>
            <w:vMerge w:val="continue"/>
            <w:shd w:val="clear" w:color="auto" w:fill="auto"/>
            <w:tcMar>
              <w:top w:w="15" w:type="dxa"/>
              <w:left w:w="15" w:type="dxa"/>
              <w:right w:w="15" w:type="dxa"/>
            </w:tcMar>
            <w:vAlign w:val="center"/>
          </w:tcPr>
          <w:p w14:paraId="08BDB14E">
            <w:pPr>
              <w:ind w:firstLine="360"/>
              <w:jc w:val="center"/>
              <w:rPr>
                <w:rFonts w:hint="eastAsia" w:ascii="宋体" w:hAnsi="宋体" w:eastAsia="宋体" w:cs="宋体"/>
                <w:sz w:val="18"/>
                <w:szCs w:val="18"/>
              </w:rPr>
            </w:pPr>
          </w:p>
        </w:tc>
        <w:tc>
          <w:tcPr>
            <w:tcW w:w="3119" w:type="dxa"/>
            <w:shd w:val="clear" w:color="auto" w:fill="auto"/>
            <w:tcMar>
              <w:top w:w="15" w:type="dxa"/>
              <w:left w:w="15" w:type="dxa"/>
              <w:right w:w="15" w:type="dxa"/>
            </w:tcMar>
          </w:tcPr>
          <w:p w14:paraId="7047AD96">
            <w:pPr>
              <w:spacing w:after="240"/>
              <w:ind w:firstLine="0" w:firstLineChars="0"/>
              <w:jc w:val="left"/>
              <w:rPr>
                <w:rFonts w:hint="eastAsia" w:ascii="宋体" w:hAnsi="宋体" w:eastAsia="宋体" w:cs="宋体"/>
                <w:sz w:val="18"/>
                <w:szCs w:val="18"/>
              </w:rPr>
            </w:pPr>
            <w:r>
              <w:rPr>
                <w:rFonts w:hint="eastAsia" w:ascii="宋体" w:hAnsi="宋体" w:eastAsia="宋体" w:cs="宋体"/>
                <w:sz w:val="18"/>
                <w:szCs w:val="18"/>
              </w:rPr>
              <w:t>基建项目“四制”执行合规率</w:t>
            </w:r>
          </w:p>
        </w:tc>
        <w:tc>
          <w:tcPr>
            <w:tcW w:w="1110" w:type="dxa"/>
            <w:shd w:val="clear" w:color="auto" w:fill="auto"/>
            <w:tcMar>
              <w:top w:w="15" w:type="dxa"/>
              <w:left w:w="15" w:type="dxa"/>
              <w:right w:w="15" w:type="dxa"/>
            </w:tcMar>
          </w:tcPr>
          <w:p w14:paraId="08DB52CD">
            <w:pPr>
              <w:spacing w:after="240"/>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14:paraId="05AD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exact"/>
        </w:trPr>
        <w:tc>
          <w:tcPr>
            <w:tcW w:w="1065" w:type="dxa"/>
            <w:vMerge w:val="continue"/>
            <w:shd w:val="clear" w:color="auto" w:fill="auto"/>
            <w:tcMar>
              <w:top w:w="15" w:type="dxa"/>
              <w:left w:w="15" w:type="dxa"/>
              <w:right w:w="15" w:type="dxa"/>
            </w:tcMar>
            <w:vAlign w:val="center"/>
          </w:tcPr>
          <w:p w14:paraId="775796D0">
            <w:pPr>
              <w:spacing w:after="240"/>
              <w:ind w:firstLine="360"/>
              <w:jc w:val="center"/>
              <w:rPr>
                <w:rFonts w:hint="eastAsia" w:ascii="宋体" w:hAnsi="宋体" w:eastAsia="宋体" w:cs="宋体"/>
                <w:sz w:val="18"/>
                <w:szCs w:val="18"/>
              </w:rPr>
            </w:pPr>
          </w:p>
        </w:tc>
        <w:tc>
          <w:tcPr>
            <w:tcW w:w="1128" w:type="dxa"/>
            <w:vMerge w:val="continue"/>
            <w:shd w:val="clear" w:color="auto" w:fill="auto"/>
            <w:noWrap/>
            <w:tcMar>
              <w:top w:w="15" w:type="dxa"/>
              <w:left w:w="15" w:type="dxa"/>
              <w:right w:w="15" w:type="dxa"/>
            </w:tcMar>
            <w:vAlign w:val="center"/>
          </w:tcPr>
          <w:p w14:paraId="76419588">
            <w:pPr>
              <w:spacing w:after="240"/>
              <w:ind w:firstLine="360"/>
              <w:jc w:val="center"/>
              <w:rPr>
                <w:rFonts w:hint="eastAsia" w:ascii="宋体" w:hAnsi="宋体" w:eastAsia="宋体" w:cs="宋体"/>
                <w:sz w:val="18"/>
                <w:szCs w:val="18"/>
              </w:rPr>
            </w:pPr>
          </w:p>
        </w:tc>
        <w:tc>
          <w:tcPr>
            <w:tcW w:w="1933" w:type="dxa"/>
            <w:vMerge w:val="continue"/>
            <w:shd w:val="clear" w:color="auto" w:fill="auto"/>
            <w:tcMar>
              <w:top w:w="15" w:type="dxa"/>
              <w:left w:w="15" w:type="dxa"/>
              <w:right w:w="15" w:type="dxa"/>
            </w:tcMar>
            <w:vAlign w:val="center"/>
          </w:tcPr>
          <w:p w14:paraId="4D1278DE">
            <w:pPr>
              <w:ind w:firstLine="360"/>
              <w:jc w:val="center"/>
              <w:rPr>
                <w:rFonts w:hint="eastAsia" w:ascii="宋体" w:hAnsi="宋体" w:eastAsia="宋体" w:cs="宋体"/>
                <w:sz w:val="18"/>
                <w:szCs w:val="18"/>
              </w:rPr>
            </w:pPr>
          </w:p>
        </w:tc>
        <w:tc>
          <w:tcPr>
            <w:tcW w:w="3119" w:type="dxa"/>
            <w:shd w:val="clear" w:color="auto" w:fill="auto"/>
            <w:tcMar>
              <w:top w:w="15" w:type="dxa"/>
              <w:left w:w="15" w:type="dxa"/>
              <w:right w:w="15" w:type="dxa"/>
            </w:tcMar>
          </w:tcPr>
          <w:p w14:paraId="58B3BD3B">
            <w:pPr>
              <w:spacing w:after="240"/>
              <w:ind w:firstLine="0" w:firstLineChars="0"/>
              <w:jc w:val="left"/>
              <w:rPr>
                <w:rFonts w:hint="eastAsia" w:ascii="宋体" w:hAnsi="宋体" w:eastAsia="宋体" w:cs="宋体"/>
                <w:sz w:val="18"/>
                <w:szCs w:val="18"/>
              </w:rPr>
            </w:pPr>
            <w:r>
              <w:rPr>
                <w:rFonts w:hint="eastAsia" w:ascii="宋体" w:hAnsi="宋体" w:eastAsia="宋体" w:cs="宋体"/>
                <w:sz w:val="18"/>
                <w:szCs w:val="18"/>
              </w:rPr>
              <w:t>政府采购执行率</w:t>
            </w:r>
          </w:p>
        </w:tc>
        <w:tc>
          <w:tcPr>
            <w:tcW w:w="1110" w:type="dxa"/>
            <w:shd w:val="clear" w:color="auto" w:fill="auto"/>
            <w:tcMar>
              <w:top w:w="15" w:type="dxa"/>
              <w:left w:w="15" w:type="dxa"/>
              <w:right w:w="15" w:type="dxa"/>
            </w:tcMar>
          </w:tcPr>
          <w:p w14:paraId="026F5F72">
            <w:pPr>
              <w:spacing w:after="240"/>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14:paraId="0D3F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exact"/>
        </w:trPr>
        <w:tc>
          <w:tcPr>
            <w:tcW w:w="1065" w:type="dxa"/>
            <w:vMerge w:val="continue"/>
            <w:shd w:val="clear" w:color="auto" w:fill="auto"/>
            <w:tcMar>
              <w:top w:w="15" w:type="dxa"/>
              <w:left w:w="15" w:type="dxa"/>
              <w:right w:w="15" w:type="dxa"/>
            </w:tcMar>
            <w:vAlign w:val="center"/>
          </w:tcPr>
          <w:p w14:paraId="661CA64A">
            <w:pPr>
              <w:spacing w:after="240"/>
              <w:ind w:firstLine="360"/>
              <w:jc w:val="center"/>
              <w:rPr>
                <w:rFonts w:hint="eastAsia" w:ascii="宋体" w:hAnsi="宋体" w:eastAsia="宋体" w:cs="宋体"/>
                <w:sz w:val="18"/>
                <w:szCs w:val="18"/>
              </w:rPr>
            </w:pPr>
          </w:p>
        </w:tc>
        <w:tc>
          <w:tcPr>
            <w:tcW w:w="1128" w:type="dxa"/>
            <w:vMerge w:val="continue"/>
            <w:shd w:val="clear" w:color="auto" w:fill="auto"/>
            <w:noWrap/>
            <w:tcMar>
              <w:top w:w="15" w:type="dxa"/>
              <w:left w:w="15" w:type="dxa"/>
              <w:right w:w="15" w:type="dxa"/>
            </w:tcMar>
            <w:vAlign w:val="center"/>
          </w:tcPr>
          <w:p w14:paraId="742463F3">
            <w:pPr>
              <w:spacing w:after="240"/>
              <w:ind w:firstLine="360"/>
              <w:jc w:val="center"/>
              <w:rPr>
                <w:rFonts w:hint="eastAsia" w:ascii="宋体" w:hAnsi="宋体" w:eastAsia="宋体" w:cs="宋体"/>
                <w:sz w:val="18"/>
                <w:szCs w:val="18"/>
              </w:rPr>
            </w:pPr>
          </w:p>
        </w:tc>
        <w:tc>
          <w:tcPr>
            <w:tcW w:w="1933" w:type="dxa"/>
            <w:vMerge w:val="continue"/>
            <w:shd w:val="clear" w:color="auto" w:fill="auto"/>
            <w:tcMar>
              <w:top w:w="15" w:type="dxa"/>
              <w:left w:w="15" w:type="dxa"/>
              <w:right w:w="15" w:type="dxa"/>
            </w:tcMar>
            <w:vAlign w:val="center"/>
          </w:tcPr>
          <w:p w14:paraId="331B5498">
            <w:pPr>
              <w:ind w:firstLine="360"/>
              <w:jc w:val="center"/>
              <w:rPr>
                <w:rFonts w:hint="eastAsia" w:ascii="宋体" w:hAnsi="宋体" w:eastAsia="宋体" w:cs="宋体"/>
                <w:sz w:val="18"/>
                <w:szCs w:val="18"/>
              </w:rPr>
            </w:pPr>
          </w:p>
        </w:tc>
        <w:tc>
          <w:tcPr>
            <w:tcW w:w="3119" w:type="dxa"/>
            <w:shd w:val="clear" w:color="auto" w:fill="auto"/>
            <w:tcMar>
              <w:top w:w="15" w:type="dxa"/>
              <w:left w:w="15" w:type="dxa"/>
              <w:right w:w="15" w:type="dxa"/>
            </w:tcMar>
          </w:tcPr>
          <w:p w14:paraId="3A8913AD">
            <w:pPr>
              <w:spacing w:after="240"/>
              <w:ind w:firstLine="0" w:firstLineChars="0"/>
              <w:jc w:val="left"/>
              <w:rPr>
                <w:rFonts w:hint="eastAsia" w:ascii="宋体" w:hAnsi="宋体" w:eastAsia="宋体" w:cs="宋体"/>
                <w:sz w:val="18"/>
                <w:szCs w:val="18"/>
              </w:rPr>
            </w:pPr>
            <w:r>
              <w:rPr>
                <w:rFonts w:hint="eastAsia" w:ascii="宋体" w:hAnsi="宋体" w:eastAsia="宋体" w:cs="宋体"/>
                <w:sz w:val="18"/>
                <w:szCs w:val="18"/>
              </w:rPr>
              <w:t>安全事件处理及时率</w:t>
            </w:r>
          </w:p>
        </w:tc>
        <w:tc>
          <w:tcPr>
            <w:tcW w:w="1110" w:type="dxa"/>
            <w:shd w:val="clear" w:color="auto" w:fill="auto"/>
            <w:tcMar>
              <w:top w:w="15" w:type="dxa"/>
              <w:left w:w="15" w:type="dxa"/>
              <w:right w:w="15" w:type="dxa"/>
            </w:tcMar>
          </w:tcPr>
          <w:p w14:paraId="37C4A020">
            <w:pPr>
              <w:spacing w:after="240"/>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14:paraId="52FE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exact"/>
        </w:trPr>
        <w:tc>
          <w:tcPr>
            <w:tcW w:w="1065" w:type="dxa"/>
            <w:vMerge w:val="continue"/>
            <w:shd w:val="clear" w:color="auto" w:fill="auto"/>
            <w:tcMar>
              <w:top w:w="15" w:type="dxa"/>
              <w:left w:w="15" w:type="dxa"/>
              <w:right w:w="15" w:type="dxa"/>
            </w:tcMar>
            <w:vAlign w:val="center"/>
          </w:tcPr>
          <w:p w14:paraId="789F0AB7">
            <w:pPr>
              <w:spacing w:after="240"/>
              <w:ind w:firstLine="360"/>
              <w:jc w:val="center"/>
              <w:rPr>
                <w:rFonts w:hint="eastAsia" w:ascii="宋体" w:hAnsi="宋体" w:eastAsia="宋体" w:cs="宋体"/>
                <w:sz w:val="18"/>
                <w:szCs w:val="18"/>
              </w:rPr>
            </w:pPr>
          </w:p>
        </w:tc>
        <w:tc>
          <w:tcPr>
            <w:tcW w:w="1128" w:type="dxa"/>
            <w:vMerge w:val="continue"/>
            <w:shd w:val="clear" w:color="auto" w:fill="auto"/>
            <w:noWrap/>
            <w:tcMar>
              <w:top w:w="15" w:type="dxa"/>
              <w:left w:w="15" w:type="dxa"/>
              <w:right w:w="15" w:type="dxa"/>
            </w:tcMar>
            <w:vAlign w:val="center"/>
          </w:tcPr>
          <w:p w14:paraId="086B0386">
            <w:pPr>
              <w:spacing w:after="240"/>
              <w:ind w:firstLine="360"/>
              <w:jc w:val="center"/>
              <w:rPr>
                <w:rFonts w:hint="eastAsia" w:ascii="宋体" w:hAnsi="宋体" w:eastAsia="宋体" w:cs="宋体"/>
                <w:sz w:val="18"/>
                <w:szCs w:val="18"/>
              </w:rPr>
            </w:pPr>
          </w:p>
        </w:tc>
        <w:tc>
          <w:tcPr>
            <w:tcW w:w="1933" w:type="dxa"/>
            <w:vMerge w:val="continue"/>
            <w:shd w:val="clear" w:color="auto" w:fill="auto"/>
            <w:tcMar>
              <w:top w:w="15" w:type="dxa"/>
              <w:left w:w="15" w:type="dxa"/>
              <w:right w:w="15" w:type="dxa"/>
            </w:tcMar>
            <w:vAlign w:val="center"/>
          </w:tcPr>
          <w:p w14:paraId="0C72D4AB">
            <w:pPr>
              <w:ind w:firstLine="0" w:firstLineChars="0"/>
              <w:jc w:val="center"/>
              <w:rPr>
                <w:rFonts w:hint="eastAsia" w:ascii="宋体" w:hAnsi="宋体" w:eastAsia="宋体" w:cs="宋体"/>
                <w:sz w:val="18"/>
                <w:szCs w:val="18"/>
              </w:rPr>
            </w:pPr>
          </w:p>
        </w:tc>
        <w:tc>
          <w:tcPr>
            <w:tcW w:w="3119" w:type="dxa"/>
            <w:shd w:val="clear" w:color="auto" w:fill="auto"/>
            <w:tcMar>
              <w:top w:w="15" w:type="dxa"/>
              <w:left w:w="15" w:type="dxa"/>
              <w:right w:w="15" w:type="dxa"/>
            </w:tcMar>
          </w:tcPr>
          <w:p w14:paraId="2C55654F">
            <w:pPr>
              <w:spacing w:after="240"/>
              <w:ind w:firstLine="0" w:firstLineChars="0"/>
              <w:jc w:val="left"/>
              <w:rPr>
                <w:rFonts w:hint="eastAsia" w:ascii="宋体" w:hAnsi="宋体" w:eastAsia="宋体" w:cs="宋体"/>
                <w:sz w:val="18"/>
                <w:szCs w:val="18"/>
              </w:rPr>
            </w:pPr>
            <w:r>
              <w:rPr>
                <w:rFonts w:hint="eastAsia" w:ascii="宋体" w:hAnsi="宋体" w:eastAsia="宋体" w:cs="宋体"/>
                <w:sz w:val="18"/>
                <w:szCs w:val="18"/>
              </w:rPr>
              <w:t>公示公告率</w:t>
            </w:r>
          </w:p>
        </w:tc>
        <w:tc>
          <w:tcPr>
            <w:tcW w:w="1110" w:type="dxa"/>
            <w:shd w:val="clear" w:color="auto" w:fill="auto"/>
            <w:tcMar>
              <w:top w:w="15" w:type="dxa"/>
              <w:left w:w="15" w:type="dxa"/>
              <w:right w:w="15" w:type="dxa"/>
            </w:tcMar>
          </w:tcPr>
          <w:p w14:paraId="631C6296">
            <w:pPr>
              <w:spacing w:after="240"/>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14:paraId="7EEE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exact"/>
        </w:trPr>
        <w:tc>
          <w:tcPr>
            <w:tcW w:w="1065" w:type="dxa"/>
            <w:vMerge w:val="continue"/>
            <w:shd w:val="clear" w:color="auto" w:fill="auto"/>
            <w:tcMar>
              <w:top w:w="15" w:type="dxa"/>
              <w:left w:w="15" w:type="dxa"/>
              <w:right w:w="15" w:type="dxa"/>
            </w:tcMar>
            <w:vAlign w:val="center"/>
          </w:tcPr>
          <w:p w14:paraId="4B8E156D">
            <w:pPr>
              <w:spacing w:after="240"/>
              <w:ind w:firstLine="360"/>
              <w:jc w:val="center"/>
              <w:rPr>
                <w:rFonts w:hint="eastAsia" w:ascii="宋体" w:hAnsi="宋体" w:eastAsia="宋体" w:cs="宋体"/>
                <w:sz w:val="18"/>
                <w:szCs w:val="18"/>
              </w:rPr>
            </w:pPr>
          </w:p>
        </w:tc>
        <w:tc>
          <w:tcPr>
            <w:tcW w:w="1128" w:type="dxa"/>
            <w:vMerge w:val="continue"/>
            <w:shd w:val="clear" w:color="auto" w:fill="auto"/>
            <w:noWrap/>
            <w:tcMar>
              <w:top w:w="15" w:type="dxa"/>
              <w:left w:w="15" w:type="dxa"/>
              <w:right w:w="15" w:type="dxa"/>
            </w:tcMar>
            <w:vAlign w:val="center"/>
          </w:tcPr>
          <w:p w14:paraId="24D8DB61">
            <w:pPr>
              <w:spacing w:after="240"/>
              <w:ind w:firstLine="360"/>
              <w:jc w:val="center"/>
              <w:rPr>
                <w:rFonts w:hint="eastAsia" w:ascii="宋体" w:hAnsi="宋体" w:eastAsia="宋体" w:cs="宋体"/>
                <w:sz w:val="18"/>
                <w:szCs w:val="18"/>
              </w:rPr>
            </w:pPr>
          </w:p>
        </w:tc>
        <w:tc>
          <w:tcPr>
            <w:tcW w:w="1933" w:type="dxa"/>
            <w:vMerge w:val="continue"/>
            <w:shd w:val="clear" w:color="auto" w:fill="auto"/>
            <w:tcMar>
              <w:top w:w="15" w:type="dxa"/>
              <w:left w:w="15" w:type="dxa"/>
              <w:right w:w="15" w:type="dxa"/>
            </w:tcMar>
            <w:vAlign w:val="center"/>
          </w:tcPr>
          <w:p w14:paraId="2E64D77B">
            <w:pPr>
              <w:ind w:firstLine="0" w:firstLineChars="0"/>
              <w:jc w:val="center"/>
              <w:rPr>
                <w:rFonts w:hint="eastAsia" w:ascii="宋体" w:hAnsi="宋体" w:eastAsia="宋体" w:cs="宋体"/>
                <w:sz w:val="18"/>
                <w:szCs w:val="18"/>
              </w:rPr>
            </w:pPr>
          </w:p>
        </w:tc>
        <w:tc>
          <w:tcPr>
            <w:tcW w:w="3119" w:type="dxa"/>
            <w:shd w:val="clear" w:color="auto" w:fill="auto"/>
            <w:tcMar>
              <w:top w:w="15" w:type="dxa"/>
              <w:left w:w="15" w:type="dxa"/>
              <w:right w:w="15" w:type="dxa"/>
            </w:tcMar>
          </w:tcPr>
          <w:p w14:paraId="6DAB48D8">
            <w:pPr>
              <w:spacing w:after="240"/>
              <w:ind w:firstLine="0" w:firstLineChars="0"/>
              <w:jc w:val="left"/>
              <w:rPr>
                <w:rFonts w:hint="eastAsia" w:ascii="宋体" w:hAnsi="宋体" w:eastAsia="宋体" w:cs="宋体"/>
                <w:sz w:val="18"/>
                <w:szCs w:val="18"/>
              </w:rPr>
            </w:pPr>
            <w:r>
              <w:rPr>
                <w:rFonts w:hint="eastAsia" w:ascii="宋体" w:hAnsi="宋体" w:eastAsia="宋体" w:cs="宋体"/>
                <w:sz w:val="18"/>
                <w:szCs w:val="18"/>
              </w:rPr>
              <w:t>信访、投诉（线上、线下）办结率</w:t>
            </w:r>
          </w:p>
        </w:tc>
        <w:tc>
          <w:tcPr>
            <w:tcW w:w="1110" w:type="dxa"/>
            <w:shd w:val="clear" w:color="auto" w:fill="auto"/>
            <w:tcMar>
              <w:top w:w="15" w:type="dxa"/>
              <w:left w:w="15" w:type="dxa"/>
              <w:right w:w="15" w:type="dxa"/>
            </w:tcMar>
          </w:tcPr>
          <w:p w14:paraId="5F168B64">
            <w:pPr>
              <w:spacing w:after="240"/>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14:paraId="1496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exact"/>
        </w:trPr>
        <w:tc>
          <w:tcPr>
            <w:tcW w:w="1065" w:type="dxa"/>
            <w:vMerge w:val="continue"/>
            <w:shd w:val="clear" w:color="auto" w:fill="auto"/>
            <w:tcMar>
              <w:top w:w="15" w:type="dxa"/>
              <w:left w:w="15" w:type="dxa"/>
              <w:right w:w="15" w:type="dxa"/>
            </w:tcMar>
            <w:vAlign w:val="center"/>
          </w:tcPr>
          <w:p w14:paraId="6202FDD9">
            <w:pPr>
              <w:spacing w:after="240"/>
              <w:ind w:firstLine="360"/>
              <w:jc w:val="center"/>
              <w:rPr>
                <w:rFonts w:hint="eastAsia" w:ascii="宋体" w:hAnsi="宋体" w:eastAsia="宋体" w:cs="宋体"/>
                <w:sz w:val="18"/>
                <w:szCs w:val="18"/>
              </w:rPr>
            </w:pPr>
          </w:p>
        </w:tc>
        <w:tc>
          <w:tcPr>
            <w:tcW w:w="1128" w:type="dxa"/>
            <w:vMerge w:val="continue"/>
            <w:shd w:val="clear" w:color="auto" w:fill="auto"/>
            <w:noWrap/>
            <w:tcMar>
              <w:top w:w="15" w:type="dxa"/>
              <w:left w:w="15" w:type="dxa"/>
              <w:right w:w="15" w:type="dxa"/>
            </w:tcMar>
            <w:vAlign w:val="center"/>
          </w:tcPr>
          <w:p w14:paraId="27D16B57">
            <w:pPr>
              <w:spacing w:after="240"/>
              <w:ind w:firstLine="360"/>
              <w:jc w:val="center"/>
              <w:rPr>
                <w:rFonts w:hint="eastAsia" w:ascii="宋体" w:hAnsi="宋体" w:eastAsia="宋体" w:cs="宋体"/>
                <w:sz w:val="18"/>
                <w:szCs w:val="18"/>
              </w:rPr>
            </w:pPr>
          </w:p>
        </w:tc>
        <w:tc>
          <w:tcPr>
            <w:tcW w:w="1933" w:type="dxa"/>
            <w:shd w:val="clear" w:color="auto" w:fill="auto"/>
            <w:tcMar>
              <w:top w:w="15" w:type="dxa"/>
              <w:left w:w="15" w:type="dxa"/>
              <w:right w:w="15" w:type="dxa"/>
            </w:tcMar>
            <w:vAlign w:val="center"/>
          </w:tcPr>
          <w:p w14:paraId="280FA599">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生态效益指标</w:t>
            </w:r>
          </w:p>
        </w:tc>
        <w:tc>
          <w:tcPr>
            <w:tcW w:w="3119" w:type="dxa"/>
            <w:shd w:val="clear" w:color="auto" w:fill="auto"/>
            <w:tcMar>
              <w:top w:w="15" w:type="dxa"/>
              <w:left w:w="15" w:type="dxa"/>
              <w:right w:w="15" w:type="dxa"/>
            </w:tcMar>
            <w:vAlign w:val="center"/>
          </w:tcPr>
          <w:p w14:paraId="7B50B2E0">
            <w:pPr>
              <w:spacing w:after="240"/>
              <w:ind w:firstLine="0" w:firstLineChars="0"/>
              <w:jc w:val="left"/>
              <w:rPr>
                <w:rFonts w:hint="eastAsia" w:ascii="宋体" w:hAnsi="宋体" w:eastAsia="宋体" w:cs="宋体"/>
                <w:sz w:val="18"/>
                <w:szCs w:val="18"/>
              </w:rPr>
            </w:pPr>
            <w:r>
              <w:rPr>
                <w:rFonts w:hint="eastAsia" w:ascii="宋体" w:hAnsi="宋体" w:eastAsia="宋体" w:cs="宋体"/>
                <w:sz w:val="18"/>
                <w:szCs w:val="18"/>
              </w:rPr>
              <w:t>项目环评通过率</w:t>
            </w:r>
          </w:p>
        </w:tc>
        <w:tc>
          <w:tcPr>
            <w:tcW w:w="1110" w:type="dxa"/>
            <w:shd w:val="clear" w:color="auto" w:fill="auto"/>
            <w:tcMar>
              <w:top w:w="15" w:type="dxa"/>
              <w:left w:w="15" w:type="dxa"/>
              <w:right w:w="15" w:type="dxa"/>
            </w:tcMar>
            <w:vAlign w:val="center"/>
          </w:tcPr>
          <w:p w14:paraId="61EB2279">
            <w:pPr>
              <w:spacing w:after="240"/>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0</w:t>
            </w:r>
            <w:r>
              <w:rPr>
                <w:rFonts w:hint="eastAsia" w:ascii="宋体" w:hAnsi="宋体" w:eastAsia="宋体" w:cs="宋体"/>
                <w:sz w:val="18"/>
                <w:szCs w:val="18"/>
              </w:rPr>
              <w:t>0%</w:t>
            </w:r>
          </w:p>
        </w:tc>
      </w:tr>
      <w:tr w14:paraId="4167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exact"/>
        </w:trPr>
        <w:tc>
          <w:tcPr>
            <w:tcW w:w="1065" w:type="dxa"/>
            <w:vMerge w:val="continue"/>
            <w:shd w:val="clear" w:color="auto" w:fill="auto"/>
            <w:tcMar>
              <w:top w:w="15" w:type="dxa"/>
              <w:left w:w="15" w:type="dxa"/>
              <w:right w:w="15" w:type="dxa"/>
            </w:tcMar>
            <w:vAlign w:val="center"/>
          </w:tcPr>
          <w:p w14:paraId="6BCA06B4">
            <w:pPr>
              <w:spacing w:after="240"/>
              <w:ind w:firstLine="360"/>
              <w:jc w:val="center"/>
              <w:rPr>
                <w:rFonts w:hint="eastAsia" w:ascii="宋体" w:hAnsi="宋体" w:eastAsia="宋体" w:cs="宋体"/>
                <w:sz w:val="18"/>
                <w:szCs w:val="18"/>
              </w:rPr>
            </w:pPr>
          </w:p>
        </w:tc>
        <w:tc>
          <w:tcPr>
            <w:tcW w:w="1128" w:type="dxa"/>
            <w:vMerge w:val="continue"/>
            <w:shd w:val="clear" w:color="auto" w:fill="auto"/>
            <w:noWrap/>
            <w:tcMar>
              <w:top w:w="15" w:type="dxa"/>
              <w:left w:w="15" w:type="dxa"/>
              <w:right w:w="15" w:type="dxa"/>
            </w:tcMar>
            <w:vAlign w:val="center"/>
          </w:tcPr>
          <w:p w14:paraId="40701190">
            <w:pPr>
              <w:spacing w:after="240"/>
              <w:ind w:firstLine="360"/>
              <w:jc w:val="center"/>
              <w:rPr>
                <w:rFonts w:hint="eastAsia" w:ascii="宋体" w:hAnsi="宋体" w:eastAsia="宋体" w:cs="宋体"/>
                <w:sz w:val="18"/>
                <w:szCs w:val="18"/>
              </w:rPr>
            </w:pPr>
          </w:p>
        </w:tc>
        <w:tc>
          <w:tcPr>
            <w:tcW w:w="1933" w:type="dxa"/>
            <w:shd w:val="clear" w:color="auto" w:fill="auto"/>
            <w:tcMar>
              <w:top w:w="15" w:type="dxa"/>
              <w:left w:w="15" w:type="dxa"/>
              <w:right w:w="15" w:type="dxa"/>
            </w:tcMar>
            <w:vAlign w:val="center"/>
          </w:tcPr>
          <w:p w14:paraId="265EA9FD">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可持续性指标</w:t>
            </w:r>
          </w:p>
        </w:tc>
        <w:tc>
          <w:tcPr>
            <w:tcW w:w="3119" w:type="dxa"/>
            <w:shd w:val="clear" w:color="auto" w:fill="auto"/>
            <w:tcMar>
              <w:top w:w="15" w:type="dxa"/>
              <w:left w:w="15" w:type="dxa"/>
              <w:right w:w="15" w:type="dxa"/>
            </w:tcMar>
            <w:vAlign w:val="center"/>
          </w:tcPr>
          <w:p w14:paraId="18AC1F3C">
            <w:pPr>
              <w:spacing w:after="240"/>
              <w:ind w:firstLine="0" w:firstLineChars="0"/>
              <w:jc w:val="left"/>
              <w:rPr>
                <w:rFonts w:hint="eastAsia" w:ascii="宋体" w:hAnsi="宋体" w:eastAsia="宋体" w:cs="宋体"/>
                <w:sz w:val="18"/>
                <w:szCs w:val="18"/>
              </w:rPr>
            </w:pPr>
            <w:r>
              <w:rPr>
                <w:rFonts w:hint="eastAsia" w:ascii="宋体" w:hAnsi="宋体" w:eastAsia="宋体" w:cs="宋体"/>
                <w:sz w:val="18"/>
                <w:szCs w:val="18"/>
              </w:rPr>
              <w:t>可持续性影响期</w:t>
            </w:r>
          </w:p>
        </w:tc>
        <w:tc>
          <w:tcPr>
            <w:tcW w:w="1110" w:type="dxa"/>
            <w:shd w:val="clear" w:color="auto" w:fill="auto"/>
            <w:tcMar>
              <w:top w:w="15" w:type="dxa"/>
              <w:left w:w="15" w:type="dxa"/>
              <w:right w:w="15" w:type="dxa"/>
            </w:tcMar>
            <w:vAlign w:val="center"/>
          </w:tcPr>
          <w:p w14:paraId="1E370FD9">
            <w:pPr>
              <w:spacing w:after="240"/>
              <w:ind w:firstLine="0" w:firstLineChars="0"/>
              <w:jc w:val="center"/>
              <w:rPr>
                <w:rFonts w:hint="eastAsia" w:ascii="宋体" w:hAnsi="宋体" w:eastAsia="宋体" w:cs="宋体"/>
                <w:sz w:val="18"/>
                <w:szCs w:val="18"/>
              </w:rPr>
            </w:pPr>
            <w:r>
              <w:rPr>
                <w:rFonts w:hint="eastAsia" w:ascii="宋体" w:hAnsi="宋体" w:eastAsia="宋体" w:cs="宋体"/>
                <w:sz w:val="18"/>
                <w:szCs w:val="18"/>
              </w:rPr>
              <w:t>≥5年</w:t>
            </w:r>
          </w:p>
        </w:tc>
      </w:tr>
      <w:tr w14:paraId="095C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1065" w:type="dxa"/>
            <w:vMerge w:val="continue"/>
            <w:shd w:val="clear" w:color="auto" w:fill="auto"/>
            <w:tcMar>
              <w:top w:w="15" w:type="dxa"/>
              <w:left w:w="15" w:type="dxa"/>
              <w:right w:w="15" w:type="dxa"/>
            </w:tcMar>
            <w:vAlign w:val="center"/>
          </w:tcPr>
          <w:p w14:paraId="44C43D99">
            <w:pPr>
              <w:spacing w:after="240"/>
              <w:ind w:firstLine="360"/>
              <w:jc w:val="center"/>
              <w:rPr>
                <w:rFonts w:hint="eastAsia" w:ascii="宋体" w:hAnsi="宋体" w:eastAsia="宋体" w:cs="宋体"/>
                <w:sz w:val="18"/>
                <w:szCs w:val="18"/>
              </w:rPr>
            </w:pPr>
          </w:p>
        </w:tc>
        <w:tc>
          <w:tcPr>
            <w:tcW w:w="1128" w:type="dxa"/>
            <w:vMerge w:val="continue"/>
            <w:shd w:val="clear" w:color="auto" w:fill="auto"/>
            <w:tcMar>
              <w:top w:w="15" w:type="dxa"/>
              <w:left w:w="15" w:type="dxa"/>
              <w:right w:w="15" w:type="dxa"/>
            </w:tcMar>
            <w:vAlign w:val="center"/>
          </w:tcPr>
          <w:p w14:paraId="377BFB96">
            <w:pPr>
              <w:spacing w:after="240"/>
              <w:ind w:firstLine="360"/>
              <w:jc w:val="center"/>
              <w:rPr>
                <w:rFonts w:hint="eastAsia" w:ascii="宋体" w:hAnsi="宋体" w:eastAsia="宋体" w:cs="宋体"/>
                <w:sz w:val="18"/>
                <w:szCs w:val="18"/>
              </w:rPr>
            </w:pPr>
          </w:p>
        </w:tc>
        <w:tc>
          <w:tcPr>
            <w:tcW w:w="1933" w:type="dxa"/>
            <w:shd w:val="clear" w:color="auto" w:fill="auto"/>
            <w:tcMar>
              <w:top w:w="15" w:type="dxa"/>
              <w:left w:w="15" w:type="dxa"/>
              <w:right w:w="15" w:type="dxa"/>
            </w:tcMar>
            <w:vAlign w:val="center"/>
          </w:tcPr>
          <w:p w14:paraId="2A6F7DA3">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3119" w:type="dxa"/>
            <w:shd w:val="clear" w:color="auto" w:fill="auto"/>
            <w:tcMar>
              <w:top w:w="15" w:type="dxa"/>
              <w:left w:w="15" w:type="dxa"/>
              <w:right w:w="15" w:type="dxa"/>
            </w:tcMar>
            <w:vAlign w:val="center"/>
          </w:tcPr>
          <w:p w14:paraId="1233AF62">
            <w:pPr>
              <w:spacing w:after="240"/>
              <w:ind w:firstLine="0" w:firstLineChars="0"/>
              <w:jc w:val="left"/>
              <w:rPr>
                <w:rFonts w:hint="eastAsia" w:ascii="宋体" w:hAnsi="宋体" w:eastAsia="宋体" w:cs="宋体"/>
                <w:sz w:val="18"/>
                <w:szCs w:val="18"/>
              </w:rPr>
            </w:pPr>
            <w:r>
              <w:rPr>
                <w:rFonts w:hint="eastAsia" w:ascii="宋体" w:hAnsi="宋体" w:eastAsia="宋体" w:cs="宋体"/>
                <w:sz w:val="18"/>
                <w:szCs w:val="18"/>
              </w:rPr>
              <w:t>社会公众或服务对象满意度</w:t>
            </w:r>
          </w:p>
        </w:tc>
        <w:tc>
          <w:tcPr>
            <w:tcW w:w="1110" w:type="dxa"/>
            <w:shd w:val="clear" w:color="auto" w:fill="auto"/>
            <w:tcMar>
              <w:top w:w="15" w:type="dxa"/>
              <w:left w:w="15" w:type="dxa"/>
              <w:right w:w="15" w:type="dxa"/>
            </w:tcMar>
            <w:vAlign w:val="center"/>
          </w:tcPr>
          <w:p w14:paraId="63DBFBEB">
            <w:pPr>
              <w:spacing w:after="240"/>
              <w:ind w:firstLine="0" w:firstLineChars="0"/>
              <w:jc w:val="center"/>
              <w:rPr>
                <w:rFonts w:hint="eastAsia" w:ascii="宋体" w:hAnsi="宋体" w:eastAsia="宋体" w:cs="宋体"/>
                <w:sz w:val="18"/>
                <w:szCs w:val="18"/>
              </w:rPr>
            </w:pPr>
            <w:r>
              <w:rPr>
                <w:rFonts w:hint="eastAsia" w:ascii="宋体" w:hAnsi="宋体" w:eastAsia="宋体" w:cs="宋体"/>
                <w:sz w:val="18"/>
                <w:szCs w:val="18"/>
              </w:rPr>
              <w:t>≥90%</w:t>
            </w:r>
          </w:p>
        </w:tc>
      </w:tr>
    </w:tbl>
    <w:p w14:paraId="3895CA0D">
      <w:pPr>
        <w:ind w:firstLine="560"/>
        <w:rPr>
          <w:rFonts w:hint="eastAsia" w:ascii="楷体" w:hAnsi="楷体" w:eastAsia="楷体" w:cs="楷体"/>
          <w:color w:val="FF0000"/>
          <w:sz w:val="28"/>
          <w:szCs w:val="28"/>
        </w:rPr>
      </w:pPr>
      <w:bookmarkStart w:id="14" w:name="_Toc502134853"/>
      <w:r>
        <w:rPr>
          <w:rFonts w:hint="eastAsia" w:ascii="楷体" w:hAnsi="楷体" w:eastAsia="楷体" w:cs="楷体"/>
          <w:sz w:val="28"/>
          <w:szCs w:val="28"/>
        </w:rPr>
        <w:t>(五)组织管理情况</w:t>
      </w:r>
      <w:bookmarkEnd w:id="14"/>
    </w:p>
    <w:p w14:paraId="657519CE">
      <w:pPr>
        <w:ind w:firstLine="560"/>
        <w:rPr>
          <w:rFonts w:hint="eastAsia"/>
          <w:sz w:val="28"/>
          <w:szCs w:val="28"/>
        </w:rPr>
      </w:pPr>
      <w:r>
        <w:rPr>
          <w:rFonts w:hint="eastAsia"/>
          <w:sz w:val="28"/>
          <w:szCs w:val="28"/>
        </w:rPr>
        <w:t>1.项目实施主体。</w:t>
      </w:r>
      <w:bookmarkStart w:id="15" w:name="_Hlk144916314"/>
      <w:bookmarkStart w:id="16" w:name="_Hlk144991539"/>
      <w:r>
        <w:rPr>
          <w:rFonts w:hint="eastAsia"/>
          <w:sz w:val="28"/>
          <w:szCs w:val="28"/>
        </w:rPr>
        <w:t>土储中心</w:t>
      </w:r>
      <w:r>
        <w:rPr>
          <w:sz w:val="28"/>
          <w:szCs w:val="28"/>
        </w:rPr>
        <w:t>为项目主管部门</w:t>
      </w:r>
      <w:r>
        <w:rPr>
          <w:rFonts w:hint="eastAsia"/>
          <w:sz w:val="28"/>
          <w:szCs w:val="28"/>
        </w:rPr>
        <w:t>并实施</w:t>
      </w:r>
      <w:r>
        <w:rPr>
          <w:sz w:val="28"/>
          <w:szCs w:val="28"/>
        </w:rPr>
        <w:t>，通过</w:t>
      </w:r>
      <w:r>
        <w:rPr>
          <w:rFonts w:hint="eastAsia"/>
          <w:sz w:val="28"/>
          <w:szCs w:val="28"/>
        </w:rPr>
        <w:t>公开招投标等</w:t>
      </w:r>
      <w:r>
        <w:rPr>
          <w:sz w:val="28"/>
          <w:szCs w:val="28"/>
        </w:rPr>
        <w:t>方式采购</w:t>
      </w:r>
      <w:bookmarkStart w:id="17" w:name="_Hlk177217674"/>
      <w:r>
        <w:rPr>
          <w:rFonts w:hint="eastAsia"/>
          <w:sz w:val="28"/>
          <w:szCs w:val="28"/>
        </w:rPr>
        <w:t>太原市第一建筑工程集团有限公司、云南卡亿建设工程有限公司、云南伟富建筑工程有限公司</w:t>
      </w:r>
      <w:bookmarkEnd w:id="17"/>
      <w:r>
        <w:rPr>
          <w:sz w:val="28"/>
          <w:szCs w:val="28"/>
        </w:rPr>
        <w:t>为</w:t>
      </w:r>
      <w:bookmarkEnd w:id="15"/>
      <w:r>
        <w:rPr>
          <w:rFonts w:hint="eastAsia"/>
          <w:sz w:val="28"/>
          <w:szCs w:val="28"/>
        </w:rPr>
        <w:t>具体实施</w:t>
      </w:r>
      <w:bookmarkEnd w:id="16"/>
      <w:r>
        <w:rPr>
          <w:rFonts w:hint="eastAsia"/>
          <w:sz w:val="28"/>
          <w:szCs w:val="28"/>
        </w:rPr>
        <w:t>单位组织项目实施。</w:t>
      </w:r>
    </w:p>
    <w:p w14:paraId="586BDFCE">
      <w:pPr>
        <w:ind w:firstLine="560"/>
        <w:rPr>
          <w:rFonts w:hint="eastAsia"/>
          <w:sz w:val="28"/>
          <w:szCs w:val="28"/>
        </w:rPr>
      </w:pPr>
      <w:r>
        <w:rPr>
          <w:rFonts w:hint="eastAsia"/>
          <w:sz w:val="28"/>
          <w:szCs w:val="28"/>
        </w:rPr>
        <w:t>2.保障措施。一是以项目管理办法保障项目的申报范围、安排导向和实施方式；二是以造价跟踪、工程质量监测的方式发挥资金效益；三是以预算明细的方式保障资金安排的科学规范，土储中心建立预算管理制度，规范管理项目。</w:t>
      </w:r>
    </w:p>
    <w:p w14:paraId="6CF4DC3E">
      <w:pPr>
        <w:ind w:firstLine="552"/>
        <w:rPr>
          <w:rFonts w:hint="eastAsia"/>
          <w:sz w:val="28"/>
          <w:szCs w:val="28"/>
        </w:rPr>
      </w:pPr>
      <w:r>
        <w:rPr>
          <w:rFonts w:hint="eastAsia"/>
          <w:spacing w:val="-2"/>
          <w:sz w:val="28"/>
          <w:szCs w:val="28"/>
        </w:rPr>
        <w:t>3.资金安排程序。根据《2020年云南省昆明市寻甸县牧靡路地块土地储备项目专项债券实施方案》、《2019年云南省昆明市寻甸回族彝族自治县月华路南段土地储备项目专项债券实施方案》、《2019年云南省昆明市寻甸回族彝族自治县锦秀广场土地储备项目专项债券实施方案》、《2019年云南省昆明市寻甸回族彝族自治县凤梧华府土地储备项目专项债券实施方案》等安排项目资金</w:t>
      </w:r>
      <w:r>
        <w:rPr>
          <w:rFonts w:hint="eastAsia"/>
          <w:sz w:val="28"/>
          <w:szCs w:val="28"/>
        </w:rPr>
        <w:t>24</w:t>
      </w:r>
      <w:r>
        <w:rPr>
          <w:sz w:val="28"/>
          <w:szCs w:val="28"/>
        </w:rPr>
        <w:t>000万元</w:t>
      </w:r>
      <w:r>
        <w:rPr>
          <w:rFonts w:hint="eastAsia"/>
          <w:sz w:val="28"/>
          <w:szCs w:val="28"/>
        </w:rPr>
        <w:t>。</w:t>
      </w:r>
    </w:p>
    <w:p w14:paraId="08B2390D">
      <w:pPr>
        <w:ind w:firstLine="560"/>
        <w:rPr>
          <w:rFonts w:hint="eastAsia"/>
          <w:sz w:val="28"/>
          <w:szCs w:val="28"/>
        </w:rPr>
      </w:pPr>
      <w:r>
        <w:rPr>
          <w:rFonts w:hint="eastAsia"/>
          <w:sz w:val="28"/>
          <w:szCs w:val="28"/>
        </w:rPr>
        <w:t>4.财务管理。土储中心制定了《寻甸县土地储备中心财务管理制度》等财务管理制度。规定了严格的审批制度。加强专项资金管理，严格执行财务管理制度，切实提高财政资金的使用效率。</w:t>
      </w:r>
    </w:p>
    <w:p w14:paraId="38436B62">
      <w:pPr>
        <w:ind w:firstLine="560"/>
        <w:rPr>
          <w:rFonts w:hint="eastAsia"/>
          <w:sz w:val="28"/>
          <w:szCs w:val="28"/>
        </w:rPr>
      </w:pPr>
      <w:r>
        <w:rPr>
          <w:rFonts w:hint="eastAsia"/>
          <w:sz w:val="28"/>
          <w:szCs w:val="28"/>
        </w:rPr>
        <w:t>项目资金管理及核算执行《政府会计制度》。</w:t>
      </w:r>
    </w:p>
    <w:p w14:paraId="0D7B6945">
      <w:pPr>
        <w:ind w:firstLine="560"/>
        <w:rPr>
          <w:rFonts w:hint="eastAsia" w:ascii="黑体" w:hAnsi="黑体" w:eastAsia="黑体" w:cs="黑体"/>
          <w:sz w:val="28"/>
          <w:szCs w:val="28"/>
        </w:rPr>
      </w:pPr>
      <w:bookmarkStart w:id="18" w:name="_Toc502134854"/>
      <w:r>
        <w:rPr>
          <w:rFonts w:hint="eastAsia" w:ascii="黑体" w:hAnsi="黑体" w:eastAsia="黑体" w:cs="黑体"/>
          <w:sz w:val="28"/>
          <w:szCs w:val="28"/>
        </w:rPr>
        <w:t>二、绩效自评情况</w:t>
      </w:r>
      <w:bookmarkEnd w:id="18"/>
    </w:p>
    <w:p w14:paraId="5282274D">
      <w:pPr>
        <w:ind w:firstLine="560"/>
        <w:rPr>
          <w:rFonts w:hint="eastAsia" w:ascii="楷体" w:hAnsi="楷体" w:eastAsia="楷体" w:cs="楷体"/>
          <w:sz w:val="28"/>
          <w:szCs w:val="28"/>
        </w:rPr>
      </w:pPr>
      <w:bookmarkStart w:id="19" w:name="_Toc498009772"/>
      <w:bookmarkStart w:id="20" w:name="_Toc502134855"/>
      <w:r>
        <w:rPr>
          <w:rFonts w:hint="eastAsia" w:ascii="楷体" w:hAnsi="楷体" w:eastAsia="楷体" w:cs="楷体"/>
          <w:sz w:val="28"/>
          <w:szCs w:val="28"/>
        </w:rPr>
        <w:t>(一)绩效自评概述</w:t>
      </w:r>
      <w:bookmarkEnd w:id="19"/>
      <w:bookmarkEnd w:id="20"/>
    </w:p>
    <w:p w14:paraId="662A8764">
      <w:pPr>
        <w:ind w:firstLine="560"/>
        <w:rPr>
          <w:rFonts w:hint="eastAsia"/>
          <w:sz w:val="28"/>
          <w:szCs w:val="28"/>
        </w:rPr>
      </w:pPr>
      <w:bookmarkStart w:id="21" w:name="_Toc502134856"/>
      <w:bookmarkStart w:id="22" w:name="_Toc498009773"/>
      <w:r>
        <w:rPr>
          <w:rFonts w:hint="eastAsia"/>
          <w:sz w:val="28"/>
          <w:szCs w:val="28"/>
        </w:rPr>
        <w:t>根据</w:t>
      </w:r>
      <w:bookmarkStart w:id="23" w:name="_Hlk143869243"/>
      <w:bookmarkStart w:id="24" w:name="_Hlk177311628"/>
      <w:r>
        <w:rPr>
          <w:rFonts w:hint="eastAsia"/>
          <w:sz w:val="28"/>
          <w:szCs w:val="28"/>
        </w:rPr>
        <w:t>《寻甸县财政局关于印发</w:t>
      </w:r>
      <w:r>
        <w:rPr>
          <w:sz w:val="28"/>
          <w:szCs w:val="28"/>
        </w:rPr>
        <w:t>&lt;寻甸县本级部门预算绩效自评管理暂行办法&gt;的通知》（寻财绩</w:t>
      </w:r>
      <w:r>
        <w:rPr>
          <w:rFonts w:hint="eastAsia" w:cs="仿宋"/>
          <w:sz w:val="28"/>
          <w:szCs w:val="28"/>
        </w:rPr>
        <w:t>〔</w:t>
      </w:r>
      <w:r>
        <w:rPr>
          <w:rFonts w:cs="仿宋"/>
          <w:sz w:val="28"/>
          <w:szCs w:val="28"/>
        </w:rPr>
        <w:t>201</w:t>
      </w:r>
      <w:r>
        <w:rPr>
          <w:rFonts w:hint="eastAsia" w:cs="仿宋"/>
          <w:sz w:val="28"/>
          <w:szCs w:val="28"/>
        </w:rPr>
        <w:t>8</w:t>
      </w:r>
      <w:r>
        <w:rPr>
          <w:rFonts w:cs="仿宋"/>
          <w:sz w:val="28"/>
          <w:szCs w:val="28"/>
        </w:rPr>
        <w:t>〕</w:t>
      </w:r>
      <w:r>
        <w:rPr>
          <w:sz w:val="28"/>
          <w:szCs w:val="28"/>
        </w:rPr>
        <w:t>9号）</w:t>
      </w:r>
      <w:bookmarkEnd w:id="23"/>
      <w:r>
        <w:rPr>
          <w:rFonts w:hint="eastAsia"/>
          <w:sz w:val="28"/>
          <w:szCs w:val="28"/>
        </w:rPr>
        <w:t>等文件的规定</w:t>
      </w:r>
      <w:bookmarkEnd w:id="24"/>
      <w:r>
        <w:rPr>
          <w:rFonts w:hint="eastAsia"/>
          <w:sz w:val="28"/>
          <w:szCs w:val="28"/>
        </w:rPr>
        <w:t>，土储中心应编制项目绩效自评报告，但未编制项目绩效自评报告。</w:t>
      </w:r>
    </w:p>
    <w:p w14:paraId="0899000B">
      <w:pPr>
        <w:ind w:firstLine="560"/>
        <w:rPr>
          <w:rFonts w:hint="eastAsia" w:ascii="楷体" w:hAnsi="楷体" w:eastAsia="楷体" w:cs="楷体"/>
          <w:sz w:val="28"/>
          <w:szCs w:val="28"/>
        </w:rPr>
      </w:pPr>
      <w:r>
        <w:rPr>
          <w:rFonts w:hint="eastAsia" w:ascii="楷体" w:hAnsi="楷体" w:eastAsia="楷体" w:cs="楷体"/>
          <w:sz w:val="28"/>
          <w:szCs w:val="28"/>
        </w:rPr>
        <w:t>(二)绩效自评结论</w:t>
      </w:r>
      <w:bookmarkEnd w:id="21"/>
      <w:bookmarkEnd w:id="22"/>
    </w:p>
    <w:p w14:paraId="70A34B02">
      <w:pPr>
        <w:ind w:firstLine="560"/>
        <w:rPr>
          <w:rFonts w:hint="eastAsia" w:cs="仿宋"/>
          <w:sz w:val="28"/>
          <w:szCs w:val="28"/>
        </w:rPr>
      </w:pPr>
      <w:r>
        <w:rPr>
          <w:rFonts w:hint="eastAsia"/>
          <w:sz w:val="28"/>
          <w:szCs w:val="28"/>
        </w:rPr>
        <w:t>根据《寻甸县财政局关于印发</w:t>
      </w:r>
      <w:r>
        <w:rPr>
          <w:sz w:val="28"/>
          <w:szCs w:val="28"/>
        </w:rPr>
        <w:t>&lt;寻甸县本级部门预算绩效自评管理暂行办法&gt;的通知》（寻财绩</w:t>
      </w:r>
      <w:r>
        <w:rPr>
          <w:rFonts w:hint="eastAsia"/>
          <w:sz w:val="28"/>
          <w:szCs w:val="28"/>
        </w:rPr>
        <w:t>〔2018〕</w:t>
      </w:r>
      <w:r>
        <w:rPr>
          <w:sz w:val="28"/>
          <w:szCs w:val="28"/>
        </w:rPr>
        <w:t>9号）</w:t>
      </w:r>
      <w:r>
        <w:rPr>
          <w:rFonts w:hint="eastAsia"/>
          <w:sz w:val="28"/>
          <w:szCs w:val="28"/>
        </w:rPr>
        <w:t>等文件的规定，土储中心应编制项目绩效自评报告，但未编制项目绩效自评报告。</w:t>
      </w:r>
    </w:p>
    <w:p w14:paraId="43818197">
      <w:pPr>
        <w:ind w:firstLine="560"/>
        <w:rPr>
          <w:rFonts w:hint="eastAsia" w:ascii="黑体" w:hAnsi="黑体" w:eastAsia="黑体" w:cs="黑体"/>
          <w:sz w:val="28"/>
          <w:szCs w:val="28"/>
        </w:rPr>
      </w:pPr>
      <w:bookmarkStart w:id="25" w:name="_Toc502134857"/>
      <w:r>
        <w:rPr>
          <w:rFonts w:hint="eastAsia" w:ascii="黑体" w:hAnsi="黑体" w:eastAsia="黑体" w:cs="黑体"/>
          <w:sz w:val="28"/>
          <w:szCs w:val="28"/>
        </w:rPr>
        <w:t>三、绩效评价组织情况</w:t>
      </w:r>
      <w:bookmarkEnd w:id="25"/>
    </w:p>
    <w:p w14:paraId="5A554D0E">
      <w:pPr>
        <w:ind w:firstLine="560"/>
        <w:rPr>
          <w:rFonts w:hint="eastAsia" w:ascii="楷体" w:hAnsi="楷体" w:eastAsia="楷体" w:cs="楷体"/>
          <w:sz w:val="28"/>
          <w:szCs w:val="28"/>
        </w:rPr>
      </w:pPr>
      <w:bookmarkStart w:id="26" w:name="_Toc502134858"/>
      <w:r>
        <w:rPr>
          <w:rFonts w:hint="eastAsia" w:ascii="楷体" w:hAnsi="楷体" w:eastAsia="楷体" w:cs="楷体"/>
          <w:sz w:val="28"/>
          <w:szCs w:val="28"/>
        </w:rPr>
        <w:t>(一)绩效评价依据</w:t>
      </w:r>
      <w:bookmarkEnd w:id="26"/>
    </w:p>
    <w:p w14:paraId="1579EBB4">
      <w:pPr>
        <w:ind w:firstLine="560"/>
        <w:rPr>
          <w:rFonts w:hint="eastAsia" w:cs="仿宋"/>
          <w:sz w:val="28"/>
          <w:szCs w:val="28"/>
        </w:rPr>
      </w:pPr>
      <w:bookmarkStart w:id="27" w:name="_Toc502134859"/>
      <w:r>
        <w:rPr>
          <w:rFonts w:hint="eastAsia" w:cs="仿宋"/>
          <w:sz w:val="28"/>
          <w:szCs w:val="28"/>
        </w:rPr>
        <w:t>1.《中华人民共和国预算法》（201</w:t>
      </w:r>
      <w:r>
        <w:rPr>
          <w:rFonts w:cs="仿宋"/>
          <w:sz w:val="28"/>
          <w:szCs w:val="28"/>
        </w:rPr>
        <w:t>8</w:t>
      </w:r>
      <w:r>
        <w:rPr>
          <w:rFonts w:hint="eastAsia" w:cs="仿宋"/>
          <w:sz w:val="28"/>
          <w:szCs w:val="28"/>
        </w:rPr>
        <w:t>年修订）；</w:t>
      </w:r>
    </w:p>
    <w:p w14:paraId="01541529">
      <w:pPr>
        <w:ind w:firstLine="560"/>
        <w:rPr>
          <w:rFonts w:hint="eastAsia" w:cs="仿宋"/>
          <w:sz w:val="28"/>
          <w:szCs w:val="28"/>
        </w:rPr>
      </w:pPr>
      <w:r>
        <w:rPr>
          <w:rFonts w:hint="eastAsia" w:cs="仿宋"/>
          <w:sz w:val="28"/>
          <w:szCs w:val="28"/>
        </w:rPr>
        <w:t>2.《项目支出绩效评价管理办法》（财预〔2020〕10号）；</w:t>
      </w:r>
    </w:p>
    <w:p w14:paraId="11BC8549">
      <w:pPr>
        <w:ind w:firstLine="560"/>
        <w:rPr>
          <w:rFonts w:hint="eastAsia" w:cs="仿宋"/>
          <w:sz w:val="28"/>
          <w:szCs w:val="28"/>
        </w:rPr>
      </w:pPr>
      <w:r>
        <w:rPr>
          <w:rFonts w:hint="eastAsia" w:cs="仿宋"/>
          <w:sz w:val="28"/>
          <w:szCs w:val="28"/>
        </w:rPr>
        <w:t>3.《中共云南省委、云南省人民政府关于全面实施预算管理绩效的意见》（云发〔2019〕11号）；</w:t>
      </w:r>
    </w:p>
    <w:p w14:paraId="08520EA0">
      <w:pPr>
        <w:ind w:firstLine="560"/>
        <w:rPr>
          <w:rFonts w:hint="eastAsia" w:cs="仿宋"/>
          <w:sz w:val="28"/>
          <w:szCs w:val="28"/>
        </w:rPr>
      </w:pPr>
      <w:r>
        <w:rPr>
          <w:rFonts w:hint="eastAsia" w:cs="仿宋"/>
          <w:sz w:val="28"/>
          <w:szCs w:val="28"/>
        </w:rPr>
        <w:t>4.《云南省省级财政预算绩效管理暂行办法》（云财预〔2015〕295号）；</w:t>
      </w:r>
    </w:p>
    <w:p w14:paraId="4F07CB94">
      <w:pPr>
        <w:ind w:firstLine="560"/>
        <w:rPr>
          <w:rFonts w:hint="eastAsia" w:cs="仿宋"/>
          <w:sz w:val="28"/>
          <w:szCs w:val="28"/>
        </w:rPr>
      </w:pPr>
      <w:r>
        <w:rPr>
          <w:rFonts w:hint="eastAsia" w:cs="仿宋"/>
          <w:sz w:val="28"/>
          <w:szCs w:val="28"/>
        </w:rPr>
        <w:t>5.</w:t>
      </w:r>
      <w:bookmarkStart w:id="28" w:name="_Hlk143869363"/>
      <w:r>
        <w:rPr>
          <w:rFonts w:hint="eastAsia" w:cs="仿宋"/>
          <w:sz w:val="28"/>
          <w:szCs w:val="28"/>
        </w:rPr>
        <w:t>《关于全面推进预算绩效管理改革的实施意见》（寻政发〔</w:t>
      </w:r>
      <w:r>
        <w:rPr>
          <w:rFonts w:cs="仿宋"/>
          <w:sz w:val="28"/>
          <w:szCs w:val="28"/>
        </w:rPr>
        <w:t>2016〕122号）</w:t>
      </w:r>
      <w:r>
        <w:rPr>
          <w:rFonts w:hint="eastAsia" w:cs="仿宋"/>
          <w:sz w:val="28"/>
          <w:szCs w:val="28"/>
        </w:rPr>
        <w:t>；</w:t>
      </w:r>
    </w:p>
    <w:p w14:paraId="7919DED7">
      <w:pPr>
        <w:ind w:firstLine="560"/>
        <w:rPr>
          <w:rFonts w:hint="eastAsia" w:cs="仿宋"/>
          <w:sz w:val="28"/>
          <w:szCs w:val="28"/>
        </w:rPr>
      </w:pPr>
      <w:r>
        <w:rPr>
          <w:rFonts w:cs="仿宋"/>
          <w:sz w:val="28"/>
          <w:szCs w:val="28"/>
        </w:rPr>
        <w:t>6.</w:t>
      </w:r>
      <w:r>
        <w:rPr>
          <w:rFonts w:hint="eastAsia" w:cs="仿宋"/>
          <w:sz w:val="28"/>
          <w:szCs w:val="28"/>
        </w:rPr>
        <w:t>《关于开展</w:t>
      </w:r>
      <w:r>
        <w:rPr>
          <w:rFonts w:cs="仿宋"/>
          <w:sz w:val="28"/>
          <w:szCs w:val="28"/>
        </w:rPr>
        <w:t>202</w:t>
      </w:r>
      <w:r>
        <w:rPr>
          <w:rFonts w:hint="eastAsia" w:cs="仿宋"/>
          <w:sz w:val="28"/>
          <w:szCs w:val="28"/>
        </w:rPr>
        <w:t>3</w:t>
      </w:r>
      <w:r>
        <w:rPr>
          <w:rFonts w:cs="仿宋"/>
          <w:sz w:val="28"/>
          <w:szCs w:val="28"/>
        </w:rPr>
        <w:t>年度部门整体支出、重大项目支出和地方政府债券项目支出绩效再评价的通知》（寻财绩〔202</w:t>
      </w:r>
      <w:r>
        <w:rPr>
          <w:rFonts w:hint="eastAsia" w:cs="仿宋"/>
          <w:sz w:val="28"/>
          <w:szCs w:val="28"/>
        </w:rPr>
        <w:t>4</w:t>
      </w:r>
      <w:r>
        <w:rPr>
          <w:rFonts w:cs="仿宋"/>
          <w:sz w:val="28"/>
          <w:szCs w:val="28"/>
        </w:rPr>
        <w:t>〕</w:t>
      </w:r>
      <w:r>
        <w:rPr>
          <w:rFonts w:hint="eastAsia" w:cs="仿宋"/>
          <w:sz w:val="28"/>
          <w:szCs w:val="28"/>
        </w:rPr>
        <w:t>4</w:t>
      </w:r>
      <w:r>
        <w:rPr>
          <w:rFonts w:cs="仿宋"/>
          <w:sz w:val="28"/>
          <w:szCs w:val="28"/>
        </w:rPr>
        <w:t>号）</w:t>
      </w:r>
      <w:r>
        <w:rPr>
          <w:rFonts w:hint="eastAsia" w:cs="仿宋"/>
          <w:sz w:val="28"/>
          <w:szCs w:val="28"/>
        </w:rPr>
        <w:t>；</w:t>
      </w:r>
    </w:p>
    <w:p w14:paraId="7086E02E">
      <w:pPr>
        <w:ind w:firstLine="560"/>
        <w:rPr>
          <w:rFonts w:hint="eastAsia" w:cs="仿宋"/>
          <w:sz w:val="28"/>
          <w:szCs w:val="28"/>
        </w:rPr>
      </w:pPr>
      <w:r>
        <w:rPr>
          <w:rFonts w:cs="仿宋"/>
          <w:sz w:val="28"/>
          <w:szCs w:val="28"/>
        </w:rPr>
        <w:t>7</w:t>
      </w:r>
      <w:r>
        <w:rPr>
          <w:rFonts w:hint="eastAsia" w:cs="仿宋"/>
          <w:sz w:val="28"/>
          <w:szCs w:val="28"/>
        </w:rPr>
        <w:t>.其他相关依据文件</w:t>
      </w:r>
      <w:bookmarkEnd w:id="28"/>
      <w:r>
        <w:rPr>
          <w:rFonts w:hint="eastAsia" w:cs="仿宋"/>
          <w:sz w:val="28"/>
          <w:szCs w:val="28"/>
        </w:rPr>
        <w:t>。</w:t>
      </w:r>
    </w:p>
    <w:p w14:paraId="01532B24">
      <w:pPr>
        <w:ind w:firstLine="560"/>
        <w:rPr>
          <w:rFonts w:hint="eastAsia" w:ascii="楷体" w:hAnsi="楷体" w:eastAsia="楷体" w:cs="楷体"/>
          <w:sz w:val="28"/>
          <w:szCs w:val="28"/>
        </w:rPr>
      </w:pPr>
      <w:r>
        <w:rPr>
          <w:rFonts w:hint="eastAsia" w:ascii="楷体" w:hAnsi="楷体" w:eastAsia="楷体" w:cs="楷体"/>
          <w:sz w:val="28"/>
          <w:szCs w:val="28"/>
        </w:rPr>
        <w:t>(二)绩效评价方法</w:t>
      </w:r>
      <w:bookmarkEnd w:id="27"/>
    </w:p>
    <w:p w14:paraId="6EAAC33D">
      <w:pPr>
        <w:ind w:firstLine="560"/>
        <w:rPr>
          <w:rFonts w:hint="eastAsia" w:cs="仿宋"/>
          <w:sz w:val="28"/>
          <w:szCs w:val="28"/>
        </w:rPr>
      </w:pPr>
      <w:r>
        <w:rPr>
          <w:rFonts w:hint="eastAsia" w:cs="仿宋"/>
          <w:sz w:val="28"/>
          <w:szCs w:val="28"/>
        </w:rPr>
        <w:t>本次绩效评价采取定量与定性相结合的方式，具体实施了审阅、实地踏勘、检查、分析复核、计算、交换和反馈意见、专家会审等程序。通过资料收集、数据填报、案卷研究、实地调研、座谈会、问卷调查等方式，开展实地评价。对项目相关档案资料进行查阅，结合现场核实情况和资金到位使用及结余情况的分析，进行数据分析和取证。</w:t>
      </w:r>
    </w:p>
    <w:p w14:paraId="28110016">
      <w:pPr>
        <w:ind w:firstLine="560"/>
        <w:rPr>
          <w:rFonts w:hint="eastAsia" w:cs="仿宋"/>
          <w:sz w:val="28"/>
          <w:szCs w:val="28"/>
        </w:rPr>
      </w:pPr>
      <w:r>
        <w:rPr>
          <w:rFonts w:hint="eastAsia" w:cs="仿宋"/>
          <w:sz w:val="28"/>
          <w:szCs w:val="28"/>
        </w:rPr>
        <w:t>具体方法可以采用以下5种方法中的一种，也可多种评价方法并用：目标比较法、成本效益法、历史比较法、专家评价法、问卷调查法、横向比较法。</w:t>
      </w:r>
    </w:p>
    <w:p w14:paraId="2F3D13DA">
      <w:pPr>
        <w:ind w:firstLine="560"/>
        <w:rPr>
          <w:rFonts w:hint="eastAsia" w:ascii="楷体" w:hAnsi="楷体" w:eastAsia="楷体" w:cs="楷体"/>
          <w:sz w:val="28"/>
          <w:szCs w:val="28"/>
        </w:rPr>
      </w:pPr>
      <w:bookmarkStart w:id="29" w:name="_Toc502134860"/>
      <w:r>
        <w:rPr>
          <w:rFonts w:hint="eastAsia" w:ascii="楷体" w:hAnsi="楷体" w:eastAsia="楷体" w:cs="楷体"/>
          <w:sz w:val="28"/>
          <w:szCs w:val="28"/>
        </w:rPr>
        <w:t>(三)绩效评价指标体系</w:t>
      </w:r>
      <w:bookmarkEnd w:id="29"/>
    </w:p>
    <w:p w14:paraId="552F4D17">
      <w:pPr>
        <w:ind w:firstLine="560"/>
        <w:rPr>
          <w:rFonts w:hint="eastAsia" w:cs="仿宋"/>
          <w:sz w:val="28"/>
          <w:szCs w:val="28"/>
        </w:rPr>
      </w:pPr>
      <w:r>
        <w:rPr>
          <w:rFonts w:hint="eastAsia" w:cs="仿宋"/>
          <w:sz w:val="28"/>
          <w:szCs w:val="28"/>
        </w:rPr>
        <w:t>1.绩效评价指标</w:t>
      </w:r>
    </w:p>
    <w:p w14:paraId="12AD3C5B">
      <w:pPr>
        <w:ind w:firstLine="560"/>
        <w:rPr>
          <w:rFonts w:hint="eastAsia" w:cs="仿宋"/>
          <w:sz w:val="28"/>
          <w:szCs w:val="28"/>
        </w:rPr>
      </w:pPr>
      <w:bookmarkStart w:id="30" w:name="_Toc502134861"/>
      <w:r>
        <w:rPr>
          <w:rFonts w:hint="eastAsia" w:cs="仿宋"/>
          <w:sz w:val="28"/>
          <w:szCs w:val="28"/>
        </w:rPr>
        <w:t>本项目绩效评价以100分计，设项目决策、项目执行过程、项目产出、项目效益4个一级指标，权重分别为：16%、29%、35%、20%。在此基础上设定13个二级指标（项目立项、绩效目标、资金投入、资金管理、组织实施、产出数量、产出质量、产出时效、产出成本、社会效益、生态效益、可持续性、满意度）。设24个三级指标</w:t>
      </w:r>
      <w:bookmarkStart w:id="31" w:name="_Hlk143856496"/>
      <w:r>
        <w:rPr>
          <w:rFonts w:hint="eastAsia" w:cs="仿宋"/>
          <w:sz w:val="28"/>
          <w:szCs w:val="28"/>
        </w:rPr>
        <w:t>（详见后附“寻甸县土地储备中心2019年土地储备专项债券项目支出绩效评价指标体系及评分表”）</w:t>
      </w:r>
      <w:bookmarkEnd w:id="31"/>
      <w:r>
        <w:rPr>
          <w:rFonts w:hint="eastAsia" w:cs="仿宋"/>
          <w:sz w:val="28"/>
          <w:szCs w:val="28"/>
        </w:rPr>
        <w:t>。</w:t>
      </w:r>
    </w:p>
    <w:p w14:paraId="1AF13019">
      <w:pPr>
        <w:ind w:firstLine="560"/>
        <w:rPr>
          <w:rFonts w:hint="eastAsia" w:cs="仿宋"/>
          <w:sz w:val="28"/>
          <w:szCs w:val="28"/>
        </w:rPr>
      </w:pPr>
      <w:r>
        <w:rPr>
          <w:rFonts w:hint="eastAsia" w:cs="仿宋"/>
          <w:sz w:val="28"/>
          <w:szCs w:val="28"/>
        </w:rPr>
        <w:t>2.评价标准</w:t>
      </w:r>
    </w:p>
    <w:p w14:paraId="31CEFC09">
      <w:pPr>
        <w:ind w:firstLine="560"/>
        <w:rPr>
          <w:rFonts w:hint="eastAsia" w:cs="仿宋"/>
          <w:sz w:val="28"/>
          <w:szCs w:val="28"/>
        </w:rPr>
      </w:pPr>
      <w:r>
        <w:rPr>
          <w:rFonts w:hint="eastAsia" w:cs="仿宋"/>
          <w:sz w:val="28"/>
          <w:szCs w:val="28"/>
        </w:rPr>
        <w:t>(1)项目支出评价得分满分为100分。</w:t>
      </w:r>
    </w:p>
    <w:p w14:paraId="6CA7ADA6">
      <w:pPr>
        <w:ind w:firstLine="560"/>
        <w:rPr>
          <w:rFonts w:hint="eastAsia" w:cs="仿宋"/>
          <w:sz w:val="28"/>
          <w:szCs w:val="28"/>
        </w:rPr>
      </w:pPr>
      <w:r>
        <w:rPr>
          <w:rFonts w:hint="eastAsia" w:cs="仿宋"/>
          <w:sz w:val="28"/>
          <w:szCs w:val="28"/>
        </w:rPr>
        <w:t>(2)由审计评价组根据评价情况，对各单项指标分别进行独立打分。</w:t>
      </w:r>
    </w:p>
    <w:p w14:paraId="77BDA4F9">
      <w:pPr>
        <w:ind w:firstLine="560"/>
        <w:rPr>
          <w:rFonts w:hint="eastAsia" w:cs="仿宋"/>
          <w:sz w:val="28"/>
          <w:szCs w:val="28"/>
        </w:rPr>
      </w:pPr>
      <w:r>
        <w:rPr>
          <w:rFonts w:hint="eastAsia" w:cs="仿宋"/>
          <w:sz w:val="28"/>
          <w:szCs w:val="28"/>
        </w:rPr>
        <w:t>(3)总评价分为各单项指标得分总和。</w:t>
      </w:r>
    </w:p>
    <w:p w14:paraId="416EE569">
      <w:pPr>
        <w:ind w:firstLine="560"/>
        <w:rPr>
          <w:rFonts w:hint="eastAsia" w:cs="仿宋"/>
          <w:sz w:val="28"/>
          <w:szCs w:val="28"/>
        </w:rPr>
      </w:pPr>
      <w:r>
        <w:rPr>
          <w:rFonts w:hint="eastAsia" w:cs="仿宋"/>
          <w:sz w:val="28"/>
          <w:szCs w:val="28"/>
        </w:rPr>
        <w:t>(4)评价结果：根据最终得分情况将评价结果分为四个等级：优（得分≥90分）；良（80分≤得分＜90分）；中（60≤得分＜80分）；差（得分＜60分）。</w:t>
      </w:r>
    </w:p>
    <w:p w14:paraId="5663B7D9">
      <w:pPr>
        <w:ind w:firstLine="560"/>
        <w:rPr>
          <w:rFonts w:hint="eastAsia" w:cs="仿宋"/>
          <w:sz w:val="28"/>
          <w:szCs w:val="28"/>
        </w:rPr>
      </w:pPr>
      <w:bookmarkStart w:id="32" w:name="_Toc7874"/>
      <w:bookmarkStart w:id="33" w:name="_Toc25624"/>
      <w:r>
        <w:rPr>
          <w:rFonts w:hint="eastAsia" w:cs="仿宋"/>
          <w:sz w:val="28"/>
          <w:szCs w:val="28"/>
        </w:rPr>
        <w:t>3.数据来源</w:t>
      </w:r>
      <w:bookmarkEnd w:id="32"/>
      <w:bookmarkEnd w:id="33"/>
    </w:p>
    <w:p w14:paraId="4A90DD58">
      <w:pPr>
        <w:ind w:firstLine="560"/>
        <w:rPr>
          <w:rFonts w:hint="eastAsia" w:cs="仿宋"/>
          <w:color w:val="FF0000"/>
          <w:sz w:val="28"/>
          <w:szCs w:val="28"/>
        </w:rPr>
      </w:pPr>
      <w:r>
        <w:rPr>
          <w:rFonts w:hint="eastAsia" w:cs="仿宋"/>
          <w:sz w:val="28"/>
          <w:szCs w:val="28"/>
        </w:rPr>
        <w:t>绩效评价数据由土储中心提供。</w:t>
      </w:r>
    </w:p>
    <w:bookmarkEnd w:id="30"/>
    <w:p w14:paraId="328846D2">
      <w:pPr>
        <w:ind w:firstLine="560"/>
        <w:rPr>
          <w:rFonts w:hint="eastAsia" w:ascii="黑体" w:hAnsi="黑体" w:eastAsia="黑体" w:cs="黑体"/>
          <w:sz w:val="28"/>
          <w:szCs w:val="28"/>
        </w:rPr>
      </w:pPr>
      <w:bookmarkStart w:id="34" w:name="_Toc502134862"/>
      <w:r>
        <w:rPr>
          <w:rFonts w:hint="eastAsia" w:ascii="黑体" w:hAnsi="黑体" w:eastAsia="黑体" w:cs="黑体"/>
          <w:sz w:val="28"/>
          <w:szCs w:val="28"/>
        </w:rPr>
        <w:t>四、</w:t>
      </w:r>
      <w:bookmarkEnd w:id="34"/>
      <w:r>
        <w:rPr>
          <w:rFonts w:hint="eastAsia" w:ascii="黑体" w:hAnsi="黑体" w:eastAsia="黑体" w:cs="黑体"/>
          <w:sz w:val="28"/>
          <w:szCs w:val="28"/>
        </w:rPr>
        <w:t>综合评价情况及评价结论</w:t>
      </w:r>
    </w:p>
    <w:p w14:paraId="3111B590">
      <w:pPr>
        <w:ind w:firstLine="560"/>
        <w:rPr>
          <w:rFonts w:hint="eastAsia" w:cs="仿宋"/>
          <w:sz w:val="28"/>
          <w:szCs w:val="28"/>
        </w:rPr>
      </w:pPr>
      <w:bookmarkStart w:id="35" w:name="_Toc498009781"/>
      <w:r>
        <w:rPr>
          <w:rFonts w:hint="eastAsia" w:cs="仿宋"/>
          <w:sz w:val="28"/>
          <w:szCs w:val="28"/>
        </w:rPr>
        <w:t>土储中心2019年土地储备专项债券项目支出绩效评价综合评分88.41分，评价等级“良”（详见后附“寻甸县土地储备中心</w:t>
      </w:r>
      <w:bookmarkStart w:id="36" w:name="_Hlk177217091"/>
      <w:r>
        <w:rPr>
          <w:rFonts w:hint="eastAsia" w:cs="仿宋"/>
          <w:sz w:val="28"/>
          <w:szCs w:val="28"/>
        </w:rPr>
        <w:t>2019年土地储备专项债券</w:t>
      </w:r>
      <w:bookmarkEnd w:id="36"/>
      <w:r>
        <w:rPr>
          <w:rFonts w:hint="eastAsia" w:cs="仿宋"/>
          <w:sz w:val="28"/>
          <w:szCs w:val="28"/>
        </w:rPr>
        <w:t>项目支出绩效评价指标体系及评分表”）。</w:t>
      </w:r>
    </w:p>
    <w:p w14:paraId="0F6F35E6">
      <w:pPr>
        <w:ind w:firstLine="560"/>
        <w:rPr>
          <w:rFonts w:hint="eastAsia" w:ascii="仿宋_GB2312" w:cs="仿宋"/>
          <w:sz w:val="28"/>
          <w:szCs w:val="28"/>
        </w:rPr>
      </w:pPr>
      <w:r>
        <w:rPr>
          <w:rFonts w:hint="eastAsia" w:cs="仿宋"/>
          <w:sz w:val="28"/>
          <w:szCs w:val="28"/>
        </w:rPr>
        <w:t>综合评价结论：</w:t>
      </w:r>
      <w:bookmarkStart w:id="37" w:name="_Toc502134864"/>
      <w:r>
        <w:rPr>
          <w:rFonts w:hint="eastAsia" w:cs="仿宋"/>
          <w:sz w:val="28"/>
          <w:szCs w:val="28"/>
        </w:rPr>
        <w:t>项目决策程序基本规范，项目实施过程管理基本合规。</w:t>
      </w:r>
      <w:r>
        <w:rPr>
          <w:rFonts w:hint="eastAsia" w:cs="仿宋"/>
          <w:sz w:val="28"/>
          <w:szCs w:val="28"/>
          <w:lang w:eastAsia="zh-CN"/>
        </w:rPr>
        <w:t>截至</w:t>
      </w:r>
      <w:r>
        <w:rPr>
          <w:rFonts w:hint="eastAsia" w:cs="仿宋"/>
          <w:sz w:val="28"/>
          <w:szCs w:val="28"/>
        </w:rPr>
        <w:t>2023年12月31日，土储中心完成了锦绣广场地块、月华路南段地块、牧靡路地块3个收储项目的土地一级开发投入储备阶段，凤梧华府地块项目因中心南路东段有民房未拆除已停工，该项目暂未完成一级开发，未及时取得预期的产出和效益。</w:t>
      </w:r>
    </w:p>
    <w:bookmarkEnd w:id="35"/>
    <w:bookmarkEnd w:id="37"/>
    <w:p w14:paraId="38737134">
      <w:pPr>
        <w:ind w:firstLine="560"/>
        <w:rPr>
          <w:rFonts w:hint="eastAsia" w:ascii="黑体" w:hAnsi="黑体" w:eastAsia="黑体" w:cs="黑体"/>
          <w:sz w:val="28"/>
          <w:szCs w:val="28"/>
        </w:rPr>
      </w:pPr>
      <w:bookmarkStart w:id="38" w:name="_Toc498009783"/>
      <w:bookmarkStart w:id="39" w:name="_Toc502134866"/>
      <w:r>
        <w:rPr>
          <w:rFonts w:hint="eastAsia" w:ascii="黑体" w:hAnsi="黑体" w:eastAsia="黑体" w:cs="黑体"/>
          <w:sz w:val="28"/>
          <w:szCs w:val="28"/>
        </w:rPr>
        <w:t>五、绩效评价情况分析</w:t>
      </w:r>
      <w:bookmarkEnd w:id="38"/>
      <w:bookmarkEnd w:id="39"/>
    </w:p>
    <w:p w14:paraId="3FCA97A8">
      <w:pPr>
        <w:ind w:firstLine="560"/>
        <w:rPr>
          <w:rFonts w:hint="eastAsia" w:ascii="楷体" w:hAnsi="楷体" w:eastAsia="楷体" w:cs="楷体"/>
          <w:sz w:val="28"/>
          <w:szCs w:val="28"/>
        </w:rPr>
      </w:pPr>
      <w:bookmarkStart w:id="40" w:name="_Toc498009784"/>
      <w:bookmarkStart w:id="41" w:name="_Toc502134867"/>
      <w:r>
        <w:rPr>
          <w:rFonts w:hint="eastAsia" w:ascii="楷体" w:hAnsi="楷体" w:eastAsia="楷体" w:cs="楷体"/>
          <w:sz w:val="28"/>
          <w:szCs w:val="28"/>
        </w:rPr>
        <w:t>(一)项目决策分析</w:t>
      </w:r>
      <w:bookmarkEnd w:id="40"/>
      <w:bookmarkEnd w:id="41"/>
    </w:p>
    <w:p w14:paraId="5A28D19C">
      <w:pPr>
        <w:ind w:firstLine="560"/>
        <w:rPr>
          <w:rFonts w:hint="eastAsia" w:cs="仿宋"/>
          <w:sz w:val="28"/>
          <w:szCs w:val="28"/>
        </w:rPr>
      </w:pPr>
      <w:r>
        <w:rPr>
          <w:rFonts w:hint="eastAsia" w:cs="仿宋"/>
          <w:sz w:val="28"/>
          <w:szCs w:val="28"/>
        </w:rPr>
        <w:t>项目决策满分1</w:t>
      </w:r>
      <w:r>
        <w:rPr>
          <w:rFonts w:cs="仿宋"/>
          <w:sz w:val="28"/>
          <w:szCs w:val="28"/>
        </w:rPr>
        <w:t>6</w:t>
      </w:r>
      <w:r>
        <w:rPr>
          <w:rFonts w:hint="eastAsia" w:cs="仿宋"/>
          <w:sz w:val="28"/>
          <w:szCs w:val="28"/>
        </w:rPr>
        <w:t>分，评价综合评分14分（占该项满分值的87.50%），具体情况如下：</w:t>
      </w:r>
      <w:bookmarkStart w:id="42" w:name="_Toc502134868"/>
    </w:p>
    <w:p w14:paraId="6AFE35BF">
      <w:pPr>
        <w:ind w:firstLine="544"/>
        <w:rPr>
          <w:rFonts w:hint="eastAsia" w:cs="仿宋"/>
          <w:spacing w:val="-4"/>
          <w:sz w:val="28"/>
          <w:szCs w:val="28"/>
        </w:rPr>
      </w:pPr>
      <w:r>
        <w:rPr>
          <w:rFonts w:hint="eastAsia" w:cs="仿宋"/>
          <w:spacing w:val="-4"/>
          <w:sz w:val="28"/>
          <w:szCs w:val="28"/>
        </w:rPr>
        <w:t>1.项目立项依据充分，符合国家法律法规、国民经济发展规划、行业发展规划和相关政策要求，与部门职能职责等相匹配，属于公共财政支持范围，未与相关部门同类项目或部门内部相关项目重复。土储中心获批《2020年云南省昆明市寻甸县牧靡路地块土地储备项目专项债券实施方案》、《关于寻甸县2020年度第一批城镇建设农用地转用及土地征收的批复》（云国土资复[2010]783号）等项目立项程序批复资料，并按照政府采购管理规定</w:t>
      </w:r>
      <w:r>
        <w:rPr>
          <w:rFonts w:cs="仿宋"/>
          <w:spacing w:val="-4"/>
          <w:sz w:val="28"/>
          <w:szCs w:val="28"/>
        </w:rPr>
        <w:t>采取</w:t>
      </w:r>
      <w:r>
        <w:rPr>
          <w:rFonts w:hint="eastAsia" w:cs="仿宋"/>
          <w:spacing w:val="-4"/>
          <w:sz w:val="28"/>
          <w:szCs w:val="28"/>
        </w:rPr>
        <w:t>公开招投标等方式，采购</w:t>
      </w:r>
      <w:r>
        <w:rPr>
          <w:rFonts w:hint="eastAsia"/>
          <w:sz w:val="28"/>
          <w:szCs w:val="28"/>
        </w:rPr>
        <w:t>太原市第一建筑工程集团有限公司等单位</w:t>
      </w:r>
      <w:r>
        <w:rPr>
          <w:sz w:val="28"/>
          <w:szCs w:val="28"/>
        </w:rPr>
        <w:t>为</w:t>
      </w:r>
      <w:r>
        <w:rPr>
          <w:rFonts w:hint="eastAsia"/>
          <w:sz w:val="28"/>
          <w:szCs w:val="28"/>
        </w:rPr>
        <w:t>土地一级开发具体实施单位</w:t>
      </w:r>
      <w:r>
        <w:rPr>
          <w:rFonts w:hint="eastAsia" w:cs="仿宋"/>
          <w:spacing w:val="-4"/>
          <w:sz w:val="28"/>
          <w:szCs w:val="28"/>
        </w:rPr>
        <w:t>，项目立项程序基本规范。</w:t>
      </w:r>
    </w:p>
    <w:p w14:paraId="35B55FDC">
      <w:pPr>
        <w:ind w:firstLine="560"/>
        <w:rPr>
          <w:rFonts w:hint="eastAsia" w:cs="仿宋"/>
          <w:sz w:val="28"/>
          <w:szCs w:val="28"/>
        </w:rPr>
      </w:pPr>
      <w:r>
        <w:rPr>
          <w:rFonts w:hint="eastAsia" w:cs="仿宋"/>
          <w:sz w:val="28"/>
          <w:szCs w:val="28"/>
        </w:rPr>
        <w:t>2.项目绩效目标基本合理，土储中心未在“预算一体化”系统中申报本项目，根据《2019年云南省昆明市寻甸回族彝族自治县锦秀广场土地储备项目专项债券实施方案》共4个方案中“项目概况”、“经济社会效益分析”、“项目预期收益”等内容分析，项目所设定的绩效目标与实际工作内容具有相关性，与预算确定的项目投资额或资金量相匹配，符合客观实际、国家相关法律法规、国民经济发展规划和党委政府决策等。</w:t>
      </w:r>
    </w:p>
    <w:p w14:paraId="5C8CE0F4">
      <w:pPr>
        <w:ind w:firstLine="560"/>
        <w:rPr>
          <w:rFonts w:hint="eastAsia" w:cs="仿宋"/>
          <w:sz w:val="28"/>
          <w:szCs w:val="28"/>
        </w:rPr>
      </w:pPr>
      <w:r>
        <w:rPr>
          <w:rFonts w:hint="eastAsia" w:cs="仿宋"/>
          <w:sz w:val="28"/>
          <w:szCs w:val="28"/>
        </w:rPr>
        <w:t>土储中心未在“预算一体化”系统中申报本项目，根据《2019年云南省昆明市寻甸回族彝族自治县锦秀广场土地储备项目专项债券实施方案》共4个方案中“项目概况”、“经济社会效益分析”、“项目预期收益”等内容分析，项目所设定的绩效指标除产出指标和经济效益指标基本充分全面、科学明确外，设定的社会效益指标不充分全面，基本未通过清晰、可衡量的指标及指标值予以体现，未设定最能体现项目绩效目标实现程度和项目实施部门职能履职情况的关键的、核心的绩效指标。</w:t>
      </w:r>
    </w:p>
    <w:p w14:paraId="239EDFB0">
      <w:pPr>
        <w:pStyle w:val="4"/>
        <w:ind w:firstLine="560"/>
        <w:rPr>
          <w:rFonts w:hint="eastAsia" w:cs="仿宋"/>
          <w:sz w:val="28"/>
          <w:szCs w:val="28"/>
        </w:rPr>
      </w:pPr>
      <w:r>
        <w:rPr>
          <w:rFonts w:hint="eastAsia" w:cs="仿宋"/>
          <w:sz w:val="28"/>
          <w:szCs w:val="28"/>
        </w:rPr>
        <w:t>3.根据《2019年云南省昆明市寻甸回族彝族自治县锦秀广场土地储备项目专项债券实施方案》共4个方案中“项目投资估算及资金筹措方案”等内容分析，项目支出预算依据基本充分、合理，确定的项目投资额或资金量与工作任务相匹配；预算资金分配依据充分，资金分配额度合理，与项目单位或地方实际相适应。</w:t>
      </w:r>
    </w:p>
    <w:p w14:paraId="20F81DC2">
      <w:pPr>
        <w:ind w:firstLine="560"/>
        <w:rPr>
          <w:rFonts w:hint="eastAsia" w:ascii="楷体" w:hAnsi="楷体" w:eastAsia="楷体" w:cs="楷体"/>
          <w:sz w:val="28"/>
          <w:szCs w:val="28"/>
        </w:rPr>
      </w:pPr>
      <w:r>
        <w:rPr>
          <w:rFonts w:hint="eastAsia" w:ascii="楷体" w:hAnsi="楷体" w:eastAsia="楷体" w:cs="楷体"/>
          <w:sz w:val="28"/>
          <w:szCs w:val="28"/>
        </w:rPr>
        <w:t>(二</w:t>
      </w:r>
      <w:bookmarkStart w:id="43" w:name="_Toc498009785"/>
      <w:r>
        <w:rPr>
          <w:rFonts w:hint="eastAsia" w:ascii="楷体" w:hAnsi="楷体" w:eastAsia="楷体" w:cs="楷体"/>
          <w:sz w:val="28"/>
          <w:szCs w:val="28"/>
        </w:rPr>
        <w:t>)项目过程管理情况分析</w:t>
      </w:r>
      <w:bookmarkEnd w:id="42"/>
      <w:bookmarkEnd w:id="43"/>
    </w:p>
    <w:p w14:paraId="699A6581">
      <w:pPr>
        <w:ind w:firstLine="560"/>
        <w:rPr>
          <w:rFonts w:hint="eastAsia" w:cs="仿宋"/>
          <w:sz w:val="28"/>
          <w:szCs w:val="28"/>
        </w:rPr>
      </w:pPr>
      <w:r>
        <w:rPr>
          <w:rFonts w:hint="eastAsia" w:cs="仿宋"/>
          <w:sz w:val="28"/>
          <w:szCs w:val="28"/>
        </w:rPr>
        <w:t>项目过程管理满分2</w:t>
      </w:r>
      <w:r>
        <w:rPr>
          <w:rFonts w:cs="仿宋"/>
          <w:sz w:val="28"/>
          <w:szCs w:val="28"/>
        </w:rPr>
        <w:t>9</w:t>
      </w:r>
      <w:r>
        <w:rPr>
          <w:rFonts w:hint="eastAsia" w:cs="仿宋"/>
          <w:sz w:val="28"/>
          <w:szCs w:val="28"/>
        </w:rPr>
        <w:t>分，评价综合评分</w:t>
      </w:r>
      <w:r>
        <w:rPr>
          <w:rFonts w:cs="仿宋"/>
          <w:sz w:val="28"/>
          <w:szCs w:val="28"/>
        </w:rPr>
        <w:t>2</w:t>
      </w:r>
      <w:r>
        <w:rPr>
          <w:rFonts w:hint="eastAsia" w:cs="仿宋"/>
          <w:sz w:val="28"/>
          <w:szCs w:val="28"/>
        </w:rPr>
        <w:t>4分（占该项满分值的82.76%），具体情况如下：</w:t>
      </w:r>
      <w:bookmarkStart w:id="44" w:name="_Toc498009786"/>
      <w:bookmarkStart w:id="45" w:name="_Toc502134869"/>
    </w:p>
    <w:p w14:paraId="6334F162">
      <w:pPr>
        <w:ind w:firstLine="560"/>
        <w:rPr>
          <w:rFonts w:hint="eastAsia" w:cs="仿宋"/>
          <w:sz w:val="28"/>
          <w:szCs w:val="28"/>
        </w:rPr>
      </w:pPr>
      <w:r>
        <w:rPr>
          <w:rFonts w:hint="eastAsia" w:cs="仿宋"/>
          <w:sz w:val="28"/>
          <w:szCs w:val="28"/>
        </w:rPr>
        <w:t>1.项目预算安排专项债券资金24</w:t>
      </w:r>
      <w:r>
        <w:rPr>
          <w:rFonts w:cs="仿宋"/>
          <w:sz w:val="28"/>
          <w:szCs w:val="28"/>
        </w:rPr>
        <w:t>0</w:t>
      </w:r>
      <w:r>
        <w:rPr>
          <w:rFonts w:hint="eastAsia" w:cs="仿宋"/>
          <w:sz w:val="28"/>
          <w:szCs w:val="28"/>
        </w:rPr>
        <w:t>,</w:t>
      </w:r>
      <w:r>
        <w:rPr>
          <w:rFonts w:cs="仿宋"/>
          <w:sz w:val="28"/>
          <w:szCs w:val="28"/>
        </w:rPr>
        <w:t>0</w:t>
      </w:r>
      <w:r>
        <w:rPr>
          <w:rFonts w:hint="eastAsia" w:cs="仿宋"/>
          <w:sz w:val="28"/>
          <w:szCs w:val="28"/>
        </w:rPr>
        <w:t>00,000.00元，根据项目支出台账，截至2023年12月31日，项目实际到位资金</w:t>
      </w:r>
      <w:bookmarkStart w:id="46" w:name="_Hlk143953278"/>
      <w:bookmarkStart w:id="47" w:name="_Hlk144919762"/>
      <w:r>
        <w:rPr>
          <w:rFonts w:hint="eastAsia" w:cs="仿宋"/>
          <w:sz w:val="28"/>
          <w:szCs w:val="28"/>
        </w:rPr>
        <w:t>24</w:t>
      </w:r>
      <w:r>
        <w:rPr>
          <w:rFonts w:cs="仿宋"/>
          <w:sz w:val="28"/>
          <w:szCs w:val="28"/>
        </w:rPr>
        <w:t>0,000,</w:t>
      </w:r>
      <w:bookmarkEnd w:id="46"/>
      <w:r>
        <w:rPr>
          <w:rFonts w:cs="仿宋"/>
          <w:sz w:val="28"/>
          <w:szCs w:val="28"/>
        </w:rPr>
        <w:t>000.00</w:t>
      </w:r>
      <w:bookmarkEnd w:id="47"/>
      <w:r>
        <w:rPr>
          <w:rFonts w:cs="仿宋"/>
          <w:sz w:val="28"/>
          <w:szCs w:val="28"/>
        </w:rPr>
        <w:t>元，资金到位</w:t>
      </w:r>
      <w:r>
        <w:rPr>
          <w:rFonts w:hint="eastAsia" w:cs="仿宋"/>
          <w:sz w:val="28"/>
          <w:szCs w:val="28"/>
        </w:rPr>
        <w:t>1</w:t>
      </w:r>
      <w:r>
        <w:rPr>
          <w:rFonts w:cs="仿宋"/>
          <w:sz w:val="28"/>
          <w:szCs w:val="28"/>
        </w:rPr>
        <w:t>00%</w:t>
      </w:r>
      <w:r>
        <w:rPr>
          <w:rFonts w:hint="eastAsia" w:cs="仿宋"/>
          <w:sz w:val="28"/>
          <w:szCs w:val="28"/>
        </w:rPr>
        <w:t>。</w:t>
      </w:r>
    </w:p>
    <w:p w14:paraId="011D2F8C">
      <w:pPr>
        <w:ind w:firstLine="560"/>
        <w:rPr>
          <w:rFonts w:hint="eastAsia" w:cs="仿宋"/>
          <w:sz w:val="28"/>
          <w:szCs w:val="28"/>
        </w:rPr>
      </w:pPr>
      <w:r>
        <w:rPr>
          <w:rFonts w:hint="eastAsia" w:cs="仿宋"/>
          <w:sz w:val="28"/>
          <w:szCs w:val="28"/>
        </w:rPr>
        <w:t>2.根据项目支出台账，截至2023年12月31日，土储中心共计支付项目相关费用240,000,000.00元，预算执行率为100%。</w:t>
      </w:r>
    </w:p>
    <w:p w14:paraId="57B5B366">
      <w:pPr>
        <w:ind w:firstLine="560"/>
        <w:rPr>
          <w:rFonts w:hint="eastAsia" w:cs="仿宋"/>
          <w:sz w:val="28"/>
          <w:szCs w:val="28"/>
        </w:rPr>
      </w:pPr>
      <w:r>
        <w:rPr>
          <w:rFonts w:hint="eastAsia" w:cs="仿宋"/>
          <w:sz w:val="28"/>
          <w:szCs w:val="28"/>
        </w:rPr>
        <w:t>3.项目预算资金使用基本符合国家财经法规和财务管理制度以及有关专项资金管理办法的规定和预算批复的用途，资金的拨付审批程序和手续完整，未发现截留、挤占、挪用等情况，但存在项目工程款支付依据不规范、账务核算不规范等不合规情况。</w:t>
      </w:r>
    </w:p>
    <w:p w14:paraId="70B029F8">
      <w:pPr>
        <w:ind w:firstLine="560"/>
        <w:rPr>
          <w:rFonts w:hint="eastAsia" w:cs="仿宋"/>
          <w:sz w:val="28"/>
          <w:szCs w:val="28"/>
        </w:rPr>
      </w:pPr>
      <w:r>
        <w:rPr>
          <w:rFonts w:hint="eastAsia" w:cs="仿宋"/>
          <w:sz w:val="28"/>
          <w:szCs w:val="28"/>
        </w:rPr>
        <w:t>4.项目财务管理和业务管理执行《寻甸县土地储备中心“三重一大”集体决策制度实施办法》、《寻甸县土地储备中心财务管理制度》等内部控制制度和国家有关法律法规，相关管理制度基本能够得到有效的执行，政府采购程序等基本合法合规，但检查发现，存在项目绩效目标管理履职不到位、项目未批先建（</w:t>
      </w:r>
      <w:bookmarkStart w:id="48" w:name="_Hlk177220541"/>
      <w:r>
        <w:rPr>
          <w:rFonts w:hint="eastAsia" w:cs="仿宋"/>
          <w:sz w:val="28"/>
          <w:szCs w:val="28"/>
        </w:rPr>
        <w:t>基本建设程序执行不完整</w:t>
      </w:r>
      <w:bookmarkEnd w:id="48"/>
      <w:r>
        <w:rPr>
          <w:rFonts w:hint="eastAsia" w:cs="仿宋"/>
          <w:sz w:val="28"/>
          <w:szCs w:val="28"/>
        </w:rPr>
        <w:t>）、公共基础设施管理不规范、未办理工程竣工决算手续等情况。</w:t>
      </w:r>
    </w:p>
    <w:p w14:paraId="3146F333">
      <w:pPr>
        <w:ind w:firstLine="560"/>
        <w:rPr>
          <w:rFonts w:hint="eastAsia" w:ascii="楷体" w:hAnsi="楷体" w:eastAsia="楷体" w:cs="楷体"/>
          <w:sz w:val="28"/>
          <w:szCs w:val="28"/>
        </w:rPr>
      </w:pPr>
      <w:r>
        <w:rPr>
          <w:rFonts w:hint="eastAsia" w:ascii="楷体" w:hAnsi="楷体" w:eastAsia="楷体" w:cs="楷体"/>
          <w:sz w:val="28"/>
          <w:szCs w:val="28"/>
        </w:rPr>
        <w:t>(三)项目产出情况分析</w:t>
      </w:r>
    </w:p>
    <w:p w14:paraId="09ECB8C8">
      <w:pPr>
        <w:ind w:firstLine="560"/>
        <w:rPr>
          <w:rFonts w:hint="eastAsia" w:cs="仿宋"/>
          <w:sz w:val="28"/>
          <w:szCs w:val="28"/>
        </w:rPr>
      </w:pPr>
      <w:r>
        <w:rPr>
          <w:rFonts w:hint="eastAsia" w:cs="仿宋"/>
          <w:sz w:val="28"/>
          <w:szCs w:val="28"/>
        </w:rPr>
        <w:t>项目产出满分3</w:t>
      </w:r>
      <w:r>
        <w:rPr>
          <w:rFonts w:cs="仿宋"/>
          <w:sz w:val="28"/>
          <w:szCs w:val="28"/>
        </w:rPr>
        <w:t>5</w:t>
      </w:r>
      <w:r>
        <w:rPr>
          <w:rFonts w:hint="eastAsia" w:cs="仿宋"/>
          <w:sz w:val="28"/>
          <w:szCs w:val="28"/>
        </w:rPr>
        <w:t>分，评价综合评分32.75分（占该项满分值的93.57%），具体情况如下：</w:t>
      </w:r>
    </w:p>
    <w:p w14:paraId="59798E8C">
      <w:pPr>
        <w:ind w:firstLine="560"/>
        <w:rPr>
          <w:rFonts w:hint="eastAsia" w:cs="仿宋"/>
          <w:sz w:val="28"/>
          <w:szCs w:val="28"/>
        </w:rPr>
      </w:pPr>
      <w:bookmarkStart w:id="49" w:name="_Hlk144992845"/>
      <w:r>
        <w:rPr>
          <w:rFonts w:hint="eastAsia" w:cs="仿宋"/>
          <w:sz w:val="28"/>
          <w:szCs w:val="28"/>
        </w:rPr>
        <w:t>1.实际完成率：</w:t>
      </w:r>
      <w:bookmarkEnd w:id="49"/>
      <w:r>
        <w:rPr>
          <w:rFonts w:hint="eastAsia" w:cs="仿宋"/>
          <w:sz w:val="28"/>
          <w:szCs w:val="28"/>
        </w:rPr>
        <w:t>2019年土地储备专项债券资金用于锦绣广场地块、牧靡路地块、凤梧华府地块、月华路南段地块4个项目土地一级开发及土地收储，</w:t>
      </w:r>
      <w:r>
        <w:rPr>
          <w:rFonts w:hint="eastAsia" w:cs="仿宋"/>
          <w:sz w:val="28"/>
          <w:szCs w:val="28"/>
          <w:lang w:eastAsia="zh-CN"/>
        </w:rPr>
        <w:t>截至</w:t>
      </w:r>
      <w:r>
        <w:rPr>
          <w:rFonts w:hint="eastAsia" w:cs="仿宋"/>
          <w:sz w:val="28"/>
          <w:szCs w:val="28"/>
        </w:rPr>
        <w:t>2023年12月31日，锦绣广场、月华路南段、牧靡路地块3个项目已竣工验收并投入储备阶段，凤梧华府项目因中心南路东段有民房未拆除已停工，导致中心南路东段和中心南路西端不能联通，项目总体工程量完成约90%，加权实际完成率为97.50%。</w:t>
      </w:r>
    </w:p>
    <w:p w14:paraId="275E6C0D">
      <w:pPr>
        <w:ind w:firstLine="560"/>
        <w:rPr>
          <w:rFonts w:hint="eastAsia" w:cs="仿宋"/>
          <w:sz w:val="28"/>
          <w:szCs w:val="28"/>
        </w:rPr>
      </w:pPr>
      <w:r>
        <w:rPr>
          <w:rFonts w:hint="eastAsia" w:cs="仿宋"/>
          <w:sz w:val="28"/>
          <w:szCs w:val="28"/>
        </w:rPr>
        <w:t>2.质量达标率：2019年土地储备专项债券资金用于锦绣广场地块、牧靡路地块、凤梧华府地块、月华路南段地块4个项目土地收储及土地一级开发，</w:t>
      </w:r>
      <w:r>
        <w:rPr>
          <w:rFonts w:hint="eastAsia" w:cs="仿宋"/>
          <w:sz w:val="28"/>
          <w:szCs w:val="28"/>
          <w:lang w:eastAsia="zh-CN"/>
        </w:rPr>
        <w:t>截至</w:t>
      </w:r>
      <w:r>
        <w:rPr>
          <w:rFonts w:hint="eastAsia" w:cs="仿宋"/>
          <w:sz w:val="28"/>
          <w:szCs w:val="28"/>
        </w:rPr>
        <w:t>2023年12月31日，锦绣广场地块、牧靡路地块、月华路南段地块3个项目竣工验收并取得了《竣工验收合格证明书》，认定项目质量合格，通过验收。</w:t>
      </w:r>
    </w:p>
    <w:p w14:paraId="6C63E45E">
      <w:pPr>
        <w:ind w:firstLine="560"/>
        <w:rPr>
          <w:rFonts w:hint="eastAsia" w:cs="仿宋"/>
          <w:sz w:val="28"/>
          <w:szCs w:val="28"/>
        </w:rPr>
      </w:pPr>
      <w:r>
        <w:rPr>
          <w:rFonts w:hint="eastAsia" w:cs="仿宋"/>
          <w:sz w:val="28"/>
          <w:szCs w:val="28"/>
        </w:rPr>
        <w:t>3</w:t>
      </w:r>
      <w:r>
        <w:rPr>
          <w:rFonts w:cs="仿宋"/>
          <w:sz w:val="28"/>
          <w:szCs w:val="28"/>
        </w:rPr>
        <w:t>.</w:t>
      </w:r>
      <w:r>
        <w:rPr>
          <w:rFonts w:hint="eastAsia"/>
          <w:sz w:val="28"/>
          <w:szCs w:val="28"/>
        </w:rPr>
        <w:t>完成及时性：</w:t>
      </w:r>
      <w:r>
        <w:rPr>
          <w:rFonts w:hint="eastAsia" w:cs="仿宋"/>
          <w:sz w:val="28"/>
          <w:szCs w:val="28"/>
        </w:rPr>
        <w:t>2019年土地储备专项债券资金用于锦绣广场地块、牧靡路地块、凤梧华府地块、月华路南段地块4个项目土地收储及土地一级开发，</w:t>
      </w:r>
      <w:r>
        <w:rPr>
          <w:rFonts w:hint="eastAsia" w:cs="仿宋"/>
          <w:sz w:val="28"/>
          <w:szCs w:val="28"/>
          <w:lang w:eastAsia="zh-CN"/>
        </w:rPr>
        <w:t>截至</w:t>
      </w:r>
      <w:r>
        <w:rPr>
          <w:rFonts w:hint="eastAsia" w:cs="仿宋"/>
          <w:sz w:val="28"/>
          <w:szCs w:val="28"/>
        </w:rPr>
        <w:t>2023年12月31日，锦绣广场地块、月华路南段地块、牧靡路地块3个项目已竣工验收并投入储备阶段，凤梧华府项目因中心南路东段有民房未拆除已停工，未及时完成。</w:t>
      </w:r>
    </w:p>
    <w:p w14:paraId="4F3CEC73">
      <w:pPr>
        <w:ind w:firstLine="560"/>
        <w:rPr>
          <w:rFonts w:hint="eastAsia" w:cs="仿宋"/>
          <w:sz w:val="28"/>
          <w:szCs w:val="28"/>
        </w:rPr>
      </w:pPr>
      <w:r>
        <w:rPr>
          <w:rFonts w:hint="eastAsia"/>
          <w:sz w:val="28"/>
          <w:szCs w:val="28"/>
        </w:rPr>
        <w:t>4.成本节约率：</w:t>
      </w:r>
      <w:r>
        <w:rPr>
          <w:rFonts w:hint="eastAsia"/>
          <w:sz w:val="28"/>
          <w:szCs w:val="28"/>
          <w:lang w:eastAsia="zh-CN"/>
        </w:rPr>
        <w:t>截至</w:t>
      </w:r>
      <w:r>
        <w:rPr>
          <w:rFonts w:hint="eastAsia"/>
          <w:sz w:val="28"/>
          <w:szCs w:val="28"/>
        </w:rPr>
        <w:t>2023年12月31日，</w:t>
      </w:r>
      <w:r>
        <w:rPr>
          <w:rFonts w:hint="eastAsia" w:cs="仿宋"/>
          <w:sz w:val="28"/>
          <w:szCs w:val="28"/>
        </w:rPr>
        <w:t>专项债券资金到位240,000,000.00元、执行240,000,000.00元，地方配套到位18,537,245.09元、执行18,537,245.09元，但凤梧华府项目暂未完工，无法分析总成本及其发生情况。</w:t>
      </w:r>
    </w:p>
    <w:p w14:paraId="6F47CCD2">
      <w:pPr>
        <w:ind w:firstLine="560"/>
        <w:rPr>
          <w:rFonts w:hint="eastAsia" w:ascii="楷体" w:hAnsi="楷体" w:eastAsia="楷体" w:cs="楷体"/>
          <w:sz w:val="28"/>
          <w:szCs w:val="28"/>
        </w:rPr>
      </w:pPr>
      <w:r>
        <w:rPr>
          <w:rFonts w:hint="eastAsia" w:ascii="楷体" w:hAnsi="楷体" w:eastAsia="楷体" w:cs="楷体"/>
          <w:sz w:val="28"/>
          <w:szCs w:val="28"/>
        </w:rPr>
        <w:t>(四)项目绩效情况分析</w:t>
      </w:r>
      <w:bookmarkEnd w:id="44"/>
      <w:bookmarkEnd w:id="45"/>
      <w:bookmarkStart w:id="50" w:name="_Toc502134870"/>
      <w:bookmarkStart w:id="51" w:name="_Toc498009787"/>
    </w:p>
    <w:p w14:paraId="30897459">
      <w:pPr>
        <w:ind w:firstLine="560"/>
        <w:rPr>
          <w:rFonts w:hint="eastAsia" w:cs="仿宋"/>
          <w:sz w:val="28"/>
          <w:szCs w:val="28"/>
        </w:rPr>
      </w:pPr>
      <w:r>
        <w:rPr>
          <w:rFonts w:hint="eastAsia" w:cs="仿宋"/>
          <w:sz w:val="28"/>
          <w:szCs w:val="28"/>
        </w:rPr>
        <w:t>项目绩效指标满分</w:t>
      </w:r>
      <w:r>
        <w:rPr>
          <w:rFonts w:cs="仿宋"/>
          <w:sz w:val="28"/>
          <w:szCs w:val="28"/>
        </w:rPr>
        <w:t>2</w:t>
      </w:r>
      <w:r>
        <w:rPr>
          <w:rFonts w:hint="eastAsia" w:cs="仿宋"/>
          <w:sz w:val="28"/>
          <w:szCs w:val="28"/>
        </w:rPr>
        <w:t>0分，评价综合评分</w:t>
      </w:r>
      <w:r>
        <w:rPr>
          <w:rFonts w:cs="仿宋"/>
          <w:sz w:val="28"/>
          <w:szCs w:val="28"/>
        </w:rPr>
        <w:t>1</w:t>
      </w:r>
      <w:r>
        <w:rPr>
          <w:rFonts w:hint="eastAsia" w:cs="仿宋"/>
          <w:sz w:val="28"/>
          <w:szCs w:val="28"/>
        </w:rPr>
        <w:t>7.66分（占该项满分值的88.30%），具体情况如下：</w:t>
      </w:r>
    </w:p>
    <w:bookmarkEnd w:id="50"/>
    <w:bookmarkEnd w:id="51"/>
    <w:p w14:paraId="24414F14">
      <w:pPr>
        <w:ind w:firstLine="560"/>
        <w:rPr>
          <w:rFonts w:hint="eastAsia" w:cs="仿宋"/>
          <w:sz w:val="28"/>
          <w:szCs w:val="28"/>
        </w:rPr>
      </w:pPr>
      <w:bookmarkStart w:id="52" w:name="_Toc502134871"/>
      <w:bookmarkStart w:id="53" w:name="_Toc498009788"/>
      <w:r>
        <w:rPr>
          <w:rFonts w:hint="eastAsia" w:cs="仿宋"/>
          <w:sz w:val="28"/>
          <w:szCs w:val="28"/>
        </w:rPr>
        <w:t>项目为实施期间，项目基本建设程序执行比较规范但不完整，建设单位基本按规定执行了项目法人制、监理制、招投标制、合同制的建设项目“四制”基本规范。项目施工过程中规范施工程序，安全措施基本得力，未发生安全事故。</w:t>
      </w:r>
      <w:bookmarkStart w:id="54" w:name="_Hlk145001823"/>
      <w:r>
        <w:rPr>
          <w:rFonts w:hint="eastAsia" w:cs="仿宋"/>
          <w:sz w:val="28"/>
          <w:szCs w:val="28"/>
        </w:rPr>
        <w:t>项目通过公开招投标采购项目的施工单位、及部分标段的监理单位，通过竞争性谈判的方式确定设计及工程造价咨询单位，政府采购程序基本规范。</w:t>
      </w:r>
      <w:bookmarkEnd w:id="54"/>
      <w:r>
        <w:rPr>
          <w:rFonts w:hint="eastAsia" w:cs="仿宋"/>
          <w:sz w:val="28"/>
          <w:szCs w:val="28"/>
        </w:rPr>
        <w:t>项目发布了《关于拟征收2019年度第4批次城镇建设用地的通告》，明确了征地范围及补偿标准，项目工程招投标及其结果也进行了恰当的公示。</w:t>
      </w:r>
    </w:p>
    <w:p w14:paraId="0347E43E">
      <w:pPr>
        <w:ind w:firstLine="560"/>
        <w:rPr>
          <w:rFonts w:hint="eastAsia" w:cs="仿宋"/>
          <w:sz w:val="28"/>
          <w:szCs w:val="28"/>
        </w:rPr>
      </w:pPr>
      <w:r>
        <w:rPr>
          <w:rFonts w:hint="eastAsia" w:cs="仿宋"/>
          <w:sz w:val="28"/>
          <w:szCs w:val="28"/>
        </w:rPr>
        <w:t>项目获得了《关于寻甸县四清河改道工程洪水影响评价报告的批复》（寻水务字〔2021〕8号）等环境审批文件</w:t>
      </w:r>
      <w:r>
        <w:rPr>
          <w:rFonts w:cs="仿宋"/>
          <w:sz w:val="28"/>
          <w:szCs w:val="28"/>
        </w:rPr>
        <w:t>，同意项目按照《报告书》所述工程内容、规模、功能、环保对策措施建设</w:t>
      </w:r>
      <w:r>
        <w:rPr>
          <w:rFonts w:hint="eastAsia" w:cs="仿宋"/>
          <w:sz w:val="28"/>
          <w:szCs w:val="28"/>
        </w:rPr>
        <w:t>。</w:t>
      </w:r>
    </w:p>
    <w:p w14:paraId="6663FEDB">
      <w:pPr>
        <w:ind w:firstLine="560"/>
        <w:rPr>
          <w:rFonts w:hint="eastAsia" w:cs="仿宋"/>
          <w:sz w:val="28"/>
          <w:szCs w:val="28"/>
        </w:rPr>
      </w:pPr>
      <w:r>
        <w:rPr>
          <w:rFonts w:hint="eastAsia" w:cs="仿宋"/>
          <w:sz w:val="28"/>
          <w:szCs w:val="28"/>
        </w:rPr>
        <w:t>发放《寻甸县土地储备中心2019年土地储备专项债券项目支出绩效评价调查问卷》共30份，收回30份，有效问卷30份，并对其结果进行统计汇总，项目支出绩效评价调查满意度为84.93%，社会公众对项目实施效果基本满意。</w:t>
      </w:r>
    </w:p>
    <w:p w14:paraId="2534F2C0">
      <w:pPr>
        <w:ind w:firstLine="560"/>
        <w:rPr>
          <w:rFonts w:hint="eastAsia" w:ascii="黑体" w:hAnsi="黑体" w:eastAsia="黑体" w:cs="黑体"/>
          <w:sz w:val="28"/>
          <w:szCs w:val="28"/>
        </w:rPr>
      </w:pPr>
      <w:r>
        <w:rPr>
          <w:rFonts w:hint="eastAsia" w:ascii="黑体" w:hAnsi="黑体" w:eastAsia="黑体" w:cs="黑体"/>
          <w:sz w:val="28"/>
          <w:szCs w:val="28"/>
        </w:rPr>
        <w:t>六、主要经验及做法</w:t>
      </w:r>
      <w:bookmarkEnd w:id="52"/>
      <w:bookmarkEnd w:id="53"/>
    </w:p>
    <w:p w14:paraId="7B516565">
      <w:pPr>
        <w:ind w:firstLine="560"/>
        <w:rPr>
          <w:rFonts w:hint="eastAsia" w:ascii="仿宋_GB2312" w:eastAsia="仿宋_GB2312" w:cs="仿宋"/>
          <w:sz w:val="28"/>
          <w:szCs w:val="28"/>
        </w:rPr>
      </w:pPr>
      <w:bookmarkStart w:id="55" w:name="_Toc498009789"/>
      <w:bookmarkStart w:id="56" w:name="_Toc502134872"/>
      <w:r>
        <w:rPr>
          <w:rFonts w:hint="eastAsia" w:cs="仿宋"/>
          <w:sz w:val="28"/>
          <w:szCs w:val="28"/>
        </w:rPr>
        <w:t>无。</w:t>
      </w:r>
    </w:p>
    <w:p w14:paraId="7CABD5FD">
      <w:pPr>
        <w:ind w:firstLine="560"/>
        <w:rPr>
          <w:rFonts w:hint="eastAsia" w:ascii="黑体" w:hAnsi="黑体" w:eastAsia="黑体" w:cs="黑体"/>
          <w:sz w:val="28"/>
          <w:szCs w:val="28"/>
        </w:rPr>
      </w:pPr>
      <w:r>
        <w:rPr>
          <w:rFonts w:hint="eastAsia" w:ascii="黑体" w:hAnsi="黑体" w:eastAsia="黑体" w:cs="黑体"/>
          <w:sz w:val="28"/>
          <w:szCs w:val="28"/>
        </w:rPr>
        <w:t>七、存在的主要问题</w:t>
      </w:r>
      <w:bookmarkEnd w:id="55"/>
      <w:bookmarkEnd w:id="56"/>
    </w:p>
    <w:p w14:paraId="673D4651">
      <w:pPr>
        <w:ind w:firstLine="560"/>
        <w:rPr>
          <w:rFonts w:hint="eastAsia" w:ascii="楷体" w:hAnsi="楷体" w:eastAsia="楷体" w:cs="楷体"/>
          <w:bCs/>
          <w:sz w:val="28"/>
          <w:szCs w:val="28"/>
        </w:rPr>
      </w:pPr>
      <w:bookmarkStart w:id="57" w:name="_Toc500364179"/>
      <w:bookmarkStart w:id="58" w:name="_Toc500440025"/>
      <w:bookmarkStart w:id="59" w:name="_Toc500589022"/>
      <w:bookmarkStart w:id="60" w:name="_Toc502134873"/>
      <w:bookmarkStart w:id="61" w:name="_Toc500202563"/>
      <w:bookmarkStart w:id="62" w:name="_Toc500849310"/>
      <w:r>
        <w:rPr>
          <w:rFonts w:ascii="楷体" w:hAnsi="楷体" w:eastAsia="楷体" w:cs="楷体"/>
          <w:bCs/>
          <w:sz w:val="28"/>
          <w:szCs w:val="28"/>
        </w:rPr>
        <w:t>(一)</w:t>
      </w:r>
      <w:r>
        <w:rPr>
          <w:rFonts w:hint="eastAsia" w:ascii="楷体" w:hAnsi="楷体" w:eastAsia="楷体" w:cs="楷体"/>
          <w:bCs/>
          <w:sz w:val="28"/>
          <w:szCs w:val="28"/>
        </w:rPr>
        <w:t>项目绩效</w:t>
      </w:r>
      <w:r>
        <w:rPr>
          <w:rFonts w:ascii="楷体" w:hAnsi="楷体" w:eastAsia="楷体" w:cs="楷体"/>
          <w:bCs/>
          <w:sz w:val="28"/>
          <w:szCs w:val="28"/>
        </w:rPr>
        <w:t>目标管理不到位</w:t>
      </w:r>
    </w:p>
    <w:p w14:paraId="18ABB408">
      <w:pPr>
        <w:ind w:firstLine="560"/>
        <w:rPr>
          <w:rFonts w:hint="eastAsia" w:cs="楷体"/>
          <w:bCs/>
          <w:sz w:val="28"/>
          <w:szCs w:val="28"/>
        </w:rPr>
      </w:pPr>
      <w:r>
        <w:rPr>
          <w:rFonts w:hint="eastAsia" w:cs="楷体"/>
          <w:bCs/>
          <w:sz w:val="28"/>
          <w:szCs w:val="28"/>
        </w:rPr>
        <w:t>土储中心未在“预算一体化”系统中申报本项目，未申报项目预算绩效目标、未就项目产出和项目预期效益设定充分全面、科学明确的绩效指标并明确指标值。根据《2019年云南省昆明市寻甸回族彝族自治县锦秀广场土地储备项目专项债券实施方案》等方案中“项目预期收益”等内容分析，存在设定的社会效益指标不充分全面、科学明确，基本未通过清晰、可衡量的指标及指标值予以体现，未设定最能体现项目绩效目标实现程度和项目实施部门职能履职情况的关键的、核心的绩效指标。不符合《中华人民共和国预算法》第三十二条“……各部门、各单位应当按照……以及绩效目标管理等预算编制规定，……编制本部门、本单位预算草案。”和《中共中央、国务院关于全面实施预算绩效管理的意见》（中发〔2018〕34号）第四条第（七）项“强化绩效目标管理。各地区各部门编制预算时要……全面设置部门和单位整体绩效目标、政策及项目绩效目标。绩效目标不仅要包括产出、成本，还要包括经济效益、社会效益、生态效益、可持续影响和服务对象满意度等绩效指标。……。”的规定。</w:t>
      </w:r>
    </w:p>
    <w:p w14:paraId="0E265E9E">
      <w:pPr>
        <w:ind w:firstLine="560"/>
        <w:rPr>
          <w:rFonts w:hint="eastAsia" w:ascii="楷体" w:hAnsi="楷体" w:eastAsia="楷体" w:cs="楷体"/>
          <w:bCs/>
          <w:sz w:val="28"/>
          <w:szCs w:val="28"/>
        </w:rPr>
      </w:pPr>
      <w:r>
        <w:rPr>
          <w:rFonts w:hint="eastAsia" w:ascii="楷体" w:hAnsi="楷体" w:eastAsia="楷体" w:cs="楷体"/>
          <w:bCs/>
          <w:sz w:val="28"/>
          <w:szCs w:val="28"/>
        </w:rPr>
        <w:t>(二)基本建设程序执行不完整</w:t>
      </w:r>
    </w:p>
    <w:p w14:paraId="406A7C48">
      <w:pPr>
        <w:ind w:firstLine="560"/>
        <w:rPr>
          <w:rFonts w:hint="eastAsia" w:cs="楷体"/>
          <w:bCs/>
          <w:sz w:val="28"/>
          <w:szCs w:val="28"/>
        </w:rPr>
      </w:pPr>
      <w:r>
        <w:rPr>
          <w:rFonts w:hint="eastAsia" w:cs="楷体"/>
          <w:bCs/>
          <w:sz w:val="28"/>
          <w:szCs w:val="28"/>
        </w:rPr>
        <w:t>2019年土地储备专项债券土地收储工程项目包括凤梧华府土地储备项目、月华路南段土地储备项目、锦秀广场土地储备项目、牧靡路地块土地储备项目，除凤梧华府土地储备项目尚未完成收储外，其他3个地块收储工程均已竣工，但土储中心未提供4个分项项目所涉及的</w:t>
      </w:r>
      <w:bookmarkStart w:id="63" w:name="_Hlk177220316"/>
      <w:r>
        <w:rPr>
          <w:rFonts w:hint="eastAsia" w:cs="楷体"/>
          <w:bCs/>
          <w:sz w:val="28"/>
          <w:szCs w:val="28"/>
        </w:rPr>
        <w:t>用地规划许可、施工许可</w:t>
      </w:r>
      <w:bookmarkEnd w:id="63"/>
      <w:r>
        <w:rPr>
          <w:rFonts w:hint="eastAsia" w:cs="楷体"/>
          <w:bCs/>
          <w:sz w:val="28"/>
          <w:szCs w:val="28"/>
        </w:rPr>
        <w:t>等前置审批程序资料，存在未批先建的情况，不符合《中华人民共和国建筑法》第七条“建筑工程开工前，建设单位应当按照国家有关规定向工程所在地县级以上人民政府建设行政主管部门申请领取施工许可证；但是，国务院建设行政主管部门确定的限额以下的小型工程除外。”和第八条“申请领取施工许可证，应当具备下列条件：（一）已经办理该建筑工程用地批准手续；（二）在城市规划区的建筑工程，已经取得规划许可证；……。”的规定。</w:t>
      </w:r>
    </w:p>
    <w:p w14:paraId="502EA43B">
      <w:pPr>
        <w:ind w:firstLine="560"/>
        <w:rPr>
          <w:rFonts w:hint="eastAsia" w:ascii="楷体" w:hAnsi="楷体" w:eastAsia="楷体" w:cs="楷体"/>
          <w:bCs/>
          <w:sz w:val="28"/>
          <w:szCs w:val="28"/>
        </w:rPr>
      </w:pPr>
      <w:r>
        <w:rPr>
          <w:rFonts w:hint="eastAsia" w:ascii="楷体" w:hAnsi="楷体" w:eastAsia="楷体" w:cs="楷体"/>
          <w:bCs/>
          <w:sz w:val="28"/>
          <w:szCs w:val="28"/>
        </w:rPr>
        <w:t>(三)项目工程款支付依据不规范</w:t>
      </w:r>
    </w:p>
    <w:p w14:paraId="285F4F9D">
      <w:pPr>
        <w:ind w:firstLine="560"/>
        <w:rPr>
          <w:rFonts w:hint="eastAsia" w:cs="楷体"/>
          <w:bCs/>
          <w:sz w:val="28"/>
          <w:szCs w:val="28"/>
        </w:rPr>
      </w:pPr>
      <w:r>
        <w:rPr>
          <w:rFonts w:hint="eastAsia" w:cs="楷体"/>
          <w:bCs/>
          <w:sz w:val="28"/>
          <w:szCs w:val="28"/>
        </w:rPr>
        <w:t>2023年，土储中心支付收储项目基本建设项目工程款时，存在资金流与发票流不一致的情况，如：锦秀广场项目2023年1月记3号凭证“付五标段工程进度款”700,000.00元，发票开具方、合同方均为中铁十六局集团有限公司，收款信息为工行北京东坝支行，但收款方为中铁十六局集团有限公司2018年寻甸县市政基础设施建设工程项目第五标段项目经理部，收款信息为交通银行北京西区支行，仅项目经理部《收款账户情况说明》，无中铁十六局集团有限公司出具的《委托收款书》或类似资料，不符合《中华人民共和国会计法》第十四条“会计凭证包括原始凭证和</w:t>
      </w:r>
      <w:r>
        <w:rPr>
          <w:rFonts w:hint="eastAsia" w:cs="楷体"/>
          <w:bCs/>
          <w:sz w:val="28"/>
          <w:szCs w:val="28"/>
          <w:lang w:eastAsia="zh-CN"/>
        </w:rPr>
        <w:t>记账</w:t>
      </w:r>
      <w:r>
        <w:rPr>
          <w:rFonts w:hint="eastAsia" w:cs="楷体"/>
          <w:bCs/>
          <w:sz w:val="28"/>
          <w:szCs w:val="28"/>
        </w:rPr>
        <w:t>凭证。……对不真实、不合法的原始凭证有权不予接受，并向单位负责人报告；对记载不准确、不完整的原始凭证予以退回，并要求按照国家统一的会计制度的规定更正、补充。……。”和《国家税务总局关于加强增值税征收管理若干问题的通知》（国税发〔1995〕192号）第一条第三项“纳税人购进货物或应税劳务，支付运输费用，所支付款项的单位，必须与开具抵扣凭证的销货单位、提供劳务的单位一致，……。”的规定。</w:t>
      </w:r>
    </w:p>
    <w:p w14:paraId="6B7E0E41">
      <w:pPr>
        <w:ind w:firstLine="560"/>
        <w:rPr>
          <w:rFonts w:hint="eastAsia" w:ascii="楷体" w:hAnsi="楷体" w:eastAsia="楷体" w:cs="楷体"/>
          <w:bCs/>
          <w:sz w:val="28"/>
          <w:szCs w:val="28"/>
        </w:rPr>
      </w:pPr>
      <w:r>
        <w:rPr>
          <w:rFonts w:hint="eastAsia" w:ascii="楷体" w:hAnsi="楷体" w:eastAsia="楷体" w:cs="楷体"/>
          <w:bCs/>
          <w:sz w:val="28"/>
          <w:szCs w:val="28"/>
        </w:rPr>
        <w:t>(四)账务核算不规范</w:t>
      </w:r>
    </w:p>
    <w:p w14:paraId="5DF5B3BF">
      <w:pPr>
        <w:ind w:firstLine="560"/>
        <w:rPr>
          <w:rFonts w:hint="eastAsia" w:cs="楷体"/>
          <w:bCs/>
          <w:sz w:val="28"/>
          <w:szCs w:val="28"/>
        </w:rPr>
      </w:pPr>
      <w:r>
        <w:rPr>
          <w:rFonts w:hint="eastAsia" w:cs="楷体"/>
          <w:bCs/>
          <w:sz w:val="28"/>
          <w:szCs w:val="28"/>
        </w:rPr>
        <w:t>2020年至2023年，土储中心对项目发生的公共基础设施建设成本均核算为“预付工程款”，未核算为“在建工程”，并未按建筑安装工程投资支出、设备投资支出、待摊投资支出和其他投资支出明细核算，至绩效评价现场结束日，账面仍核算为往来资产，未核算为实物资产，如：锦秀广场收储项目发生的市政基础设施工程，</w:t>
      </w:r>
      <w:r>
        <w:rPr>
          <w:rFonts w:hint="eastAsia" w:cs="楷体"/>
          <w:bCs/>
          <w:sz w:val="28"/>
          <w:szCs w:val="28"/>
          <w:lang w:eastAsia="zh-CN"/>
        </w:rPr>
        <w:t>截至</w:t>
      </w:r>
      <w:r>
        <w:rPr>
          <w:rFonts w:hint="eastAsia" w:cs="楷体"/>
          <w:bCs/>
          <w:sz w:val="28"/>
          <w:szCs w:val="28"/>
        </w:rPr>
        <w:t>2023年12月31日，往来资产“预付工程款/月锦秀广场项目”账面余额82,546,139.62元，未核算为“在建工程”，不符合《政府会计准则第5号——公共基础设施》（财会〔2017〕11号）第十一条“政府会计主体自行建造的公共基础设施，其成本包括完成批准的建设内容所发生的全部必要支出，包括建筑安装工程投资支出、设备投资支出、待摊投资支出和其他投资支出。”和《政府会计制度——行政事业单位会计科目和报表》（财会[2017]25号）第三部分“会计科目使用说明、1801 公共基础设施、四、公共基础设施的主要账务处理如下：（一）公共基础设施在取得时，应当按照其成本入账。1.自行建造的公共基础设施完工交付使用时，按照在建工程的成本，借记本科目，贷记 ‘在建工程’科目。”的规定。</w:t>
      </w:r>
    </w:p>
    <w:p w14:paraId="35FD8206">
      <w:pPr>
        <w:ind w:firstLine="560"/>
        <w:rPr>
          <w:rFonts w:hint="eastAsia" w:ascii="楷体" w:hAnsi="楷体" w:eastAsia="楷体" w:cs="楷体"/>
          <w:bCs/>
          <w:sz w:val="28"/>
          <w:szCs w:val="28"/>
        </w:rPr>
      </w:pPr>
      <w:r>
        <w:rPr>
          <w:rFonts w:hint="eastAsia" w:ascii="楷体" w:hAnsi="楷体" w:eastAsia="楷体" w:cs="楷体"/>
          <w:bCs/>
          <w:sz w:val="28"/>
          <w:szCs w:val="28"/>
        </w:rPr>
        <w:t>(五)公共基础设施管理不规范</w:t>
      </w:r>
    </w:p>
    <w:p w14:paraId="5971FFA3">
      <w:pPr>
        <w:ind w:firstLine="560"/>
        <w:rPr>
          <w:rFonts w:hint="eastAsia" w:cs="楷体"/>
          <w:bCs/>
          <w:sz w:val="28"/>
          <w:szCs w:val="28"/>
        </w:rPr>
      </w:pPr>
      <w:r>
        <w:rPr>
          <w:rFonts w:hint="eastAsia" w:cs="楷体"/>
          <w:bCs/>
          <w:sz w:val="28"/>
          <w:szCs w:val="28"/>
        </w:rPr>
        <w:t>土储中心对土地开发项目所涉及的公共基础设施资产管理不规范，如：月华路南段收储项目发生的市政道路改造工程，已于2022年2月8日验收合格并交付使用，但土储中心仍未转固并作为公共基础设施管理，也未按规定移交公共基础设施资产管理部门专业管理，不符合《政府会计准则第5号——公共基础设施》（财会〔2017〕11号）第十一条“政府会计主体自行建造的公共基础设施，……已交付使用但尚未办理竣工决算手续的公共基础设施，应当按照估计价值入账，待办理竣工决算后再按照实际成本调整原来的暂估价值。”和《政府会计准则制度解释第2号》（财会〔2019〕24号）第八条“关于单位基本建设会计有关问题（三）关于‘在建工程’科目有关账务处理规定。……2.建设项目竣工验收交付使用时，按规定先转入建设单位、再无偿划拨给其他会计主体的，建设单位应当按照《政府会计制度》规定，先将在建工程转入‘固定资产’‘公共基础设施’等科目，再按照无偿调拨资产相关规定进行账务处理。”的规定。</w:t>
      </w:r>
    </w:p>
    <w:p w14:paraId="0568F9CB">
      <w:pPr>
        <w:ind w:firstLine="560"/>
        <w:rPr>
          <w:rFonts w:hint="eastAsia" w:ascii="楷体" w:hAnsi="楷体" w:eastAsia="楷体" w:cs="楷体"/>
          <w:bCs/>
          <w:sz w:val="28"/>
          <w:szCs w:val="28"/>
        </w:rPr>
      </w:pPr>
      <w:r>
        <w:rPr>
          <w:rFonts w:hint="eastAsia" w:ascii="楷体" w:hAnsi="楷体" w:eastAsia="楷体" w:cs="楷体"/>
          <w:bCs/>
          <w:sz w:val="28"/>
          <w:szCs w:val="28"/>
        </w:rPr>
        <w:t>(六)未办理工程竣工决算手续</w:t>
      </w:r>
    </w:p>
    <w:p w14:paraId="0362CED5">
      <w:pPr>
        <w:ind w:firstLine="560"/>
        <w:rPr>
          <w:rFonts w:hint="eastAsia" w:cs="仿宋"/>
          <w:sz w:val="28"/>
          <w:szCs w:val="28"/>
        </w:rPr>
      </w:pPr>
      <w:r>
        <w:rPr>
          <w:rFonts w:hint="eastAsia" w:cs="楷体"/>
          <w:bCs/>
          <w:sz w:val="28"/>
          <w:szCs w:val="28"/>
        </w:rPr>
        <w:t>土储中心对土地开发项目所涉及的公共基础设施工程建设项目，仅办理工程竣工结算审核手续，未按规定办理工程竣工决算审计手续，如：月华路南段收储项目发生的市政道路改造工程，已于2022年2月8日验收合格并交付使用，于2024年8月22日办理工程竣工结算审核手续，但未及时办理工程竣工决算审计手续，未对基本建设工程投资资产的总价值进行公正确认，不符合《基本建设财务规则》（财政部令第81号）第三十一条“项目竣工财务决算是正确核定项目资产价值、反映竣工项目建设成果的文件，是办理资产移交和产权登记的依据，包括竣工财务决算报表、竣工财务决算说明书以及相关材料。”和《基本建设项目竣工财务决算管理暂行办法》（财建〔2016〕503号）第十三条“财政部门和项目主管部门对项目竣工财务决算实行先审核、后批复的办法，可以委托预算评审机构或者有专业能力的社会中介机构进行审核。”的规定。</w:t>
      </w:r>
    </w:p>
    <w:bookmarkEnd w:id="57"/>
    <w:bookmarkEnd w:id="58"/>
    <w:bookmarkEnd w:id="59"/>
    <w:bookmarkEnd w:id="60"/>
    <w:bookmarkEnd w:id="61"/>
    <w:bookmarkEnd w:id="62"/>
    <w:p w14:paraId="00A580D9">
      <w:pPr>
        <w:ind w:firstLine="560"/>
        <w:rPr>
          <w:rFonts w:hint="eastAsia" w:ascii="黑体" w:hAnsi="黑体" w:eastAsia="黑体" w:cs="黑体"/>
          <w:sz w:val="28"/>
          <w:szCs w:val="28"/>
        </w:rPr>
      </w:pPr>
      <w:bookmarkStart w:id="64" w:name="_Toc498009790"/>
      <w:bookmarkStart w:id="65" w:name="_Toc502134879"/>
      <w:r>
        <w:rPr>
          <w:rFonts w:hint="eastAsia" w:ascii="黑体" w:hAnsi="黑体" w:eastAsia="黑体" w:cs="黑体"/>
          <w:sz w:val="28"/>
          <w:szCs w:val="28"/>
        </w:rPr>
        <w:t>八、建议</w:t>
      </w:r>
      <w:bookmarkEnd w:id="64"/>
      <w:bookmarkEnd w:id="65"/>
      <w:bookmarkStart w:id="66" w:name="_Toc500440031"/>
      <w:bookmarkStart w:id="67" w:name="_Toc500849317"/>
      <w:bookmarkStart w:id="68" w:name="_Toc500364185"/>
      <w:bookmarkStart w:id="69" w:name="_Toc502134880"/>
      <w:bookmarkStart w:id="70" w:name="_Toc500202569"/>
      <w:bookmarkStart w:id="71" w:name="_Toc500589028"/>
      <w:bookmarkStart w:id="72" w:name="_Toc498009791"/>
    </w:p>
    <w:bookmarkEnd w:id="66"/>
    <w:bookmarkEnd w:id="67"/>
    <w:bookmarkEnd w:id="68"/>
    <w:bookmarkEnd w:id="69"/>
    <w:bookmarkEnd w:id="70"/>
    <w:bookmarkEnd w:id="71"/>
    <w:p w14:paraId="684CB289">
      <w:pPr>
        <w:ind w:firstLine="560"/>
        <w:rPr>
          <w:rFonts w:hint="eastAsia" w:ascii="楷体" w:hAnsi="楷体" w:eastAsia="楷体" w:cs="仿宋"/>
          <w:sz w:val="28"/>
          <w:szCs w:val="28"/>
        </w:rPr>
      </w:pPr>
      <w:bookmarkStart w:id="73" w:name="_Hlk143876661"/>
      <w:r>
        <w:rPr>
          <w:rFonts w:hint="eastAsia" w:ascii="楷体" w:hAnsi="楷体" w:eastAsia="楷体" w:cs="仿宋"/>
          <w:sz w:val="28"/>
          <w:szCs w:val="28"/>
        </w:rPr>
        <w:t>(一)加强绩效评价结果应用</w:t>
      </w:r>
    </w:p>
    <w:p w14:paraId="616A2A54">
      <w:pPr>
        <w:ind w:firstLine="495" w:firstLineChars="177"/>
        <w:rPr>
          <w:rFonts w:hint="eastAsia"/>
          <w:sz w:val="28"/>
          <w:szCs w:val="28"/>
        </w:rPr>
      </w:pPr>
      <w:r>
        <w:rPr>
          <w:rFonts w:hint="eastAsia"/>
          <w:sz w:val="28"/>
          <w:szCs w:val="28"/>
        </w:rPr>
        <w:t>1.切实加强绩效评价结果运用</w:t>
      </w:r>
    </w:p>
    <w:p w14:paraId="40E6C7C9">
      <w:pPr>
        <w:ind w:firstLine="495" w:firstLineChars="177"/>
        <w:rPr>
          <w:rFonts w:hint="eastAsia"/>
          <w:sz w:val="28"/>
          <w:szCs w:val="28"/>
        </w:rPr>
      </w:pPr>
      <w:r>
        <w:rPr>
          <w:rFonts w:hint="eastAsia"/>
          <w:sz w:val="28"/>
          <w:szCs w:val="28"/>
        </w:rPr>
        <w:t>按照《中华人民共和国预算法》等法律法规的规定，在预算绩效审核、审批、监督检查时，切实将绩效评价结果作为下一年度预算安排及相关责任落实的依据之一。同时根据《中共中央、国务院关于全面实施预算绩效管理的意见》（中发〔201</w:t>
      </w:r>
      <w:r>
        <w:rPr>
          <w:sz w:val="28"/>
          <w:szCs w:val="28"/>
        </w:rPr>
        <w:t>8</w:t>
      </w:r>
      <w:r>
        <w:rPr>
          <w:rFonts w:hint="eastAsia"/>
          <w:sz w:val="28"/>
          <w:szCs w:val="28"/>
        </w:rPr>
        <w:t>〕34号）第八条第（十八）项“……各级政府要将预算绩效结果纳入政府绩效和干部政绩考核体系，作为领导干部选拔任用、公务员考核的重要参考。……。”的规定，将绩效评价结果作为单位及单位相关负责人评优、评先、晋升、考核考评的必要依据之一。切实贯彻执行“预算编制有目标、预算执行有监控、预算完成有评价、评价结果有反馈、反馈结果有应用”和“谁用钱谁负责，用钱必问效，无效要问责”的预算绩效管理原则。</w:t>
      </w:r>
    </w:p>
    <w:p w14:paraId="708B39BE">
      <w:pPr>
        <w:ind w:firstLine="495" w:firstLineChars="177"/>
        <w:rPr>
          <w:rFonts w:hint="eastAsia"/>
          <w:sz w:val="28"/>
          <w:szCs w:val="28"/>
        </w:rPr>
      </w:pPr>
      <w:r>
        <w:rPr>
          <w:sz w:val="28"/>
          <w:szCs w:val="28"/>
        </w:rPr>
        <w:t>2.</w:t>
      </w:r>
      <w:r>
        <w:rPr>
          <w:rFonts w:hint="eastAsia"/>
          <w:sz w:val="28"/>
          <w:szCs w:val="28"/>
        </w:rPr>
        <w:t>提高对绩效评价及评价结果应用重要性的认识</w:t>
      </w:r>
    </w:p>
    <w:p w14:paraId="2833120E">
      <w:pPr>
        <w:ind w:firstLine="495" w:firstLineChars="177"/>
        <w:rPr>
          <w:rFonts w:hint="eastAsia"/>
          <w:sz w:val="28"/>
          <w:szCs w:val="28"/>
        </w:rPr>
      </w:pPr>
      <w:r>
        <w:rPr>
          <w:rFonts w:hint="eastAsia"/>
          <w:sz w:val="28"/>
          <w:szCs w:val="28"/>
        </w:rPr>
        <w:t>高度重视绩效评价及评价结果的应用工作，充分发挥绩效评价“以评促管”效能，积极探索和建立一套与预算管理相结合、多渠道应用评价结果的有效机制，努力提高绩效意识和财政资金使用效益。充分认识到进一步深化预算管理制度改革的重要意义。</w:t>
      </w:r>
    </w:p>
    <w:p w14:paraId="4A486971">
      <w:pPr>
        <w:ind w:firstLine="495" w:firstLineChars="177"/>
        <w:rPr>
          <w:rFonts w:hint="eastAsia"/>
          <w:sz w:val="28"/>
          <w:szCs w:val="28"/>
        </w:rPr>
      </w:pPr>
      <w:r>
        <w:rPr>
          <w:sz w:val="28"/>
          <w:szCs w:val="28"/>
        </w:rPr>
        <w:t>3.</w:t>
      </w:r>
      <w:r>
        <w:rPr>
          <w:rFonts w:hint="eastAsia"/>
          <w:sz w:val="28"/>
          <w:szCs w:val="28"/>
        </w:rPr>
        <w:t>建立评价结果反馈与整改机制</w:t>
      </w:r>
    </w:p>
    <w:p w14:paraId="57020365">
      <w:pPr>
        <w:ind w:firstLine="495" w:firstLineChars="177"/>
        <w:rPr>
          <w:rFonts w:hint="eastAsia"/>
          <w:sz w:val="28"/>
          <w:szCs w:val="28"/>
        </w:rPr>
      </w:pPr>
      <w:r>
        <w:rPr>
          <w:rFonts w:hint="eastAsia"/>
          <w:sz w:val="28"/>
          <w:szCs w:val="28"/>
        </w:rPr>
        <w:t>评价结果反馈与整改是绩效评价工作的重要内容和组成部分。财政主管部门要在评价工作结束后，以正式文件或反馈书的形式，将评价项目绩效情况、存在的问题及相关建议反馈给被评价单位，并督促其落实整改，以增强绩效评价工作的约束力。被评价单位要针对项目实施中存在的问题和建议进行认真整改，并将落实整改情况以整改报告书的形式反馈财政主管部门。</w:t>
      </w:r>
    </w:p>
    <w:p w14:paraId="03491063">
      <w:pPr>
        <w:ind w:firstLine="560"/>
        <w:rPr>
          <w:rFonts w:hint="eastAsia" w:ascii="楷体" w:hAnsi="楷体" w:eastAsia="楷体" w:cs="仿宋"/>
          <w:sz w:val="28"/>
          <w:szCs w:val="28"/>
        </w:rPr>
      </w:pPr>
      <w:r>
        <w:rPr>
          <w:rFonts w:ascii="楷体" w:hAnsi="楷体" w:eastAsia="楷体" w:cs="仿宋"/>
          <w:sz w:val="28"/>
          <w:szCs w:val="28"/>
        </w:rPr>
        <w:t>(二)强化绩效目标管理主体责任</w:t>
      </w:r>
    </w:p>
    <w:p w14:paraId="25065F83">
      <w:pPr>
        <w:ind w:firstLine="495" w:firstLineChars="177"/>
        <w:rPr>
          <w:rFonts w:hint="eastAsia"/>
          <w:sz w:val="28"/>
          <w:szCs w:val="28"/>
        </w:rPr>
      </w:pPr>
      <w:r>
        <w:rPr>
          <w:rFonts w:hint="eastAsia"/>
          <w:sz w:val="28"/>
          <w:szCs w:val="28"/>
        </w:rPr>
        <w:t>1</w:t>
      </w:r>
      <w:r>
        <w:rPr>
          <w:sz w:val="28"/>
          <w:szCs w:val="28"/>
        </w:rPr>
        <w:t>.</w:t>
      </w:r>
      <w:r>
        <w:rPr>
          <w:rFonts w:hint="eastAsia"/>
          <w:sz w:val="28"/>
          <w:szCs w:val="28"/>
        </w:rPr>
        <w:t>强化绩效目标管理主体责任</w:t>
      </w:r>
    </w:p>
    <w:p w14:paraId="008AEB41">
      <w:pPr>
        <w:ind w:firstLine="495" w:firstLineChars="177"/>
        <w:rPr>
          <w:rFonts w:hint="eastAsia"/>
          <w:sz w:val="28"/>
          <w:szCs w:val="28"/>
        </w:rPr>
      </w:pPr>
      <w:r>
        <w:rPr>
          <w:rFonts w:hint="eastAsia"/>
          <w:sz w:val="28"/>
          <w:szCs w:val="28"/>
        </w:rPr>
        <w:t>各部门、各单位在编制年度绩效目标时，应切实履行绩效目标管理主体责任，结合部门中长期规划、部门职能职责及年度的主要工作任务，梳理完善部门总体绩效目标和年度绩效目标，根据绩效目标确定具体的绩效指标，并设定清晰明确、规范完整、充分全面、最能体现总体目标实现程度的关键性、最具代表性、最能直接反映产出和效益的核心指标并明确具体指标值。</w:t>
      </w:r>
    </w:p>
    <w:p w14:paraId="6C6FCBBE">
      <w:pPr>
        <w:ind w:firstLine="495" w:firstLineChars="177"/>
        <w:rPr>
          <w:rFonts w:hint="eastAsia"/>
          <w:sz w:val="28"/>
          <w:szCs w:val="28"/>
        </w:rPr>
      </w:pPr>
      <w:r>
        <w:rPr>
          <w:rFonts w:hint="eastAsia"/>
          <w:sz w:val="28"/>
          <w:szCs w:val="28"/>
        </w:rPr>
        <w:t>2</w:t>
      </w:r>
      <w:r>
        <w:rPr>
          <w:sz w:val="28"/>
          <w:szCs w:val="28"/>
        </w:rPr>
        <w:t>.</w:t>
      </w:r>
      <w:r>
        <w:rPr>
          <w:rFonts w:hint="eastAsia"/>
          <w:sz w:val="28"/>
          <w:szCs w:val="28"/>
        </w:rPr>
        <w:t>强化绩效运行跟踪监控主体责任</w:t>
      </w:r>
    </w:p>
    <w:p w14:paraId="17E81B88">
      <w:pPr>
        <w:ind w:firstLine="495" w:firstLineChars="177"/>
        <w:rPr>
          <w:rFonts w:hint="eastAsia"/>
          <w:sz w:val="28"/>
          <w:szCs w:val="28"/>
        </w:rPr>
      </w:pPr>
      <w:r>
        <w:rPr>
          <w:rFonts w:hint="eastAsia"/>
          <w:sz w:val="28"/>
          <w:szCs w:val="28"/>
        </w:rPr>
        <w:t>各单位、各部门应建立并执行项目支出绩效运行跟踪监控机制，切实履行绩效跟踪监控主体责任，预算执行过程中及时对项目支出的绩效目标运行情况进行全覆盖跟踪监控管理，形成绩效跟踪监控报告或类似资料，定期采集绩效运行信息并汇总分析，对绩效目标运行情况进行跟踪管理和督促检查、纠偏扬长，发现绩效运行目标与预期绩效目标发生偏离时，要及时采取措施予以纠正。</w:t>
      </w:r>
    </w:p>
    <w:p w14:paraId="3E74F7D0">
      <w:pPr>
        <w:ind w:firstLine="495" w:firstLineChars="177"/>
        <w:rPr>
          <w:rFonts w:hint="eastAsia"/>
          <w:sz w:val="28"/>
          <w:szCs w:val="28"/>
        </w:rPr>
      </w:pPr>
      <w:r>
        <w:rPr>
          <w:sz w:val="28"/>
          <w:szCs w:val="28"/>
        </w:rPr>
        <w:t>3.</w:t>
      </w:r>
      <w:r>
        <w:rPr>
          <w:rFonts w:hint="eastAsia"/>
          <w:sz w:val="28"/>
          <w:szCs w:val="28"/>
        </w:rPr>
        <w:t>加强绩效评价指标体系建设</w:t>
      </w:r>
    </w:p>
    <w:p w14:paraId="2853C460">
      <w:pPr>
        <w:ind w:firstLine="560"/>
        <w:rPr>
          <w:rFonts w:hint="eastAsia" w:cs="仿宋"/>
          <w:sz w:val="28"/>
          <w:szCs w:val="28"/>
        </w:rPr>
      </w:pPr>
      <w:r>
        <w:rPr>
          <w:rFonts w:hint="eastAsia"/>
          <w:sz w:val="28"/>
          <w:szCs w:val="28"/>
        </w:rPr>
        <w:t>进一步加大绩效评价制度建设和完善</w:t>
      </w:r>
      <w:bookmarkStart w:id="74" w:name="_Hlk138864084"/>
      <w:r>
        <w:rPr>
          <w:rFonts w:hint="eastAsia"/>
          <w:sz w:val="28"/>
          <w:szCs w:val="28"/>
        </w:rPr>
        <w:t>绩效评价指标体系建设</w:t>
      </w:r>
      <w:bookmarkEnd w:id="74"/>
      <w:r>
        <w:rPr>
          <w:rFonts w:hint="eastAsia"/>
          <w:sz w:val="28"/>
          <w:szCs w:val="28"/>
        </w:rPr>
        <w:t>，在制度上加强规范管理，在执行中加大督促力度，让绩效评价工作真正走上制度化、规范化、标准化的新台阶，加强领导、统一思想、明确责任，制定由相关部门牵头、各部门参与的绩效评价管理制度和绩效评价指标体系建设。</w:t>
      </w:r>
    </w:p>
    <w:p w14:paraId="30A15A3D">
      <w:pPr>
        <w:ind w:firstLine="560"/>
        <w:rPr>
          <w:rFonts w:hint="eastAsia" w:ascii="楷体" w:hAnsi="楷体" w:eastAsia="楷体" w:cs="仿宋"/>
          <w:sz w:val="28"/>
          <w:szCs w:val="28"/>
        </w:rPr>
      </w:pPr>
      <w:r>
        <w:rPr>
          <w:rFonts w:ascii="楷体" w:hAnsi="楷体" w:eastAsia="楷体" w:cs="仿宋"/>
          <w:sz w:val="28"/>
          <w:szCs w:val="28"/>
        </w:rPr>
        <w:t>(</w:t>
      </w:r>
      <w:r>
        <w:rPr>
          <w:rFonts w:hint="eastAsia" w:ascii="楷体" w:hAnsi="楷体" w:eastAsia="楷体" w:cs="仿宋"/>
          <w:sz w:val="28"/>
          <w:szCs w:val="28"/>
        </w:rPr>
        <w:t>三</w:t>
      </w:r>
      <w:r>
        <w:rPr>
          <w:rFonts w:ascii="楷体" w:hAnsi="楷体" w:eastAsia="楷体" w:cs="仿宋"/>
          <w:sz w:val="28"/>
          <w:szCs w:val="28"/>
        </w:rPr>
        <w:t>)加强学习，提高认识</w:t>
      </w:r>
    </w:p>
    <w:p w14:paraId="390F94F3">
      <w:pPr>
        <w:ind w:firstLine="495" w:firstLineChars="177"/>
        <w:rPr>
          <w:rFonts w:hint="eastAsia"/>
          <w:sz w:val="28"/>
          <w:szCs w:val="28"/>
        </w:rPr>
      </w:pPr>
      <w:r>
        <w:rPr>
          <w:rFonts w:hint="eastAsia"/>
          <w:sz w:val="28"/>
          <w:szCs w:val="28"/>
        </w:rPr>
        <w:t>认真学习并严格按照《中华人民共和国预算法》、《中华人民共和国会计法》、《政府会计制度》、《政府会计准则》及运用指南和解释等系列法律法规，规范资金使用合规性和会计核算准确性。对项目具体实施单位资金使用、管理等情况进行有效的日常财务监控检查，保障项目资金合法合规使用，保证项目资金安全和专款专用。</w:t>
      </w:r>
    </w:p>
    <w:p w14:paraId="25D2105C">
      <w:pPr>
        <w:ind w:firstLine="560"/>
        <w:rPr>
          <w:rFonts w:hint="eastAsia"/>
          <w:sz w:val="28"/>
          <w:szCs w:val="28"/>
        </w:rPr>
      </w:pPr>
      <w:r>
        <w:rPr>
          <w:rFonts w:hint="eastAsia"/>
          <w:sz w:val="28"/>
          <w:szCs w:val="28"/>
        </w:rPr>
        <w:t>切实转变思想观念，牢固树立绩效意识，深入贯彻落实科学发展观，完善公共财政体系，推进财政科学化精细化管理，强化预算支出的责任和效率，提高财政资金使用效益</w:t>
      </w:r>
      <w:r>
        <w:rPr>
          <w:rFonts w:hint="eastAsia" w:cs="仿宋"/>
          <w:sz w:val="28"/>
          <w:szCs w:val="28"/>
        </w:rPr>
        <w:t>。</w:t>
      </w:r>
      <w:bookmarkEnd w:id="72"/>
      <w:bookmarkEnd w:id="73"/>
    </w:p>
    <w:p w14:paraId="06CA6A59">
      <w:pPr>
        <w:ind w:firstLine="495" w:firstLineChars="177"/>
        <w:rPr>
          <w:rFonts w:hint="eastAsia" w:ascii="楷体" w:hAnsi="楷体" w:eastAsia="楷体"/>
          <w:sz w:val="28"/>
          <w:szCs w:val="28"/>
        </w:rPr>
      </w:pPr>
      <w:r>
        <w:rPr>
          <w:rFonts w:hint="eastAsia" w:ascii="楷体" w:hAnsi="楷体" w:eastAsia="楷体"/>
          <w:sz w:val="28"/>
          <w:szCs w:val="28"/>
        </w:rPr>
        <w:t>(四)关于绩效管理的建议</w:t>
      </w:r>
    </w:p>
    <w:p w14:paraId="1E5E9267">
      <w:pPr>
        <w:ind w:firstLine="495" w:firstLineChars="177"/>
        <w:rPr>
          <w:rFonts w:hint="eastAsia"/>
          <w:sz w:val="28"/>
          <w:szCs w:val="28"/>
        </w:rPr>
      </w:pPr>
      <w:r>
        <w:rPr>
          <w:rFonts w:hint="eastAsia"/>
          <w:sz w:val="28"/>
          <w:szCs w:val="28"/>
        </w:rPr>
        <w:t>1.绩效自评</w:t>
      </w:r>
    </w:p>
    <w:p w14:paraId="2D234A7E">
      <w:pPr>
        <w:ind w:firstLine="495" w:firstLineChars="177"/>
        <w:rPr>
          <w:rFonts w:hint="eastAsia"/>
          <w:sz w:val="28"/>
          <w:szCs w:val="28"/>
        </w:rPr>
      </w:pPr>
      <w:r>
        <w:rPr>
          <w:rFonts w:hint="eastAsia"/>
          <w:sz w:val="28"/>
          <w:szCs w:val="28"/>
        </w:rPr>
        <w:t>绩效自评是预算单位主体责任之一，按照绩效评价管理原则，须先有项目产出和效果的绩效自评结果，才有预算主管部门的绩效评价基础。自评程序及方法建议如下：</w:t>
      </w:r>
    </w:p>
    <w:p w14:paraId="3DED8BC8">
      <w:pPr>
        <w:ind w:firstLine="495" w:firstLineChars="177"/>
        <w:rPr>
          <w:rFonts w:hint="eastAsia"/>
          <w:sz w:val="28"/>
          <w:szCs w:val="28"/>
        </w:rPr>
      </w:pPr>
      <w:r>
        <w:rPr>
          <w:rFonts w:hint="eastAsia"/>
          <w:sz w:val="28"/>
          <w:szCs w:val="28"/>
        </w:rPr>
        <w:t>(1)遵循“目标引领、科学规范、客观公正、结果导向”的原则。</w:t>
      </w:r>
    </w:p>
    <w:p w14:paraId="5D18407C">
      <w:pPr>
        <w:ind w:firstLine="495" w:firstLineChars="177"/>
        <w:rPr>
          <w:rFonts w:hint="eastAsia"/>
          <w:sz w:val="28"/>
          <w:szCs w:val="28"/>
        </w:rPr>
      </w:pPr>
      <w:r>
        <w:rPr>
          <w:rFonts w:hint="eastAsia"/>
          <w:sz w:val="28"/>
          <w:szCs w:val="28"/>
        </w:rPr>
        <w:t>(2)拟定评价计划。明确评价组织实施方式，确定评价目的、内容、任务、依据、评价时间及要求等方面的情况。</w:t>
      </w:r>
    </w:p>
    <w:p w14:paraId="066EC42B">
      <w:pPr>
        <w:ind w:firstLine="495" w:firstLineChars="177"/>
        <w:rPr>
          <w:rFonts w:hint="eastAsia"/>
          <w:sz w:val="28"/>
          <w:szCs w:val="28"/>
        </w:rPr>
      </w:pPr>
      <w:r>
        <w:rPr>
          <w:rFonts w:hint="eastAsia"/>
          <w:sz w:val="28"/>
          <w:szCs w:val="28"/>
        </w:rPr>
        <w:t>(3)根据评价计划拟定组织实施方案、评价指标体系等具体评价方案。</w:t>
      </w:r>
    </w:p>
    <w:p w14:paraId="62686768">
      <w:pPr>
        <w:ind w:firstLine="495" w:firstLineChars="177"/>
        <w:rPr>
          <w:rFonts w:hint="eastAsia"/>
          <w:sz w:val="28"/>
          <w:szCs w:val="28"/>
        </w:rPr>
      </w:pPr>
      <w:r>
        <w:rPr>
          <w:rFonts w:hint="eastAsia"/>
          <w:sz w:val="28"/>
          <w:szCs w:val="28"/>
        </w:rPr>
        <w:t>(4)收集项目资料，采集项目数据，形成评价底稿。</w:t>
      </w:r>
    </w:p>
    <w:p w14:paraId="5A53ED0D">
      <w:pPr>
        <w:ind w:firstLine="495" w:firstLineChars="177"/>
        <w:rPr>
          <w:rFonts w:hint="eastAsia"/>
          <w:sz w:val="28"/>
          <w:szCs w:val="28"/>
        </w:rPr>
      </w:pPr>
      <w:r>
        <w:rPr>
          <w:rFonts w:hint="eastAsia"/>
          <w:sz w:val="28"/>
          <w:szCs w:val="28"/>
        </w:rPr>
        <w:t>①项目资料包括但不限于（可以是电子资料和数据，但需随函附上目录清单）：a.资金支出明细账、完工项目验收资料（基本建设项目还应包括财务决算审计报告、竣工财务决算批复文件等）；b.项目申报立项的文件资料、项目调整的文件资料、资金管理办法、项目组织实施有关规定、资金支出总账等；c.反映绩效评价指标所对应绩效点的相关佐证材料，如：项目所提供公共产品数量的证明，项目所产生经济效益的凭证。</w:t>
      </w:r>
    </w:p>
    <w:p w14:paraId="60B9F79E">
      <w:pPr>
        <w:ind w:firstLine="495" w:firstLineChars="177"/>
        <w:rPr>
          <w:rFonts w:hint="eastAsia"/>
          <w:sz w:val="28"/>
          <w:szCs w:val="28"/>
        </w:rPr>
      </w:pPr>
      <w:r>
        <w:rPr>
          <w:rFonts w:hint="eastAsia"/>
          <w:sz w:val="28"/>
          <w:szCs w:val="28"/>
        </w:rPr>
        <w:t>②完成自评底稿：a.详细记录评价数据及其来源；b.详细记录自评方法和过程；c.根据采集的数据和证据资料，计算每个绩效指标的实际指标值，并与目标值比较，并详细记录于底稿；d.详细记录每一个绩效指标的评价分值的计算过程及依据；e.详细记录绩效偏差原因分析及改进措施。</w:t>
      </w:r>
    </w:p>
    <w:p w14:paraId="595D57D1">
      <w:pPr>
        <w:ind w:firstLine="495" w:firstLineChars="177"/>
        <w:rPr>
          <w:rFonts w:hint="eastAsia"/>
          <w:sz w:val="28"/>
          <w:szCs w:val="28"/>
        </w:rPr>
      </w:pPr>
      <w:r>
        <w:rPr>
          <w:rFonts w:hint="eastAsia"/>
          <w:sz w:val="28"/>
          <w:szCs w:val="28"/>
        </w:rPr>
        <w:t>(5)编制绩效自评报告。绩效自评报告的参考格式参照《项目支出绩效评价管理办法》（财预〔2020〕10 号）附件。</w:t>
      </w:r>
    </w:p>
    <w:p w14:paraId="6CFECA95">
      <w:pPr>
        <w:ind w:firstLine="495" w:firstLineChars="177"/>
        <w:rPr>
          <w:rFonts w:hint="eastAsia"/>
          <w:sz w:val="28"/>
          <w:szCs w:val="28"/>
        </w:rPr>
      </w:pPr>
      <w:r>
        <w:rPr>
          <w:rFonts w:hint="eastAsia"/>
          <w:sz w:val="28"/>
          <w:szCs w:val="28"/>
        </w:rPr>
        <w:t>2.绩效运行跟踪监控</w:t>
      </w:r>
    </w:p>
    <w:p w14:paraId="05AEB849">
      <w:pPr>
        <w:ind w:firstLine="495" w:firstLineChars="177"/>
        <w:rPr>
          <w:rFonts w:hint="eastAsia"/>
          <w:sz w:val="28"/>
          <w:szCs w:val="28"/>
        </w:rPr>
      </w:pPr>
      <w:r>
        <w:rPr>
          <w:rFonts w:hint="eastAsia"/>
          <w:sz w:val="28"/>
          <w:szCs w:val="28"/>
        </w:rPr>
        <w:t>在项目执行过程中，单位应采取绩效跟踪、数据核查和实地调研等动态监控方式，及时掌控项目的进展和资金使用情况，及时纠正偏离预算绩效目标的行为。</w:t>
      </w:r>
    </w:p>
    <w:p w14:paraId="1AE06944">
      <w:pPr>
        <w:ind w:firstLine="560"/>
        <w:rPr>
          <w:rFonts w:hint="eastAsia"/>
          <w:sz w:val="28"/>
          <w:szCs w:val="28"/>
        </w:rPr>
      </w:pPr>
      <w:r>
        <w:rPr>
          <w:rFonts w:hint="eastAsia"/>
          <w:sz w:val="28"/>
          <w:szCs w:val="28"/>
        </w:rPr>
        <w:t>跟踪方法：目标比较法，即定期采集绩效运行信息并汇总分析，将财政资金的绩效实现情况与预期绩效目标（即预算批复的绩效目标）进行比较，围绕预算执行、任务完成、实施措施、资金管理及使用、效益情况等进行分析评判。</w:t>
      </w:r>
    </w:p>
    <w:p w14:paraId="2E3317A4">
      <w:pPr>
        <w:ind w:firstLine="495" w:firstLineChars="177"/>
        <w:rPr>
          <w:rFonts w:hint="eastAsia"/>
          <w:sz w:val="28"/>
          <w:szCs w:val="28"/>
        </w:rPr>
      </w:pPr>
      <w:r>
        <w:rPr>
          <w:rFonts w:hint="eastAsia" w:ascii="楷体" w:hAnsi="楷体" w:eastAsia="楷体" w:cs="仿宋"/>
          <w:sz w:val="28"/>
          <w:szCs w:val="28"/>
        </w:rPr>
        <w:t>(五</w:t>
      </w:r>
      <w:r>
        <w:rPr>
          <w:rFonts w:ascii="楷体" w:hAnsi="楷体" w:eastAsia="楷体" w:cs="仿宋"/>
          <w:sz w:val="28"/>
          <w:szCs w:val="28"/>
        </w:rPr>
        <w:t>)</w:t>
      </w:r>
      <w:r>
        <w:rPr>
          <w:rFonts w:hint="eastAsia" w:ascii="楷体" w:hAnsi="楷体" w:eastAsia="楷体" w:cs="仿宋"/>
          <w:sz w:val="28"/>
          <w:szCs w:val="28"/>
        </w:rPr>
        <w:t>具体问题处理建议</w:t>
      </w:r>
    </w:p>
    <w:p w14:paraId="791EC26B">
      <w:pPr>
        <w:ind w:firstLine="560"/>
        <w:rPr>
          <w:rFonts w:hint="eastAsia" w:cs="仿宋"/>
          <w:sz w:val="28"/>
          <w:szCs w:val="28"/>
        </w:rPr>
      </w:pPr>
      <w:r>
        <w:rPr>
          <w:rFonts w:hint="eastAsia" w:cs="仿宋"/>
          <w:sz w:val="28"/>
          <w:szCs w:val="28"/>
        </w:rPr>
        <w:t>1.针对上述“基本建设程序执行不完整”、“未办理工程竣工决算手续”、“公共基础设施管理不规范”等问题，建议土储中心严格执行《关于重申严格执行基本建设程序和审批规定的通知》（计投资［1999］693号）等法律规定，规范完整基本建设项目前置程序执行，按规定执行竣工财决手续，以实际发生的投资成本确认、反映项目建设总成本。</w:t>
      </w:r>
    </w:p>
    <w:p w14:paraId="2C158CE4">
      <w:pPr>
        <w:ind w:firstLine="560"/>
        <w:rPr>
          <w:rFonts w:hint="eastAsia" w:cs="仿宋"/>
          <w:sz w:val="28"/>
          <w:szCs w:val="28"/>
        </w:rPr>
      </w:pPr>
      <w:r>
        <w:rPr>
          <w:rFonts w:hint="eastAsia" w:cs="仿宋"/>
          <w:sz w:val="28"/>
          <w:szCs w:val="28"/>
        </w:rPr>
        <w:t>2.针对上述“项目工程款支付依据不规范”、“账务核算不规范”的情况，建议土储中心</w:t>
      </w:r>
      <w:r>
        <w:rPr>
          <w:rFonts w:hint="eastAsia"/>
          <w:sz w:val="28"/>
          <w:szCs w:val="28"/>
        </w:rPr>
        <w:t>加强学习《政府会计制度》等财经法规，并严格执行财经法规的规定，补充支付依据并规范、完整核算资产价值</w:t>
      </w:r>
      <w:r>
        <w:rPr>
          <w:rFonts w:hint="eastAsia" w:cs="仿宋"/>
          <w:sz w:val="28"/>
          <w:szCs w:val="28"/>
        </w:rPr>
        <w:t>。</w:t>
      </w:r>
    </w:p>
    <w:p w14:paraId="51CAD0C8">
      <w:pPr>
        <w:ind w:firstLine="480"/>
        <w:rPr>
          <w:rFonts w:hint="eastAsia"/>
        </w:rPr>
      </w:pPr>
    </w:p>
    <w:p w14:paraId="6CB86D35">
      <w:pPr>
        <w:ind w:firstLine="560"/>
        <w:rPr>
          <w:rFonts w:hint="eastAsia" w:cs="仿宋"/>
          <w:sz w:val="28"/>
          <w:szCs w:val="28"/>
        </w:rPr>
      </w:pPr>
      <w:r>
        <w:rPr>
          <w:rFonts w:hint="eastAsia" w:cs="仿宋"/>
          <w:sz w:val="28"/>
          <w:szCs w:val="28"/>
        </w:rPr>
        <w:t>附件：寻甸县土地储备中心2019年土地储备专项债券项目支出绩效评价指标体系及评分表</w:t>
      </w:r>
    </w:p>
    <w:p w14:paraId="7A428150">
      <w:pPr>
        <w:ind w:firstLine="300"/>
        <w:rPr>
          <w:rFonts w:hint="eastAsia"/>
          <w:sz w:val="15"/>
          <w:szCs w:val="15"/>
        </w:rPr>
      </w:pPr>
    </w:p>
    <w:p w14:paraId="6467CC07">
      <w:pPr>
        <w:ind w:firstLine="265" w:firstLineChars="177"/>
        <w:rPr>
          <w:rFonts w:hint="eastAsia" w:cs="仿宋"/>
          <w:sz w:val="15"/>
          <w:szCs w:val="15"/>
        </w:rPr>
      </w:pPr>
      <w:r>
        <w:rPr>
          <w:rFonts w:hint="eastAsia" w:cs="仿宋"/>
          <w:sz w:val="15"/>
          <w:szCs w:val="15"/>
        </w:rPr>
        <w:t xml:space="preserve">                           </w:t>
      </w:r>
    </w:p>
    <w:p w14:paraId="7D0B0D05">
      <w:pPr>
        <w:ind w:firstLine="0" w:firstLineChars="0"/>
        <w:rPr>
          <w:rFonts w:hint="eastAsia" w:cs="仿宋"/>
          <w:sz w:val="28"/>
          <w:szCs w:val="28"/>
        </w:rPr>
      </w:pPr>
      <w:r>
        <w:rPr>
          <w:rFonts w:hint="eastAsia" w:cs="仿宋"/>
          <w:sz w:val="28"/>
          <w:szCs w:val="28"/>
        </w:rPr>
        <w:t>云南京健会计师事务所（普通合伙）     中国注册会计师：</w:t>
      </w:r>
    </w:p>
    <w:p w14:paraId="2BFF68E9">
      <w:pPr>
        <w:spacing w:line="240" w:lineRule="auto"/>
        <w:ind w:firstLine="5040" w:firstLineChars="2100"/>
        <w:rPr>
          <w:rFonts w:hint="eastAsia" w:cs="仿宋"/>
          <w:szCs w:val="24"/>
        </w:rPr>
      </w:pPr>
    </w:p>
    <w:p w14:paraId="0068824C">
      <w:pPr>
        <w:spacing w:line="240" w:lineRule="auto"/>
        <w:ind w:firstLine="5040" w:firstLineChars="2100"/>
        <w:rPr>
          <w:rFonts w:hint="eastAsia" w:cs="仿宋"/>
          <w:szCs w:val="24"/>
        </w:rPr>
      </w:pPr>
    </w:p>
    <w:p w14:paraId="445B544F">
      <w:pPr>
        <w:spacing w:line="240" w:lineRule="auto"/>
        <w:ind w:firstLine="1400" w:firstLineChars="500"/>
        <w:rPr>
          <w:rFonts w:hint="eastAsia" w:cs="仿宋"/>
          <w:sz w:val="28"/>
          <w:szCs w:val="28"/>
        </w:rPr>
      </w:pPr>
      <w:r>
        <w:rPr>
          <w:rFonts w:hint="eastAsia" w:cs="仿宋"/>
          <w:sz w:val="28"/>
          <w:szCs w:val="28"/>
        </w:rPr>
        <w:t>中国•昆明                  中国注册会计师：</w:t>
      </w:r>
    </w:p>
    <w:p w14:paraId="7EBE251A">
      <w:pPr>
        <w:pStyle w:val="4"/>
        <w:spacing w:line="240" w:lineRule="auto"/>
        <w:ind w:firstLine="300"/>
        <w:rPr>
          <w:rFonts w:hint="eastAsia"/>
          <w:sz w:val="15"/>
          <w:szCs w:val="15"/>
        </w:rPr>
      </w:pPr>
    </w:p>
    <w:p w14:paraId="5FA24CD5">
      <w:pPr>
        <w:ind w:firstLine="560"/>
        <w:rPr>
          <w:rFonts w:hint="eastAsia" w:ascii="仿宋_GB2312" w:hAnsi="仿宋_GB2312" w:eastAsia="仿宋_GB2312" w:cs="仿宋_GB2312"/>
          <w:sz w:val="28"/>
          <w:szCs w:val="28"/>
          <w:highlight w:val="yellow"/>
        </w:rPr>
      </w:pPr>
      <w:r>
        <w:rPr>
          <w:rFonts w:hint="eastAsia" w:cs="仿宋"/>
          <w:sz w:val="28"/>
          <w:szCs w:val="28"/>
        </w:rPr>
        <w:t xml:space="preserve">                             二〇二四年九月二十五日</w:t>
      </w:r>
    </w:p>
    <w:sectPr>
      <w:footerReference r:id="rId11" w:type="default"/>
      <w:pgSz w:w="11906" w:h="16838"/>
      <w:pgMar w:top="1440" w:right="1803" w:bottom="1440" w:left="1803" w:header="1077" w:footer="992" w:gutter="0"/>
      <w:pgBorders>
        <w:top w:val="single" w:color="auto" w:sz="4" w:space="1"/>
        <w:bottom w:val="single" w:color="auto" w:sz="4" w:space="1"/>
      </w:pgBorders>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F97AD">
    <w:pPr>
      <w:pStyle w:val="5"/>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FFFFD">
    <w:pPr>
      <w:pStyle w:val="5"/>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22B6A">
    <w:pPr>
      <w:pStyle w:val="5"/>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CEF83">
    <w:pPr>
      <w:spacing w:line="240" w:lineRule="auto"/>
      <w:ind w:firstLine="0" w:firstLineChars="0"/>
      <w:rPr>
        <w:rFonts w:hint="eastAsia"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2061845</wp:posOffset>
              </wp:positionH>
              <wp:positionV relativeFrom="paragraph">
                <wp:posOffset>635</wp:posOffset>
              </wp:positionV>
              <wp:extent cx="1847850" cy="196850"/>
              <wp:effectExtent l="0" t="0" r="0" b="12700"/>
              <wp:wrapNone/>
              <wp:docPr id="28" name="文本框 28"/>
              <wp:cNvGraphicFramePr/>
              <a:graphic xmlns:a="http://schemas.openxmlformats.org/drawingml/2006/main">
                <a:graphicData uri="http://schemas.microsoft.com/office/word/2010/wordprocessingShape">
                  <wps:wsp>
                    <wps:cNvSpPr txBox="1"/>
                    <wps:spPr>
                      <a:xfrm>
                        <a:off x="0" y="0"/>
                        <a:ext cx="1847850" cy="196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E0D86">
                          <w:pPr>
                            <w:pStyle w:val="5"/>
                            <w:ind w:firstLine="360"/>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22</w:t>
                          </w:r>
                          <w: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2.35pt;margin-top:0.05pt;height:15.5pt;width:145.5pt;mso-position-horizontal-relative:margin;z-index:251660288;mso-width-relative:page;mso-height-relative:page;" filled="f" stroked="f" coordsize="21600,21600" o:gfxdata="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X0F8Z0wAAAAcBAAAPAAAAAAAAAAEAIAAAACIAAABkcnMvZG93bnJldi54bWxQSwECFAAU&#10;AAAACACHTuJAv4TkQS8CAABYBAAADgAAAAAAAAABACAAAAAiAQAAZHJzL2Uyb0RvYy54bWxQSwUG&#10;AAAAAAYABgBZAQAAwwUAAAAA&#10;">
              <v:fill on="f" focussize="0,0"/>
              <v:stroke on="f" weight="0.5pt"/>
              <v:imagedata o:title=""/>
              <o:lock v:ext="edit" aspectratio="f"/>
              <v:textbox inset="0mm,0mm,0mm,0mm">
                <w:txbxContent>
                  <w:p w14:paraId="69EE0D86">
                    <w:pPr>
                      <w:pStyle w:val="5"/>
                      <w:ind w:firstLine="360"/>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22</w:t>
                    </w:r>
                    <w:r>
                      <w:t>页</w:t>
                    </w:r>
                  </w:p>
                </w:txbxContent>
              </v:textbox>
            </v:shape>
          </w:pict>
        </mc:Fallback>
      </mc:AlternateContent>
    </w:r>
    <w:r>
      <w:rPr>
        <w:sz w:val="18"/>
        <w:szCs w:val="18"/>
      </w:rPr>
      <mc:AlternateContent>
        <mc:Choice Requires="wps">
          <w:drawing>
            <wp:anchor distT="0" distB="0" distL="114300" distR="114300" simplePos="0" relativeHeight="251659264" behindDoc="0" locked="0" layoutInCell="1" allowOverlap="1">
              <wp:simplePos x="0" y="0"/>
              <wp:positionH relativeFrom="margin">
                <wp:posOffset>2517775</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16C22">
                          <w:pPr>
                            <w:pStyle w:val="5"/>
                            <w:ind w:firstLine="360"/>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8.25pt;margin-top:0pt;height:144pt;width:144pt;mso-position-horizontal-relative:margin;mso-wrap-style:none;z-index:251659264;mso-width-relative:page;mso-height-relative:page;" filled="f" stroked="f" coordsize="21600,21600" o:gfxdata="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evbmbVAAAACAEAAA8AAAAAAAAAAQAgAAAAIgAAAGRycy9kb3ducmV2LnhtbFBLAQIUABQA&#10;AAAIAIdO4kCvY9gwLAIAAFUEAAAOAAAAAAAAAAEAIAAAACQBAABkcnMvZTJvRG9jLnhtbFBLBQYA&#10;AAAABgAGAFkBAADCBQAAAAA=&#10;">
              <v:fill on="f" focussize="0,0"/>
              <v:stroke on="f" weight="0.5pt"/>
              <v:imagedata o:title=""/>
              <o:lock v:ext="edit" aspectratio="f"/>
              <v:textbox inset="0mm,0mm,0mm,0mm" style="mso-fit-shape-to-text:t;">
                <w:txbxContent>
                  <w:p w14:paraId="7D616C22">
                    <w:pPr>
                      <w:pStyle w:val="5"/>
                      <w:ind w:firstLine="360"/>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FDC20">
    <w:pPr>
      <w:pStyle w:val="6"/>
      <w:spacing w:line="240" w:lineRule="auto"/>
      <w:ind w:firstLine="0" w:firstLineChars="0"/>
      <w:jc w:val="right"/>
      <w:rPr>
        <w:rFonts w:hint="eastAsia" w:ascii="隶书" w:eastAsia="隶书"/>
      </w:rPr>
    </w:pPr>
    <w:r>
      <w:rPr>
        <w:rFonts w:hint="eastAsia" w:ascii="隶书" w:eastAsia="隶书"/>
        <w:sz w:val="21"/>
        <w:szCs w:val="21"/>
      </w:rPr>
      <w:t>云南京健会计师事务所（普通合伙）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134F7">
    <w:pPr>
      <w:pStyle w:val="6"/>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D8116">
    <w:pPr>
      <w:pStyle w:val="6"/>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ZTA5OGIyZDFiYmVjNDc0YWQwYmIwMmVjNmMwNTUifQ=="/>
  </w:docVars>
  <w:rsids>
    <w:rsidRoot w:val="00AE6716"/>
    <w:rsid w:val="00002219"/>
    <w:rsid w:val="000038D4"/>
    <w:rsid w:val="00005169"/>
    <w:rsid w:val="0000608E"/>
    <w:rsid w:val="00011C57"/>
    <w:rsid w:val="00015509"/>
    <w:rsid w:val="000172D3"/>
    <w:rsid w:val="00024B3C"/>
    <w:rsid w:val="00030EE7"/>
    <w:rsid w:val="0003307D"/>
    <w:rsid w:val="00033BE3"/>
    <w:rsid w:val="000361C1"/>
    <w:rsid w:val="00044C9E"/>
    <w:rsid w:val="0005055D"/>
    <w:rsid w:val="00064E98"/>
    <w:rsid w:val="000B6965"/>
    <w:rsid w:val="000C32B8"/>
    <w:rsid w:val="000D1D34"/>
    <w:rsid w:val="000E2072"/>
    <w:rsid w:val="000F72F8"/>
    <w:rsid w:val="001214D1"/>
    <w:rsid w:val="001239EA"/>
    <w:rsid w:val="001264B1"/>
    <w:rsid w:val="00145FD6"/>
    <w:rsid w:val="001572F5"/>
    <w:rsid w:val="00166060"/>
    <w:rsid w:val="00180D6B"/>
    <w:rsid w:val="001A3B18"/>
    <w:rsid w:val="001B0A62"/>
    <w:rsid w:val="001E5BB7"/>
    <w:rsid w:val="001E74EE"/>
    <w:rsid w:val="001F2A85"/>
    <w:rsid w:val="00202A6A"/>
    <w:rsid w:val="00214176"/>
    <w:rsid w:val="002415BB"/>
    <w:rsid w:val="0025552D"/>
    <w:rsid w:val="002712A3"/>
    <w:rsid w:val="002715D8"/>
    <w:rsid w:val="00275F57"/>
    <w:rsid w:val="002C2048"/>
    <w:rsid w:val="002D2828"/>
    <w:rsid w:val="002F42E5"/>
    <w:rsid w:val="003169B6"/>
    <w:rsid w:val="00326965"/>
    <w:rsid w:val="00335FFD"/>
    <w:rsid w:val="00340ADF"/>
    <w:rsid w:val="00352558"/>
    <w:rsid w:val="00370B44"/>
    <w:rsid w:val="003712D1"/>
    <w:rsid w:val="00371BAD"/>
    <w:rsid w:val="003722B5"/>
    <w:rsid w:val="00374C05"/>
    <w:rsid w:val="003756BB"/>
    <w:rsid w:val="00382E36"/>
    <w:rsid w:val="003856E2"/>
    <w:rsid w:val="00391CCA"/>
    <w:rsid w:val="003935FA"/>
    <w:rsid w:val="003A1E68"/>
    <w:rsid w:val="003A2646"/>
    <w:rsid w:val="003A27F7"/>
    <w:rsid w:val="003B05DD"/>
    <w:rsid w:val="003B32E5"/>
    <w:rsid w:val="003B3D37"/>
    <w:rsid w:val="003B4DEF"/>
    <w:rsid w:val="003C273F"/>
    <w:rsid w:val="003C4B4E"/>
    <w:rsid w:val="003D39DD"/>
    <w:rsid w:val="003E11E1"/>
    <w:rsid w:val="003F052C"/>
    <w:rsid w:val="00403F6D"/>
    <w:rsid w:val="0042036D"/>
    <w:rsid w:val="00422D75"/>
    <w:rsid w:val="00431574"/>
    <w:rsid w:val="004329B0"/>
    <w:rsid w:val="0044645E"/>
    <w:rsid w:val="004503E8"/>
    <w:rsid w:val="004555F3"/>
    <w:rsid w:val="0047338E"/>
    <w:rsid w:val="00483509"/>
    <w:rsid w:val="0048737F"/>
    <w:rsid w:val="00493D71"/>
    <w:rsid w:val="004A457C"/>
    <w:rsid w:val="004B0346"/>
    <w:rsid w:val="004B39A6"/>
    <w:rsid w:val="004D6964"/>
    <w:rsid w:val="004E26CD"/>
    <w:rsid w:val="00511D5C"/>
    <w:rsid w:val="00515092"/>
    <w:rsid w:val="005220D0"/>
    <w:rsid w:val="00532715"/>
    <w:rsid w:val="00533749"/>
    <w:rsid w:val="00571DF9"/>
    <w:rsid w:val="00586C37"/>
    <w:rsid w:val="005927C2"/>
    <w:rsid w:val="005B12F9"/>
    <w:rsid w:val="005B2093"/>
    <w:rsid w:val="005B639E"/>
    <w:rsid w:val="005C43AC"/>
    <w:rsid w:val="005C573E"/>
    <w:rsid w:val="005D6324"/>
    <w:rsid w:val="005E15A2"/>
    <w:rsid w:val="005E6414"/>
    <w:rsid w:val="005E6A7F"/>
    <w:rsid w:val="005E6E6C"/>
    <w:rsid w:val="00600037"/>
    <w:rsid w:val="00604810"/>
    <w:rsid w:val="00611E60"/>
    <w:rsid w:val="006149C5"/>
    <w:rsid w:val="00614B5D"/>
    <w:rsid w:val="006306BF"/>
    <w:rsid w:val="00630D3F"/>
    <w:rsid w:val="00640D04"/>
    <w:rsid w:val="0064231A"/>
    <w:rsid w:val="0065533B"/>
    <w:rsid w:val="0066613F"/>
    <w:rsid w:val="0066677A"/>
    <w:rsid w:val="006703CD"/>
    <w:rsid w:val="0067124D"/>
    <w:rsid w:val="0068706F"/>
    <w:rsid w:val="006B193F"/>
    <w:rsid w:val="006B4261"/>
    <w:rsid w:val="006C257B"/>
    <w:rsid w:val="006C43D2"/>
    <w:rsid w:val="006C5BA8"/>
    <w:rsid w:val="006C798D"/>
    <w:rsid w:val="006E216C"/>
    <w:rsid w:val="006E438B"/>
    <w:rsid w:val="006E5D1A"/>
    <w:rsid w:val="006E6946"/>
    <w:rsid w:val="0071259F"/>
    <w:rsid w:val="0071483A"/>
    <w:rsid w:val="00724AEC"/>
    <w:rsid w:val="00730ADF"/>
    <w:rsid w:val="00731A35"/>
    <w:rsid w:val="00763E3C"/>
    <w:rsid w:val="00766E87"/>
    <w:rsid w:val="00770054"/>
    <w:rsid w:val="007701F9"/>
    <w:rsid w:val="0077314F"/>
    <w:rsid w:val="007926C2"/>
    <w:rsid w:val="007A2B55"/>
    <w:rsid w:val="007B2524"/>
    <w:rsid w:val="007C45FD"/>
    <w:rsid w:val="007D06F9"/>
    <w:rsid w:val="007D29F6"/>
    <w:rsid w:val="007F143F"/>
    <w:rsid w:val="007F5A7A"/>
    <w:rsid w:val="008041E4"/>
    <w:rsid w:val="008071AD"/>
    <w:rsid w:val="008113A7"/>
    <w:rsid w:val="0081361F"/>
    <w:rsid w:val="008362BE"/>
    <w:rsid w:val="00836573"/>
    <w:rsid w:val="00841B15"/>
    <w:rsid w:val="008438CF"/>
    <w:rsid w:val="008445D5"/>
    <w:rsid w:val="00854DF0"/>
    <w:rsid w:val="00861AF7"/>
    <w:rsid w:val="00864C20"/>
    <w:rsid w:val="008A0255"/>
    <w:rsid w:val="008A3625"/>
    <w:rsid w:val="008A6E93"/>
    <w:rsid w:val="008B0C94"/>
    <w:rsid w:val="008B79EC"/>
    <w:rsid w:val="008C6B4A"/>
    <w:rsid w:val="008D6685"/>
    <w:rsid w:val="00911BDC"/>
    <w:rsid w:val="00913BC2"/>
    <w:rsid w:val="009223AD"/>
    <w:rsid w:val="00932AF3"/>
    <w:rsid w:val="00932D0E"/>
    <w:rsid w:val="009444DF"/>
    <w:rsid w:val="00962688"/>
    <w:rsid w:val="0096403A"/>
    <w:rsid w:val="009654AB"/>
    <w:rsid w:val="009850B8"/>
    <w:rsid w:val="009866E9"/>
    <w:rsid w:val="00986C3F"/>
    <w:rsid w:val="009B15DF"/>
    <w:rsid w:val="009B4B58"/>
    <w:rsid w:val="009C0BE2"/>
    <w:rsid w:val="009C4DF1"/>
    <w:rsid w:val="009F5083"/>
    <w:rsid w:val="009F65C5"/>
    <w:rsid w:val="00A007BA"/>
    <w:rsid w:val="00A01C88"/>
    <w:rsid w:val="00A13752"/>
    <w:rsid w:val="00A1491F"/>
    <w:rsid w:val="00A22A0E"/>
    <w:rsid w:val="00A240C9"/>
    <w:rsid w:val="00A32982"/>
    <w:rsid w:val="00A4267B"/>
    <w:rsid w:val="00A46FBA"/>
    <w:rsid w:val="00A53BC4"/>
    <w:rsid w:val="00A60EBC"/>
    <w:rsid w:val="00A623BE"/>
    <w:rsid w:val="00A65A75"/>
    <w:rsid w:val="00A776C4"/>
    <w:rsid w:val="00A809BB"/>
    <w:rsid w:val="00A929E4"/>
    <w:rsid w:val="00A95766"/>
    <w:rsid w:val="00A975BA"/>
    <w:rsid w:val="00A978AE"/>
    <w:rsid w:val="00AA4337"/>
    <w:rsid w:val="00AC33F7"/>
    <w:rsid w:val="00AE21DE"/>
    <w:rsid w:val="00AE6716"/>
    <w:rsid w:val="00AE7FDF"/>
    <w:rsid w:val="00AF1237"/>
    <w:rsid w:val="00B0066B"/>
    <w:rsid w:val="00B01956"/>
    <w:rsid w:val="00B1088C"/>
    <w:rsid w:val="00B22112"/>
    <w:rsid w:val="00B2454C"/>
    <w:rsid w:val="00B35908"/>
    <w:rsid w:val="00B45F98"/>
    <w:rsid w:val="00B46E5F"/>
    <w:rsid w:val="00B5312E"/>
    <w:rsid w:val="00B7097B"/>
    <w:rsid w:val="00B709E3"/>
    <w:rsid w:val="00B84D3B"/>
    <w:rsid w:val="00B90069"/>
    <w:rsid w:val="00B93D7A"/>
    <w:rsid w:val="00B95049"/>
    <w:rsid w:val="00B95EE7"/>
    <w:rsid w:val="00BA7A3B"/>
    <w:rsid w:val="00BB69B2"/>
    <w:rsid w:val="00BC4075"/>
    <w:rsid w:val="00BC7EDA"/>
    <w:rsid w:val="00BD2F72"/>
    <w:rsid w:val="00BD5DA4"/>
    <w:rsid w:val="00BD6B55"/>
    <w:rsid w:val="00BF04C3"/>
    <w:rsid w:val="00C007A2"/>
    <w:rsid w:val="00C14398"/>
    <w:rsid w:val="00C36906"/>
    <w:rsid w:val="00C3762A"/>
    <w:rsid w:val="00C45671"/>
    <w:rsid w:val="00C56F4D"/>
    <w:rsid w:val="00C71063"/>
    <w:rsid w:val="00C75453"/>
    <w:rsid w:val="00C76CBF"/>
    <w:rsid w:val="00C91185"/>
    <w:rsid w:val="00C956F9"/>
    <w:rsid w:val="00CB2E57"/>
    <w:rsid w:val="00CB4382"/>
    <w:rsid w:val="00CB52C5"/>
    <w:rsid w:val="00CE2AD0"/>
    <w:rsid w:val="00CF6720"/>
    <w:rsid w:val="00D00525"/>
    <w:rsid w:val="00D107EE"/>
    <w:rsid w:val="00D10B47"/>
    <w:rsid w:val="00D10C8C"/>
    <w:rsid w:val="00D1111B"/>
    <w:rsid w:val="00D12103"/>
    <w:rsid w:val="00D161F4"/>
    <w:rsid w:val="00D1717B"/>
    <w:rsid w:val="00D25417"/>
    <w:rsid w:val="00D27FD0"/>
    <w:rsid w:val="00DA663B"/>
    <w:rsid w:val="00DB350C"/>
    <w:rsid w:val="00DB458C"/>
    <w:rsid w:val="00DB612D"/>
    <w:rsid w:val="00DB6EB6"/>
    <w:rsid w:val="00DD64BC"/>
    <w:rsid w:val="00DE352C"/>
    <w:rsid w:val="00DE7A9A"/>
    <w:rsid w:val="00DF324C"/>
    <w:rsid w:val="00DF49F8"/>
    <w:rsid w:val="00E35CAE"/>
    <w:rsid w:val="00E35F11"/>
    <w:rsid w:val="00E42ADD"/>
    <w:rsid w:val="00E526BF"/>
    <w:rsid w:val="00E55609"/>
    <w:rsid w:val="00E6085D"/>
    <w:rsid w:val="00E8619D"/>
    <w:rsid w:val="00E959D8"/>
    <w:rsid w:val="00E96609"/>
    <w:rsid w:val="00E97E57"/>
    <w:rsid w:val="00EA47EA"/>
    <w:rsid w:val="00EB2875"/>
    <w:rsid w:val="00EB637E"/>
    <w:rsid w:val="00EC0F7D"/>
    <w:rsid w:val="00EC490D"/>
    <w:rsid w:val="00ED5C39"/>
    <w:rsid w:val="00F048D4"/>
    <w:rsid w:val="00F1335B"/>
    <w:rsid w:val="00F538C0"/>
    <w:rsid w:val="00F53C6A"/>
    <w:rsid w:val="00F55E9E"/>
    <w:rsid w:val="00F57864"/>
    <w:rsid w:val="00F65635"/>
    <w:rsid w:val="00F66CE9"/>
    <w:rsid w:val="00F87BDE"/>
    <w:rsid w:val="00FB1D37"/>
    <w:rsid w:val="00FB218F"/>
    <w:rsid w:val="00FC07AE"/>
    <w:rsid w:val="00FC52C9"/>
    <w:rsid w:val="00FD7511"/>
    <w:rsid w:val="00FE4897"/>
    <w:rsid w:val="00FF2222"/>
    <w:rsid w:val="010C6983"/>
    <w:rsid w:val="012C7DC0"/>
    <w:rsid w:val="012F3B23"/>
    <w:rsid w:val="01432CF3"/>
    <w:rsid w:val="01436F9F"/>
    <w:rsid w:val="01880A19"/>
    <w:rsid w:val="018C388B"/>
    <w:rsid w:val="01B65C30"/>
    <w:rsid w:val="01C64855"/>
    <w:rsid w:val="01E26F97"/>
    <w:rsid w:val="02151E80"/>
    <w:rsid w:val="022E0963"/>
    <w:rsid w:val="0257031E"/>
    <w:rsid w:val="02684EB4"/>
    <w:rsid w:val="026D72F2"/>
    <w:rsid w:val="02A02758"/>
    <w:rsid w:val="02A3463C"/>
    <w:rsid w:val="02A70805"/>
    <w:rsid w:val="02BC2BBA"/>
    <w:rsid w:val="02EA73E1"/>
    <w:rsid w:val="0307577D"/>
    <w:rsid w:val="03BD28D6"/>
    <w:rsid w:val="045C346D"/>
    <w:rsid w:val="048A2A24"/>
    <w:rsid w:val="049401D8"/>
    <w:rsid w:val="04AC5FBE"/>
    <w:rsid w:val="04E77027"/>
    <w:rsid w:val="05145211"/>
    <w:rsid w:val="0521507F"/>
    <w:rsid w:val="055C6AE7"/>
    <w:rsid w:val="05634866"/>
    <w:rsid w:val="057F1E81"/>
    <w:rsid w:val="05FB5DC4"/>
    <w:rsid w:val="06186903"/>
    <w:rsid w:val="062A6E20"/>
    <w:rsid w:val="06404308"/>
    <w:rsid w:val="06790629"/>
    <w:rsid w:val="06A96071"/>
    <w:rsid w:val="06BD18CD"/>
    <w:rsid w:val="06DD1B0A"/>
    <w:rsid w:val="06DE5211"/>
    <w:rsid w:val="070077AC"/>
    <w:rsid w:val="07014EC2"/>
    <w:rsid w:val="074C6A10"/>
    <w:rsid w:val="075C167D"/>
    <w:rsid w:val="07D475CA"/>
    <w:rsid w:val="07F53CEB"/>
    <w:rsid w:val="080C5426"/>
    <w:rsid w:val="081D15C4"/>
    <w:rsid w:val="08281E83"/>
    <w:rsid w:val="08310243"/>
    <w:rsid w:val="08932548"/>
    <w:rsid w:val="08BE1A5F"/>
    <w:rsid w:val="08E46646"/>
    <w:rsid w:val="095F41FF"/>
    <w:rsid w:val="09734E97"/>
    <w:rsid w:val="09790F31"/>
    <w:rsid w:val="097C2206"/>
    <w:rsid w:val="09811723"/>
    <w:rsid w:val="09943BCA"/>
    <w:rsid w:val="09BE3873"/>
    <w:rsid w:val="09D850BF"/>
    <w:rsid w:val="0A177A6F"/>
    <w:rsid w:val="0A9F4057"/>
    <w:rsid w:val="0ABE7C42"/>
    <w:rsid w:val="0AD41505"/>
    <w:rsid w:val="0B114150"/>
    <w:rsid w:val="0B2B5475"/>
    <w:rsid w:val="0B316DB7"/>
    <w:rsid w:val="0B45384A"/>
    <w:rsid w:val="0BFF1C88"/>
    <w:rsid w:val="0C016446"/>
    <w:rsid w:val="0C1D7C13"/>
    <w:rsid w:val="0C230B9E"/>
    <w:rsid w:val="0C45114E"/>
    <w:rsid w:val="0C4F19D8"/>
    <w:rsid w:val="0CC071D9"/>
    <w:rsid w:val="0CD226F8"/>
    <w:rsid w:val="0CD33493"/>
    <w:rsid w:val="0CED7F3F"/>
    <w:rsid w:val="0D4940A8"/>
    <w:rsid w:val="0D654235"/>
    <w:rsid w:val="0D831253"/>
    <w:rsid w:val="0DBA5E70"/>
    <w:rsid w:val="0DCA5DE1"/>
    <w:rsid w:val="0DE47989"/>
    <w:rsid w:val="0DFA4270"/>
    <w:rsid w:val="0E4873B8"/>
    <w:rsid w:val="0E62232C"/>
    <w:rsid w:val="0E69015E"/>
    <w:rsid w:val="0E6C554A"/>
    <w:rsid w:val="0E732050"/>
    <w:rsid w:val="0EA96822"/>
    <w:rsid w:val="0F201299"/>
    <w:rsid w:val="0F3026BC"/>
    <w:rsid w:val="0F4F24AB"/>
    <w:rsid w:val="0F6F0C3D"/>
    <w:rsid w:val="0FA554CA"/>
    <w:rsid w:val="102D258D"/>
    <w:rsid w:val="106C2346"/>
    <w:rsid w:val="106C7654"/>
    <w:rsid w:val="10762E0B"/>
    <w:rsid w:val="10A3523B"/>
    <w:rsid w:val="10A41CED"/>
    <w:rsid w:val="10AD2C55"/>
    <w:rsid w:val="10C43B87"/>
    <w:rsid w:val="11041BAB"/>
    <w:rsid w:val="110B1D5E"/>
    <w:rsid w:val="111D6972"/>
    <w:rsid w:val="11352493"/>
    <w:rsid w:val="11365128"/>
    <w:rsid w:val="1150050C"/>
    <w:rsid w:val="11686341"/>
    <w:rsid w:val="11CA17ED"/>
    <w:rsid w:val="11DA58D8"/>
    <w:rsid w:val="11E920D6"/>
    <w:rsid w:val="120A0F69"/>
    <w:rsid w:val="1225668C"/>
    <w:rsid w:val="122660D5"/>
    <w:rsid w:val="12320C01"/>
    <w:rsid w:val="1256332B"/>
    <w:rsid w:val="1283031A"/>
    <w:rsid w:val="128565DB"/>
    <w:rsid w:val="12DB208F"/>
    <w:rsid w:val="12ED67D7"/>
    <w:rsid w:val="12FC68FF"/>
    <w:rsid w:val="130C2193"/>
    <w:rsid w:val="130E3903"/>
    <w:rsid w:val="13166809"/>
    <w:rsid w:val="132922C3"/>
    <w:rsid w:val="13544641"/>
    <w:rsid w:val="13943B2C"/>
    <w:rsid w:val="13D5523A"/>
    <w:rsid w:val="13D656DB"/>
    <w:rsid w:val="13D7779C"/>
    <w:rsid w:val="13DF48A7"/>
    <w:rsid w:val="144D3492"/>
    <w:rsid w:val="144D747C"/>
    <w:rsid w:val="145A1383"/>
    <w:rsid w:val="14D5415A"/>
    <w:rsid w:val="14D9678B"/>
    <w:rsid w:val="14FC5A91"/>
    <w:rsid w:val="15AC577F"/>
    <w:rsid w:val="15EE2E40"/>
    <w:rsid w:val="16446A3C"/>
    <w:rsid w:val="16523EA2"/>
    <w:rsid w:val="16DD2D5E"/>
    <w:rsid w:val="16E01397"/>
    <w:rsid w:val="16EA3483"/>
    <w:rsid w:val="174C1CD5"/>
    <w:rsid w:val="1752026A"/>
    <w:rsid w:val="175A563C"/>
    <w:rsid w:val="179C442C"/>
    <w:rsid w:val="17D26242"/>
    <w:rsid w:val="186561F9"/>
    <w:rsid w:val="18736211"/>
    <w:rsid w:val="18772165"/>
    <w:rsid w:val="18B6616D"/>
    <w:rsid w:val="18E933C9"/>
    <w:rsid w:val="18FD2189"/>
    <w:rsid w:val="19250992"/>
    <w:rsid w:val="19BA7F53"/>
    <w:rsid w:val="19BE25D1"/>
    <w:rsid w:val="19EB2EA3"/>
    <w:rsid w:val="1A032ECE"/>
    <w:rsid w:val="1A17016E"/>
    <w:rsid w:val="1A1F29A8"/>
    <w:rsid w:val="1A3C7AF1"/>
    <w:rsid w:val="1A3D12CC"/>
    <w:rsid w:val="1A545436"/>
    <w:rsid w:val="1A6C6495"/>
    <w:rsid w:val="1A86207F"/>
    <w:rsid w:val="1AE02712"/>
    <w:rsid w:val="1AE80A5A"/>
    <w:rsid w:val="1AEA56AB"/>
    <w:rsid w:val="1AF104DA"/>
    <w:rsid w:val="1B045886"/>
    <w:rsid w:val="1B082591"/>
    <w:rsid w:val="1B3E28E5"/>
    <w:rsid w:val="1B552716"/>
    <w:rsid w:val="1B6D5FA5"/>
    <w:rsid w:val="1B6F0F2D"/>
    <w:rsid w:val="1B79551A"/>
    <w:rsid w:val="1BA928F0"/>
    <w:rsid w:val="1C2D714A"/>
    <w:rsid w:val="1C6D0C27"/>
    <w:rsid w:val="1C6D274D"/>
    <w:rsid w:val="1C7707CD"/>
    <w:rsid w:val="1C906637"/>
    <w:rsid w:val="1CC9627E"/>
    <w:rsid w:val="1CD55A4A"/>
    <w:rsid w:val="1D0F7A8E"/>
    <w:rsid w:val="1D1B0AD1"/>
    <w:rsid w:val="1D221FDC"/>
    <w:rsid w:val="1D2F1285"/>
    <w:rsid w:val="1D3941A5"/>
    <w:rsid w:val="1D4C7ED3"/>
    <w:rsid w:val="1D7736C9"/>
    <w:rsid w:val="1D831AE5"/>
    <w:rsid w:val="1D8D6A3B"/>
    <w:rsid w:val="1D904FA5"/>
    <w:rsid w:val="1DC03EC1"/>
    <w:rsid w:val="1DD14027"/>
    <w:rsid w:val="1DE925A7"/>
    <w:rsid w:val="1E010BC0"/>
    <w:rsid w:val="1E2C4E59"/>
    <w:rsid w:val="1EB01ACB"/>
    <w:rsid w:val="1ED05892"/>
    <w:rsid w:val="1ED53D73"/>
    <w:rsid w:val="1EE8779D"/>
    <w:rsid w:val="1F4164DF"/>
    <w:rsid w:val="1F591721"/>
    <w:rsid w:val="1F6F6360"/>
    <w:rsid w:val="1F8B1E2F"/>
    <w:rsid w:val="1F91086F"/>
    <w:rsid w:val="1FE2356A"/>
    <w:rsid w:val="200244D1"/>
    <w:rsid w:val="201E59ED"/>
    <w:rsid w:val="2025021C"/>
    <w:rsid w:val="20356024"/>
    <w:rsid w:val="20536DBE"/>
    <w:rsid w:val="20694D65"/>
    <w:rsid w:val="20A14E27"/>
    <w:rsid w:val="20D30E0A"/>
    <w:rsid w:val="20D60287"/>
    <w:rsid w:val="20FC17FA"/>
    <w:rsid w:val="2114179F"/>
    <w:rsid w:val="21197B5A"/>
    <w:rsid w:val="216A2D40"/>
    <w:rsid w:val="21B96FEE"/>
    <w:rsid w:val="21C127EB"/>
    <w:rsid w:val="21CB0D2F"/>
    <w:rsid w:val="21E17F5C"/>
    <w:rsid w:val="21E23314"/>
    <w:rsid w:val="21EC0A72"/>
    <w:rsid w:val="21EF780B"/>
    <w:rsid w:val="221055AD"/>
    <w:rsid w:val="223F479F"/>
    <w:rsid w:val="223F5AC1"/>
    <w:rsid w:val="22583D0D"/>
    <w:rsid w:val="225F634C"/>
    <w:rsid w:val="229064AC"/>
    <w:rsid w:val="22C67807"/>
    <w:rsid w:val="22C92735"/>
    <w:rsid w:val="22CB5EF7"/>
    <w:rsid w:val="22E86417"/>
    <w:rsid w:val="230C5D84"/>
    <w:rsid w:val="231435FF"/>
    <w:rsid w:val="2325225E"/>
    <w:rsid w:val="23950F27"/>
    <w:rsid w:val="23B177E1"/>
    <w:rsid w:val="24211347"/>
    <w:rsid w:val="24310DD4"/>
    <w:rsid w:val="246D2625"/>
    <w:rsid w:val="248C6DDD"/>
    <w:rsid w:val="24900048"/>
    <w:rsid w:val="24BB522A"/>
    <w:rsid w:val="24F37529"/>
    <w:rsid w:val="24FF72D3"/>
    <w:rsid w:val="250F2C31"/>
    <w:rsid w:val="251E0472"/>
    <w:rsid w:val="2520642A"/>
    <w:rsid w:val="25286AA1"/>
    <w:rsid w:val="252B25EC"/>
    <w:rsid w:val="25364DC1"/>
    <w:rsid w:val="253C3631"/>
    <w:rsid w:val="25462E4B"/>
    <w:rsid w:val="258309B4"/>
    <w:rsid w:val="25862011"/>
    <w:rsid w:val="258C0E52"/>
    <w:rsid w:val="260D7D0C"/>
    <w:rsid w:val="261A1FEA"/>
    <w:rsid w:val="261C3DE4"/>
    <w:rsid w:val="263A71E2"/>
    <w:rsid w:val="26690FCD"/>
    <w:rsid w:val="26963F27"/>
    <w:rsid w:val="269B1693"/>
    <w:rsid w:val="26DF0CD6"/>
    <w:rsid w:val="26ED48AE"/>
    <w:rsid w:val="271B4099"/>
    <w:rsid w:val="278F4F46"/>
    <w:rsid w:val="27A01740"/>
    <w:rsid w:val="27C416DF"/>
    <w:rsid w:val="27EF7121"/>
    <w:rsid w:val="28192057"/>
    <w:rsid w:val="281D28B1"/>
    <w:rsid w:val="283519AE"/>
    <w:rsid w:val="283C3A8D"/>
    <w:rsid w:val="2884724B"/>
    <w:rsid w:val="28870583"/>
    <w:rsid w:val="28D97FCA"/>
    <w:rsid w:val="28E7113E"/>
    <w:rsid w:val="291B5803"/>
    <w:rsid w:val="292F68A9"/>
    <w:rsid w:val="294D2F40"/>
    <w:rsid w:val="29733142"/>
    <w:rsid w:val="29A033E8"/>
    <w:rsid w:val="29BC365E"/>
    <w:rsid w:val="2A1C5137"/>
    <w:rsid w:val="2A3E70CF"/>
    <w:rsid w:val="2A6B5300"/>
    <w:rsid w:val="2A871926"/>
    <w:rsid w:val="2AC250CD"/>
    <w:rsid w:val="2B3602D5"/>
    <w:rsid w:val="2B4E7485"/>
    <w:rsid w:val="2B80177F"/>
    <w:rsid w:val="2B90159F"/>
    <w:rsid w:val="2B993748"/>
    <w:rsid w:val="2BAE482F"/>
    <w:rsid w:val="2BBE1DE2"/>
    <w:rsid w:val="2BE36683"/>
    <w:rsid w:val="2BE90021"/>
    <w:rsid w:val="2C706F8B"/>
    <w:rsid w:val="2C9B3A25"/>
    <w:rsid w:val="2CC24680"/>
    <w:rsid w:val="2DA362F7"/>
    <w:rsid w:val="2DC42BAC"/>
    <w:rsid w:val="2DDB1185"/>
    <w:rsid w:val="2DDE1315"/>
    <w:rsid w:val="2E70008E"/>
    <w:rsid w:val="2E795570"/>
    <w:rsid w:val="2EB4177E"/>
    <w:rsid w:val="2F32229C"/>
    <w:rsid w:val="2F474DB3"/>
    <w:rsid w:val="30065DDB"/>
    <w:rsid w:val="308D7FA8"/>
    <w:rsid w:val="30B1378E"/>
    <w:rsid w:val="30EF18C9"/>
    <w:rsid w:val="30F14E48"/>
    <w:rsid w:val="30F25A6D"/>
    <w:rsid w:val="31202692"/>
    <w:rsid w:val="31202FD3"/>
    <w:rsid w:val="312A5619"/>
    <w:rsid w:val="31A23AE0"/>
    <w:rsid w:val="31C37AEC"/>
    <w:rsid w:val="32145CC4"/>
    <w:rsid w:val="32350A5C"/>
    <w:rsid w:val="32477ABF"/>
    <w:rsid w:val="325970B3"/>
    <w:rsid w:val="32CC0E3B"/>
    <w:rsid w:val="32DF1CBC"/>
    <w:rsid w:val="32E84C40"/>
    <w:rsid w:val="33656E24"/>
    <w:rsid w:val="33816DA8"/>
    <w:rsid w:val="33F469AE"/>
    <w:rsid w:val="340B3A91"/>
    <w:rsid w:val="34214870"/>
    <w:rsid w:val="345A637A"/>
    <w:rsid w:val="348D4052"/>
    <w:rsid w:val="34960E51"/>
    <w:rsid w:val="34B93037"/>
    <w:rsid w:val="34C2659C"/>
    <w:rsid w:val="34ED24C6"/>
    <w:rsid w:val="350911FE"/>
    <w:rsid w:val="35212153"/>
    <w:rsid w:val="3544533E"/>
    <w:rsid w:val="354C0B93"/>
    <w:rsid w:val="355B423F"/>
    <w:rsid w:val="357D6768"/>
    <w:rsid w:val="35BF3B38"/>
    <w:rsid w:val="35E23F6E"/>
    <w:rsid w:val="35EC067D"/>
    <w:rsid w:val="36215071"/>
    <w:rsid w:val="36314683"/>
    <w:rsid w:val="36472C7B"/>
    <w:rsid w:val="36753A20"/>
    <w:rsid w:val="36B0540D"/>
    <w:rsid w:val="36B326B4"/>
    <w:rsid w:val="36C17BFE"/>
    <w:rsid w:val="36CE2123"/>
    <w:rsid w:val="36D60122"/>
    <w:rsid w:val="36D9255D"/>
    <w:rsid w:val="37020263"/>
    <w:rsid w:val="37290822"/>
    <w:rsid w:val="373206A1"/>
    <w:rsid w:val="378E3DE6"/>
    <w:rsid w:val="37A32806"/>
    <w:rsid w:val="37D751E2"/>
    <w:rsid w:val="380B1DFE"/>
    <w:rsid w:val="38276F53"/>
    <w:rsid w:val="382E6775"/>
    <w:rsid w:val="385852A1"/>
    <w:rsid w:val="386F48E8"/>
    <w:rsid w:val="38A16914"/>
    <w:rsid w:val="38A718AB"/>
    <w:rsid w:val="38D91E08"/>
    <w:rsid w:val="38E0103A"/>
    <w:rsid w:val="38E063FB"/>
    <w:rsid w:val="38F230E0"/>
    <w:rsid w:val="393C79BC"/>
    <w:rsid w:val="3971570C"/>
    <w:rsid w:val="39945652"/>
    <w:rsid w:val="39B234B0"/>
    <w:rsid w:val="39CC0DE9"/>
    <w:rsid w:val="3A056E55"/>
    <w:rsid w:val="3A5860F9"/>
    <w:rsid w:val="3A896034"/>
    <w:rsid w:val="3A9F1F4F"/>
    <w:rsid w:val="3AA23B34"/>
    <w:rsid w:val="3AB45EB9"/>
    <w:rsid w:val="3AD018DF"/>
    <w:rsid w:val="3B013692"/>
    <w:rsid w:val="3B1667F3"/>
    <w:rsid w:val="3B3358B7"/>
    <w:rsid w:val="3B493B46"/>
    <w:rsid w:val="3B55625B"/>
    <w:rsid w:val="3B597FFC"/>
    <w:rsid w:val="3B660AEC"/>
    <w:rsid w:val="3B760DD2"/>
    <w:rsid w:val="3B86620D"/>
    <w:rsid w:val="3BB421DB"/>
    <w:rsid w:val="3BE552CD"/>
    <w:rsid w:val="3BF2764E"/>
    <w:rsid w:val="3C021C37"/>
    <w:rsid w:val="3C0540D6"/>
    <w:rsid w:val="3C24092A"/>
    <w:rsid w:val="3C693243"/>
    <w:rsid w:val="3C976231"/>
    <w:rsid w:val="3C9B25CD"/>
    <w:rsid w:val="3CAA0274"/>
    <w:rsid w:val="3D1746DC"/>
    <w:rsid w:val="3D237BE8"/>
    <w:rsid w:val="3D2C4D79"/>
    <w:rsid w:val="3D366EF4"/>
    <w:rsid w:val="3D4142F0"/>
    <w:rsid w:val="3D511084"/>
    <w:rsid w:val="3D642282"/>
    <w:rsid w:val="3D6F1615"/>
    <w:rsid w:val="3D7B5779"/>
    <w:rsid w:val="3D8A5584"/>
    <w:rsid w:val="3D9B2911"/>
    <w:rsid w:val="3D9C39EF"/>
    <w:rsid w:val="3DA235BF"/>
    <w:rsid w:val="3DB15E99"/>
    <w:rsid w:val="3DB46368"/>
    <w:rsid w:val="3DD8680E"/>
    <w:rsid w:val="3DFD5343"/>
    <w:rsid w:val="3E3062DB"/>
    <w:rsid w:val="3E850F52"/>
    <w:rsid w:val="3E9B2E8A"/>
    <w:rsid w:val="3E9F6A9D"/>
    <w:rsid w:val="3F1672F1"/>
    <w:rsid w:val="3F231079"/>
    <w:rsid w:val="3F4B41E0"/>
    <w:rsid w:val="3F592467"/>
    <w:rsid w:val="3F5D0E23"/>
    <w:rsid w:val="3F8245EF"/>
    <w:rsid w:val="3F8B2040"/>
    <w:rsid w:val="3F913ED2"/>
    <w:rsid w:val="3FAC1725"/>
    <w:rsid w:val="3FAD78C2"/>
    <w:rsid w:val="3FF47E41"/>
    <w:rsid w:val="400F00BB"/>
    <w:rsid w:val="405C3701"/>
    <w:rsid w:val="40615229"/>
    <w:rsid w:val="40733563"/>
    <w:rsid w:val="40B10190"/>
    <w:rsid w:val="40B74800"/>
    <w:rsid w:val="411613DD"/>
    <w:rsid w:val="41516E1E"/>
    <w:rsid w:val="416027A0"/>
    <w:rsid w:val="416E5398"/>
    <w:rsid w:val="418862CD"/>
    <w:rsid w:val="41A449A2"/>
    <w:rsid w:val="421B2713"/>
    <w:rsid w:val="42284FC8"/>
    <w:rsid w:val="42770C8F"/>
    <w:rsid w:val="429B2E0A"/>
    <w:rsid w:val="42AA5444"/>
    <w:rsid w:val="42F5056C"/>
    <w:rsid w:val="42FB7CE0"/>
    <w:rsid w:val="431112AD"/>
    <w:rsid w:val="43232F1C"/>
    <w:rsid w:val="433663BD"/>
    <w:rsid w:val="43561DE5"/>
    <w:rsid w:val="435E21EF"/>
    <w:rsid w:val="436B4467"/>
    <w:rsid w:val="43D9345F"/>
    <w:rsid w:val="440138B3"/>
    <w:rsid w:val="44154208"/>
    <w:rsid w:val="44394D1C"/>
    <w:rsid w:val="44406011"/>
    <w:rsid w:val="445451F2"/>
    <w:rsid w:val="44620BD2"/>
    <w:rsid w:val="446D7633"/>
    <w:rsid w:val="4488315B"/>
    <w:rsid w:val="4493471C"/>
    <w:rsid w:val="449C2C79"/>
    <w:rsid w:val="44B00229"/>
    <w:rsid w:val="44BE2144"/>
    <w:rsid w:val="44DF23A8"/>
    <w:rsid w:val="450736B6"/>
    <w:rsid w:val="45341CE2"/>
    <w:rsid w:val="45532B45"/>
    <w:rsid w:val="45621D42"/>
    <w:rsid w:val="45630290"/>
    <w:rsid w:val="45934454"/>
    <w:rsid w:val="4595257E"/>
    <w:rsid w:val="459D705A"/>
    <w:rsid w:val="45C42CBF"/>
    <w:rsid w:val="45DA2707"/>
    <w:rsid w:val="460E2404"/>
    <w:rsid w:val="46162C84"/>
    <w:rsid w:val="462E0F20"/>
    <w:rsid w:val="465F798A"/>
    <w:rsid w:val="46AC1B1A"/>
    <w:rsid w:val="46B80FA9"/>
    <w:rsid w:val="46CD7454"/>
    <w:rsid w:val="46FD0BBA"/>
    <w:rsid w:val="473D6FFA"/>
    <w:rsid w:val="47620B5A"/>
    <w:rsid w:val="476A374A"/>
    <w:rsid w:val="47C33349"/>
    <w:rsid w:val="47E54BDD"/>
    <w:rsid w:val="47E62852"/>
    <w:rsid w:val="4809270E"/>
    <w:rsid w:val="48155FBD"/>
    <w:rsid w:val="484F1501"/>
    <w:rsid w:val="48616542"/>
    <w:rsid w:val="486208C0"/>
    <w:rsid w:val="487C4B5B"/>
    <w:rsid w:val="488B3ADA"/>
    <w:rsid w:val="489578D5"/>
    <w:rsid w:val="48C756C4"/>
    <w:rsid w:val="48F347C2"/>
    <w:rsid w:val="48F40872"/>
    <w:rsid w:val="490910CB"/>
    <w:rsid w:val="49466876"/>
    <w:rsid w:val="49672FCD"/>
    <w:rsid w:val="497D1E37"/>
    <w:rsid w:val="49A21D84"/>
    <w:rsid w:val="49C079A0"/>
    <w:rsid w:val="49E56842"/>
    <w:rsid w:val="4A202CB3"/>
    <w:rsid w:val="4A4C0BBD"/>
    <w:rsid w:val="4A741CD0"/>
    <w:rsid w:val="4AB169D3"/>
    <w:rsid w:val="4AE523B5"/>
    <w:rsid w:val="4AFF1CE5"/>
    <w:rsid w:val="4AFF2850"/>
    <w:rsid w:val="4B2C2C5C"/>
    <w:rsid w:val="4B3948BD"/>
    <w:rsid w:val="4B542445"/>
    <w:rsid w:val="4B8633C6"/>
    <w:rsid w:val="4BAE6978"/>
    <w:rsid w:val="4BF85767"/>
    <w:rsid w:val="4C4609B9"/>
    <w:rsid w:val="4C6B50F5"/>
    <w:rsid w:val="4C7613FB"/>
    <w:rsid w:val="4C9A610C"/>
    <w:rsid w:val="4CAB4A57"/>
    <w:rsid w:val="4CAF036C"/>
    <w:rsid w:val="4CB545C0"/>
    <w:rsid w:val="4CBB7439"/>
    <w:rsid w:val="4CBE1C08"/>
    <w:rsid w:val="4CFA12DC"/>
    <w:rsid w:val="4D317C9E"/>
    <w:rsid w:val="4D356131"/>
    <w:rsid w:val="4D521D49"/>
    <w:rsid w:val="4D5F31CA"/>
    <w:rsid w:val="4D635CDE"/>
    <w:rsid w:val="4D647E46"/>
    <w:rsid w:val="4D6B2FF6"/>
    <w:rsid w:val="4D7C15EC"/>
    <w:rsid w:val="4DA21BCB"/>
    <w:rsid w:val="4DA31278"/>
    <w:rsid w:val="4E022AED"/>
    <w:rsid w:val="4E0F5AA6"/>
    <w:rsid w:val="4E7B47FF"/>
    <w:rsid w:val="4E800E7B"/>
    <w:rsid w:val="4EC57FA6"/>
    <w:rsid w:val="4EDD2F85"/>
    <w:rsid w:val="4EE759E0"/>
    <w:rsid w:val="4EFB1785"/>
    <w:rsid w:val="4EFC0E40"/>
    <w:rsid w:val="4F073576"/>
    <w:rsid w:val="4F32383F"/>
    <w:rsid w:val="4F4201F9"/>
    <w:rsid w:val="4F596DC1"/>
    <w:rsid w:val="4F5B18B4"/>
    <w:rsid w:val="4F746E17"/>
    <w:rsid w:val="4F7E527E"/>
    <w:rsid w:val="4F9948BE"/>
    <w:rsid w:val="4F9A7281"/>
    <w:rsid w:val="4FAE6D31"/>
    <w:rsid w:val="4FB16A86"/>
    <w:rsid w:val="50114985"/>
    <w:rsid w:val="50173009"/>
    <w:rsid w:val="504B0595"/>
    <w:rsid w:val="508470D2"/>
    <w:rsid w:val="50CC2E3A"/>
    <w:rsid w:val="50E37FBB"/>
    <w:rsid w:val="516C1EC9"/>
    <w:rsid w:val="518F192B"/>
    <w:rsid w:val="51A35549"/>
    <w:rsid w:val="51C96CF8"/>
    <w:rsid w:val="51E16B22"/>
    <w:rsid w:val="51E71584"/>
    <w:rsid w:val="520134A4"/>
    <w:rsid w:val="52417CD3"/>
    <w:rsid w:val="525A2598"/>
    <w:rsid w:val="528D2D69"/>
    <w:rsid w:val="52A72CB9"/>
    <w:rsid w:val="52C645C7"/>
    <w:rsid w:val="5308234F"/>
    <w:rsid w:val="531A7701"/>
    <w:rsid w:val="533A7773"/>
    <w:rsid w:val="535A4036"/>
    <w:rsid w:val="535E0C0C"/>
    <w:rsid w:val="536F55E2"/>
    <w:rsid w:val="539A7C35"/>
    <w:rsid w:val="53EE2B63"/>
    <w:rsid w:val="541259A4"/>
    <w:rsid w:val="54221113"/>
    <w:rsid w:val="543625D7"/>
    <w:rsid w:val="54410718"/>
    <w:rsid w:val="5506526C"/>
    <w:rsid w:val="55497B99"/>
    <w:rsid w:val="556F44BF"/>
    <w:rsid w:val="557E0DC2"/>
    <w:rsid w:val="55981C1E"/>
    <w:rsid w:val="559E43DB"/>
    <w:rsid w:val="55CC0E83"/>
    <w:rsid w:val="5615080D"/>
    <w:rsid w:val="561574B3"/>
    <w:rsid w:val="56250D86"/>
    <w:rsid w:val="566A5330"/>
    <w:rsid w:val="567F26ED"/>
    <w:rsid w:val="568024C8"/>
    <w:rsid w:val="568F79BF"/>
    <w:rsid w:val="56A33FC4"/>
    <w:rsid w:val="56A763F2"/>
    <w:rsid w:val="56BE663C"/>
    <w:rsid w:val="56CD2153"/>
    <w:rsid w:val="56E75D17"/>
    <w:rsid w:val="56F312B5"/>
    <w:rsid w:val="56F74C0E"/>
    <w:rsid w:val="572B04F0"/>
    <w:rsid w:val="572B4176"/>
    <w:rsid w:val="57664E51"/>
    <w:rsid w:val="577603E3"/>
    <w:rsid w:val="5789602C"/>
    <w:rsid w:val="57D9376A"/>
    <w:rsid w:val="580649F2"/>
    <w:rsid w:val="58226B70"/>
    <w:rsid w:val="58230A94"/>
    <w:rsid w:val="58351BA6"/>
    <w:rsid w:val="584F5D9B"/>
    <w:rsid w:val="58795EFF"/>
    <w:rsid w:val="58835B9A"/>
    <w:rsid w:val="58B22CF9"/>
    <w:rsid w:val="58B840B1"/>
    <w:rsid w:val="58C67791"/>
    <w:rsid w:val="58F23A2C"/>
    <w:rsid w:val="58F33BD7"/>
    <w:rsid w:val="595950A7"/>
    <w:rsid w:val="597E1513"/>
    <w:rsid w:val="5983654E"/>
    <w:rsid w:val="599B6043"/>
    <w:rsid w:val="59AB446D"/>
    <w:rsid w:val="5A1437A3"/>
    <w:rsid w:val="5A1F2A6A"/>
    <w:rsid w:val="5A321CCA"/>
    <w:rsid w:val="5A4031BD"/>
    <w:rsid w:val="5A742FCA"/>
    <w:rsid w:val="5A7557BC"/>
    <w:rsid w:val="5A7E34D5"/>
    <w:rsid w:val="5A801F1C"/>
    <w:rsid w:val="5AAB0EAB"/>
    <w:rsid w:val="5AC64458"/>
    <w:rsid w:val="5AD56AE1"/>
    <w:rsid w:val="5AF42D65"/>
    <w:rsid w:val="5AF96C92"/>
    <w:rsid w:val="5B6B2916"/>
    <w:rsid w:val="5B721AD3"/>
    <w:rsid w:val="5BA5390B"/>
    <w:rsid w:val="5BAF49EA"/>
    <w:rsid w:val="5BCF2B45"/>
    <w:rsid w:val="5BDC583E"/>
    <w:rsid w:val="5BDD7D44"/>
    <w:rsid w:val="5C2D62B3"/>
    <w:rsid w:val="5C331F55"/>
    <w:rsid w:val="5C37747F"/>
    <w:rsid w:val="5C3978AE"/>
    <w:rsid w:val="5C661078"/>
    <w:rsid w:val="5C7A4320"/>
    <w:rsid w:val="5C9167F0"/>
    <w:rsid w:val="5C930CB2"/>
    <w:rsid w:val="5CAE6718"/>
    <w:rsid w:val="5CED33FE"/>
    <w:rsid w:val="5CFE4B36"/>
    <w:rsid w:val="5D152663"/>
    <w:rsid w:val="5D250AE8"/>
    <w:rsid w:val="5D810B69"/>
    <w:rsid w:val="5D8562D6"/>
    <w:rsid w:val="5DA67B5E"/>
    <w:rsid w:val="5DB26B1C"/>
    <w:rsid w:val="5DC77A74"/>
    <w:rsid w:val="5DD80BA4"/>
    <w:rsid w:val="5DE65906"/>
    <w:rsid w:val="5DF10DD6"/>
    <w:rsid w:val="5E107A6E"/>
    <w:rsid w:val="5E240474"/>
    <w:rsid w:val="5E4A08B0"/>
    <w:rsid w:val="5E552402"/>
    <w:rsid w:val="5E581806"/>
    <w:rsid w:val="5EA954DA"/>
    <w:rsid w:val="5EF60C22"/>
    <w:rsid w:val="5F165F74"/>
    <w:rsid w:val="5F3E22C2"/>
    <w:rsid w:val="5F474EA9"/>
    <w:rsid w:val="5F8F3F9D"/>
    <w:rsid w:val="5FC33A72"/>
    <w:rsid w:val="5FE44BCC"/>
    <w:rsid w:val="5FFA3215"/>
    <w:rsid w:val="601278AE"/>
    <w:rsid w:val="602074C3"/>
    <w:rsid w:val="60342152"/>
    <w:rsid w:val="607F216A"/>
    <w:rsid w:val="609D0C9B"/>
    <w:rsid w:val="60D3361E"/>
    <w:rsid w:val="60F942D1"/>
    <w:rsid w:val="612912AD"/>
    <w:rsid w:val="613220FF"/>
    <w:rsid w:val="61446D7C"/>
    <w:rsid w:val="614B06AC"/>
    <w:rsid w:val="617C14DD"/>
    <w:rsid w:val="61B844A8"/>
    <w:rsid w:val="61D62E95"/>
    <w:rsid w:val="61D8581E"/>
    <w:rsid w:val="61FF2F13"/>
    <w:rsid w:val="622218C3"/>
    <w:rsid w:val="6222364C"/>
    <w:rsid w:val="6239511B"/>
    <w:rsid w:val="62473027"/>
    <w:rsid w:val="62641F1A"/>
    <w:rsid w:val="627B7180"/>
    <w:rsid w:val="6308246A"/>
    <w:rsid w:val="6308767C"/>
    <w:rsid w:val="63287634"/>
    <w:rsid w:val="63396070"/>
    <w:rsid w:val="634867D2"/>
    <w:rsid w:val="63525AAC"/>
    <w:rsid w:val="63531E3F"/>
    <w:rsid w:val="639768D2"/>
    <w:rsid w:val="63C05149"/>
    <w:rsid w:val="63F95E7B"/>
    <w:rsid w:val="64047A76"/>
    <w:rsid w:val="64107C83"/>
    <w:rsid w:val="641761B2"/>
    <w:rsid w:val="6429437B"/>
    <w:rsid w:val="648A2DED"/>
    <w:rsid w:val="64AA5921"/>
    <w:rsid w:val="64E965E9"/>
    <w:rsid w:val="64F613A1"/>
    <w:rsid w:val="64FB67B9"/>
    <w:rsid w:val="650F0297"/>
    <w:rsid w:val="65311AE8"/>
    <w:rsid w:val="65372FB5"/>
    <w:rsid w:val="6579788B"/>
    <w:rsid w:val="65A56F80"/>
    <w:rsid w:val="65CD5AEB"/>
    <w:rsid w:val="65D200C7"/>
    <w:rsid w:val="65D31262"/>
    <w:rsid w:val="65DE71F4"/>
    <w:rsid w:val="65E7615B"/>
    <w:rsid w:val="66067D88"/>
    <w:rsid w:val="662F3C78"/>
    <w:rsid w:val="66807846"/>
    <w:rsid w:val="66953C5B"/>
    <w:rsid w:val="669B2A9B"/>
    <w:rsid w:val="669F55F1"/>
    <w:rsid w:val="67157EB9"/>
    <w:rsid w:val="673B62F2"/>
    <w:rsid w:val="674F16A7"/>
    <w:rsid w:val="67906BAE"/>
    <w:rsid w:val="679D3EE7"/>
    <w:rsid w:val="67D36A56"/>
    <w:rsid w:val="67D56B92"/>
    <w:rsid w:val="67E036E9"/>
    <w:rsid w:val="67E5573D"/>
    <w:rsid w:val="683E687F"/>
    <w:rsid w:val="68430FB9"/>
    <w:rsid w:val="6872549C"/>
    <w:rsid w:val="68C61A50"/>
    <w:rsid w:val="68E311B2"/>
    <w:rsid w:val="68FF3ACA"/>
    <w:rsid w:val="6900055E"/>
    <w:rsid w:val="690A6C79"/>
    <w:rsid w:val="69223AE7"/>
    <w:rsid w:val="69251ED4"/>
    <w:rsid w:val="692A4AFD"/>
    <w:rsid w:val="69326652"/>
    <w:rsid w:val="69347AF7"/>
    <w:rsid w:val="693A50E1"/>
    <w:rsid w:val="696E1979"/>
    <w:rsid w:val="69AA7B28"/>
    <w:rsid w:val="69B14B4E"/>
    <w:rsid w:val="69C175E5"/>
    <w:rsid w:val="69C56D45"/>
    <w:rsid w:val="69F57E4B"/>
    <w:rsid w:val="6A1221A1"/>
    <w:rsid w:val="6A233920"/>
    <w:rsid w:val="6A6366AE"/>
    <w:rsid w:val="6A8B6B18"/>
    <w:rsid w:val="6A9352A2"/>
    <w:rsid w:val="6A9A1577"/>
    <w:rsid w:val="6AA338E6"/>
    <w:rsid w:val="6AC86E77"/>
    <w:rsid w:val="6AF13C0D"/>
    <w:rsid w:val="6B5F4E4D"/>
    <w:rsid w:val="6B654FB0"/>
    <w:rsid w:val="6B6E1CA4"/>
    <w:rsid w:val="6BAF6941"/>
    <w:rsid w:val="6BCC1F13"/>
    <w:rsid w:val="6BCF03F8"/>
    <w:rsid w:val="6BD91EBE"/>
    <w:rsid w:val="6BE1101B"/>
    <w:rsid w:val="6C24259C"/>
    <w:rsid w:val="6C3219E1"/>
    <w:rsid w:val="6C5579CA"/>
    <w:rsid w:val="6C72726E"/>
    <w:rsid w:val="6CB44AB8"/>
    <w:rsid w:val="6CD509C5"/>
    <w:rsid w:val="6CE4138B"/>
    <w:rsid w:val="6CFA7874"/>
    <w:rsid w:val="6D514C03"/>
    <w:rsid w:val="6D69125F"/>
    <w:rsid w:val="6DA76031"/>
    <w:rsid w:val="6DA81CE8"/>
    <w:rsid w:val="6DBE17E3"/>
    <w:rsid w:val="6DCC1FAB"/>
    <w:rsid w:val="6DE537AC"/>
    <w:rsid w:val="6E096EF8"/>
    <w:rsid w:val="6E160574"/>
    <w:rsid w:val="6E816BBF"/>
    <w:rsid w:val="6E9134A9"/>
    <w:rsid w:val="6ED5286B"/>
    <w:rsid w:val="6F1A7E1A"/>
    <w:rsid w:val="6F314155"/>
    <w:rsid w:val="6FF85E6E"/>
    <w:rsid w:val="700A48AB"/>
    <w:rsid w:val="70245076"/>
    <w:rsid w:val="704E5507"/>
    <w:rsid w:val="705A51FE"/>
    <w:rsid w:val="70935E14"/>
    <w:rsid w:val="70A4763A"/>
    <w:rsid w:val="70B22023"/>
    <w:rsid w:val="70D45314"/>
    <w:rsid w:val="70DB1C8A"/>
    <w:rsid w:val="717B1403"/>
    <w:rsid w:val="71A147B9"/>
    <w:rsid w:val="71D842FA"/>
    <w:rsid w:val="71E65CC9"/>
    <w:rsid w:val="71F00255"/>
    <w:rsid w:val="721434B7"/>
    <w:rsid w:val="725F33BF"/>
    <w:rsid w:val="72651EB0"/>
    <w:rsid w:val="729C267B"/>
    <w:rsid w:val="72B23E6D"/>
    <w:rsid w:val="72C251F0"/>
    <w:rsid w:val="72D87B33"/>
    <w:rsid w:val="72DD5B9E"/>
    <w:rsid w:val="72F54E01"/>
    <w:rsid w:val="731A2D6E"/>
    <w:rsid w:val="73374395"/>
    <w:rsid w:val="7366202F"/>
    <w:rsid w:val="737A786F"/>
    <w:rsid w:val="73B461E3"/>
    <w:rsid w:val="73B604ED"/>
    <w:rsid w:val="73EE50F4"/>
    <w:rsid w:val="740D3F11"/>
    <w:rsid w:val="741257AC"/>
    <w:rsid w:val="742B1612"/>
    <w:rsid w:val="7441199D"/>
    <w:rsid w:val="74420B02"/>
    <w:rsid w:val="745C550C"/>
    <w:rsid w:val="74A064AE"/>
    <w:rsid w:val="74D46B08"/>
    <w:rsid w:val="74D96958"/>
    <w:rsid w:val="74FE6B71"/>
    <w:rsid w:val="74FE774A"/>
    <w:rsid w:val="75023274"/>
    <w:rsid w:val="75184790"/>
    <w:rsid w:val="75577D7F"/>
    <w:rsid w:val="755D5C19"/>
    <w:rsid w:val="757022FB"/>
    <w:rsid w:val="75A15325"/>
    <w:rsid w:val="75B2473D"/>
    <w:rsid w:val="75C03D91"/>
    <w:rsid w:val="75EF6235"/>
    <w:rsid w:val="75F71F3B"/>
    <w:rsid w:val="763563F5"/>
    <w:rsid w:val="766D57C1"/>
    <w:rsid w:val="76801850"/>
    <w:rsid w:val="769714F7"/>
    <w:rsid w:val="76AC2318"/>
    <w:rsid w:val="76BC6C30"/>
    <w:rsid w:val="76E17F51"/>
    <w:rsid w:val="76E83D9B"/>
    <w:rsid w:val="76F7624B"/>
    <w:rsid w:val="772571D5"/>
    <w:rsid w:val="7730088B"/>
    <w:rsid w:val="77411D56"/>
    <w:rsid w:val="774839AC"/>
    <w:rsid w:val="77605E1A"/>
    <w:rsid w:val="77742983"/>
    <w:rsid w:val="77800D5D"/>
    <w:rsid w:val="77827BF3"/>
    <w:rsid w:val="778B633D"/>
    <w:rsid w:val="7793327E"/>
    <w:rsid w:val="77C232DA"/>
    <w:rsid w:val="77D973E1"/>
    <w:rsid w:val="77EA3464"/>
    <w:rsid w:val="78021C7B"/>
    <w:rsid w:val="780C1E19"/>
    <w:rsid w:val="786B70AF"/>
    <w:rsid w:val="78760913"/>
    <w:rsid w:val="7881477B"/>
    <w:rsid w:val="788F38A7"/>
    <w:rsid w:val="78A46720"/>
    <w:rsid w:val="78AD0AA4"/>
    <w:rsid w:val="78EB2F59"/>
    <w:rsid w:val="78FD09AB"/>
    <w:rsid w:val="79010BD2"/>
    <w:rsid w:val="79017261"/>
    <w:rsid w:val="79346435"/>
    <w:rsid w:val="7943014A"/>
    <w:rsid w:val="796608A4"/>
    <w:rsid w:val="7999176C"/>
    <w:rsid w:val="79AB2DAA"/>
    <w:rsid w:val="79B661E6"/>
    <w:rsid w:val="79CA7D83"/>
    <w:rsid w:val="79D77004"/>
    <w:rsid w:val="79F12D18"/>
    <w:rsid w:val="7A461590"/>
    <w:rsid w:val="7A506505"/>
    <w:rsid w:val="7A6822EA"/>
    <w:rsid w:val="7A814BA2"/>
    <w:rsid w:val="7A88510B"/>
    <w:rsid w:val="7A942566"/>
    <w:rsid w:val="7AAC5343"/>
    <w:rsid w:val="7B4D10C0"/>
    <w:rsid w:val="7B5E19E1"/>
    <w:rsid w:val="7B8D502D"/>
    <w:rsid w:val="7BD0668B"/>
    <w:rsid w:val="7BD55037"/>
    <w:rsid w:val="7BEA41E2"/>
    <w:rsid w:val="7C1C27D8"/>
    <w:rsid w:val="7C230E82"/>
    <w:rsid w:val="7C304BF8"/>
    <w:rsid w:val="7C461A40"/>
    <w:rsid w:val="7C5C2009"/>
    <w:rsid w:val="7C655175"/>
    <w:rsid w:val="7C6D71FD"/>
    <w:rsid w:val="7C7E2620"/>
    <w:rsid w:val="7C8243CE"/>
    <w:rsid w:val="7C9902EC"/>
    <w:rsid w:val="7C9B318C"/>
    <w:rsid w:val="7CCE3276"/>
    <w:rsid w:val="7CCE4670"/>
    <w:rsid w:val="7CDD6CC4"/>
    <w:rsid w:val="7D341239"/>
    <w:rsid w:val="7D374E9E"/>
    <w:rsid w:val="7D477545"/>
    <w:rsid w:val="7D617FEB"/>
    <w:rsid w:val="7D6C6C25"/>
    <w:rsid w:val="7D82688C"/>
    <w:rsid w:val="7D936B21"/>
    <w:rsid w:val="7DB41EC3"/>
    <w:rsid w:val="7E141252"/>
    <w:rsid w:val="7E930BA3"/>
    <w:rsid w:val="7E985166"/>
    <w:rsid w:val="7EFE7213"/>
    <w:rsid w:val="7F171BCC"/>
    <w:rsid w:val="7F37013C"/>
    <w:rsid w:val="7F401C7A"/>
    <w:rsid w:val="7F5F1232"/>
    <w:rsid w:val="7F7316D3"/>
    <w:rsid w:val="7F755C75"/>
    <w:rsid w:val="7FA119C3"/>
    <w:rsid w:val="7FA3150B"/>
    <w:rsid w:val="7FC239A0"/>
    <w:rsid w:val="7FEB5D35"/>
    <w:rsid w:val="7FEB6D9F"/>
    <w:rsid w:val="7FF84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仿宋" w:hAnsi="仿宋" w:eastAsia="仿宋" w:cstheme="minorBidi"/>
      <w:kern w:val="2"/>
      <w:sz w:val="24"/>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9"/>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正文文本 字符"/>
    <w:basedOn w:val="8"/>
    <w:link w:val="4"/>
    <w:qFormat/>
    <w:uiPriority w:val="99"/>
    <w:rPr>
      <w:rFonts w:asciiTheme="minorHAnsi" w:hAnsiTheme="minorHAnsi" w:eastAsiaTheme="minorEastAsia" w:cstheme="minorBidi"/>
      <w:kern w:val="2"/>
      <w:sz w:val="21"/>
      <w:szCs w:val="22"/>
    </w:rPr>
  </w:style>
  <w:style w:type="character" w:customStyle="1" w:styleId="10">
    <w:name w:val="标题 1 字符"/>
    <w:basedOn w:val="8"/>
    <w:link w:val="2"/>
    <w:qFormat/>
    <w:uiPriority w:val="0"/>
    <w:rPr>
      <w:rFonts w:asciiTheme="minorHAnsi" w:hAnsiTheme="minorHAnsi" w:eastAsiaTheme="minorEastAsia" w:cstheme="minorBidi"/>
      <w:b/>
      <w:bCs/>
      <w:kern w:val="44"/>
      <w:sz w:val="44"/>
      <w:szCs w:val="44"/>
    </w:rPr>
  </w:style>
  <w:style w:type="paragraph" w:customStyle="1" w:styleId="11">
    <w:name w:val="TOC 标题1"/>
    <w:basedOn w:val="2"/>
    <w:next w:val="1"/>
    <w:semiHidden/>
    <w:unhideWhenUsed/>
    <w:qFormat/>
    <w:uiPriority w:val="39"/>
    <w:pPr>
      <w:outlineLvl w:val="9"/>
    </w:pPr>
    <w:rPr>
      <w:rFonts w:ascii="Times New Roman" w:hAnsi="Times New Roman" w:eastAsia="宋体" w:cs="Times New Roman"/>
    </w:rPr>
  </w:style>
  <w:style w:type="paragraph" w:customStyle="1" w:styleId="12">
    <w:name w:val="TOC 标题11"/>
    <w:basedOn w:val="2"/>
    <w:next w:val="1"/>
    <w:semiHidden/>
    <w:unhideWhenUsed/>
    <w:qFormat/>
    <w:uiPriority w:val="39"/>
    <w:pPr>
      <w:outlineLvl w:val="9"/>
    </w:pPr>
    <w:rPr>
      <w:rFonts w:ascii="Times New Roman" w:hAnsi="Times New Roman" w:eastAsia="宋体" w:cs="Times New Roman"/>
    </w:rPr>
  </w:style>
  <w:style w:type="paragraph" w:styleId="13">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11471</Words>
  <Characters>12246</Characters>
  <Lines>90</Lines>
  <Paragraphs>25</Paragraphs>
  <TotalTime>0</TotalTime>
  <ScaleCrop>false</ScaleCrop>
  <LinksUpToDate>false</LinksUpToDate>
  <CharactersWithSpaces>12329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2020-08-18T02:52:00Z</dcterms:created>
  <dc:creator>de'l'l</dc:creator>
  <cp:lastModifiedBy>听潮</cp:lastModifiedBy>
  <cp:lastPrinted>2022-09-27T01:49:00Z</cp:lastPrinted>
  <dcterms:modified xsi:type="dcterms:W3CDTF">2024-12-11T02:30:05Z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9E4FEDDC0F54436D8DD072BB9EE19449_13</vt:lpwstr>
  </property>
</Properties>
</file>