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13746">
      <w:pPr>
        <w:spacing w:line="600" w:lineRule="atLeast"/>
        <w:ind w:firstLine="0" w:firstLineChars="0"/>
        <w:jc w:val="center"/>
        <w:rPr>
          <w:rFonts w:hint="eastAsia" w:cs="仿宋"/>
          <w:b/>
          <w:sz w:val="36"/>
          <w:szCs w:val="36"/>
        </w:rPr>
      </w:pPr>
      <w:bookmarkStart w:id="71" w:name="_GoBack"/>
      <w:bookmarkEnd w:id="71"/>
    </w:p>
    <w:p w14:paraId="2C22538B">
      <w:pPr>
        <w:pStyle w:val="3"/>
        <w:spacing w:line="600" w:lineRule="atLeast"/>
        <w:ind w:firstLine="0" w:firstLineChars="0"/>
      </w:pPr>
    </w:p>
    <w:p w14:paraId="7D4BE252">
      <w:pPr>
        <w:ind w:firstLine="480"/>
      </w:pPr>
    </w:p>
    <w:p w14:paraId="392B1312">
      <w:pPr>
        <w:pStyle w:val="2"/>
        <w:ind w:firstLine="883"/>
        <w:rPr>
          <w:rFonts w:hint="eastAsia"/>
        </w:rPr>
      </w:pPr>
    </w:p>
    <w:p w14:paraId="3BEBD08A">
      <w:pPr>
        <w:spacing w:line="600" w:lineRule="exact"/>
        <w:ind w:firstLine="0" w:firstLineChars="0"/>
        <w:jc w:val="center"/>
        <w:outlineLvl w:val="0"/>
        <w:rPr>
          <w:rFonts w:hint="eastAsia" w:ascii="宋体" w:hAnsi="宋体" w:eastAsia="宋体" w:cs="Times New Roman"/>
          <w:sz w:val="32"/>
          <w:szCs w:val="32"/>
        </w:rPr>
      </w:pPr>
      <w:r>
        <w:rPr>
          <w:rFonts w:hint="eastAsia" w:ascii="宋体" w:hAnsi="宋体" w:eastAsia="宋体" w:cs="Times New Roman"/>
          <w:sz w:val="28"/>
          <w:szCs w:val="28"/>
        </w:rPr>
        <w:t>寻甸回族彝族自治县卫生健康局寻甸县第二人民医院建设项目支出</w:t>
      </w:r>
    </w:p>
    <w:p w14:paraId="60AC1E30">
      <w:pPr>
        <w:spacing w:line="600" w:lineRule="exact"/>
        <w:ind w:firstLine="0" w:firstLineChars="0"/>
        <w:jc w:val="center"/>
        <w:outlineLvl w:val="0"/>
        <w:rPr>
          <w:rFonts w:hint="eastAsia" w:ascii="宋体" w:hAnsi="宋体" w:eastAsia="宋体" w:cs="Times New Roman"/>
          <w:sz w:val="36"/>
          <w:szCs w:val="36"/>
        </w:rPr>
      </w:pPr>
      <w:r>
        <w:rPr>
          <w:rFonts w:hint="eastAsia" w:ascii="宋体" w:hAnsi="宋体" w:eastAsia="宋体" w:cs="Times New Roman"/>
          <w:sz w:val="36"/>
          <w:szCs w:val="36"/>
        </w:rPr>
        <w:t>绩效评价报告</w:t>
      </w:r>
    </w:p>
    <w:p w14:paraId="460F1265">
      <w:pPr>
        <w:spacing w:line="600" w:lineRule="exact"/>
        <w:ind w:firstLine="0" w:firstLineChars="0"/>
        <w:jc w:val="center"/>
        <w:rPr>
          <w:rFonts w:hint="eastAsia" w:ascii="仿宋_GB2312" w:hAnsi="仿宋_GB2312" w:eastAsia="仿宋_GB2312" w:cs="仿宋_GB2312"/>
          <w:sz w:val="32"/>
          <w:szCs w:val="32"/>
        </w:rPr>
      </w:pPr>
    </w:p>
    <w:p w14:paraId="4B41894D">
      <w:pPr>
        <w:pStyle w:val="2"/>
        <w:ind w:firstLine="883"/>
        <w:rPr>
          <w:rFonts w:hint="eastAsia"/>
        </w:rPr>
      </w:pPr>
    </w:p>
    <w:p w14:paraId="1CB272C8">
      <w:pPr>
        <w:pStyle w:val="2"/>
        <w:ind w:firstLine="883"/>
        <w:rPr>
          <w:rFonts w:hint="eastAsia"/>
        </w:rPr>
      </w:pPr>
    </w:p>
    <w:p w14:paraId="443EE39C">
      <w:pPr>
        <w:spacing w:line="600" w:lineRule="exact"/>
        <w:ind w:firstLine="0" w:firstLineChars="0"/>
        <w:rPr>
          <w:rFonts w:hint="eastAsia"/>
        </w:rPr>
      </w:pPr>
    </w:p>
    <w:p w14:paraId="3BAEB3C2">
      <w:pPr>
        <w:pStyle w:val="2"/>
        <w:ind w:firstLine="883"/>
        <w:rPr>
          <w:rFonts w:hint="eastAsia"/>
        </w:rPr>
      </w:pPr>
    </w:p>
    <w:p w14:paraId="3832FC62">
      <w:pPr>
        <w:spacing w:line="600" w:lineRule="exact"/>
        <w:ind w:left="1500" w:hanging="1500" w:hangingChars="500"/>
        <w:jc w:val="left"/>
        <w:outlineLvl w:val="0"/>
        <w:rPr>
          <w:rFonts w:hint="eastAsia" w:ascii="宋体" w:hAnsi="宋体" w:eastAsia="宋体" w:cs="宋体"/>
          <w:sz w:val="30"/>
          <w:szCs w:val="30"/>
        </w:rPr>
      </w:pPr>
      <w:r>
        <w:rPr>
          <w:rFonts w:hint="eastAsia" w:ascii="宋体" w:hAnsi="宋体" w:eastAsia="宋体" w:cs="宋体"/>
          <w:sz w:val="30"/>
          <w:szCs w:val="30"/>
        </w:rPr>
        <w:t>项目名称：寻甸县第二人民医院建设项目支出绩效评价</w:t>
      </w:r>
    </w:p>
    <w:p w14:paraId="17090C74">
      <w:pPr>
        <w:spacing w:line="600" w:lineRule="exact"/>
        <w:ind w:firstLine="0" w:firstLineChars="0"/>
        <w:jc w:val="left"/>
        <w:outlineLvl w:val="0"/>
        <w:rPr>
          <w:rFonts w:hint="eastAsia" w:ascii="宋体" w:hAnsi="宋体" w:eastAsia="宋体" w:cs="宋体"/>
          <w:sz w:val="30"/>
          <w:szCs w:val="30"/>
        </w:rPr>
      </w:pPr>
      <w:r>
        <w:rPr>
          <w:rFonts w:hint="eastAsia" w:ascii="宋体" w:hAnsi="宋体" w:eastAsia="宋体" w:cs="宋体"/>
          <w:sz w:val="30"/>
          <w:szCs w:val="30"/>
        </w:rPr>
        <w:t>评价单位：寻甸回族彝族自治县卫生健康局</w:t>
      </w:r>
    </w:p>
    <w:p w14:paraId="512F713E">
      <w:pPr>
        <w:spacing w:line="600" w:lineRule="exact"/>
        <w:ind w:firstLine="0" w:firstLineChars="0"/>
        <w:jc w:val="left"/>
        <w:outlineLvl w:val="0"/>
        <w:rPr>
          <w:rFonts w:hint="eastAsia" w:ascii="宋体" w:hAnsi="宋体" w:eastAsia="宋体" w:cs="宋体"/>
          <w:sz w:val="30"/>
          <w:szCs w:val="30"/>
        </w:rPr>
      </w:pPr>
      <w:r>
        <w:rPr>
          <w:rFonts w:hint="eastAsia" w:ascii="宋体" w:hAnsi="宋体" w:eastAsia="宋体" w:cs="宋体"/>
          <w:sz w:val="30"/>
          <w:szCs w:val="30"/>
        </w:rPr>
        <w:t>委托部门：寻甸回族彝族自治县财政局</w:t>
      </w:r>
    </w:p>
    <w:p w14:paraId="24182CB8">
      <w:pPr>
        <w:spacing w:line="600" w:lineRule="exact"/>
        <w:ind w:firstLine="0" w:firstLineChars="0"/>
        <w:jc w:val="left"/>
        <w:rPr>
          <w:rFonts w:hint="eastAsia" w:ascii="宋体" w:hAnsi="宋体" w:eastAsia="宋体" w:cs="宋体"/>
          <w:b/>
          <w:sz w:val="30"/>
          <w:szCs w:val="30"/>
        </w:rPr>
      </w:pPr>
      <w:r>
        <w:rPr>
          <w:rFonts w:hint="eastAsia" w:ascii="宋体" w:hAnsi="宋体" w:eastAsia="宋体" w:cs="宋体"/>
          <w:sz w:val="30"/>
          <w:szCs w:val="30"/>
        </w:rPr>
        <w:t>评价机构：云南京健会计师事务所（普通合伙）</w:t>
      </w:r>
    </w:p>
    <w:p w14:paraId="2922B489">
      <w:pPr>
        <w:ind w:firstLine="0" w:firstLineChars="0"/>
        <w:jc w:val="center"/>
        <w:rPr>
          <w:rFonts w:hint="eastAsia" w:ascii="黑体" w:hAnsi="黑体" w:eastAsia="黑体" w:cs="黑体"/>
          <w:bCs/>
          <w:sz w:val="21"/>
          <w:szCs w:val="21"/>
        </w:rPr>
      </w:pPr>
    </w:p>
    <w:p w14:paraId="3374AC35">
      <w:pPr>
        <w:ind w:firstLine="0" w:firstLineChars="0"/>
        <w:jc w:val="center"/>
        <w:rPr>
          <w:rFonts w:hint="eastAsia" w:ascii="黑体" w:hAnsi="黑体" w:eastAsia="黑体" w:cs="黑体"/>
          <w:bCs/>
          <w:sz w:val="21"/>
          <w:szCs w:val="21"/>
        </w:rPr>
      </w:pPr>
    </w:p>
    <w:p w14:paraId="5AE8006C">
      <w:pPr>
        <w:ind w:firstLine="0" w:firstLineChars="0"/>
        <w:jc w:val="center"/>
        <w:rPr>
          <w:rFonts w:hint="eastAsia" w:ascii="黑体" w:hAnsi="黑体" w:eastAsia="黑体" w:cs="黑体"/>
          <w:bCs/>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1077" w:footer="992" w:gutter="0"/>
          <w:pgBorders>
            <w:top w:val="single" w:color="auto" w:sz="4" w:space="1"/>
            <w:bottom w:val="single" w:color="auto" w:sz="4" w:space="1"/>
          </w:pgBorders>
          <w:cols w:space="425" w:num="1"/>
          <w:docGrid w:type="lines" w:linePitch="312" w:charSpace="0"/>
        </w:sectPr>
      </w:pPr>
    </w:p>
    <w:p w14:paraId="668DA76C">
      <w:pPr>
        <w:ind w:firstLine="0" w:firstLineChars="0"/>
        <w:jc w:val="center"/>
        <w:rPr>
          <w:rFonts w:hint="eastAsia" w:ascii="黑体" w:hAnsi="黑体" w:eastAsia="黑体" w:cs="黑体"/>
          <w:bCs/>
          <w:sz w:val="21"/>
          <w:szCs w:val="21"/>
        </w:rPr>
      </w:pPr>
      <w:r>
        <w:rPr>
          <w:rFonts w:hint="eastAsia" w:ascii="黑体" w:hAnsi="黑体" w:eastAsia="黑体" w:cs="黑体"/>
          <w:bCs/>
          <w:szCs w:val="24"/>
        </w:rPr>
        <w:t>寻甸回族彝族自治县卫生健康局</w:t>
      </w:r>
      <w:bookmarkStart w:id="0" w:name="_Hlk179209986"/>
      <w:r>
        <w:rPr>
          <w:rFonts w:hint="eastAsia" w:ascii="黑体" w:hAnsi="黑体" w:eastAsia="黑体" w:cs="黑体"/>
          <w:bCs/>
          <w:szCs w:val="24"/>
        </w:rPr>
        <w:t>寻甸县第二人民医院建设</w:t>
      </w:r>
      <w:bookmarkEnd w:id="0"/>
      <w:r>
        <w:rPr>
          <w:rFonts w:hint="eastAsia" w:ascii="黑体" w:hAnsi="黑体" w:eastAsia="黑体" w:cs="黑体"/>
          <w:bCs/>
          <w:szCs w:val="24"/>
        </w:rPr>
        <w:t>项目支出</w:t>
      </w:r>
    </w:p>
    <w:p w14:paraId="635CC2E8">
      <w:pPr>
        <w:ind w:firstLine="720"/>
        <w:jc w:val="center"/>
        <w:rPr>
          <w:rFonts w:hint="eastAsia" w:ascii="黑体" w:hAnsi="黑体" w:eastAsia="黑体" w:cs="黑体"/>
          <w:bCs/>
          <w:sz w:val="36"/>
          <w:szCs w:val="36"/>
        </w:rPr>
      </w:pPr>
      <w:r>
        <w:rPr>
          <w:rFonts w:hint="eastAsia" w:ascii="黑体" w:hAnsi="黑体" w:eastAsia="黑体" w:cs="黑体"/>
          <w:bCs/>
          <w:sz w:val="36"/>
          <w:szCs w:val="36"/>
        </w:rPr>
        <w:t>绩效评价报告</w:t>
      </w:r>
    </w:p>
    <w:p w14:paraId="78AE34F7">
      <w:pPr>
        <w:ind w:firstLine="318" w:firstLineChars="177"/>
        <w:jc w:val="center"/>
        <w:rPr>
          <w:rFonts w:hint="eastAsia" w:ascii="宋体" w:hAnsi="宋体" w:eastAsia="宋体"/>
          <w:sz w:val="18"/>
          <w:szCs w:val="18"/>
        </w:rPr>
      </w:pPr>
      <w:r>
        <w:rPr>
          <w:rFonts w:hint="eastAsia" w:ascii="宋体" w:hAnsi="宋体" w:eastAsia="宋体"/>
          <w:sz w:val="18"/>
          <w:szCs w:val="18"/>
        </w:rPr>
        <w:t>云京健专审字（2024）第</w:t>
      </w:r>
      <w:r>
        <w:rPr>
          <w:rFonts w:hint="eastAsia" w:ascii="宋体" w:hAnsi="宋体" w:eastAsia="宋体"/>
          <w:sz w:val="18"/>
          <w:szCs w:val="18"/>
          <w:lang w:val="en-US" w:eastAsia="zh-CN"/>
        </w:rPr>
        <w:t>065</w:t>
      </w:r>
      <w:r>
        <w:rPr>
          <w:rFonts w:hint="eastAsia" w:ascii="宋体" w:hAnsi="宋体" w:eastAsia="宋体"/>
          <w:sz w:val="18"/>
          <w:szCs w:val="18"/>
        </w:rPr>
        <w:t>号</w:t>
      </w:r>
    </w:p>
    <w:p w14:paraId="4E32DD24">
      <w:pPr>
        <w:ind w:firstLine="0" w:firstLineChars="0"/>
        <w:rPr>
          <w:rFonts w:hint="eastAsia" w:ascii="宋体" w:hAnsi="宋体" w:eastAsia="宋体" w:cs="宋体"/>
          <w:b/>
          <w:sz w:val="28"/>
          <w:szCs w:val="28"/>
        </w:rPr>
      </w:pPr>
      <w:r>
        <w:rPr>
          <w:rFonts w:hint="eastAsia" w:ascii="宋体" w:hAnsi="宋体" w:eastAsia="宋体" w:cs="宋体"/>
          <w:b/>
          <w:sz w:val="28"/>
          <w:szCs w:val="28"/>
        </w:rPr>
        <w:t>寻甸回族彝族自治县财政局：</w:t>
      </w:r>
    </w:p>
    <w:p w14:paraId="105AA032">
      <w:pPr>
        <w:ind w:firstLine="560"/>
        <w:rPr>
          <w:rFonts w:hint="eastAsia"/>
          <w:sz w:val="28"/>
          <w:szCs w:val="28"/>
        </w:rPr>
      </w:pPr>
      <w:r>
        <w:rPr>
          <w:rFonts w:hint="eastAsia"/>
          <w:sz w:val="28"/>
          <w:szCs w:val="28"/>
        </w:rPr>
        <w:t>我们接受委托，根据</w:t>
      </w:r>
      <w:bookmarkStart w:id="1" w:name="_Hlk143855331"/>
      <w:r>
        <w:rPr>
          <w:rFonts w:hint="eastAsia"/>
          <w:sz w:val="28"/>
          <w:szCs w:val="28"/>
        </w:rPr>
        <w:t>《关于全面推进预算绩效管理改革的实施意见》（寻政发〔</w:t>
      </w:r>
      <w:r>
        <w:rPr>
          <w:sz w:val="28"/>
          <w:szCs w:val="28"/>
        </w:rPr>
        <w:t>2016〕122号）</w:t>
      </w:r>
      <w:bookmarkEnd w:id="1"/>
      <w:r>
        <w:rPr>
          <w:sz w:val="28"/>
          <w:szCs w:val="28"/>
        </w:rPr>
        <w:t>、《关于印发寻甸回族彝族自治县预算绩效管理工作考核办法（试行）的通知》（寻政办发〔2016〕79号）、《关于明确预算绩效管理工作职责的通知》（寻财〔2020〕5号）和</w:t>
      </w:r>
      <w:bookmarkStart w:id="2" w:name="_Hlk143855269"/>
      <w:r>
        <w:rPr>
          <w:sz w:val="28"/>
          <w:szCs w:val="28"/>
        </w:rPr>
        <w:t>《关于</w:t>
      </w:r>
      <w:r>
        <w:rPr>
          <w:rFonts w:hint="eastAsia"/>
          <w:sz w:val="28"/>
          <w:szCs w:val="28"/>
        </w:rPr>
        <w:t>开展</w:t>
      </w:r>
      <w:r>
        <w:rPr>
          <w:sz w:val="28"/>
          <w:szCs w:val="28"/>
        </w:rPr>
        <w:t>202</w:t>
      </w:r>
      <w:r>
        <w:rPr>
          <w:rFonts w:hint="eastAsia"/>
          <w:sz w:val="28"/>
          <w:szCs w:val="28"/>
        </w:rPr>
        <w:t>3</w:t>
      </w:r>
      <w:r>
        <w:rPr>
          <w:sz w:val="28"/>
          <w:szCs w:val="28"/>
        </w:rPr>
        <w:t>年度部门整体支出、重大项目支出和地方政府债券项目支出绩效再评价的通知》（寻财绩〔202</w:t>
      </w:r>
      <w:r>
        <w:rPr>
          <w:rFonts w:hint="eastAsia"/>
          <w:sz w:val="28"/>
          <w:szCs w:val="28"/>
        </w:rPr>
        <w:t>4</w:t>
      </w:r>
      <w:r>
        <w:rPr>
          <w:sz w:val="28"/>
          <w:szCs w:val="28"/>
        </w:rPr>
        <w:t>〕</w:t>
      </w:r>
      <w:r>
        <w:rPr>
          <w:rFonts w:hint="eastAsia"/>
          <w:sz w:val="28"/>
          <w:szCs w:val="28"/>
        </w:rPr>
        <w:t>4</w:t>
      </w:r>
      <w:r>
        <w:rPr>
          <w:sz w:val="28"/>
          <w:szCs w:val="28"/>
        </w:rPr>
        <w:t>号）</w:t>
      </w:r>
      <w:bookmarkEnd w:id="2"/>
      <w:r>
        <w:rPr>
          <w:rFonts w:hint="eastAsia"/>
          <w:sz w:val="28"/>
          <w:szCs w:val="28"/>
        </w:rPr>
        <w:t>等文件要求，组成审计评价组对寻甸回族彝族自治县</w:t>
      </w:r>
      <w:bookmarkStart w:id="3" w:name="_Hlk144974620"/>
      <w:r>
        <w:rPr>
          <w:rFonts w:hint="eastAsia"/>
          <w:sz w:val="28"/>
          <w:szCs w:val="28"/>
        </w:rPr>
        <w:t>卫生健康局</w:t>
      </w:r>
      <w:bookmarkEnd w:id="3"/>
      <w:r>
        <w:rPr>
          <w:rFonts w:hint="eastAsia"/>
          <w:sz w:val="28"/>
          <w:szCs w:val="28"/>
        </w:rPr>
        <w:t>寻甸县第二人民医院建设项目资金（以下简称“项目”）的管理、使用及效益情况进行了绩效评价。寻甸回族彝族自治县卫生健康局（以下简称“卫健局”）对所提供评价资料的真实性、完整性负责。现将绩效评价情况报告如下：</w:t>
      </w:r>
      <w:bookmarkStart w:id="4" w:name="_Toc502134848"/>
    </w:p>
    <w:p w14:paraId="7FC06A23">
      <w:pPr>
        <w:ind w:firstLine="560"/>
        <w:rPr>
          <w:rFonts w:hint="eastAsia" w:ascii="黑体" w:hAnsi="黑体" w:eastAsia="黑体" w:cs="黑体"/>
          <w:b/>
          <w:bCs/>
          <w:sz w:val="28"/>
          <w:szCs w:val="28"/>
        </w:rPr>
      </w:pPr>
      <w:r>
        <w:rPr>
          <w:rFonts w:hint="eastAsia" w:ascii="黑体" w:hAnsi="黑体" w:eastAsia="黑体" w:cs="黑体"/>
          <w:sz w:val="28"/>
          <w:szCs w:val="28"/>
        </w:rPr>
        <w:t>一、基本情况</w:t>
      </w:r>
      <w:bookmarkEnd w:id="4"/>
      <w:bookmarkStart w:id="5" w:name="_Toc502134849"/>
    </w:p>
    <w:p w14:paraId="13B4C7F7">
      <w:pPr>
        <w:ind w:firstLine="560"/>
        <w:rPr>
          <w:rFonts w:hint="eastAsia" w:ascii="楷体" w:hAnsi="楷体" w:eastAsia="楷体" w:cs="楷体"/>
          <w:sz w:val="28"/>
          <w:szCs w:val="28"/>
        </w:rPr>
      </w:pPr>
      <w:r>
        <w:rPr>
          <w:rFonts w:hint="eastAsia" w:ascii="楷体" w:hAnsi="楷体" w:eastAsia="楷体" w:cs="楷体"/>
          <w:sz w:val="28"/>
          <w:szCs w:val="28"/>
        </w:rPr>
        <w:t>(一)项目概况</w:t>
      </w:r>
      <w:bookmarkEnd w:id="5"/>
    </w:p>
    <w:p w14:paraId="1967FCF7">
      <w:pPr>
        <w:ind w:firstLine="560"/>
        <w:rPr>
          <w:rFonts w:hint="eastAsia" w:cs="仿宋"/>
          <w:sz w:val="28"/>
          <w:szCs w:val="28"/>
        </w:rPr>
      </w:pPr>
      <w:r>
        <w:rPr>
          <w:rFonts w:hint="eastAsia" w:cs="仿宋"/>
          <w:sz w:val="28"/>
          <w:szCs w:val="28"/>
        </w:rPr>
        <w:t>1.项目设定背景、目的</w:t>
      </w:r>
    </w:p>
    <w:p w14:paraId="456045FB">
      <w:pPr>
        <w:ind w:firstLine="560"/>
        <w:rPr>
          <w:rFonts w:hint="eastAsia" w:cs="仿宋"/>
          <w:sz w:val="28"/>
          <w:szCs w:val="28"/>
        </w:rPr>
      </w:pPr>
      <w:r>
        <w:rPr>
          <w:rFonts w:hint="eastAsia" w:cs="仿宋"/>
          <w:sz w:val="28"/>
          <w:szCs w:val="28"/>
        </w:rPr>
        <w:t>随着社会经济发展水平的提高，人民越来越重视自身的健康；自从国家新农村合作项目和城镇居民医疗保险项目的启动实施，病人量剧增，病床使用率骤升，而目前倘甸镇既有医疗条件满足不了群众的就医需求。再者产业园区的建设和轿子山旅游区的开发，到该区域旅游休闲度假及务工人员将会成倍增多。目前寻甸的医疗卫生条件显然无法满足发展的需要。为此，立即着手人民医院的建设，不仅仅是保障当地人民群众生命健康的需要，也是保证外来旅游及务工人员能有一个良好的医疗条件，塑造寻甸良好的区域形象，促进产业及旅游业的健康快速发展。</w:t>
      </w:r>
    </w:p>
    <w:p w14:paraId="19697525">
      <w:pPr>
        <w:ind w:firstLine="560"/>
        <w:rPr>
          <w:rFonts w:hint="eastAsia" w:cs="仿宋"/>
          <w:sz w:val="28"/>
          <w:szCs w:val="28"/>
        </w:rPr>
      </w:pPr>
      <w:r>
        <w:rPr>
          <w:rFonts w:hint="eastAsia" w:cs="仿宋"/>
          <w:sz w:val="28"/>
          <w:szCs w:val="28"/>
        </w:rPr>
        <w:t>(1)能为大量转诊病人节约如车旅费、陪护人员误工费及其它许多不必要的杂项开支。按每年转诊为20万人次，每人次节约开支2,000.00元计，每年可为患者节约开支4亿元，还能产生其它相关的隐形效益。</w:t>
      </w:r>
    </w:p>
    <w:p w14:paraId="7DBFC070">
      <w:pPr>
        <w:ind w:firstLine="560"/>
        <w:rPr>
          <w:rFonts w:hint="eastAsia" w:cs="仿宋"/>
          <w:sz w:val="28"/>
          <w:szCs w:val="28"/>
        </w:rPr>
      </w:pPr>
      <w:r>
        <w:rPr>
          <w:rFonts w:hint="eastAsia" w:cs="仿宋"/>
          <w:sz w:val="28"/>
          <w:szCs w:val="28"/>
        </w:rPr>
        <w:t>(2)减少求诊外流，减轻患者医疗负担，实现医疗服务进一步覆盖，提高医院的感染控制能力，患者诊疗安全进一步得到保障。长期以来由于设施环境的欠佳、就诊治疗拥挤，使部分社区群众不得不寻求外部的医疗机构，这加重了患者的经济负担，还消耗了额外的诊治时间。本项目建成后，本地群众可就地治疗，从而达到减轻患者就医成本和缩短病假时间，使患者早日康复，缩短疼痛时间。同时，自2007年1月1日正式启动新型农村合作医疗制度后越来越多的农业人口参加，寻甸县第二人民医院的新建能使国家的医保制度进一步惠及广大人民群众。</w:t>
      </w:r>
    </w:p>
    <w:p w14:paraId="40468B23">
      <w:pPr>
        <w:ind w:firstLine="560"/>
        <w:rPr>
          <w:rFonts w:hint="eastAsia" w:cs="仿宋"/>
          <w:sz w:val="28"/>
          <w:szCs w:val="28"/>
        </w:rPr>
      </w:pPr>
      <w:r>
        <w:rPr>
          <w:rFonts w:hint="eastAsia" w:cs="仿宋"/>
          <w:sz w:val="28"/>
          <w:szCs w:val="28"/>
        </w:rPr>
        <w:t>(3)提高人民医院可持续发展能力，更好地肩负起维护人民群众生命健康的职责。</w:t>
      </w:r>
    </w:p>
    <w:p w14:paraId="6D54A0B1">
      <w:pPr>
        <w:ind w:firstLine="560"/>
        <w:rPr>
          <w:rFonts w:hint="eastAsia" w:cs="仿宋"/>
          <w:sz w:val="28"/>
          <w:szCs w:val="28"/>
        </w:rPr>
      </w:pPr>
      <w:r>
        <w:rPr>
          <w:rFonts w:hint="eastAsia" w:cs="仿宋"/>
          <w:sz w:val="28"/>
          <w:szCs w:val="28"/>
        </w:rPr>
        <w:t>(4)改善医疗设施环境，提高区域紧急救护事件处理能力，为群众与国内外游客的生命健康提供更可靠保障，并通过及时得当的紧急救护服务维护寻甸县的旅游形象。</w:t>
      </w:r>
    </w:p>
    <w:p w14:paraId="62A5A47A">
      <w:pPr>
        <w:ind w:firstLine="560"/>
        <w:rPr>
          <w:rFonts w:hint="eastAsia" w:cs="仿宋"/>
          <w:sz w:val="28"/>
          <w:szCs w:val="28"/>
        </w:rPr>
      </w:pPr>
      <w:r>
        <w:rPr>
          <w:rFonts w:hint="eastAsia" w:cs="仿宋"/>
          <w:sz w:val="28"/>
          <w:szCs w:val="28"/>
        </w:rPr>
        <w:t>(5)促进区域社会医疗保障系统的发展，维护社会稳定和民族团结。寻甸县是以汉族为主的多民族聚居市区，且农业人口占91.89%。经济社会发展长期落后于全国和发达地区，医疗卫生事业亦然。长期以来医疗条件都较差。该项目建成后，将有助于改善医疗条件发展不平衡的局面，人民医院可更好地为本地群众提高基本医疗、疾控的服务，令患者或需要疾控服务的人民尽早地脱离病痛、恢复健康，保障群众身心健康，安心投入到工作生活之中，维护社会稳定与民族团结。</w:t>
      </w:r>
    </w:p>
    <w:p w14:paraId="33A35A1D">
      <w:pPr>
        <w:ind w:firstLine="560"/>
        <w:rPr>
          <w:rFonts w:hint="eastAsia" w:cs="仿宋"/>
          <w:color w:val="FF0000"/>
          <w:sz w:val="28"/>
          <w:szCs w:val="28"/>
        </w:rPr>
      </w:pPr>
      <w:r>
        <w:rPr>
          <w:rFonts w:hint="eastAsia" w:cs="仿宋"/>
          <w:sz w:val="28"/>
          <w:szCs w:val="28"/>
        </w:rPr>
        <w:t>2.项目立项依据</w:t>
      </w:r>
    </w:p>
    <w:p w14:paraId="1CC4CEA6">
      <w:pPr>
        <w:ind w:firstLine="560"/>
        <w:rPr>
          <w:rFonts w:hint="eastAsia" w:cs="仿宋"/>
          <w:sz w:val="28"/>
          <w:szCs w:val="28"/>
        </w:rPr>
      </w:pPr>
      <w:bookmarkStart w:id="6" w:name="_Toc502134850"/>
      <w:r>
        <w:rPr>
          <w:rFonts w:hint="eastAsia" w:cs="仿宋"/>
          <w:sz w:val="28"/>
          <w:szCs w:val="28"/>
        </w:rPr>
        <w:t>(1)《国务院关于促进健康服务业发展的若干意见》（国发〔2016〕26号）；</w:t>
      </w:r>
    </w:p>
    <w:p w14:paraId="45386E0D">
      <w:pPr>
        <w:ind w:firstLine="560"/>
        <w:rPr>
          <w:rFonts w:hint="eastAsia" w:cs="仿宋"/>
          <w:sz w:val="28"/>
          <w:szCs w:val="28"/>
        </w:rPr>
      </w:pPr>
      <w:r>
        <w:rPr>
          <w:rFonts w:hint="eastAsia" w:cs="仿宋"/>
          <w:sz w:val="28"/>
          <w:szCs w:val="28"/>
        </w:rPr>
        <w:t>(2)《寻甸回族彝族自治县国民经济和社会发展第十四个五年规划和二○三五年远景目标纲要》；</w:t>
      </w:r>
    </w:p>
    <w:p w14:paraId="20E2C7F5">
      <w:pPr>
        <w:ind w:firstLine="560"/>
        <w:rPr>
          <w:rFonts w:hint="eastAsia" w:cs="仿宋"/>
          <w:sz w:val="28"/>
          <w:szCs w:val="28"/>
        </w:rPr>
      </w:pPr>
      <w:r>
        <w:rPr>
          <w:rFonts w:hint="eastAsia" w:cs="仿宋"/>
          <w:sz w:val="28"/>
          <w:szCs w:val="28"/>
        </w:rPr>
        <w:t>(3)《寻甸县“十四五”卫生与健康规划》；</w:t>
      </w:r>
    </w:p>
    <w:p w14:paraId="371DD6AC">
      <w:pPr>
        <w:ind w:firstLine="560"/>
        <w:rPr>
          <w:rFonts w:hint="eastAsia" w:cs="仿宋"/>
          <w:sz w:val="28"/>
          <w:szCs w:val="28"/>
        </w:rPr>
      </w:pPr>
      <w:r>
        <w:rPr>
          <w:rFonts w:hint="eastAsia" w:cs="仿宋"/>
          <w:sz w:val="28"/>
          <w:szCs w:val="28"/>
        </w:rPr>
        <w:t>(4)《寻甸回族彝族自治县人民政府关于加快推进寻甸县第二人民医院项目建设工作领导小组第一次会议的纪要》（2022年5月12日第18期）</w:t>
      </w:r>
    </w:p>
    <w:p w14:paraId="0EC16811">
      <w:pPr>
        <w:ind w:firstLine="560"/>
        <w:rPr>
          <w:rFonts w:hint="eastAsia" w:ascii="楷体" w:hAnsi="楷体" w:eastAsia="楷体" w:cs="楷体"/>
          <w:sz w:val="28"/>
          <w:szCs w:val="28"/>
        </w:rPr>
      </w:pPr>
      <w:r>
        <w:rPr>
          <w:rFonts w:hint="eastAsia" w:ascii="楷体" w:hAnsi="楷体" w:eastAsia="楷体" w:cs="楷体"/>
          <w:sz w:val="28"/>
          <w:szCs w:val="28"/>
        </w:rPr>
        <w:t>(二)项目资金安排情况</w:t>
      </w:r>
      <w:bookmarkEnd w:id="6"/>
    </w:p>
    <w:p w14:paraId="2CC21703">
      <w:pPr>
        <w:ind w:firstLine="560"/>
        <w:rPr>
          <w:rFonts w:hint="eastAsia" w:cs="仿宋"/>
          <w:sz w:val="28"/>
          <w:szCs w:val="28"/>
        </w:rPr>
      </w:pPr>
      <w:bookmarkStart w:id="7" w:name="_Toc502134851"/>
      <w:r>
        <w:rPr>
          <w:rFonts w:hint="eastAsia" w:cs="仿宋"/>
          <w:sz w:val="28"/>
          <w:szCs w:val="28"/>
        </w:rPr>
        <w:t>寻甸回族彝族自治县发展和改革局《关于寻甸县第二人民医院建设项目可行性研究报告批复》（寻发改投资〔2020〕74号）批复该项目建设资金及来源：项目总投资41732.91万元，资金来源为地方财政预算，同时积极争取中央及上级专项资金。</w:t>
      </w:r>
    </w:p>
    <w:p w14:paraId="2CF9A8D4">
      <w:pPr>
        <w:ind w:firstLine="560"/>
        <w:rPr>
          <w:rFonts w:hint="eastAsia" w:cs="仿宋"/>
          <w:sz w:val="28"/>
          <w:szCs w:val="28"/>
        </w:rPr>
      </w:pPr>
      <w:r>
        <w:rPr>
          <w:rFonts w:hint="eastAsia" w:cs="仿宋"/>
          <w:sz w:val="28"/>
          <w:szCs w:val="28"/>
        </w:rPr>
        <w:t>根据《寻甸回族彝族自治县财政局关于拨付2021年第二批新增专项债券资金的通知》（寻财债〔2021〕2号），安排寻甸县第二人民医院项目专项债券资金15000万元。根据卫健局相关支付凭证，</w:t>
      </w:r>
      <w:r>
        <w:rPr>
          <w:rFonts w:hint="eastAsia" w:cs="仿宋"/>
          <w:sz w:val="28"/>
          <w:szCs w:val="28"/>
          <w:lang w:eastAsia="zh-CN"/>
        </w:rPr>
        <w:t>截至</w:t>
      </w:r>
      <w:r>
        <w:rPr>
          <w:rFonts w:hint="eastAsia" w:cs="仿宋"/>
          <w:sz w:val="28"/>
          <w:szCs w:val="28"/>
        </w:rPr>
        <w:t>2023年12月31日，卫健局已将政府专项债券资金15000万元拨付至项目代建单位。</w:t>
      </w:r>
    </w:p>
    <w:p w14:paraId="4E3F455C">
      <w:pPr>
        <w:ind w:firstLine="560"/>
        <w:rPr>
          <w:rFonts w:hint="eastAsia" w:ascii="楷体" w:hAnsi="楷体" w:eastAsia="楷体" w:cs="楷体"/>
          <w:sz w:val="28"/>
          <w:szCs w:val="28"/>
        </w:rPr>
      </w:pPr>
      <w:r>
        <w:rPr>
          <w:rFonts w:hint="eastAsia" w:ascii="楷体" w:hAnsi="楷体" w:eastAsia="楷体" w:cs="楷体"/>
          <w:sz w:val="28"/>
          <w:szCs w:val="28"/>
        </w:rPr>
        <w:t>(三)项目实施内容</w:t>
      </w:r>
      <w:bookmarkEnd w:id="7"/>
      <w:bookmarkStart w:id="8" w:name="_Toc502134852"/>
    </w:p>
    <w:p w14:paraId="15FFA004">
      <w:pPr>
        <w:ind w:firstLine="560"/>
        <w:rPr>
          <w:rFonts w:hint="eastAsia" w:cs="仿宋"/>
          <w:sz w:val="28"/>
          <w:szCs w:val="28"/>
        </w:rPr>
      </w:pPr>
      <w:r>
        <w:rPr>
          <w:rFonts w:hint="eastAsia" w:cs="仿宋"/>
          <w:sz w:val="28"/>
          <w:szCs w:val="28"/>
        </w:rPr>
        <w:t>根据寻甸回族彝族自治县发展和改革局《关于寻甸县第二人民医院建设项目可行性研究报告批复》（寻发改投资〔2020〕74号）批复项目建设主要规模及内容：项目占地面积57664.73㎡，总建筑面积57567.53㎡。其中门诊部17315.41㎡、医技部9530.20㎡、住院部25801.16㎡、传染楼1475.94㎡、污水处理间128.78㎡、高压氧舱343㎡、垃圾房60㎡、绿地面积26808.3㎡、地下室面积11084.59㎡、道路广场面积16545.25㎡。建筑面积15%，容积率0.95，绿地率46%，停车位465个。</w:t>
      </w:r>
    </w:p>
    <w:p w14:paraId="0549E8EC">
      <w:pPr>
        <w:ind w:firstLine="560"/>
        <w:rPr>
          <w:rFonts w:hint="eastAsia" w:cs="仿宋"/>
          <w:sz w:val="28"/>
          <w:szCs w:val="28"/>
        </w:rPr>
      </w:pPr>
      <w:r>
        <w:rPr>
          <w:rFonts w:hint="eastAsia" w:cs="仿宋"/>
          <w:sz w:val="28"/>
          <w:szCs w:val="28"/>
          <w:lang w:eastAsia="zh-CN"/>
        </w:rPr>
        <w:t>截至</w:t>
      </w:r>
      <w:r>
        <w:rPr>
          <w:rFonts w:hint="eastAsia" w:cs="仿宋"/>
          <w:sz w:val="28"/>
          <w:szCs w:val="28"/>
        </w:rPr>
        <w:t>2023年12月31日，项目主体工程基本完工，附属工程和装饰装修为建设过程中，项目总体为实施过程中的项目。</w:t>
      </w:r>
    </w:p>
    <w:p w14:paraId="7AFD35AE">
      <w:pPr>
        <w:ind w:firstLine="560"/>
        <w:rPr>
          <w:rFonts w:hint="eastAsia" w:ascii="楷体" w:hAnsi="楷体" w:eastAsia="楷体" w:cs="楷体"/>
          <w:sz w:val="28"/>
          <w:szCs w:val="28"/>
        </w:rPr>
      </w:pPr>
      <w:r>
        <w:rPr>
          <w:rFonts w:hint="eastAsia" w:ascii="楷体" w:hAnsi="楷体" w:eastAsia="楷体" w:cs="楷体"/>
          <w:sz w:val="28"/>
          <w:szCs w:val="28"/>
        </w:rPr>
        <w:t>(四)</w:t>
      </w:r>
      <w:bookmarkStart w:id="9" w:name="_Hlk145787341"/>
      <w:r>
        <w:rPr>
          <w:rFonts w:hint="eastAsia" w:ascii="楷体" w:hAnsi="楷体" w:eastAsia="楷体" w:cs="楷体"/>
          <w:sz w:val="28"/>
          <w:szCs w:val="28"/>
        </w:rPr>
        <w:t>项目绩效目标设定情况</w:t>
      </w:r>
      <w:bookmarkEnd w:id="8"/>
      <w:bookmarkEnd w:id="9"/>
    </w:p>
    <w:p w14:paraId="5F014DEE">
      <w:pPr>
        <w:ind w:firstLine="560"/>
        <w:rPr>
          <w:rFonts w:hint="eastAsia" w:cs="仿宋"/>
          <w:sz w:val="28"/>
          <w:szCs w:val="28"/>
        </w:rPr>
      </w:pPr>
      <w:bookmarkStart w:id="10" w:name="_Hlk144996368"/>
      <w:r>
        <w:rPr>
          <w:rFonts w:hint="eastAsia" w:cs="仿宋"/>
          <w:sz w:val="28"/>
          <w:szCs w:val="28"/>
        </w:rPr>
        <w:t>卫健局未在“预算一体化”系统中申报项目预算及绩效目标，卫健局根据上述项目实施内容，在《寻甸县第二人民医院项目专项债券实施方案》中设定项目绩效目标如下：</w:t>
      </w:r>
    </w:p>
    <w:p w14:paraId="170678A1">
      <w:pPr>
        <w:ind w:firstLine="560"/>
        <w:rPr>
          <w:rFonts w:hint="eastAsia" w:cs="仿宋"/>
          <w:sz w:val="28"/>
          <w:szCs w:val="28"/>
        </w:rPr>
      </w:pPr>
      <w:r>
        <w:rPr>
          <w:rFonts w:hint="eastAsia" w:cs="仿宋"/>
          <w:sz w:val="28"/>
          <w:szCs w:val="28"/>
        </w:rPr>
        <w:t>1.新建两栋医疗综合楼及配套设施、功能用房，完成项目建设后，第二人民医院床位达到498张，功能设施完善。</w:t>
      </w:r>
    </w:p>
    <w:p w14:paraId="52657655">
      <w:pPr>
        <w:ind w:firstLine="560"/>
        <w:rPr>
          <w:rFonts w:hint="eastAsia" w:cs="仿宋"/>
          <w:sz w:val="28"/>
          <w:szCs w:val="28"/>
        </w:rPr>
      </w:pPr>
      <w:r>
        <w:rPr>
          <w:rFonts w:hint="eastAsia" w:cs="仿宋"/>
          <w:sz w:val="28"/>
          <w:szCs w:val="28"/>
        </w:rPr>
        <w:t>2.符合工程施工质量验收相关要求，按时投入使用。</w:t>
      </w:r>
    </w:p>
    <w:p w14:paraId="65EC6C94">
      <w:pPr>
        <w:ind w:firstLine="560"/>
        <w:rPr>
          <w:rFonts w:hint="eastAsia" w:cs="仿宋"/>
          <w:sz w:val="28"/>
          <w:szCs w:val="28"/>
        </w:rPr>
      </w:pPr>
      <w:r>
        <w:rPr>
          <w:rFonts w:hint="eastAsia" w:cs="仿宋"/>
          <w:sz w:val="28"/>
          <w:szCs w:val="28"/>
        </w:rPr>
        <w:t>3.符合医院建设标准的要求及疫情防控期间主要决策和部署。</w:t>
      </w:r>
    </w:p>
    <w:p w14:paraId="5017937A">
      <w:pPr>
        <w:ind w:firstLine="560"/>
        <w:rPr>
          <w:rFonts w:hint="eastAsia" w:cs="仿宋"/>
          <w:sz w:val="28"/>
          <w:szCs w:val="28"/>
        </w:rPr>
      </w:pPr>
      <w:r>
        <w:rPr>
          <w:rFonts w:hint="eastAsia" w:cs="仿宋"/>
          <w:sz w:val="28"/>
          <w:szCs w:val="28"/>
        </w:rPr>
        <w:t>4.达到预期社会效益。</w:t>
      </w:r>
    </w:p>
    <w:p w14:paraId="33819E5D">
      <w:pPr>
        <w:ind w:firstLine="560"/>
        <w:rPr>
          <w:rFonts w:hint="eastAsia"/>
          <w:sz w:val="28"/>
          <w:szCs w:val="28"/>
        </w:rPr>
      </w:pPr>
      <w:r>
        <w:rPr>
          <w:rFonts w:hint="eastAsia" w:cs="仿宋"/>
          <w:sz w:val="28"/>
          <w:szCs w:val="28"/>
        </w:rPr>
        <w:t>根据上述项目绩效目标，卫健局设定的预算绩效指标及指标值的具体情况如下：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943"/>
        <w:gridCol w:w="2732"/>
        <w:gridCol w:w="2577"/>
      </w:tblGrid>
      <w:tr w14:paraId="58E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pct"/>
            <w:tcBorders>
              <w:tl2br w:val="nil"/>
              <w:tr2bl w:val="nil"/>
            </w:tcBorders>
            <w:shd w:val="clear" w:color="auto" w:fill="auto"/>
            <w:vAlign w:val="center"/>
          </w:tcPr>
          <w:p w14:paraId="0EA536F8">
            <w:pPr>
              <w:widowControl/>
              <w:ind w:firstLine="0" w:firstLineChars="0"/>
              <w:jc w:val="center"/>
              <w:rPr>
                <w:rFonts w:hint="eastAsia" w:ascii="宋体" w:hAnsi="宋体" w:eastAsia="宋体" w:cs="宋体"/>
                <w:color w:val="000000"/>
                <w:kern w:val="0"/>
                <w:sz w:val="18"/>
                <w:szCs w:val="18"/>
              </w:rPr>
            </w:pPr>
            <w:bookmarkStart w:id="11" w:name="_Hlk144923174"/>
            <w:r>
              <w:rPr>
                <w:rFonts w:hint="eastAsia" w:ascii="宋体" w:hAnsi="宋体" w:eastAsia="宋体" w:cs="宋体"/>
                <w:color w:val="000000"/>
                <w:kern w:val="0"/>
                <w:sz w:val="18"/>
                <w:szCs w:val="18"/>
              </w:rPr>
              <w:t>一级指标</w:t>
            </w:r>
          </w:p>
        </w:tc>
        <w:tc>
          <w:tcPr>
            <w:tcW w:w="1141" w:type="pct"/>
            <w:tcBorders>
              <w:tl2br w:val="nil"/>
              <w:tr2bl w:val="nil"/>
            </w:tcBorders>
            <w:shd w:val="clear" w:color="auto" w:fill="auto"/>
            <w:vAlign w:val="center"/>
          </w:tcPr>
          <w:p w14:paraId="733A921F">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1604" w:type="pct"/>
            <w:tcBorders>
              <w:tl2br w:val="nil"/>
              <w:tr2bl w:val="nil"/>
            </w:tcBorders>
            <w:shd w:val="clear" w:color="auto" w:fill="auto"/>
            <w:vAlign w:val="center"/>
          </w:tcPr>
          <w:p w14:paraId="29049AC9">
            <w:pPr>
              <w:widowControl/>
              <w:ind w:firstLine="0" w:firstLineChars="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514" w:type="pct"/>
            <w:tcBorders>
              <w:tl2br w:val="nil"/>
              <w:tr2bl w:val="nil"/>
            </w:tcBorders>
            <w:shd w:val="clear" w:color="auto" w:fill="auto"/>
            <w:vAlign w:val="center"/>
          </w:tcPr>
          <w:p w14:paraId="30B2DDAC">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r>
      <w:tr w14:paraId="0226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pct"/>
            <w:vMerge w:val="restart"/>
            <w:tcBorders>
              <w:tl2br w:val="nil"/>
              <w:tr2bl w:val="nil"/>
            </w:tcBorders>
            <w:shd w:val="clear" w:color="auto" w:fill="auto"/>
            <w:vAlign w:val="center"/>
          </w:tcPr>
          <w:p w14:paraId="5F6E92DA">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产出指标</w:t>
            </w:r>
          </w:p>
        </w:tc>
        <w:tc>
          <w:tcPr>
            <w:tcW w:w="1141" w:type="pct"/>
            <w:vMerge w:val="restart"/>
            <w:tcBorders>
              <w:tl2br w:val="nil"/>
              <w:tr2bl w:val="nil"/>
            </w:tcBorders>
            <w:shd w:val="clear" w:color="auto" w:fill="auto"/>
            <w:vAlign w:val="center"/>
          </w:tcPr>
          <w:p w14:paraId="30048E36">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1604" w:type="pct"/>
            <w:tcBorders>
              <w:tl2br w:val="nil"/>
              <w:tr2bl w:val="nil"/>
            </w:tcBorders>
            <w:shd w:val="clear" w:color="auto" w:fill="auto"/>
            <w:vAlign w:val="center"/>
          </w:tcPr>
          <w:p w14:paraId="39D07F5D">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建设数量</w:t>
            </w:r>
          </w:p>
        </w:tc>
        <w:tc>
          <w:tcPr>
            <w:tcW w:w="1514" w:type="pct"/>
            <w:tcBorders>
              <w:tl2br w:val="nil"/>
              <w:tr2bl w:val="nil"/>
            </w:tcBorders>
            <w:shd w:val="clear" w:color="auto" w:fill="auto"/>
            <w:vAlign w:val="center"/>
          </w:tcPr>
          <w:p w14:paraId="0EB2F325">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57567.53㎡</w:t>
            </w:r>
          </w:p>
        </w:tc>
      </w:tr>
      <w:tr w14:paraId="7D2C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pct"/>
            <w:vMerge w:val="continue"/>
            <w:tcBorders>
              <w:tl2br w:val="nil"/>
              <w:tr2bl w:val="nil"/>
            </w:tcBorders>
            <w:shd w:val="clear" w:color="auto" w:fill="auto"/>
            <w:vAlign w:val="center"/>
          </w:tcPr>
          <w:p w14:paraId="1E5072FD">
            <w:pPr>
              <w:widowControl/>
              <w:ind w:firstLine="0" w:firstLineChars="0"/>
              <w:jc w:val="center"/>
              <w:rPr>
                <w:rFonts w:hint="eastAsia" w:ascii="宋体" w:hAnsi="宋体" w:eastAsia="宋体" w:cs="宋体"/>
                <w:color w:val="000000"/>
                <w:kern w:val="0"/>
                <w:sz w:val="18"/>
                <w:szCs w:val="18"/>
              </w:rPr>
            </w:pPr>
          </w:p>
        </w:tc>
        <w:tc>
          <w:tcPr>
            <w:tcW w:w="1141" w:type="pct"/>
            <w:vMerge w:val="continue"/>
            <w:tcBorders>
              <w:tl2br w:val="nil"/>
              <w:tr2bl w:val="nil"/>
            </w:tcBorders>
            <w:shd w:val="clear" w:color="auto" w:fill="auto"/>
            <w:vAlign w:val="center"/>
          </w:tcPr>
          <w:p w14:paraId="0F581C5F">
            <w:pPr>
              <w:widowControl/>
              <w:ind w:firstLine="0" w:firstLineChars="0"/>
              <w:jc w:val="center"/>
              <w:rPr>
                <w:rFonts w:hint="eastAsia" w:ascii="宋体" w:hAnsi="宋体" w:eastAsia="宋体" w:cs="宋体"/>
                <w:color w:val="000000"/>
                <w:kern w:val="0"/>
                <w:sz w:val="18"/>
                <w:szCs w:val="18"/>
              </w:rPr>
            </w:pPr>
          </w:p>
        </w:tc>
        <w:tc>
          <w:tcPr>
            <w:tcW w:w="1604" w:type="pct"/>
            <w:tcBorders>
              <w:tl2br w:val="nil"/>
              <w:tr2bl w:val="nil"/>
            </w:tcBorders>
            <w:shd w:val="clear" w:color="auto" w:fill="auto"/>
            <w:vAlign w:val="center"/>
          </w:tcPr>
          <w:p w14:paraId="4245256E">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投资完成率</w:t>
            </w:r>
          </w:p>
        </w:tc>
        <w:tc>
          <w:tcPr>
            <w:tcW w:w="1514" w:type="pct"/>
            <w:tcBorders>
              <w:tl2br w:val="nil"/>
              <w:tr2bl w:val="nil"/>
            </w:tcBorders>
            <w:shd w:val="clear" w:color="auto" w:fill="auto"/>
            <w:vAlign w:val="center"/>
          </w:tcPr>
          <w:p w14:paraId="71B9BA49">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95%</w:t>
            </w:r>
          </w:p>
        </w:tc>
      </w:tr>
      <w:tr w14:paraId="1C62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pct"/>
            <w:vMerge w:val="continue"/>
            <w:tcBorders>
              <w:tl2br w:val="nil"/>
              <w:tr2bl w:val="nil"/>
            </w:tcBorders>
            <w:shd w:val="clear" w:color="auto" w:fill="auto"/>
            <w:vAlign w:val="center"/>
          </w:tcPr>
          <w:p w14:paraId="2C7AE92B">
            <w:pPr>
              <w:widowControl/>
              <w:ind w:firstLine="0" w:firstLineChars="0"/>
              <w:jc w:val="center"/>
              <w:rPr>
                <w:rFonts w:hint="eastAsia" w:ascii="宋体" w:hAnsi="宋体" w:eastAsia="宋体" w:cs="宋体"/>
                <w:color w:val="000000"/>
                <w:kern w:val="0"/>
                <w:sz w:val="18"/>
                <w:szCs w:val="18"/>
              </w:rPr>
            </w:pPr>
          </w:p>
        </w:tc>
        <w:tc>
          <w:tcPr>
            <w:tcW w:w="1141" w:type="pct"/>
            <w:vMerge w:val="continue"/>
            <w:tcBorders>
              <w:tl2br w:val="nil"/>
              <w:tr2bl w:val="nil"/>
            </w:tcBorders>
            <w:shd w:val="clear" w:color="auto" w:fill="auto"/>
            <w:vAlign w:val="center"/>
          </w:tcPr>
          <w:p w14:paraId="024FD3B1">
            <w:pPr>
              <w:widowControl/>
              <w:ind w:firstLine="0" w:firstLineChars="0"/>
              <w:jc w:val="center"/>
              <w:rPr>
                <w:rFonts w:hint="eastAsia" w:ascii="宋体" w:hAnsi="宋体" w:eastAsia="宋体" w:cs="宋体"/>
                <w:color w:val="000000"/>
                <w:kern w:val="0"/>
                <w:sz w:val="18"/>
                <w:szCs w:val="18"/>
              </w:rPr>
            </w:pPr>
          </w:p>
        </w:tc>
        <w:tc>
          <w:tcPr>
            <w:tcW w:w="1604" w:type="pct"/>
            <w:tcBorders>
              <w:tl2br w:val="nil"/>
              <w:tr2bl w:val="nil"/>
            </w:tcBorders>
            <w:shd w:val="clear" w:color="auto" w:fill="auto"/>
            <w:vAlign w:val="center"/>
          </w:tcPr>
          <w:p w14:paraId="4B78E233">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资金使用率</w:t>
            </w:r>
          </w:p>
        </w:tc>
        <w:tc>
          <w:tcPr>
            <w:tcW w:w="1514" w:type="pct"/>
            <w:tcBorders>
              <w:tl2br w:val="nil"/>
              <w:tr2bl w:val="nil"/>
            </w:tcBorders>
            <w:shd w:val="clear" w:color="auto" w:fill="auto"/>
            <w:vAlign w:val="center"/>
          </w:tcPr>
          <w:p w14:paraId="778AA182">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r>
      <w:tr w14:paraId="0624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pct"/>
            <w:vMerge w:val="continue"/>
            <w:tcBorders>
              <w:tl2br w:val="nil"/>
              <w:tr2bl w:val="nil"/>
            </w:tcBorders>
            <w:shd w:val="clear" w:color="auto" w:fill="auto"/>
            <w:vAlign w:val="center"/>
          </w:tcPr>
          <w:p w14:paraId="194683B7">
            <w:pPr>
              <w:widowControl/>
              <w:ind w:firstLine="0" w:firstLineChars="0"/>
              <w:jc w:val="center"/>
              <w:rPr>
                <w:rFonts w:hint="eastAsia" w:ascii="宋体" w:hAnsi="宋体" w:eastAsia="宋体" w:cs="宋体"/>
                <w:color w:val="000000"/>
                <w:kern w:val="0"/>
                <w:sz w:val="18"/>
                <w:szCs w:val="18"/>
              </w:rPr>
            </w:pPr>
          </w:p>
        </w:tc>
        <w:tc>
          <w:tcPr>
            <w:tcW w:w="1141" w:type="pct"/>
            <w:tcBorders>
              <w:tl2br w:val="nil"/>
              <w:tr2bl w:val="nil"/>
            </w:tcBorders>
            <w:shd w:val="clear" w:color="auto" w:fill="auto"/>
            <w:vAlign w:val="center"/>
          </w:tcPr>
          <w:p w14:paraId="4137BA7A">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1604" w:type="pct"/>
            <w:tcBorders>
              <w:tl2br w:val="nil"/>
              <w:tr2bl w:val="nil"/>
            </w:tcBorders>
            <w:shd w:val="clear" w:color="auto" w:fill="auto"/>
            <w:vAlign w:val="center"/>
          </w:tcPr>
          <w:p w14:paraId="11F9C09A">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工程建设质量</w:t>
            </w:r>
          </w:p>
        </w:tc>
        <w:tc>
          <w:tcPr>
            <w:tcW w:w="1514" w:type="pct"/>
            <w:tcBorders>
              <w:tl2br w:val="nil"/>
              <w:tr2bl w:val="nil"/>
            </w:tcBorders>
            <w:shd w:val="clear" w:color="auto" w:fill="auto"/>
            <w:vAlign w:val="center"/>
          </w:tcPr>
          <w:p w14:paraId="355E8519">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合格</w:t>
            </w:r>
          </w:p>
        </w:tc>
      </w:tr>
      <w:tr w14:paraId="33AE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pct"/>
            <w:vMerge w:val="continue"/>
            <w:tcBorders>
              <w:tl2br w:val="nil"/>
              <w:tr2bl w:val="nil"/>
            </w:tcBorders>
            <w:shd w:val="clear" w:color="auto" w:fill="auto"/>
            <w:vAlign w:val="center"/>
          </w:tcPr>
          <w:p w14:paraId="5214CA0F">
            <w:pPr>
              <w:widowControl/>
              <w:ind w:firstLine="0" w:firstLineChars="0"/>
              <w:jc w:val="center"/>
              <w:rPr>
                <w:rFonts w:hint="eastAsia" w:ascii="宋体" w:hAnsi="宋体" w:eastAsia="宋体" w:cs="宋体"/>
                <w:color w:val="000000"/>
                <w:kern w:val="0"/>
                <w:sz w:val="18"/>
                <w:szCs w:val="18"/>
              </w:rPr>
            </w:pPr>
          </w:p>
        </w:tc>
        <w:tc>
          <w:tcPr>
            <w:tcW w:w="1141" w:type="pct"/>
            <w:vMerge w:val="restart"/>
            <w:tcBorders>
              <w:tl2br w:val="nil"/>
              <w:tr2bl w:val="nil"/>
            </w:tcBorders>
            <w:shd w:val="clear" w:color="auto" w:fill="auto"/>
            <w:vAlign w:val="center"/>
          </w:tcPr>
          <w:p w14:paraId="02988A6E">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1604" w:type="pct"/>
            <w:tcBorders>
              <w:tl2br w:val="nil"/>
              <w:tr2bl w:val="nil"/>
            </w:tcBorders>
            <w:shd w:val="clear" w:color="auto" w:fill="auto"/>
            <w:vAlign w:val="center"/>
          </w:tcPr>
          <w:p w14:paraId="31033D6F">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开工时效</w:t>
            </w:r>
          </w:p>
        </w:tc>
        <w:tc>
          <w:tcPr>
            <w:tcW w:w="1514" w:type="pct"/>
            <w:tcBorders>
              <w:tl2br w:val="nil"/>
              <w:tr2bl w:val="nil"/>
            </w:tcBorders>
            <w:shd w:val="clear" w:color="auto" w:fill="auto"/>
            <w:vAlign w:val="center"/>
          </w:tcPr>
          <w:p w14:paraId="645889E4">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2021年8月1日前开工</w:t>
            </w:r>
          </w:p>
        </w:tc>
      </w:tr>
      <w:tr w14:paraId="16A0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pct"/>
            <w:vMerge w:val="continue"/>
            <w:tcBorders>
              <w:tl2br w:val="nil"/>
              <w:tr2bl w:val="nil"/>
            </w:tcBorders>
            <w:shd w:val="clear" w:color="auto" w:fill="auto"/>
            <w:vAlign w:val="center"/>
          </w:tcPr>
          <w:p w14:paraId="550824F2">
            <w:pPr>
              <w:widowControl/>
              <w:ind w:firstLine="0" w:firstLineChars="0"/>
              <w:jc w:val="center"/>
              <w:rPr>
                <w:rFonts w:hint="eastAsia" w:ascii="宋体" w:hAnsi="宋体" w:eastAsia="宋体" w:cs="宋体"/>
                <w:color w:val="000000"/>
                <w:kern w:val="0"/>
                <w:sz w:val="18"/>
                <w:szCs w:val="18"/>
              </w:rPr>
            </w:pPr>
          </w:p>
        </w:tc>
        <w:tc>
          <w:tcPr>
            <w:tcW w:w="1141" w:type="pct"/>
            <w:vMerge w:val="continue"/>
            <w:tcBorders>
              <w:tl2br w:val="nil"/>
              <w:tr2bl w:val="nil"/>
            </w:tcBorders>
            <w:shd w:val="clear" w:color="auto" w:fill="auto"/>
            <w:vAlign w:val="center"/>
          </w:tcPr>
          <w:p w14:paraId="347E380C">
            <w:pPr>
              <w:widowControl/>
              <w:ind w:firstLine="0" w:firstLineChars="0"/>
              <w:jc w:val="center"/>
              <w:rPr>
                <w:rFonts w:hint="eastAsia" w:ascii="宋体" w:hAnsi="宋体" w:eastAsia="宋体" w:cs="宋体"/>
                <w:color w:val="000000"/>
                <w:kern w:val="0"/>
                <w:sz w:val="18"/>
                <w:szCs w:val="18"/>
              </w:rPr>
            </w:pPr>
          </w:p>
        </w:tc>
        <w:tc>
          <w:tcPr>
            <w:tcW w:w="1604" w:type="pct"/>
            <w:tcBorders>
              <w:tl2br w:val="nil"/>
              <w:tr2bl w:val="nil"/>
            </w:tcBorders>
            <w:shd w:val="clear" w:color="auto" w:fill="auto"/>
            <w:vAlign w:val="center"/>
          </w:tcPr>
          <w:p w14:paraId="6938FFEB">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完工时效</w:t>
            </w:r>
          </w:p>
        </w:tc>
        <w:tc>
          <w:tcPr>
            <w:tcW w:w="1514" w:type="pct"/>
            <w:tcBorders>
              <w:tl2br w:val="nil"/>
              <w:tr2bl w:val="nil"/>
            </w:tcBorders>
            <w:shd w:val="clear" w:color="auto" w:fill="auto"/>
            <w:vAlign w:val="center"/>
          </w:tcPr>
          <w:p w14:paraId="4ABED939">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2021年12月31日前竣工</w:t>
            </w:r>
          </w:p>
        </w:tc>
      </w:tr>
      <w:tr w14:paraId="14F7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pct"/>
            <w:vMerge w:val="continue"/>
            <w:tcBorders>
              <w:tl2br w:val="nil"/>
              <w:tr2bl w:val="nil"/>
            </w:tcBorders>
            <w:shd w:val="clear" w:color="auto" w:fill="auto"/>
            <w:vAlign w:val="center"/>
          </w:tcPr>
          <w:p w14:paraId="1EC63F43">
            <w:pPr>
              <w:widowControl/>
              <w:ind w:firstLine="0" w:firstLineChars="0"/>
              <w:jc w:val="center"/>
              <w:rPr>
                <w:rFonts w:hint="eastAsia" w:ascii="宋体" w:hAnsi="宋体" w:eastAsia="宋体" w:cs="宋体"/>
                <w:color w:val="000000"/>
                <w:kern w:val="0"/>
                <w:sz w:val="18"/>
                <w:szCs w:val="18"/>
              </w:rPr>
            </w:pPr>
          </w:p>
        </w:tc>
        <w:tc>
          <w:tcPr>
            <w:tcW w:w="1141" w:type="pct"/>
            <w:vMerge w:val="continue"/>
            <w:tcBorders>
              <w:tl2br w:val="nil"/>
              <w:tr2bl w:val="nil"/>
            </w:tcBorders>
            <w:shd w:val="clear" w:color="auto" w:fill="auto"/>
            <w:vAlign w:val="center"/>
          </w:tcPr>
          <w:p w14:paraId="3675B4D3">
            <w:pPr>
              <w:widowControl/>
              <w:ind w:firstLine="0" w:firstLineChars="0"/>
              <w:jc w:val="center"/>
              <w:rPr>
                <w:rFonts w:hint="eastAsia" w:ascii="宋体" w:hAnsi="宋体" w:eastAsia="宋体" w:cs="宋体"/>
                <w:color w:val="000000"/>
                <w:kern w:val="0"/>
                <w:sz w:val="18"/>
                <w:szCs w:val="18"/>
              </w:rPr>
            </w:pPr>
          </w:p>
        </w:tc>
        <w:tc>
          <w:tcPr>
            <w:tcW w:w="1604" w:type="pct"/>
            <w:tcBorders>
              <w:tl2br w:val="nil"/>
              <w:tr2bl w:val="nil"/>
            </w:tcBorders>
            <w:shd w:val="clear" w:color="auto" w:fill="auto"/>
            <w:vAlign w:val="center"/>
          </w:tcPr>
          <w:p w14:paraId="5CA6C111">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建设期资金到位率</w:t>
            </w:r>
          </w:p>
        </w:tc>
        <w:tc>
          <w:tcPr>
            <w:tcW w:w="1514" w:type="pct"/>
            <w:tcBorders>
              <w:tl2br w:val="nil"/>
              <w:tr2bl w:val="nil"/>
            </w:tcBorders>
            <w:shd w:val="clear" w:color="auto" w:fill="auto"/>
            <w:vAlign w:val="center"/>
          </w:tcPr>
          <w:p w14:paraId="04498EC8">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≥80%</w:t>
            </w:r>
          </w:p>
        </w:tc>
      </w:tr>
      <w:tr w14:paraId="7C88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pct"/>
            <w:vMerge w:val="continue"/>
            <w:tcBorders>
              <w:tl2br w:val="nil"/>
              <w:tr2bl w:val="nil"/>
            </w:tcBorders>
            <w:shd w:val="clear" w:color="auto" w:fill="auto"/>
            <w:vAlign w:val="center"/>
          </w:tcPr>
          <w:p w14:paraId="6E714FD9">
            <w:pPr>
              <w:widowControl/>
              <w:ind w:firstLine="0" w:firstLineChars="0"/>
              <w:jc w:val="center"/>
              <w:rPr>
                <w:rFonts w:hint="eastAsia" w:ascii="宋体" w:hAnsi="宋体" w:eastAsia="宋体" w:cs="宋体"/>
                <w:color w:val="000000"/>
                <w:kern w:val="0"/>
                <w:sz w:val="18"/>
                <w:szCs w:val="18"/>
              </w:rPr>
            </w:pPr>
          </w:p>
        </w:tc>
        <w:tc>
          <w:tcPr>
            <w:tcW w:w="1141" w:type="pct"/>
            <w:tcBorders>
              <w:tl2br w:val="nil"/>
              <w:tr2bl w:val="nil"/>
            </w:tcBorders>
            <w:shd w:val="clear" w:color="auto" w:fill="auto"/>
            <w:vAlign w:val="center"/>
          </w:tcPr>
          <w:p w14:paraId="0C111A84">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1604" w:type="pct"/>
            <w:tcBorders>
              <w:tl2br w:val="nil"/>
              <w:tr2bl w:val="nil"/>
            </w:tcBorders>
            <w:shd w:val="clear" w:color="auto" w:fill="auto"/>
            <w:vAlign w:val="center"/>
          </w:tcPr>
          <w:p w14:paraId="0732F5F9">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偏差率</w:t>
            </w:r>
          </w:p>
        </w:tc>
        <w:tc>
          <w:tcPr>
            <w:tcW w:w="1514" w:type="pct"/>
            <w:tcBorders>
              <w:tl2br w:val="nil"/>
              <w:tr2bl w:val="nil"/>
            </w:tcBorders>
            <w:shd w:val="clear" w:color="auto" w:fill="auto"/>
            <w:vAlign w:val="center"/>
          </w:tcPr>
          <w:p w14:paraId="491317E4">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r>
      <w:tr w14:paraId="70F6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pct"/>
            <w:vMerge w:val="restart"/>
            <w:tcBorders>
              <w:tl2br w:val="nil"/>
              <w:tr2bl w:val="nil"/>
            </w:tcBorders>
            <w:shd w:val="clear" w:color="auto" w:fill="auto"/>
            <w:vAlign w:val="center"/>
          </w:tcPr>
          <w:p w14:paraId="154F85DE">
            <w:pPr>
              <w:ind w:firstLine="180" w:firstLineChars="1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效益指标</w:t>
            </w:r>
          </w:p>
        </w:tc>
        <w:tc>
          <w:tcPr>
            <w:tcW w:w="1141" w:type="pct"/>
            <w:tcBorders>
              <w:tl2br w:val="nil"/>
              <w:tr2bl w:val="nil"/>
            </w:tcBorders>
            <w:shd w:val="clear" w:color="auto" w:fill="auto"/>
            <w:vAlign w:val="center"/>
          </w:tcPr>
          <w:p w14:paraId="26CF4FB8">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经济效益指标</w:t>
            </w:r>
          </w:p>
        </w:tc>
        <w:tc>
          <w:tcPr>
            <w:tcW w:w="1604" w:type="pct"/>
            <w:tcBorders>
              <w:tl2br w:val="nil"/>
              <w:tr2bl w:val="nil"/>
            </w:tcBorders>
            <w:shd w:val="clear" w:color="auto" w:fill="auto"/>
            <w:vAlign w:val="center"/>
          </w:tcPr>
          <w:p w14:paraId="7A3216EA">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项目总投资收益率</w:t>
            </w:r>
          </w:p>
        </w:tc>
        <w:tc>
          <w:tcPr>
            <w:tcW w:w="1514" w:type="pct"/>
            <w:tcBorders>
              <w:tl2br w:val="nil"/>
              <w:tr2bl w:val="nil"/>
            </w:tcBorders>
            <w:shd w:val="clear" w:color="auto" w:fill="auto"/>
            <w:vAlign w:val="center"/>
          </w:tcPr>
          <w:p w14:paraId="6EA5FD60">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w:t>
            </w:r>
          </w:p>
        </w:tc>
      </w:tr>
      <w:tr w14:paraId="3A7D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pct"/>
            <w:vMerge w:val="continue"/>
            <w:tcBorders>
              <w:tl2br w:val="nil"/>
              <w:tr2bl w:val="nil"/>
            </w:tcBorders>
            <w:shd w:val="clear" w:color="auto" w:fill="auto"/>
            <w:vAlign w:val="center"/>
          </w:tcPr>
          <w:p w14:paraId="3147CA3E">
            <w:pPr>
              <w:ind w:firstLine="360"/>
              <w:jc w:val="center"/>
              <w:rPr>
                <w:rFonts w:hint="eastAsia" w:ascii="宋体" w:hAnsi="宋体" w:eastAsia="宋体" w:cs="宋体"/>
                <w:color w:val="000000"/>
                <w:kern w:val="0"/>
                <w:sz w:val="18"/>
                <w:szCs w:val="18"/>
              </w:rPr>
            </w:pPr>
          </w:p>
        </w:tc>
        <w:tc>
          <w:tcPr>
            <w:tcW w:w="1141" w:type="pct"/>
            <w:tcBorders>
              <w:tl2br w:val="nil"/>
              <w:tr2bl w:val="nil"/>
            </w:tcBorders>
            <w:shd w:val="clear" w:color="auto" w:fill="auto"/>
            <w:vAlign w:val="center"/>
          </w:tcPr>
          <w:p w14:paraId="2A26713C">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社会效益指标</w:t>
            </w:r>
          </w:p>
        </w:tc>
        <w:tc>
          <w:tcPr>
            <w:tcW w:w="1604" w:type="pct"/>
            <w:tcBorders>
              <w:tl2br w:val="nil"/>
              <w:tr2bl w:val="nil"/>
            </w:tcBorders>
            <w:shd w:val="clear" w:color="auto" w:fill="auto"/>
            <w:vAlign w:val="center"/>
          </w:tcPr>
          <w:p w14:paraId="1FD2D3EE">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区域内经济发展</w:t>
            </w:r>
          </w:p>
        </w:tc>
        <w:tc>
          <w:tcPr>
            <w:tcW w:w="1514" w:type="pct"/>
            <w:tcBorders>
              <w:tl2br w:val="nil"/>
              <w:tr2bl w:val="nil"/>
            </w:tcBorders>
            <w:shd w:val="clear" w:color="auto" w:fill="auto"/>
            <w:vAlign w:val="center"/>
          </w:tcPr>
          <w:p w14:paraId="76190FB9">
            <w:pPr>
              <w:widowControl/>
              <w:spacing w:line="240" w:lineRule="exact"/>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带动427个新增岗位就业机会</w:t>
            </w:r>
          </w:p>
        </w:tc>
      </w:tr>
      <w:tr w14:paraId="7E72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pct"/>
            <w:vMerge w:val="continue"/>
            <w:tcBorders>
              <w:tl2br w:val="nil"/>
              <w:tr2bl w:val="nil"/>
            </w:tcBorders>
            <w:shd w:val="clear" w:color="auto" w:fill="auto"/>
            <w:vAlign w:val="center"/>
          </w:tcPr>
          <w:p w14:paraId="6ECA2DB7">
            <w:pPr>
              <w:widowControl/>
              <w:ind w:firstLine="0" w:firstLineChars="0"/>
              <w:jc w:val="center"/>
              <w:rPr>
                <w:rFonts w:hint="eastAsia" w:ascii="宋体" w:hAnsi="宋体" w:eastAsia="宋体" w:cs="宋体"/>
                <w:color w:val="000000"/>
                <w:kern w:val="0"/>
                <w:sz w:val="18"/>
                <w:szCs w:val="18"/>
              </w:rPr>
            </w:pPr>
          </w:p>
        </w:tc>
        <w:tc>
          <w:tcPr>
            <w:tcW w:w="1141" w:type="pct"/>
            <w:tcBorders>
              <w:tl2br w:val="nil"/>
              <w:tr2bl w:val="nil"/>
            </w:tcBorders>
            <w:shd w:val="clear" w:color="auto" w:fill="auto"/>
            <w:vAlign w:val="center"/>
          </w:tcPr>
          <w:p w14:paraId="5D48B13A">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生态效益指标</w:t>
            </w:r>
          </w:p>
        </w:tc>
        <w:tc>
          <w:tcPr>
            <w:tcW w:w="1604" w:type="pct"/>
            <w:tcBorders>
              <w:tl2br w:val="nil"/>
              <w:tr2bl w:val="nil"/>
            </w:tcBorders>
            <w:shd w:val="clear" w:color="auto" w:fill="auto"/>
            <w:vAlign w:val="center"/>
          </w:tcPr>
          <w:p w14:paraId="48C3DFB4">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环境达标及配套设施建设达标</w:t>
            </w:r>
          </w:p>
        </w:tc>
        <w:tc>
          <w:tcPr>
            <w:tcW w:w="1514" w:type="pct"/>
            <w:tcBorders>
              <w:tl2br w:val="nil"/>
              <w:tr2bl w:val="nil"/>
            </w:tcBorders>
            <w:shd w:val="clear" w:color="auto" w:fill="auto"/>
            <w:vAlign w:val="center"/>
          </w:tcPr>
          <w:p w14:paraId="1D69C9DE">
            <w:pPr>
              <w:widowControl/>
              <w:spacing w:line="240" w:lineRule="exact"/>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环境通过环评验收，配套设施通过项目规划验收</w:t>
            </w:r>
          </w:p>
        </w:tc>
      </w:tr>
      <w:tr w14:paraId="73C6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pct"/>
            <w:vMerge w:val="continue"/>
            <w:tcBorders>
              <w:tl2br w:val="nil"/>
              <w:tr2bl w:val="nil"/>
            </w:tcBorders>
            <w:vAlign w:val="center"/>
          </w:tcPr>
          <w:p w14:paraId="7ABA103C">
            <w:pPr>
              <w:widowControl/>
              <w:ind w:firstLine="0" w:firstLineChars="0"/>
              <w:jc w:val="center"/>
              <w:rPr>
                <w:rFonts w:hint="eastAsia" w:ascii="宋体" w:hAnsi="宋体" w:eastAsia="宋体" w:cs="宋体"/>
                <w:color w:val="000000"/>
                <w:kern w:val="0"/>
                <w:sz w:val="18"/>
                <w:szCs w:val="18"/>
              </w:rPr>
            </w:pPr>
          </w:p>
        </w:tc>
        <w:tc>
          <w:tcPr>
            <w:tcW w:w="1141" w:type="pct"/>
            <w:tcBorders>
              <w:tl2br w:val="nil"/>
              <w:tr2bl w:val="nil"/>
            </w:tcBorders>
            <w:shd w:val="clear" w:color="auto" w:fill="auto"/>
            <w:vAlign w:val="center"/>
          </w:tcPr>
          <w:p w14:paraId="4F0DD14C">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可持续性影响指标</w:t>
            </w:r>
          </w:p>
        </w:tc>
        <w:tc>
          <w:tcPr>
            <w:tcW w:w="1604" w:type="pct"/>
            <w:tcBorders>
              <w:tl2br w:val="nil"/>
              <w:tr2bl w:val="nil"/>
            </w:tcBorders>
            <w:shd w:val="clear" w:color="auto" w:fill="auto"/>
            <w:vAlign w:val="center"/>
          </w:tcPr>
          <w:p w14:paraId="6023220E">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偿债能力</w:t>
            </w:r>
          </w:p>
        </w:tc>
        <w:tc>
          <w:tcPr>
            <w:tcW w:w="1514" w:type="pct"/>
            <w:tcBorders>
              <w:tl2br w:val="nil"/>
              <w:tr2bl w:val="nil"/>
            </w:tcBorders>
            <w:shd w:val="clear" w:color="auto" w:fill="auto"/>
            <w:vAlign w:val="center"/>
          </w:tcPr>
          <w:p w14:paraId="3EDE5DEF">
            <w:pPr>
              <w:widowControl/>
              <w:spacing w:line="240" w:lineRule="exact"/>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债务本息保障倍数大于1.1，具备偿债能力</w:t>
            </w:r>
          </w:p>
        </w:tc>
      </w:tr>
      <w:tr w14:paraId="6490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2" w:type="pct"/>
            <w:tcBorders>
              <w:tl2br w:val="nil"/>
              <w:tr2bl w:val="nil"/>
            </w:tcBorders>
            <w:vAlign w:val="center"/>
          </w:tcPr>
          <w:p w14:paraId="1F6CD124">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1141" w:type="pct"/>
            <w:tcBorders>
              <w:tl2br w:val="nil"/>
              <w:tr2bl w:val="nil"/>
            </w:tcBorders>
            <w:shd w:val="clear" w:color="auto" w:fill="auto"/>
            <w:vAlign w:val="center"/>
          </w:tcPr>
          <w:p w14:paraId="2CA00242">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1604" w:type="pct"/>
            <w:tcBorders>
              <w:tl2br w:val="nil"/>
              <w:tr2bl w:val="nil"/>
            </w:tcBorders>
            <w:shd w:val="clear" w:color="auto" w:fill="auto"/>
            <w:vAlign w:val="center"/>
          </w:tcPr>
          <w:p w14:paraId="11836FF4">
            <w:pPr>
              <w:widowControl/>
              <w:ind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1514" w:type="pct"/>
            <w:tcBorders>
              <w:tl2br w:val="nil"/>
              <w:tr2bl w:val="nil"/>
            </w:tcBorders>
            <w:shd w:val="clear" w:color="auto" w:fill="auto"/>
            <w:vAlign w:val="center"/>
          </w:tcPr>
          <w:p w14:paraId="7A6A8C2C">
            <w:pPr>
              <w:widowControl/>
              <w:ind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≥90%</w:t>
            </w:r>
          </w:p>
        </w:tc>
      </w:tr>
      <w:bookmarkEnd w:id="11"/>
    </w:tbl>
    <w:p w14:paraId="164FF565">
      <w:pPr>
        <w:ind w:firstLine="560"/>
        <w:rPr>
          <w:rFonts w:hint="eastAsia"/>
          <w:sz w:val="28"/>
          <w:szCs w:val="28"/>
        </w:rPr>
      </w:pPr>
      <w:r>
        <w:rPr>
          <w:rFonts w:hint="eastAsia"/>
          <w:sz w:val="28"/>
          <w:szCs w:val="28"/>
        </w:rPr>
        <w:t>根据卫健局提供的预算绩效目标申报表，</w:t>
      </w:r>
      <w:bookmarkEnd w:id="10"/>
      <w:r>
        <w:rPr>
          <w:rFonts w:hint="eastAsia"/>
          <w:sz w:val="28"/>
          <w:szCs w:val="28"/>
        </w:rPr>
        <w:t>所设定的绩效指标基本未将绩效目标细化、量化、分解为具体的工作任务，部分绩效目标未通过清晰、可衡量的指标及指标值予以体现，部分绩效目标未设定最能体现项目绩效目标实现程度和项目实施部门职能履职情况的关键的、核心的绩效指标。</w:t>
      </w:r>
    </w:p>
    <w:p w14:paraId="1485E196">
      <w:pPr>
        <w:ind w:firstLine="560"/>
        <w:rPr>
          <w:rFonts w:hint="eastAsia"/>
          <w:sz w:val="28"/>
          <w:szCs w:val="28"/>
        </w:rPr>
      </w:pPr>
      <w:r>
        <w:rPr>
          <w:rFonts w:hint="eastAsia"/>
          <w:sz w:val="28"/>
          <w:szCs w:val="28"/>
        </w:rPr>
        <w:t>根据上述情况，绩效评价组在与卫健局充分沟通一致后，根据项目具体实施内容，结合项目设定的背景、目的及依据、尤其项目为实施期间的项目特点等，将项目个性指标及指标值设定如下</w:t>
      </w:r>
      <w:r>
        <w:rPr>
          <w:sz w:val="28"/>
          <w:szCs w:val="28"/>
        </w:rPr>
        <w:t>：</w:t>
      </w:r>
    </w:p>
    <w:tbl>
      <w:tblPr>
        <w:tblStyle w:val="7"/>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5"/>
        <w:gridCol w:w="1128"/>
        <w:gridCol w:w="1933"/>
        <w:gridCol w:w="3119"/>
        <w:gridCol w:w="1110"/>
      </w:tblGrid>
      <w:tr w14:paraId="50C8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exact"/>
        </w:trPr>
        <w:tc>
          <w:tcPr>
            <w:tcW w:w="1065" w:type="dxa"/>
            <w:vMerge w:val="restart"/>
            <w:shd w:val="clear" w:color="auto" w:fill="auto"/>
            <w:tcMar>
              <w:top w:w="15" w:type="dxa"/>
              <w:left w:w="15" w:type="dxa"/>
              <w:right w:w="15" w:type="dxa"/>
            </w:tcMar>
            <w:vAlign w:val="center"/>
          </w:tcPr>
          <w:p w14:paraId="6F2BEC50">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绩</w:t>
            </w:r>
            <w:r>
              <w:rPr>
                <w:rFonts w:hint="eastAsia" w:ascii="宋体" w:hAnsi="宋体" w:eastAsia="宋体" w:cs="宋体"/>
                <w:color w:val="000000"/>
                <w:kern w:val="0"/>
                <w:sz w:val="18"/>
                <w:szCs w:val="18"/>
              </w:rPr>
              <w:t>效指标</w:t>
            </w:r>
          </w:p>
        </w:tc>
        <w:tc>
          <w:tcPr>
            <w:tcW w:w="1128" w:type="dxa"/>
            <w:shd w:val="clear" w:color="auto" w:fill="auto"/>
            <w:tcMar>
              <w:top w:w="15" w:type="dxa"/>
              <w:left w:w="15" w:type="dxa"/>
              <w:right w:w="15" w:type="dxa"/>
            </w:tcMar>
            <w:vAlign w:val="center"/>
          </w:tcPr>
          <w:p w14:paraId="0315BB71">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933" w:type="dxa"/>
            <w:shd w:val="clear" w:color="auto" w:fill="auto"/>
            <w:tcMar>
              <w:top w:w="15" w:type="dxa"/>
              <w:left w:w="15" w:type="dxa"/>
              <w:right w:w="15" w:type="dxa"/>
            </w:tcMar>
            <w:vAlign w:val="center"/>
          </w:tcPr>
          <w:p w14:paraId="73C4939F">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二级指标</w:t>
            </w:r>
          </w:p>
        </w:tc>
        <w:tc>
          <w:tcPr>
            <w:tcW w:w="3119" w:type="dxa"/>
            <w:shd w:val="clear" w:color="auto" w:fill="auto"/>
            <w:tcMar>
              <w:top w:w="15" w:type="dxa"/>
              <w:left w:w="15" w:type="dxa"/>
              <w:right w:w="15" w:type="dxa"/>
            </w:tcMar>
            <w:vAlign w:val="center"/>
          </w:tcPr>
          <w:p w14:paraId="57603618">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1110" w:type="dxa"/>
            <w:shd w:val="clear" w:color="auto" w:fill="auto"/>
            <w:tcMar>
              <w:top w:w="15" w:type="dxa"/>
              <w:left w:w="15" w:type="dxa"/>
              <w:right w:w="15" w:type="dxa"/>
            </w:tcMar>
            <w:vAlign w:val="center"/>
          </w:tcPr>
          <w:p w14:paraId="210826E3">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指标值</w:t>
            </w:r>
          </w:p>
        </w:tc>
      </w:tr>
      <w:tr w14:paraId="09BB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0" w:hRule="exact"/>
        </w:trPr>
        <w:tc>
          <w:tcPr>
            <w:tcW w:w="1065" w:type="dxa"/>
            <w:vMerge w:val="continue"/>
            <w:shd w:val="clear" w:color="auto" w:fill="auto"/>
            <w:tcMar>
              <w:top w:w="15" w:type="dxa"/>
              <w:left w:w="15" w:type="dxa"/>
              <w:right w:w="15" w:type="dxa"/>
            </w:tcMar>
            <w:vAlign w:val="center"/>
          </w:tcPr>
          <w:p w14:paraId="3D0B6392">
            <w:pPr>
              <w:spacing w:after="240"/>
              <w:ind w:firstLine="360"/>
              <w:jc w:val="center"/>
              <w:rPr>
                <w:rFonts w:hint="eastAsia" w:ascii="宋体" w:hAnsi="宋体" w:eastAsia="宋体" w:cs="宋体"/>
                <w:sz w:val="18"/>
                <w:szCs w:val="18"/>
              </w:rPr>
            </w:pPr>
          </w:p>
        </w:tc>
        <w:tc>
          <w:tcPr>
            <w:tcW w:w="1128" w:type="dxa"/>
            <w:vMerge w:val="restart"/>
            <w:shd w:val="clear" w:color="auto" w:fill="auto"/>
            <w:noWrap/>
            <w:tcMar>
              <w:top w:w="15" w:type="dxa"/>
              <w:left w:w="15" w:type="dxa"/>
              <w:right w:w="15" w:type="dxa"/>
            </w:tcMar>
            <w:vAlign w:val="center"/>
          </w:tcPr>
          <w:p w14:paraId="78F7A2D0">
            <w:pPr>
              <w:spacing w:after="240"/>
              <w:ind w:firstLine="360"/>
              <w:jc w:val="center"/>
              <w:rPr>
                <w:rFonts w:hint="eastAsia" w:ascii="宋体" w:hAnsi="宋体" w:eastAsia="宋体" w:cs="宋体"/>
                <w:sz w:val="18"/>
                <w:szCs w:val="18"/>
              </w:rPr>
            </w:pPr>
            <w:r>
              <w:rPr>
                <w:rFonts w:hint="eastAsia" w:ascii="宋体" w:hAnsi="宋体" w:eastAsia="宋体" w:cs="宋体"/>
                <w:sz w:val="18"/>
                <w:szCs w:val="18"/>
              </w:rPr>
              <w:t>效益指标</w:t>
            </w:r>
          </w:p>
        </w:tc>
        <w:tc>
          <w:tcPr>
            <w:tcW w:w="1933" w:type="dxa"/>
            <w:vMerge w:val="restart"/>
            <w:shd w:val="clear" w:color="auto" w:fill="auto"/>
            <w:tcMar>
              <w:top w:w="15" w:type="dxa"/>
              <w:left w:w="15" w:type="dxa"/>
              <w:right w:w="15" w:type="dxa"/>
            </w:tcMar>
            <w:vAlign w:val="center"/>
          </w:tcPr>
          <w:p w14:paraId="4F2E1067">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社会效益指标</w:t>
            </w:r>
          </w:p>
        </w:tc>
        <w:tc>
          <w:tcPr>
            <w:tcW w:w="3119" w:type="dxa"/>
            <w:shd w:val="clear" w:color="auto" w:fill="auto"/>
            <w:tcMar>
              <w:top w:w="15" w:type="dxa"/>
              <w:left w:w="15" w:type="dxa"/>
              <w:right w:w="15" w:type="dxa"/>
            </w:tcMar>
            <w:vAlign w:val="center"/>
          </w:tcPr>
          <w:p w14:paraId="35382F96">
            <w:pPr>
              <w:spacing w:after="240"/>
              <w:ind w:firstLine="0" w:firstLineChars="0"/>
              <w:jc w:val="left"/>
              <w:rPr>
                <w:rFonts w:hint="eastAsia" w:ascii="宋体" w:hAnsi="宋体" w:eastAsia="宋体" w:cs="宋体"/>
                <w:sz w:val="18"/>
                <w:szCs w:val="18"/>
              </w:rPr>
            </w:pPr>
            <w:r>
              <w:rPr>
                <w:rFonts w:hint="eastAsia" w:ascii="宋体" w:hAnsi="宋体" w:eastAsia="宋体" w:cs="宋体"/>
                <w:sz w:val="18"/>
                <w:szCs w:val="18"/>
              </w:rPr>
              <w:t>基本建设程序合规率</w:t>
            </w:r>
          </w:p>
        </w:tc>
        <w:tc>
          <w:tcPr>
            <w:tcW w:w="1110" w:type="dxa"/>
            <w:shd w:val="clear" w:color="auto" w:fill="auto"/>
            <w:tcMar>
              <w:top w:w="15" w:type="dxa"/>
              <w:left w:w="15" w:type="dxa"/>
              <w:right w:w="15" w:type="dxa"/>
            </w:tcMar>
            <w:vAlign w:val="center"/>
          </w:tcPr>
          <w:p w14:paraId="4786641C">
            <w:pPr>
              <w:spacing w:after="240"/>
              <w:ind w:firstLine="0" w:firstLineChars="0"/>
              <w:jc w:val="center"/>
              <w:rPr>
                <w:rFonts w:hint="eastAsia" w:ascii="宋体" w:hAnsi="宋体" w:eastAsia="宋体" w:cs="宋体"/>
                <w:sz w:val="18"/>
                <w:szCs w:val="18"/>
              </w:rPr>
            </w:pPr>
            <w:r>
              <w:rPr>
                <w:rFonts w:ascii="宋体" w:hAnsi="宋体" w:eastAsia="宋体" w:cs="宋体"/>
                <w:sz w:val="18"/>
                <w:szCs w:val="18"/>
              </w:rPr>
              <w:t>100%</w:t>
            </w:r>
          </w:p>
        </w:tc>
      </w:tr>
      <w:tr w14:paraId="6104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exact"/>
        </w:trPr>
        <w:tc>
          <w:tcPr>
            <w:tcW w:w="1065" w:type="dxa"/>
            <w:vMerge w:val="continue"/>
            <w:shd w:val="clear" w:color="auto" w:fill="auto"/>
            <w:tcMar>
              <w:top w:w="15" w:type="dxa"/>
              <w:left w:w="15" w:type="dxa"/>
              <w:right w:w="15" w:type="dxa"/>
            </w:tcMar>
            <w:vAlign w:val="center"/>
          </w:tcPr>
          <w:p w14:paraId="743CA650">
            <w:pPr>
              <w:spacing w:after="240"/>
              <w:ind w:firstLine="360"/>
              <w:jc w:val="center"/>
              <w:rPr>
                <w:rFonts w:hint="eastAsia" w:ascii="宋体" w:hAnsi="宋体" w:eastAsia="宋体" w:cs="宋体"/>
                <w:sz w:val="18"/>
                <w:szCs w:val="18"/>
              </w:rPr>
            </w:pPr>
          </w:p>
        </w:tc>
        <w:tc>
          <w:tcPr>
            <w:tcW w:w="1128" w:type="dxa"/>
            <w:vMerge w:val="continue"/>
            <w:shd w:val="clear" w:color="auto" w:fill="auto"/>
            <w:noWrap/>
            <w:tcMar>
              <w:top w:w="15" w:type="dxa"/>
              <w:left w:w="15" w:type="dxa"/>
              <w:right w:w="15" w:type="dxa"/>
            </w:tcMar>
            <w:vAlign w:val="center"/>
          </w:tcPr>
          <w:p w14:paraId="55C52F8A">
            <w:pPr>
              <w:spacing w:after="240"/>
              <w:ind w:firstLine="360"/>
              <w:jc w:val="center"/>
              <w:rPr>
                <w:rFonts w:hint="eastAsia" w:ascii="宋体" w:hAnsi="宋体" w:eastAsia="宋体" w:cs="宋体"/>
                <w:sz w:val="18"/>
                <w:szCs w:val="18"/>
              </w:rPr>
            </w:pPr>
          </w:p>
        </w:tc>
        <w:tc>
          <w:tcPr>
            <w:tcW w:w="1933" w:type="dxa"/>
            <w:vMerge w:val="continue"/>
            <w:shd w:val="clear" w:color="auto" w:fill="auto"/>
            <w:tcMar>
              <w:top w:w="15" w:type="dxa"/>
              <w:left w:w="15" w:type="dxa"/>
              <w:right w:w="15" w:type="dxa"/>
            </w:tcMar>
            <w:vAlign w:val="center"/>
          </w:tcPr>
          <w:p w14:paraId="08BDB14E">
            <w:pPr>
              <w:ind w:firstLine="360"/>
              <w:jc w:val="center"/>
              <w:rPr>
                <w:rFonts w:hint="eastAsia" w:ascii="宋体" w:hAnsi="宋体" w:eastAsia="宋体" w:cs="宋体"/>
                <w:sz w:val="18"/>
                <w:szCs w:val="18"/>
              </w:rPr>
            </w:pPr>
          </w:p>
        </w:tc>
        <w:tc>
          <w:tcPr>
            <w:tcW w:w="3119" w:type="dxa"/>
            <w:shd w:val="clear" w:color="auto" w:fill="auto"/>
            <w:tcMar>
              <w:top w:w="15" w:type="dxa"/>
              <w:left w:w="15" w:type="dxa"/>
              <w:right w:w="15" w:type="dxa"/>
            </w:tcMar>
            <w:vAlign w:val="center"/>
          </w:tcPr>
          <w:p w14:paraId="7047AD96">
            <w:pPr>
              <w:spacing w:after="240"/>
              <w:ind w:firstLine="0" w:firstLineChars="0"/>
              <w:jc w:val="left"/>
              <w:rPr>
                <w:rFonts w:hint="eastAsia" w:ascii="宋体" w:hAnsi="宋体" w:eastAsia="宋体" w:cs="宋体"/>
                <w:sz w:val="18"/>
                <w:szCs w:val="18"/>
              </w:rPr>
            </w:pPr>
            <w:r>
              <w:rPr>
                <w:rFonts w:hint="eastAsia" w:ascii="宋体" w:hAnsi="宋体" w:eastAsia="宋体" w:cs="宋体"/>
                <w:sz w:val="18"/>
                <w:szCs w:val="18"/>
              </w:rPr>
              <w:t>基建项目“四制”执行合规率</w:t>
            </w:r>
          </w:p>
        </w:tc>
        <w:tc>
          <w:tcPr>
            <w:tcW w:w="1110" w:type="dxa"/>
            <w:shd w:val="clear" w:color="auto" w:fill="auto"/>
            <w:tcMar>
              <w:top w:w="15" w:type="dxa"/>
              <w:left w:w="15" w:type="dxa"/>
              <w:right w:w="15" w:type="dxa"/>
            </w:tcMar>
            <w:vAlign w:val="center"/>
          </w:tcPr>
          <w:p w14:paraId="08DB52CD">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r>
      <w:tr w14:paraId="05AD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exact"/>
        </w:trPr>
        <w:tc>
          <w:tcPr>
            <w:tcW w:w="1065" w:type="dxa"/>
            <w:vMerge w:val="continue"/>
            <w:shd w:val="clear" w:color="auto" w:fill="auto"/>
            <w:tcMar>
              <w:top w:w="15" w:type="dxa"/>
              <w:left w:w="15" w:type="dxa"/>
              <w:right w:w="15" w:type="dxa"/>
            </w:tcMar>
            <w:vAlign w:val="center"/>
          </w:tcPr>
          <w:p w14:paraId="775796D0">
            <w:pPr>
              <w:spacing w:after="240"/>
              <w:ind w:firstLine="360"/>
              <w:jc w:val="center"/>
              <w:rPr>
                <w:rFonts w:hint="eastAsia" w:ascii="宋体" w:hAnsi="宋体" w:eastAsia="宋体" w:cs="宋体"/>
                <w:sz w:val="18"/>
                <w:szCs w:val="18"/>
              </w:rPr>
            </w:pPr>
          </w:p>
        </w:tc>
        <w:tc>
          <w:tcPr>
            <w:tcW w:w="1128" w:type="dxa"/>
            <w:vMerge w:val="continue"/>
            <w:shd w:val="clear" w:color="auto" w:fill="auto"/>
            <w:noWrap/>
            <w:tcMar>
              <w:top w:w="15" w:type="dxa"/>
              <w:left w:w="15" w:type="dxa"/>
              <w:right w:w="15" w:type="dxa"/>
            </w:tcMar>
            <w:vAlign w:val="center"/>
          </w:tcPr>
          <w:p w14:paraId="76419588">
            <w:pPr>
              <w:spacing w:after="240"/>
              <w:ind w:firstLine="360"/>
              <w:jc w:val="center"/>
              <w:rPr>
                <w:rFonts w:hint="eastAsia" w:ascii="宋体" w:hAnsi="宋体" w:eastAsia="宋体" w:cs="宋体"/>
                <w:sz w:val="18"/>
                <w:szCs w:val="18"/>
              </w:rPr>
            </w:pPr>
          </w:p>
        </w:tc>
        <w:tc>
          <w:tcPr>
            <w:tcW w:w="1933" w:type="dxa"/>
            <w:vMerge w:val="continue"/>
            <w:shd w:val="clear" w:color="auto" w:fill="auto"/>
            <w:tcMar>
              <w:top w:w="15" w:type="dxa"/>
              <w:left w:w="15" w:type="dxa"/>
              <w:right w:w="15" w:type="dxa"/>
            </w:tcMar>
            <w:vAlign w:val="center"/>
          </w:tcPr>
          <w:p w14:paraId="4D1278DE">
            <w:pPr>
              <w:ind w:firstLine="360"/>
              <w:jc w:val="center"/>
              <w:rPr>
                <w:rFonts w:hint="eastAsia" w:ascii="宋体" w:hAnsi="宋体" w:eastAsia="宋体" w:cs="宋体"/>
                <w:sz w:val="18"/>
                <w:szCs w:val="18"/>
              </w:rPr>
            </w:pPr>
          </w:p>
        </w:tc>
        <w:tc>
          <w:tcPr>
            <w:tcW w:w="3119" w:type="dxa"/>
            <w:shd w:val="clear" w:color="auto" w:fill="auto"/>
            <w:tcMar>
              <w:top w:w="15" w:type="dxa"/>
              <w:left w:w="15" w:type="dxa"/>
              <w:right w:w="15" w:type="dxa"/>
            </w:tcMar>
            <w:vAlign w:val="center"/>
          </w:tcPr>
          <w:p w14:paraId="58B3BD3B">
            <w:pPr>
              <w:spacing w:after="240"/>
              <w:ind w:firstLine="0" w:firstLineChars="0"/>
              <w:jc w:val="left"/>
              <w:rPr>
                <w:rFonts w:hint="eastAsia" w:ascii="宋体" w:hAnsi="宋体" w:eastAsia="宋体" w:cs="宋体"/>
                <w:sz w:val="18"/>
                <w:szCs w:val="18"/>
              </w:rPr>
            </w:pPr>
            <w:r>
              <w:rPr>
                <w:rFonts w:hint="eastAsia" w:ascii="宋体" w:hAnsi="宋体" w:eastAsia="宋体" w:cs="宋体"/>
                <w:sz w:val="18"/>
                <w:szCs w:val="18"/>
              </w:rPr>
              <w:t>政府采购执行率</w:t>
            </w:r>
          </w:p>
        </w:tc>
        <w:tc>
          <w:tcPr>
            <w:tcW w:w="1110" w:type="dxa"/>
            <w:shd w:val="clear" w:color="auto" w:fill="auto"/>
            <w:tcMar>
              <w:top w:w="15" w:type="dxa"/>
              <w:left w:w="15" w:type="dxa"/>
              <w:right w:w="15" w:type="dxa"/>
            </w:tcMar>
            <w:vAlign w:val="center"/>
          </w:tcPr>
          <w:p w14:paraId="026F5F72">
            <w:pPr>
              <w:spacing w:after="240"/>
              <w:ind w:firstLine="0" w:firstLineChars="0"/>
              <w:jc w:val="center"/>
              <w:rPr>
                <w:rFonts w:hint="eastAsia" w:ascii="宋体" w:hAnsi="宋体" w:eastAsia="宋体" w:cs="宋体"/>
                <w:sz w:val="18"/>
                <w:szCs w:val="18"/>
              </w:rPr>
            </w:pPr>
            <w:r>
              <w:rPr>
                <w:rFonts w:ascii="宋体" w:hAnsi="宋体" w:eastAsia="宋体" w:cs="宋体"/>
                <w:sz w:val="18"/>
                <w:szCs w:val="18"/>
              </w:rPr>
              <w:t>100%</w:t>
            </w:r>
          </w:p>
        </w:tc>
      </w:tr>
      <w:tr w14:paraId="0D3F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exact"/>
        </w:trPr>
        <w:tc>
          <w:tcPr>
            <w:tcW w:w="1065" w:type="dxa"/>
            <w:vMerge w:val="continue"/>
            <w:shd w:val="clear" w:color="auto" w:fill="auto"/>
            <w:tcMar>
              <w:top w:w="15" w:type="dxa"/>
              <w:left w:w="15" w:type="dxa"/>
              <w:right w:w="15" w:type="dxa"/>
            </w:tcMar>
            <w:vAlign w:val="center"/>
          </w:tcPr>
          <w:p w14:paraId="661CA64A">
            <w:pPr>
              <w:spacing w:after="240"/>
              <w:ind w:firstLine="360"/>
              <w:jc w:val="center"/>
              <w:rPr>
                <w:rFonts w:hint="eastAsia" w:ascii="宋体" w:hAnsi="宋体" w:eastAsia="宋体" w:cs="宋体"/>
                <w:sz w:val="18"/>
                <w:szCs w:val="18"/>
              </w:rPr>
            </w:pPr>
          </w:p>
        </w:tc>
        <w:tc>
          <w:tcPr>
            <w:tcW w:w="1128" w:type="dxa"/>
            <w:vMerge w:val="continue"/>
            <w:shd w:val="clear" w:color="auto" w:fill="auto"/>
            <w:noWrap/>
            <w:tcMar>
              <w:top w:w="15" w:type="dxa"/>
              <w:left w:w="15" w:type="dxa"/>
              <w:right w:w="15" w:type="dxa"/>
            </w:tcMar>
            <w:vAlign w:val="center"/>
          </w:tcPr>
          <w:p w14:paraId="742463F3">
            <w:pPr>
              <w:spacing w:after="240"/>
              <w:ind w:firstLine="360"/>
              <w:jc w:val="center"/>
              <w:rPr>
                <w:rFonts w:hint="eastAsia" w:ascii="宋体" w:hAnsi="宋体" w:eastAsia="宋体" w:cs="宋体"/>
                <w:sz w:val="18"/>
                <w:szCs w:val="18"/>
              </w:rPr>
            </w:pPr>
          </w:p>
        </w:tc>
        <w:tc>
          <w:tcPr>
            <w:tcW w:w="1933" w:type="dxa"/>
            <w:vMerge w:val="continue"/>
            <w:shd w:val="clear" w:color="auto" w:fill="auto"/>
            <w:tcMar>
              <w:top w:w="15" w:type="dxa"/>
              <w:left w:w="15" w:type="dxa"/>
              <w:right w:w="15" w:type="dxa"/>
            </w:tcMar>
            <w:vAlign w:val="center"/>
          </w:tcPr>
          <w:p w14:paraId="331B5498">
            <w:pPr>
              <w:ind w:firstLine="360"/>
              <w:jc w:val="center"/>
              <w:rPr>
                <w:rFonts w:hint="eastAsia" w:ascii="宋体" w:hAnsi="宋体" w:eastAsia="宋体" w:cs="宋体"/>
                <w:sz w:val="18"/>
                <w:szCs w:val="18"/>
              </w:rPr>
            </w:pPr>
          </w:p>
        </w:tc>
        <w:tc>
          <w:tcPr>
            <w:tcW w:w="3119" w:type="dxa"/>
            <w:shd w:val="clear" w:color="auto" w:fill="auto"/>
            <w:tcMar>
              <w:top w:w="15" w:type="dxa"/>
              <w:left w:w="15" w:type="dxa"/>
              <w:right w:w="15" w:type="dxa"/>
            </w:tcMar>
            <w:vAlign w:val="center"/>
          </w:tcPr>
          <w:p w14:paraId="3A8913AD">
            <w:pPr>
              <w:spacing w:after="240"/>
              <w:ind w:firstLine="0" w:firstLineChars="0"/>
              <w:jc w:val="left"/>
              <w:rPr>
                <w:rFonts w:hint="eastAsia" w:ascii="宋体" w:hAnsi="宋体" w:eastAsia="宋体" w:cs="宋体"/>
                <w:sz w:val="18"/>
                <w:szCs w:val="18"/>
              </w:rPr>
            </w:pPr>
            <w:r>
              <w:rPr>
                <w:rFonts w:hint="eastAsia" w:ascii="宋体" w:hAnsi="宋体" w:eastAsia="宋体" w:cs="宋体"/>
                <w:sz w:val="18"/>
                <w:szCs w:val="18"/>
              </w:rPr>
              <w:t>安全事件处理及时率</w:t>
            </w:r>
          </w:p>
        </w:tc>
        <w:tc>
          <w:tcPr>
            <w:tcW w:w="1110" w:type="dxa"/>
            <w:shd w:val="clear" w:color="auto" w:fill="auto"/>
            <w:tcMar>
              <w:top w:w="15" w:type="dxa"/>
              <w:left w:w="15" w:type="dxa"/>
              <w:right w:w="15" w:type="dxa"/>
            </w:tcMar>
            <w:vAlign w:val="center"/>
          </w:tcPr>
          <w:p w14:paraId="37C4A020">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00%</w:t>
            </w:r>
          </w:p>
        </w:tc>
      </w:tr>
      <w:tr w14:paraId="1496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exact"/>
        </w:trPr>
        <w:tc>
          <w:tcPr>
            <w:tcW w:w="1065" w:type="dxa"/>
            <w:vMerge w:val="continue"/>
            <w:shd w:val="clear" w:color="auto" w:fill="auto"/>
            <w:tcMar>
              <w:top w:w="15" w:type="dxa"/>
              <w:left w:w="15" w:type="dxa"/>
              <w:right w:w="15" w:type="dxa"/>
            </w:tcMar>
            <w:vAlign w:val="center"/>
          </w:tcPr>
          <w:p w14:paraId="6202FDD9">
            <w:pPr>
              <w:spacing w:after="240"/>
              <w:ind w:firstLine="360"/>
              <w:jc w:val="center"/>
              <w:rPr>
                <w:rFonts w:hint="eastAsia" w:ascii="宋体" w:hAnsi="宋体" w:eastAsia="宋体" w:cs="宋体"/>
                <w:sz w:val="18"/>
                <w:szCs w:val="18"/>
              </w:rPr>
            </w:pPr>
          </w:p>
        </w:tc>
        <w:tc>
          <w:tcPr>
            <w:tcW w:w="1128" w:type="dxa"/>
            <w:vMerge w:val="continue"/>
            <w:shd w:val="clear" w:color="auto" w:fill="auto"/>
            <w:noWrap/>
            <w:tcMar>
              <w:top w:w="15" w:type="dxa"/>
              <w:left w:w="15" w:type="dxa"/>
              <w:right w:w="15" w:type="dxa"/>
            </w:tcMar>
            <w:vAlign w:val="center"/>
          </w:tcPr>
          <w:p w14:paraId="27D16B57">
            <w:pPr>
              <w:spacing w:after="240"/>
              <w:ind w:firstLine="360"/>
              <w:jc w:val="center"/>
              <w:rPr>
                <w:rFonts w:hint="eastAsia" w:ascii="宋体" w:hAnsi="宋体" w:eastAsia="宋体" w:cs="宋体"/>
                <w:sz w:val="18"/>
                <w:szCs w:val="18"/>
              </w:rPr>
            </w:pPr>
          </w:p>
        </w:tc>
        <w:tc>
          <w:tcPr>
            <w:tcW w:w="1933" w:type="dxa"/>
            <w:shd w:val="clear" w:color="auto" w:fill="auto"/>
            <w:tcMar>
              <w:top w:w="15" w:type="dxa"/>
              <w:left w:w="15" w:type="dxa"/>
              <w:right w:w="15" w:type="dxa"/>
            </w:tcMar>
            <w:vAlign w:val="center"/>
          </w:tcPr>
          <w:p w14:paraId="280FA599">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生态效益指标</w:t>
            </w:r>
          </w:p>
        </w:tc>
        <w:tc>
          <w:tcPr>
            <w:tcW w:w="3119" w:type="dxa"/>
            <w:shd w:val="clear" w:color="auto" w:fill="auto"/>
            <w:tcMar>
              <w:top w:w="15" w:type="dxa"/>
              <w:left w:w="15" w:type="dxa"/>
              <w:right w:w="15" w:type="dxa"/>
            </w:tcMar>
            <w:vAlign w:val="center"/>
          </w:tcPr>
          <w:p w14:paraId="7B50B2E0">
            <w:pPr>
              <w:spacing w:after="240"/>
              <w:ind w:firstLine="0" w:firstLineChars="0"/>
              <w:jc w:val="left"/>
              <w:rPr>
                <w:rFonts w:hint="eastAsia" w:ascii="宋体" w:hAnsi="宋体" w:eastAsia="宋体" w:cs="宋体"/>
                <w:sz w:val="18"/>
                <w:szCs w:val="18"/>
              </w:rPr>
            </w:pPr>
            <w:r>
              <w:rPr>
                <w:rFonts w:hint="eastAsia" w:ascii="宋体" w:hAnsi="宋体" w:eastAsia="宋体" w:cs="宋体"/>
                <w:sz w:val="18"/>
                <w:szCs w:val="18"/>
              </w:rPr>
              <w:t>项目环评通过率</w:t>
            </w:r>
          </w:p>
        </w:tc>
        <w:tc>
          <w:tcPr>
            <w:tcW w:w="1110" w:type="dxa"/>
            <w:shd w:val="clear" w:color="auto" w:fill="auto"/>
            <w:tcMar>
              <w:top w:w="15" w:type="dxa"/>
              <w:left w:w="15" w:type="dxa"/>
              <w:right w:w="15" w:type="dxa"/>
            </w:tcMar>
            <w:vAlign w:val="center"/>
          </w:tcPr>
          <w:p w14:paraId="61EB2279">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0</w:t>
            </w:r>
            <w:r>
              <w:rPr>
                <w:rFonts w:hint="eastAsia" w:ascii="宋体" w:hAnsi="宋体" w:eastAsia="宋体" w:cs="宋体"/>
                <w:sz w:val="18"/>
                <w:szCs w:val="18"/>
              </w:rPr>
              <w:t>0%</w:t>
            </w:r>
          </w:p>
        </w:tc>
      </w:tr>
      <w:tr w14:paraId="4167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1" w:hRule="exact"/>
        </w:trPr>
        <w:tc>
          <w:tcPr>
            <w:tcW w:w="1065" w:type="dxa"/>
            <w:vMerge w:val="continue"/>
            <w:shd w:val="clear" w:color="auto" w:fill="auto"/>
            <w:tcMar>
              <w:top w:w="15" w:type="dxa"/>
              <w:left w:w="15" w:type="dxa"/>
              <w:right w:w="15" w:type="dxa"/>
            </w:tcMar>
            <w:vAlign w:val="center"/>
          </w:tcPr>
          <w:p w14:paraId="6BCA06B4">
            <w:pPr>
              <w:spacing w:after="240"/>
              <w:ind w:firstLine="360"/>
              <w:jc w:val="center"/>
              <w:rPr>
                <w:rFonts w:hint="eastAsia" w:ascii="宋体" w:hAnsi="宋体" w:eastAsia="宋体" w:cs="宋体"/>
                <w:sz w:val="18"/>
                <w:szCs w:val="18"/>
              </w:rPr>
            </w:pPr>
          </w:p>
        </w:tc>
        <w:tc>
          <w:tcPr>
            <w:tcW w:w="1128" w:type="dxa"/>
            <w:vMerge w:val="continue"/>
            <w:shd w:val="clear" w:color="auto" w:fill="auto"/>
            <w:noWrap/>
            <w:tcMar>
              <w:top w:w="15" w:type="dxa"/>
              <w:left w:w="15" w:type="dxa"/>
              <w:right w:w="15" w:type="dxa"/>
            </w:tcMar>
            <w:vAlign w:val="center"/>
          </w:tcPr>
          <w:p w14:paraId="40701190">
            <w:pPr>
              <w:spacing w:after="240"/>
              <w:ind w:firstLine="360"/>
              <w:jc w:val="center"/>
              <w:rPr>
                <w:rFonts w:hint="eastAsia" w:ascii="宋体" w:hAnsi="宋体" w:eastAsia="宋体" w:cs="宋体"/>
                <w:sz w:val="18"/>
                <w:szCs w:val="18"/>
              </w:rPr>
            </w:pPr>
          </w:p>
        </w:tc>
        <w:tc>
          <w:tcPr>
            <w:tcW w:w="1933" w:type="dxa"/>
            <w:shd w:val="clear" w:color="auto" w:fill="auto"/>
            <w:tcMar>
              <w:top w:w="15" w:type="dxa"/>
              <w:left w:w="15" w:type="dxa"/>
              <w:right w:w="15" w:type="dxa"/>
            </w:tcMar>
            <w:vAlign w:val="center"/>
          </w:tcPr>
          <w:p w14:paraId="265EA9FD">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可持续性指标</w:t>
            </w:r>
          </w:p>
        </w:tc>
        <w:tc>
          <w:tcPr>
            <w:tcW w:w="3119" w:type="dxa"/>
            <w:shd w:val="clear" w:color="auto" w:fill="auto"/>
            <w:tcMar>
              <w:top w:w="15" w:type="dxa"/>
              <w:left w:w="15" w:type="dxa"/>
              <w:right w:w="15" w:type="dxa"/>
            </w:tcMar>
            <w:vAlign w:val="center"/>
          </w:tcPr>
          <w:p w14:paraId="18AC1F3C">
            <w:pPr>
              <w:spacing w:after="240"/>
              <w:ind w:firstLine="0" w:firstLineChars="0"/>
              <w:jc w:val="left"/>
              <w:rPr>
                <w:rFonts w:hint="eastAsia" w:ascii="宋体" w:hAnsi="宋体" w:eastAsia="宋体" w:cs="宋体"/>
                <w:sz w:val="18"/>
                <w:szCs w:val="18"/>
              </w:rPr>
            </w:pPr>
            <w:r>
              <w:rPr>
                <w:rFonts w:hint="eastAsia" w:ascii="宋体" w:hAnsi="宋体" w:eastAsia="宋体" w:cs="宋体"/>
                <w:sz w:val="18"/>
                <w:szCs w:val="18"/>
              </w:rPr>
              <w:t>可持续性影响期</w:t>
            </w:r>
          </w:p>
        </w:tc>
        <w:tc>
          <w:tcPr>
            <w:tcW w:w="1110" w:type="dxa"/>
            <w:shd w:val="clear" w:color="auto" w:fill="auto"/>
            <w:tcMar>
              <w:top w:w="15" w:type="dxa"/>
              <w:left w:w="15" w:type="dxa"/>
              <w:right w:w="15" w:type="dxa"/>
            </w:tcMar>
            <w:vAlign w:val="center"/>
          </w:tcPr>
          <w:p w14:paraId="1E370FD9">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≥5年</w:t>
            </w:r>
          </w:p>
        </w:tc>
      </w:tr>
      <w:tr w14:paraId="095C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1065" w:type="dxa"/>
            <w:vMerge w:val="continue"/>
            <w:shd w:val="clear" w:color="auto" w:fill="auto"/>
            <w:tcMar>
              <w:top w:w="15" w:type="dxa"/>
              <w:left w:w="15" w:type="dxa"/>
              <w:right w:w="15" w:type="dxa"/>
            </w:tcMar>
            <w:vAlign w:val="center"/>
          </w:tcPr>
          <w:p w14:paraId="44C43D99">
            <w:pPr>
              <w:spacing w:after="240"/>
              <w:ind w:firstLine="360"/>
              <w:jc w:val="center"/>
              <w:rPr>
                <w:rFonts w:hint="eastAsia" w:ascii="宋体" w:hAnsi="宋体" w:eastAsia="宋体" w:cs="宋体"/>
                <w:sz w:val="18"/>
                <w:szCs w:val="18"/>
              </w:rPr>
            </w:pPr>
          </w:p>
        </w:tc>
        <w:tc>
          <w:tcPr>
            <w:tcW w:w="1128" w:type="dxa"/>
            <w:vMerge w:val="continue"/>
            <w:shd w:val="clear" w:color="auto" w:fill="auto"/>
            <w:tcMar>
              <w:top w:w="15" w:type="dxa"/>
              <w:left w:w="15" w:type="dxa"/>
              <w:right w:w="15" w:type="dxa"/>
            </w:tcMar>
            <w:vAlign w:val="center"/>
          </w:tcPr>
          <w:p w14:paraId="377BFB96">
            <w:pPr>
              <w:spacing w:after="240"/>
              <w:ind w:firstLine="360"/>
              <w:jc w:val="center"/>
              <w:rPr>
                <w:rFonts w:hint="eastAsia" w:ascii="宋体" w:hAnsi="宋体" w:eastAsia="宋体" w:cs="宋体"/>
                <w:sz w:val="18"/>
                <w:szCs w:val="18"/>
              </w:rPr>
            </w:pPr>
          </w:p>
        </w:tc>
        <w:tc>
          <w:tcPr>
            <w:tcW w:w="1933" w:type="dxa"/>
            <w:shd w:val="clear" w:color="auto" w:fill="auto"/>
            <w:tcMar>
              <w:top w:w="15" w:type="dxa"/>
              <w:left w:w="15" w:type="dxa"/>
              <w:right w:w="15" w:type="dxa"/>
            </w:tcMar>
            <w:vAlign w:val="center"/>
          </w:tcPr>
          <w:p w14:paraId="2A6F7DA3">
            <w:pPr>
              <w:ind w:firstLine="0" w:firstLineChars="0"/>
              <w:jc w:val="center"/>
              <w:rPr>
                <w:rFonts w:hint="eastAsia" w:ascii="宋体" w:hAnsi="宋体" w:eastAsia="宋体" w:cs="宋体"/>
                <w:sz w:val="18"/>
                <w:szCs w:val="18"/>
              </w:rPr>
            </w:pPr>
            <w:r>
              <w:rPr>
                <w:rFonts w:hint="eastAsia" w:ascii="宋体" w:hAnsi="宋体" w:eastAsia="宋体" w:cs="宋体"/>
                <w:sz w:val="18"/>
                <w:szCs w:val="18"/>
              </w:rPr>
              <w:t>满意度指标</w:t>
            </w:r>
          </w:p>
        </w:tc>
        <w:tc>
          <w:tcPr>
            <w:tcW w:w="3119" w:type="dxa"/>
            <w:shd w:val="clear" w:color="auto" w:fill="auto"/>
            <w:tcMar>
              <w:top w:w="15" w:type="dxa"/>
              <w:left w:w="15" w:type="dxa"/>
              <w:right w:w="15" w:type="dxa"/>
            </w:tcMar>
            <w:vAlign w:val="center"/>
          </w:tcPr>
          <w:p w14:paraId="1233AF62">
            <w:pPr>
              <w:spacing w:after="240"/>
              <w:ind w:firstLine="0" w:firstLineChars="0"/>
              <w:jc w:val="left"/>
              <w:rPr>
                <w:rFonts w:hint="eastAsia" w:ascii="宋体" w:hAnsi="宋体" w:eastAsia="宋体" w:cs="宋体"/>
                <w:sz w:val="18"/>
                <w:szCs w:val="18"/>
              </w:rPr>
            </w:pPr>
            <w:r>
              <w:rPr>
                <w:rFonts w:hint="eastAsia" w:ascii="宋体" w:hAnsi="宋体" w:eastAsia="宋体" w:cs="宋体"/>
                <w:sz w:val="18"/>
                <w:szCs w:val="18"/>
              </w:rPr>
              <w:t>社会公众或服务对象满意度</w:t>
            </w:r>
          </w:p>
        </w:tc>
        <w:tc>
          <w:tcPr>
            <w:tcW w:w="1110" w:type="dxa"/>
            <w:shd w:val="clear" w:color="auto" w:fill="auto"/>
            <w:tcMar>
              <w:top w:w="15" w:type="dxa"/>
              <w:left w:w="15" w:type="dxa"/>
              <w:right w:w="15" w:type="dxa"/>
            </w:tcMar>
            <w:vAlign w:val="center"/>
          </w:tcPr>
          <w:p w14:paraId="63DBFBEB">
            <w:pPr>
              <w:spacing w:after="240"/>
              <w:ind w:firstLine="0" w:firstLineChars="0"/>
              <w:jc w:val="center"/>
              <w:rPr>
                <w:rFonts w:hint="eastAsia" w:ascii="宋体" w:hAnsi="宋体" w:eastAsia="宋体" w:cs="宋体"/>
                <w:sz w:val="18"/>
                <w:szCs w:val="18"/>
              </w:rPr>
            </w:pPr>
            <w:r>
              <w:rPr>
                <w:rFonts w:hint="eastAsia" w:ascii="宋体" w:hAnsi="宋体" w:eastAsia="宋体" w:cs="宋体"/>
                <w:sz w:val="18"/>
                <w:szCs w:val="18"/>
              </w:rPr>
              <w:t>≥90%</w:t>
            </w:r>
          </w:p>
        </w:tc>
      </w:tr>
    </w:tbl>
    <w:p w14:paraId="3895CA0D">
      <w:pPr>
        <w:ind w:firstLine="560"/>
        <w:rPr>
          <w:rFonts w:hint="eastAsia" w:ascii="楷体" w:hAnsi="楷体" w:eastAsia="楷体" w:cs="楷体"/>
          <w:color w:val="FF0000"/>
          <w:sz w:val="28"/>
          <w:szCs w:val="28"/>
        </w:rPr>
      </w:pPr>
      <w:bookmarkStart w:id="12" w:name="_Toc502134853"/>
      <w:r>
        <w:rPr>
          <w:rFonts w:hint="eastAsia" w:ascii="楷体" w:hAnsi="楷体" w:eastAsia="楷体" w:cs="楷体"/>
          <w:sz w:val="28"/>
          <w:szCs w:val="28"/>
        </w:rPr>
        <w:t>(五)组织管理情况</w:t>
      </w:r>
      <w:bookmarkEnd w:id="12"/>
    </w:p>
    <w:p w14:paraId="657519CE">
      <w:pPr>
        <w:ind w:firstLine="560"/>
        <w:rPr>
          <w:rFonts w:hint="eastAsia"/>
          <w:sz w:val="28"/>
          <w:szCs w:val="28"/>
        </w:rPr>
      </w:pPr>
      <w:r>
        <w:rPr>
          <w:rFonts w:hint="eastAsia"/>
          <w:sz w:val="28"/>
          <w:szCs w:val="28"/>
        </w:rPr>
        <w:t>1.项目实施主体。</w:t>
      </w:r>
      <w:bookmarkStart w:id="13" w:name="_Hlk144916314"/>
      <w:bookmarkStart w:id="14" w:name="_Hlk144991539"/>
      <w:r>
        <w:rPr>
          <w:rFonts w:hint="eastAsia"/>
          <w:sz w:val="28"/>
          <w:szCs w:val="28"/>
        </w:rPr>
        <w:t>卫健局</w:t>
      </w:r>
      <w:r>
        <w:rPr>
          <w:sz w:val="28"/>
          <w:szCs w:val="28"/>
        </w:rPr>
        <w:t>为项目主管部门、</w:t>
      </w:r>
      <w:bookmarkStart w:id="15" w:name="_Hlk144979785"/>
      <w:r>
        <w:rPr>
          <w:sz w:val="28"/>
          <w:szCs w:val="28"/>
        </w:rPr>
        <w:t>寻甸城乡投资开发集团有限公司</w:t>
      </w:r>
      <w:bookmarkEnd w:id="15"/>
      <w:r>
        <w:rPr>
          <w:sz w:val="28"/>
          <w:szCs w:val="28"/>
        </w:rPr>
        <w:t>为项目代建方按照政府采购管理规定，通过</w:t>
      </w:r>
      <w:r>
        <w:rPr>
          <w:rFonts w:hint="eastAsia"/>
          <w:sz w:val="28"/>
          <w:szCs w:val="28"/>
        </w:rPr>
        <w:t>公开招投标</w:t>
      </w:r>
      <w:r>
        <w:rPr>
          <w:sz w:val="28"/>
          <w:szCs w:val="28"/>
        </w:rPr>
        <w:t>的方式采购</w:t>
      </w:r>
      <w:r>
        <w:rPr>
          <w:rFonts w:hint="eastAsia"/>
          <w:sz w:val="28"/>
          <w:szCs w:val="28"/>
        </w:rPr>
        <w:t>云南建投第四建设有限公司、中国建筑西南设计研究院有限公司</w:t>
      </w:r>
      <w:r>
        <w:rPr>
          <w:sz w:val="28"/>
          <w:szCs w:val="28"/>
        </w:rPr>
        <w:t>为</w:t>
      </w:r>
      <w:r>
        <w:rPr>
          <w:rFonts w:hint="eastAsia"/>
          <w:sz w:val="28"/>
          <w:szCs w:val="28"/>
        </w:rPr>
        <w:t>设计施工总承包</w:t>
      </w:r>
      <w:r>
        <w:rPr>
          <w:sz w:val="28"/>
          <w:szCs w:val="28"/>
        </w:rPr>
        <w:t>单位</w:t>
      </w:r>
      <w:bookmarkEnd w:id="13"/>
      <w:r>
        <w:rPr>
          <w:rFonts w:hint="eastAsia"/>
          <w:sz w:val="28"/>
          <w:szCs w:val="28"/>
        </w:rPr>
        <w:t>组织实施</w:t>
      </w:r>
      <w:bookmarkEnd w:id="14"/>
      <w:r>
        <w:rPr>
          <w:rFonts w:hint="eastAsia"/>
          <w:sz w:val="28"/>
          <w:szCs w:val="28"/>
        </w:rPr>
        <w:t>。</w:t>
      </w:r>
    </w:p>
    <w:p w14:paraId="586BDFCE">
      <w:pPr>
        <w:ind w:firstLine="560"/>
        <w:rPr>
          <w:rFonts w:hint="eastAsia"/>
          <w:sz w:val="28"/>
          <w:szCs w:val="28"/>
        </w:rPr>
      </w:pPr>
      <w:r>
        <w:rPr>
          <w:rFonts w:hint="eastAsia"/>
          <w:sz w:val="28"/>
          <w:szCs w:val="28"/>
        </w:rPr>
        <w:t>2.保障措施。一是以项目管理办法保障项目的申报范围、安排导向和实施方式；二是以绩效考核、工程质量监测的方式发挥资金效益；三是以预算明细的方式保障资金安排的科学规范，卫健局建立预算管理制度，规范管理项目。</w:t>
      </w:r>
    </w:p>
    <w:p w14:paraId="3D75D839">
      <w:pPr>
        <w:ind w:firstLine="552"/>
        <w:rPr>
          <w:rFonts w:hint="eastAsia"/>
          <w:spacing w:val="-2"/>
          <w:sz w:val="28"/>
          <w:szCs w:val="28"/>
        </w:rPr>
      </w:pPr>
      <w:r>
        <w:rPr>
          <w:rFonts w:hint="eastAsia"/>
          <w:spacing w:val="-2"/>
          <w:sz w:val="28"/>
          <w:szCs w:val="28"/>
        </w:rPr>
        <w:t>3.资金安排程序。根据《关于对倘甸产业园区轿子山旅游开发区人民医院建设项目可行性研究报告的批复》（昆倘经复〔2013〕41号）、《关于对昆明倘甸产业园区轿子山旅游开发区人民医院建设项目初步设计的批复》（昆建发〔2013〕595号）和寻甸回族彝族自治县发展和改革局《关于寻甸县第二人民医院建设项目可行性研究报告批复》（寻发改投资〔2020〕74号）安排。</w:t>
      </w:r>
    </w:p>
    <w:p w14:paraId="6CF4DC3E">
      <w:pPr>
        <w:ind w:firstLine="560"/>
        <w:rPr>
          <w:rFonts w:hint="eastAsia"/>
          <w:sz w:val="28"/>
          <w:szCs w:val="28"/>
        </w:rPr>
      </w:pPr>
      <w:r>
        <w:rPr>
          <w:rFonts w:hint="eastAsia"/>
          <w:sz w:val="28"/>
          <w:szCs w:val="28"/>
        </w:rPr>
        <w:t>4.资金安排标准或依据。据《寻甸回族彝族自治县财政局关于拨付2021年第二批新增专项债券资金的通知》（寻财债〔2021〕2号）安排</w:t>
      </w:r>
      <w:r>
        <w:rPr>
          <w:sz w:val="28"/>
          <w:szCs w:val="28"/>
        </w:rPr>
        <w:t>项目到位</w:t>
      </w:r>
      <w:r>
        <w:rPr>
          <w:rFonts w:hint="eastAsia"/>
          <w:sz w:val="28"/>
          <w:szCs w:val="28"/>
        </w:rPr>
        <w:t>专债资金</w:t>
      </w:r>
      <w:r>
        <w:rPr>
          <w:sz w:val="28"/>
          <w:szCs w:val="28"/>
        </w:rPr>
        <w:t>15000万元</w:t>
      </w:r>
      <w:r>
        <w:rPr>
          <w:rFonts w:hint="eastAsia"/>
          <w:sz w:val="28"/>
          <w:szCs w:val="28"/>
        </w:rPr>
        <w:t>。</w:t>
      </w:r>
    </w:p>
    <w:p w14:paraId="08B2390D">
      <w:pPr>
        <w:ind w:firstLine="560"/>
        <w:rPr>
          <w:rFonts w:hint="eastAsia"/>
          <w:sz w:val="28"/>
          <w:szCs w:val="28"/>
        </w:rPr>
      </w:pPr>
      <w:r>
        <w:rPr>
          <w:rFonts w:hint="eastAsia"/>
          <w:sz w:val="28"/>
          <w:szCs w:val="28"/>
        </w:rPr>
        <w:t>5.财务管理。卫健局制定了《寻甸县卫生健康局单位内部控制管理制度》、《寻甸县卫生健康局办公室财务管理制度》等财务管理制度。规定了严格的审批制度。加强专项资金管理，严格执行财务管理制度，切实提高财政资金的使用效率。</w:t>
      </w:r>
    </w:p>
    <w:p w14:paraId="38436B62">
      <w:pPr>
        <w:ind w:firstLine="560"/>
        <w:rPr>
          <w:rFonts w:hint="eastAsia"/>
          <w:sz w:val="28"/>
          <w:szCs w:val="28"/>
        </w:rPr>
      </w:pPr>
      <w:r>
        <w:rPr>
          <w:rFonts w:hint="eastAsia"/>
          <w:sz w:val="28"/>
          <w:szCs w:val="28"/>
        </w:rPr>
        <w:t>项目资金管理及核算执行《政府会计制度》。</w:t>
      </w:r>
    </w:p>
    <w:p w14:paraId="0D7B6945">
      <w:pPr>
        <w:ind w:firstLine="560"/>
        <w:rPr>
          <w:rFonts w:hint="eastAsia" w:ascii="黑体" w:hAnsi="黑体" w:eastAsia="黑体" w:cs="黑体"/>
          <w:sz w:val="28"/>
          <w:szCs w:val="28"/>
        </w:rPr>
      </w:pPr>
      <w:bookmarkStart w:id="16" w:name="_Toc502134854"/>
      <w:r>
        <w:rPr>
          <w:rFonts w:hint="eastAsia" w:ascii="黑体" w:hAnsi="黑体" w:eastAsia="黑体" w:cs="黑体"/>
          <w:sz w:val="28"/>
          <w:szCs w:val="28"/>
        </w:rPr>
        <w:t>二、绩效自评情况</w:t>
      </w:r>
      <w:bookmarkEnd w:id="16"/>
    </w:p>
    <w:p w14:paraId="5282274D">
      <w:pPr>
        <w:ind w:firstLine="560"/>
        <w:rPr>
          <w:rFonts w:hint="eastAsia" w:ascii="楷体" w:hAnsi="楷体" w:eastAsia="楷体" w:cs="楷体"/>
          <w:sz w:val="28"/>
          <w:szCs w:val="28"/>
        </w:rPr>
      </w:pPr>
      <w:bookmarkStart w:id="17" w:name="_Toc498009772"/>
      <w:bookmarkStart w:id="18" w:name="_Toc502134855"/>
      <w:r>
        <w:rPr>
          <w:rFonts w:hint="eastAsia" w:ascii="楷体" w:hAnsi="楷体" w:eastAsia="楷体" w:cs="楷体"/>
          <w:sz w:val="28"/>
          <w:szCs w:val="28"/>
        </w:rPr>
        <w:t>(一)绩效自评概述</w:t>
      </w:r>
      <w:bookmarkEnd w:id="17"/>
      <w:bookmarkEnd w:id="18"/>
    </w:p>
    <w:p w14:paraId="662A8764">
      <w:pPr>
        <w:ind w:firstLine="560"/>
        <w:rPr>
          <w:rFonts w:hint="eastAsia"/>
          <w:sz w:val="28"/>
          <w:szCs w:val="28"/>
        </w:rPr>
      </w:pPr>
      <w:bookmarkStart w:id="19" w:name="_Toc498009773"/>
      <w:bookmarkStart w:id="20" w:name="_Toc502134856"/>
      <w:r>
        <w:rPr>
          <w:rFonts w:hint="eastAsia"/>
          <w:sz w:val="28"/>
          <w:szCs w:val="28"/>
        </w:rPr>
        <w:t>根据</w:t>
      </w:r>
      <w:bookmarkStart w:id="21" w:name="_Hlk143869243"/>
      <w:r>
        <w:rPr>
          <w:rFonts w:hint="eastAsia"/>
          <w:sz w:val="28"/>
          <w:szCs w:val="28"/>
        </w:rPr>
        <w:t>《寻甸县财政局关于印发</w:t>
      </w:r>
      <w:r>
        <w:rPr>
          <w:sz w:val="28"/>
          <w:szCs w:val="28"/>
        </w:rPr>
        <w:t>&lt;寻甸县本级部门预算绩效自评管理暂行办法&gt;的通知》（寻财绩</w:t>
      </w:r>
      <w:r>
        <w:rPr>
          <w:rFonts w:hint="eastAsia" w:cs="仿宋"/>
          <w:sz w:val="28"/>
          <w:szCs w:val="28"/>
        </w:rPr>
        <w:t>〔</w:t>
      </w:r>
      <w:r>
        <w:rPr>
          <w:rFonts w:cs="仿宋"/>
          <w:sz w:val="28"/>
          <w:szCs w:val="28"/>
        </w:rPr>
        <w:t>201</w:t>
      </w:r>
      <w:r>
        <w:rPr>
          <w:rFonts w:hint="eastAsia" w:cs="仿宋"/>
          <w:sz w:val="28"/>
          <w:szCs w:val="28"/>
        </w:rPr>
        <w:t>8</w:t>
      </w:r>
      <w:r>
        <w:rPr>
          <w:rFonts w:cs="仿宋"/>
          <w:sz w:val="28"/>
          <w:szCs w:val="28"/>
        </w:rPr>
        <w:t>〕</w:t>
      </w:r>
      <w:r>
        <w:rPr>
          <w:sz w:val="28"/>
          <w:szCs w:val="28"/>
        </w:rPr>
        <w:t>9号）</w:t>
      </w:r>
      <w:bookmarkEnd w:id="21"/>
      <w:r>
        <w:rPr>
          <w:rFonts w:hint="eastAsia"/>
          <w:sz w:val="28"/>
          <w:szCs w:val="28"/>
        </w:rPr>
        <w:t>等文件的规定，卫健局应编制项目绩效自评报告，但未编制项目绩效自评报告。</w:t>
      </w:r>
    </w:p>
    <w:p w14:paraId="0899000B">
      <w:pPr>
        <w:ind w:firstLine="560"/>
        <w:rPr>
          <w:rFonts w:hint="eastAsia" w:ascii="楷体" w:hAnsi="楷体" w:eastAsia="楷体" w:cs="楷体"/>
          <w:sz w:val="28"/>
          <w:szCs w:val="28"/>
        </w:rPr>
      </w:pPr>
      <w:r>
        <w:rPr>
          <w:rFonts w:hint="eastAsia" w:ascii="楷体" w:hAnsi="楷体" w:eastAsia="楷体" w:cs="楷体"/>
          <w:sz w:val="28"/>
          <w:szCs w:val="28"/>
        </w:rPr>
        <w:t>(二)绩效自评结论</w:t>
      </w:r>
      <w:bookmarkEnd w:id="19"/>
      <w:bookmarkEnd w:id="20"/>
    </w:p>
    <w:p w14:paraId="70A34B02">
      <w:pPr>
        <w:ind w:firstLine="560"/>
        <w:rPr>
          <w:rFonts w:hint="eastAsia" w:cs="仿宋"/>
          <w:sz w:val="28"/>
          <w:szCs w:val="28"/>
        </w:rPr>
      </w:pPr>
      <w:r>
        <w:rPr>
          <w:rFonts w:hint="eastAsia"/>
          <w:sz w:val="28"/>
          <w:szCs w:val="28"/>
        </w:rPr>
        <w:t>根据《寻甸县财政局关于印发</w:t>
      </w:r>
      <w:r>
        <w:rPr>
          <w:sz w:val="28"/>
          <w:szCs w:val="28"/>
        </w:rPr>
        <w:t>&lt;寻甸县本级部门预算绩效自评管理暂行办法&gt;的通知》（寻财绩</w:t>
      </w:r>
      <w:r>
        <w:rPr>
          <w:rFonts w:hint="eastAsia"/>
          <w:sz w:val="28"/>
          <w:szCs w:val="28"/>
        </w:rPr>
        <w:t>〔2018〕</w:t>
      </w:r>
      <w:r>
        <w:rPr>
          <w:sz w:val="28"/>
          <w:szCs w:val="28"/>
        </w:rPr>
        <w:t>9号）</w:t>
      </w:r>
      <w:r>
        <w:rPr>
          <w:rFonts w:hint="eastAsia"/>
          <w:sz w:val="28"/>
          <w:szCs w:val="28"/>
        </w:rPr>
        <w:t>等文件的规定，卫健局应编制项目绩效自评报告，但未编制项目绩效自评报告。</w:t>
      </w:r>
    </w:p>
    <w:p w14:paraId="43818197">
      <w:pPr>
        <w:ind w:firstLine="560"/>
        <w:rPr>
          <w:rFonts w:hint="eastAsia" w:ascii="黑体" w:hAnsi="黑体" w:eastAsia="黑体" w:cs="黑体"/>
          <w:sz w:val="28"/>
          <w:szCs w:val="28"/>
        </w:rPr>
      </w:pPr>
      <w:bookmarkStart w:id="22" w:name="_Toc502134857"/>
      <w:r>
        <w:rPr>
          <w:rFonts w:hint="eastAsia" w:ascii="黑体" w:hAnsi="黑体" w:eastAsia="黑体" w:cs="黑体"/>
          <w:sz w:val="28"/>
          <w:szCs w:val="28"/>
        </w:rPr>
        <w:t>三、绩效评价组织情况</w:t>
      </w:r>
      <w:bookmarkEnd w:id="22"/>
    </w:p>
    <w:p w14:paraId="5A554D0E">
      <w:pPr>
        <w:ind w:firstLine="560"/>
        <w:rPr>
          <w:rFonts w:hint="eastAsia" w:ascii="楷体" w:hAnsi="楷体" w:eastAsia="楷体" w:cs="楷体"/>
          <w:sz w:val="28"/>
          <w:szCs w:val="28"/>
        </w:rPr>
      </w:pPr>
      <w:bookmarkStart w:id="23" w:name="_Toc502134858"/>
      <w:r>
        <w:rPr>
          <w:rFonts w:hint="eastAsia" w:ascii="楷体" w:hAnsi="楷体" w:eastAsia="楷体" w:cs="楷体"/>
          <w:sz w:val="28"/>
          <w:szCs w:val="28"/>
        </w:rPr>
        <w:t>(一)绩效评价依据</w:t>
      </w:r>
      <w:bookmarkEnd w:id="23"/>
    </w:p>
    <w:p w14:paraId="1579EBB4">
      <w:pPr>
        <w:ind w:firstLine="560"/>
        <w:rPr>
          <w:rFonts w:hint="eastAsia" w:cs="仿宋"/>
          <w:sz w:val="28"/>
          <w:szCs w:val="28"/>
        </w:rPr>
      </w:pPr>
      <w:bookmarkStart w:id="24" w:name="_Toc502134859"/>
      <w:r>
        <w:rPr>
          <w:rFonts w:hint="eastAsia" w:cs="仿宋"/>
          <w:sz w:val="28"/>
          <w:szCs w:val="28"/>
        </w:rPr>
        <w:t>1.《中华人民共和国预算法》（201</w:t>
      </w:r>
      <w:r>
        <w:rPr>
          <w:rFonts w:cs="仿宋"/>
          <w:sz w:val="28"/>
          <w:szCs w:val="28"/>
        </w:rPr>
        <w:t>8</w:t>
      </w:r>
      <w:r>
        <w:rPr>
          <w:rFonts w:hint="eastAsia" w:cs="仿宋"/>
          <w:sz w:val="28"/>
          <w:szCs w:val="28"/>
        </w:rPr>
        <w:t>年修订）；</w:t>
      </w:r>
    </w:p>
    <w:p w14:paraId="01541529">
      <w:pPr>
        <w:ind w:firstLine="560"/>
        <w:rPr>
          <w:rFonts w:hint="eastAsia" w:cs="仿宋"/>
          <w:sz w:val="28"/>
          <w:szCs w:val="28"/>
        </w:rPr>
      </w:pPr>
      <w:r>
        <w:rPr>
          <w:rFonts w:hint="eastAsia" w:cs="仿宋"/>
          <w:sz w:val="28"/>
          <w:szCs w:val="28"/>
        </w:rPr>
        <w:t>2.《项目支出绩效评价管理办法》（财预〔2020〕10号）；</w:t>
      </w:r>
    </w:p>
    <w:p w14:paraId="11BC8549">
      <w:pPr>
        <w:ind w:firstLine="560"/>
        <w:rPr>
          <w:rFonts w:hint="eastAsia" w:cs="仿宋"/>
          <w:sz w:val="28"/>
          <w:szCs w:val="28"/>
        </w:rPr>
      </w:pPr>
      <w:r>
        <w:rPr>
          <w:rFonts w:hint="eastAsia" w:cs="仿宋"/>
          <w:sz w:val="28"/>
          <w:szCs w:val="28"/>
        </w:rPr>
        <w:t>3.《中共云南省委、云南省人民政府关于全面实施预算管理绩效的意见》（云发〔2019〕11号）；</w:t>
      </w:r>
    </w:p>
    <w:p w14:paraId="08520EA0">
      <w:pPr>
        <w:ind w:firstLine="560"/>
        <w:rPr>
          <w:rFonts w:hint="eastAsia" w:cs="仿宋"/>
          <w:sz w:val="28"/>
          <w:szCs w:val="28"/>
        </w:rPr>
      </w:pPr>
      <w:r>
        <w:rPr>
          <w:rFonts w:hint="eastAsia" w:cs="仿宋"/>
          <w:sz w:val="28"/>
          <w:szCs w:val="28"/>
        </w:rPr>
        <w:t>4.《云南省省级财政预算绩效管理暂行办法》（云财预〔2015〕295号）；</w:t>
      </w:r>
    </w:p>
    <w:p w14:paraId="4F07CB94">
      <w:pPr>
        <w:ind w:firstLine="560"/>
        <w:rPr>
          <w:rFonts w:hint="eastAsia" w:cs="仿宋"/>
          <w:sz w:val="28"/>
          <w:szCs w:val="28"/>
        </w:rPr>
      </w:pPr>
      <w:r>
        <w:rPr>
          <w:rFonts w:hint="eastAsia" w:cs="仿宋"/>
          <w:sz w:val="28"/>
          <w:szCs w:val="28"/>
        </w:rPr>
        <w:t>5.</w:t>
      </w:r>
      <w:bookmarkStart w:id="25" w:name="_Hlk143869363"/>
      <w:r>
        <w:rPr>
          <w:rFonts w:hint="eastAsia" w:cs="仿宋"/>
          <w:sz w:val="28"/>
          <w:szCs w:val="28"/>
        </w:rPr>
        <w:t>《关于全面推进预算绩效管理改革的实施意见》（寻政发〔</w:t>
      </w:r>
      <w:r>
        <w:rPr>
          <w:rFonts w:cs="仿宋"/>
          <w:sz w:val="28"/>
          <w:szCs w:val="28"/>
        </w:rPr>
        <w:t>2016〕122号）</w:t>
      </w:r>
      <w:r>
        <w:rPr>
          <w:rFonts w:hint="eastAsia" w:cs="仿宋"/>
          <w:sz w:val="28"/>
          <w:szCs w:val="28"/>
        </w:rPr>
        <w:t>；</w:t>
      </w:r>
    </w:p>
    <w:p w14:paraId="7919DED7">
      <w:pPr>
        <w:ind w:firstLine="560"/>
        <w:rPr>
          <w:rFonts w:hint="eastAsia" w:cs="仿宋"/>
          <w:sz w:val="28"/>
          <w:szCs w:val="28"/>
        </w:rPr>
      </w:pPr>
      <w:r>
        <w:rPr>
          <w:rFonts w:cs="仿宋"/>
          <w:sz w:val="28"/>
          <w:szCs w:val="28"/>
        </w:rPr>
        <w:t>6.</w:t>
      </w:r>
      <w:r>
        <w:rPr>
          <w:rFonts w:hint="eastAsia" w:cs="仿宋"/>
          <w:sz w:val="28"/>
          <w:szCs w:val="28"/>
        </w:rPr>
        <w:t>《关于开展</w:t>
      </w:r>
      <w:r>
        <w:rPr>
          <w:rFonts w:cs="仿宋"/>
          <w:sz w:val="28"/>
          <w:szCs w:val="28"/>
        </w:rPr>
        <w:t>202</w:t>
      </w:r>
      <w:r>
        <w:rPr>
          <w:rFonts w:hint="eastAsia" w:cs="仿宋"/>
          <w:sz w:val="28"/>
          <w:szCs w:val="28"/>
        </w:rPr>
        <w:t>3</w:t>
      </w:r>
      <w:r>
        <w:rPr>
          <w:rFonts w:cs="仿宋"/>
          <w:sz w:val="28"/>
          <w:szCs w:val="28"/>
        </w:rPr>
        <w:t>年度部门整体支出、重大项目支出和地方政府债券项目支出绩效再评价的通知》（寻财绩〔202</w:t>
      </w:r>
      <w:r>
        <w:rPr>
          <w:rFonts w:hint="eastAsia" w:cs="仿宋"/>
          <w:sz w:val="28"/>
          <w:szCs w:val="28"/>
        </w:rPr>
        <w:t>4</w:t>
      </w:r>
      <w:r>
        <w:rPr>
          <w:rFonts w:cs="仿宋"/>
          <w:sz w:val="28"/>
          <w:szCs w:val="28"/>
        </w:rPr>
        <w:t>〕</w:t>
      </w:r>
      <w:r>
        <w:rPr>
          <w:rFonts w:hint="eastAsia" w:cs="仿宋"/>
          <w:sz w:val="28"/>
          <w:szCs w:val="28"/>
        </w:rPr>
        <w:t>4</w:t>
      </w:r>
      <w:r>
        <w:rPr>
          <w:rFonts w:cs="仿宋"/>
          <w:sz w:val="28"/>
          <w:szCs w:val="28"/>
        </w:rPr>
        <w:t>号）</w:t>
      </w:r>
      <w:r>
        <w:rPr>
          <w:rFonts w:hint="eastAsia" w:cs="仿宋"/>
          <w:sz w:val="28"/>
          <w:szCs w:val="28"/>
        </w:rPr>
        <w:t>；</w:t>
      </w:r>
    </w:p>
    <w:p w14:paraId="7086E02E">
      <w:pPr>
        <w:ind w:firstLine="560"/>
        <w:rPr>
          <w:rFonts w:hint="eastAsia" w:cs="仿宋"/>
          <w:sz w:val="28"/>
          <w:szCs w:val="28"/>
        </w:rPr>
      </w:pPr>
      <w:r>
        <w:rPr>
          <w:rFonts w:cs="仿宋"/>
          <w:sz w:val="28"/>
          <w:szCs w:val="28"/>
        </w:rPr>
        <w:t>7</w:t>
      </w:r>
      <w:r>
        <w:rPr>
          <w:rFonts w:hint="eastAsia" w:cs="仿宋"/>
          <w:sz w:val="28"/>
          <w:szCs w:val="28"/>
        </w:rPr>
        <w:t>.其他相关依据文件</w:t>
      </w:r>
      <w:bookmarkEnd w:id="25"/>
      <w:r>
        <w:rPr>
          <w:rFonts w:hint="eastAsia" w:cs="仿宋"/>
          <w:sz w:val="28"/>
          <w:szCs w:val="28"/>
        </w:rPr>
        <w:t>。</w:t>
      </w:r>
    </w:p>
    <w:p w14:paraId="01532B24">
      <w:pPr>
        <w:ind w:firstLine="560"/>
        <w:rPr>
          <w:rFonts w:hint="eastAsia" w:ascii="楷体" w:hAnsi="楷体" w:eastAsia="楷体" w:cs="楷体"/>
          <w:sz w:val="28"/>
          <w:szCs w:val="28"/>
        </w:rPr>
      </w:pPr>
      <w:r>
        <w:rPr>
          <w:rFonts w:hint="eastAsia" w:ascii="楷体" w:hAnsi="楷体" w:eastAsia="楷体" w:cs="楷体"/>
          <w:sz w:val="28"/>
          <w:szCs w:val="28"/>
        </w:rPr>
        <w:t>(二)绩效评价方法</w:t>
      </w:r>
      <w:bookmarkEnd w:id="24"/>
    </w:p>
    <w:p w14:paraId="6EAAC33D">
      <w:pPr>
        <w:ind w:firstLine="560"/>
        <w:rPr>
          <w:rFonts w:hint="eastAsia" w:cs="仿宋"/>
          <w:sz w:val="28"/>
          <w:szCs w:val="28"/>
        </w:rPr>
      </w:pPr>
      <w:r>
        <w:rPr>
          <w:rFonts w:hint="eastAsia" w:cs="仿宋"/>
          <w:sz w:val="28"/>
          <w:szCs w:val="28"/>
        </w:rPr>
        <w:t>本次绩效评价采取定量与定性相结合的方式，具体实施了审阅、实地踏勘、检查、分析复核、计算、交换和反馈意见、专家会审等程序。通过资料收集、数据填报、案卷研究、实地调研、座谈会、问卷调查等方式，开展实地评价。对项目相关档案资料进行查阅，结合现场核实情况和资金到位使用及结余情况的分析，进行数据分析和取证。</w:t>
      </w:r>
    </w:p>
    <w:p w14:paraId="28110016">
      <w:pPr>
        <w:ind w:firstLine="560"/>
        <w:rPr>
          <w:rFonts w:hint="eastAsia" w:cs="仿宋"/>
          <w:sz w:val="28"/>
          <w:szCs w:val="28"/>
        </w:rPr>
      </w:pPr>
      <w:r>
        <w:rPr>
          <w:rFonts w:hint="eastAsia" w:cs="仿宋"/>
          <w:sz w:val="28"/>
          <w:szCs w:val="28"/>
        </w:rPr>
        <w:t>具体方法可以采用以下5种方法中的一种，也可多种评价方法并用：目标比较法、成本效益法、历史比较法、专家评价法、问卷调查法、横向比较法。</w:t>
      </w:r>
    </w:p>
    <w:p w14:paraId="2F3D13DA">
      <w:pPr>
        <w:ind w:firstLine="560"/>
        <w:rPr>
          <w:rFonts w:hint="eastAsia" w:ascii="楷体" w:hAnsi="楷体" w:eastAsia="楷体" w:cs="楷体"/>
          <w:sz w:val="28"/>
          <w:szCs w:val="28"/>
        </w:rPr>
      </w:pPr>
      <w:bookmarkStart w:id="26" w:name="_Toc502134860"/>
      <w:r>
        <w:rPr>
          <w:rFonts w:hint="eastAsia" w:ascii="楷体" w:hAnsi="楷体" w:eastAsia="楷体" w:cs="楷体"/>
          <w:sz w:val="28"/>
          <w:szCs w:val="28"/>
        </w:rPr>
        <w:t>(三)绩效评价指标体系</w:t>
      </w:r>
      <w:bookmarkEnd w:id="26"/>
    </w:p>
    <w:p w14:paraId="552F4D17">
      <w:pPr>
        <w:ind w:firstLine="560"/>
        <w:rPr>
          <w:rFonts w:hint="eastAsia" w:cs="仿宋"/>
          <w:sz w:val="28"/>
          <w:szCs w:val="28"/>
        </w:rPr>
      </w:pPr>
      <w:r>
        <w:rPr>
          <w:rFonts w:hint="eastAsia" w:cs="仿宋"/>
          <w:sz w:val="28"/>
          <w:szCs w:val="28"/>
        </w:rPr>
        <w:t>1.绩效评价指标</w:t>
      </w:r>
    </w:p>
    <w:p w14:paraId="12AD3C5B">
      <w:pPr>
        <w:ind w:firstLine="560"/>
        <w:rPr>
          <w:rFonts w:hint="eastAsia" w:cs="仿宋"/>
          <w:sz w:val="28"/>
          <w:szCs w:val="28"/>
        </w:rPr>
      </w:pPr>
      <w:bookmarkStart w:id="27" w:name="_Toc502134861"/>
      <w:r>
        <w:rPr>
          <w:rFonts w:hint="eastAsia" w:cs="仿宋"/>
          <w:sz w:val="28"/>
          <w:szCs w:val="28"/>
        </w:rPr>
        <w:t>本项目绩效评价以100分计，设项目决策、项目执行过程、项目产出、项目效益4个一级指标，权重分别为：16%、29%、35%、20%。在此基础上设定13个二级指标（项目立项、绩效目标、资金投入、资金管理、组织实施、产出数量、产出质量、产出时效、产出成本、社会效益、生态效益、可持续性、满意度）。设22个三级指标</w:t>
      </w:r>
      <w:bookmarkStart w:id="28" w:name="_Hlk143856496"/>
      <w:r>
        <w:rPr>
          <w:rFonts w:hint="eastAsia" w:cs="仿宋"/>
          <w:sz w:val="28"/>
          <w:szCs w:val="28"/>
        </w:rPr>
        <w:t>（详见后附“寻甸县第二人民医院建设项目支出绩效评价指标体系及评分表”）</w:t>
      </w:r>
      <w:bookmarkEnd w:id="28"/>
      <w:r>
        <w:rPr>
          <w:rFonts w:hint="eastAsia" w:cs="仿宋"/>
          <w:sz w:val="28"/>
          <w:szCs w:val="28"/>
        </w:rPr>
        <w:t>。</w:t>
      </w:r>
    </w:p>
    <w:p w14:paraId="1AF13019">
      <w:pPr>
        <w:ind w:firstLine="560"/>
        <w:rPr>
          <w:rFonts w:hint="eastAsia" w:cs="仿宋"/>
          <w:sz w:val="28"/>
          <w:szCs w:val="28"/>
        </w:rPr>
      </w:pPr>
      <w:r>
        <w:rPr>
          <w:rFonts w:hint="eastAsia" w:cs="仿宋"/>
          <w:sz w:val="28"/>
          <w:szCs w:val="28"/>
        </w:rPr>
        <w:t>2.评价标准</w:t>
      </w:r>
    </w:p>
    <w:p w14:paraId="31CEFC09">
      <w:pPr>
        <w:ind w:firstLine="560"/>
        <w:rPr>
          <w:rFonts w:hint="eastAsia" w:cs="仿宋"/>
          <w:sz w:val="28"/>
          <w:szCs w:val="28"/>
        </w:rPr>
      </w:pPr>
      <w:r>
        <w:rPr>
          <w:rFonts w:hint="eastAsia" w:cs="仿宋"/>
          <w:sz w:val="28"/>
          <w:szCs w:val="28"/>
        </w:rPr>
        <w:t>(1)项目支出评价得分满分为100分。</w:t>
      </w:r>
    </w:p>
    <w:p w14:paraId="6CA7ADA6">
      <w:pPr>
        <w:ind w:firstLine="560"/>
        <w:rPr>
          <w:rFonts w:hint="eastAsia" w:cs="仿宋"/>
          <w:sz w:val="28"/>
          <w:szCs w:val="28"/>
        </w:rPr>
      </w:pPr>
      <w:r>
        <w:rPr>
          <w:rFonts w:hint="eastAsia" w:cs="仿宋"/>
          <w:sz w:val="28"/>
          <w:szCs w:val="28"/>
        </w:rPr>
        <w:t>(2)由审计评价组根据评价情况，对各单项指标分别进行独立打分。</w:t>
      </w:r>
    </w:p>
    <w:p w14:paraId="77BDA4F9">
      <w:pPr>
        <w:ind w:firstLine="560"/>
        <w:rPr>
          <w:rFonts w:hint="eastAsia" w:cs="仿宋"/>
          <w:sz w:val="28"/>
          <w:szCs w:val="28"/>
        </w:rPr>
      </w:pPr>
      <w:r>
        <w:rPr>
          <w:rFonts w:hint="eastAsia" w:cs="仿宋"/>
          <w:sz w:val="28"/>
          <w:szCs w:val="28"/>
        </w:rPr>
        <w:t>(3)总评价分为各单项指标得分总和。</w:t>
      </w:r>
    </w:p>
    <w:p w14:paraId="416EE569">
      <w:pPr>
        <w:ind w:firstLine="560"/>
        <w:rPr>
          <w:rFonts w:hint="eastAsia" w:cs="仿宋"/>
          <w:sz w:val="28"/>
          <w:szCs w:val="28"/>
        </w:rPr>
      </w:pPr>
      <w:r>
        <w:rPr>
          <w:rFonts w:hint="eastAsia" w:cs="仿宋"/>
          <w:sz w:val="28"/>
          <w:szCs w:val="28"/>
        </w:rPr>
        <w:t>(4)评价结果：根据最终得分情况将评价结果分为四个等级：优（得分≥90分）；良（80分≤得分＜90分）；中（60≤得分＜80分）；差（得分＜60分）。</w:t>
      </w:r>
    </w:p>
    <w:p w14:paraId="5663B7D9">
      <w:pPr>
        <w:ind w:firstLine="560"/>
        <w:rPr>
          <w:rFonts w:hint="eastAsia" w:cs="仿宋"/>
          <w:sz w:val="28"/>
          <w:szCs w:val="28"/>
        </w:rPr>
      </w:pPr>
      <w:bookmarkStart w:id="29" w:name="_Toc25624"/>
      <w:bookmarkStart w:id="30" w:name="_Toc7874"/>
      <w:r>
        <w:rPr>
          <w:rFonts w:hint="eastAsia" w:cs="仿宋"/>
          <w:sz w:val="28"/>
          <w:szCs w:val="28"/>
        </w:rPr>
        <w:t>3.数据来源</w:t>
      </w:r>
      <w:bookmarkEnd w:id="29"/>
      <w:bookmarkEnd w:id="30"/>
    </w:p>
    <w:p w14:paraId="4A90DD58">
      <w:pPr>
        <w:ind w:firstLine="560"/>
        <w:rPr>
          <w:rFonts w:hint="eastAsia" w:cs="仿宋"/>
          <w:color w:val="FF0000"/>
          <w:sz w:val="28"/>
          <w:szCs w:val="28"/>
        </w:rPr>
      </w:pPr>
      <w:r>
        <w:rPr>
          <w:rFonts w:hint="eastAsia" w:cs="仿宋"/>
          <w:sz w:val="28"/>
          <w:szCs w:val="28"/>
        </w:rPr>
        <w:t>绩效评价数据由卫健局提供。</w:t>
      </w:r>
    </w:p>
    <w:bookmarkEnd w:id="27"/>
    <w:p w14:paraId="328846D2">
      <w:pPr>
        <w:ind w:firstLine="560"/>
        <w:rPr>
          <w:rFonts w:hint="eastAsia" w:ascii="黑体" w:hAnsi="黑体" w:eastAsia="黑体" w:cs="黑体"/>
          <w:sz w:val="28"/>
          <w:szCs w:val="28"/>
        </w:rPr>
      </w:pPr>
      <w:bookmarkStart w:id="31" w:name="_Toc502134862"/>
      <w:r>
        <w:rPr>
          <w:rFonts w:hint="eastAsia" w:ascii="黑体" w:hAnsi="黑体" w:eastAsia="黑体" w:cs="黑体"/>
          <w:sz w:val="28"/>
          <w:szCs w:val="28"/>
        </w:rPr>
        <w:t>四、</w:t>
      </w:r>
      <w:bookmarkEnd w:id="31"/>
      <w:r>
        <w:rPr>
          <w:rFonts w:hint="eastAsia" w:ascii="黑体" w:hAnsi="黑体" w:eastAsia="黑体" w:cs="黑体"/>
          <w:sz w:val="28"/>
          <w:szCs w:val="28"/>
        </w:rPr>
        <w:t>综合评价情况及评价结论</w:t>
      </w:r>
    </w:p>
    <w:p w14:paraId="3111B590">
      <w:pPr>
        <w:ind w:firstLine="560"/>
        <w:rPr>
          <w:rFonts w:hint="eastAsia" w:cs="仿宋"/>
          <w:sz w:val="28"/>
          <w:szCs w:val="28"/>
        </w:rPr>
      </w:pPr>
      <w:bookmarkStart w:id="32" w:name="_Toc498009781"/>
      <w:r>
        <w:rPr>
          <w:rFonts w:hint="eastAsia" w:cs="仿宋"/>
          <w:sz w:val="28"/>
          <w:szCs w:val="28"/>
        </w:rPr>
        <w:t>卫健局寻甸县第二人民医院建设项目支出绩效评价综合评分81.42分，评价等级“良”（详见后附“</w:t>
      </w:r>
      <w:r>
        <w:rPr>
          <w:rFonts w:cs="仿宋"/>
          <w:sz w:val="28"/>
          <w:szCs w:val="28"/>
        </w:rPr>
        <w:t>寻甸县</w:t>
      </w:r>
      <w:r>
        <w:rPr>
          <w:rFonts w:hint="eastAsia" w:cs="仿宋"/>
          <w:sz w:val="28"/>
          <w:szCs w:val="28"/>
        </w:rPr>
        <w:t>卫生健康局</w:t>
      </w:r>
      <w:r>
        <w:rPr>
          <w:rFonts w:cs="仿宋"/>
          <w:sz w:val="28"/>
          <w:szCs w:val="28"/>
        </w:rPr>
        <w:t>寻甸县</w:t>
      </w:r>
      <w:r>
        <w:rPr>
          <w:rFonts w:hint="eastAsia" w:cs="仿宋"/>
          <w:sz w:val="28"/>
          <w:szCs w:val="28"/>
        </w:rPr>
        <w:t>寻甸县第二人民医院建设项目</w:t>
      </w:r>
      <w:r>
        <w:rPr>
          <w:rFonts w:cs="仿宋"/>
          <w:sz w:val="28"/>
          <w:szCs w:val="28"/>
        </w:rPr>
        <w:t>支出绩效评价指标体系及评分表</w:t>
      </w:r>
      <w:r>
        <w:rPr>
          <w:rFonts w:hint="eastAsia" w:cs="仿宋"/>
          <w:sz w:val="28"/>
          <w:szCs w:val="28"/>
        </w:rPr>
        <w:t>”）。</w:t>
      </w:r>
    </w:p>
    <w:p w14:paraId="0F6F35E6">
      <w:pPr>
        <w:ind w:firstLine="560"/>
        <w:rPr>
          <w:rFonts w:hint="eastAsia" w:ascii="仿宋_GB2312" w:cs="仿宋"/>
          <w:sz w:val="28"/>
          <w:szCs w:val="28"/>
        </w:rPr>
      </w:pPr>
      <w:r>
        <w:rPr>
          <w:rFonts w:hint="eastAsia" w:cs="仿宋"/>
          <w:sz w:val="28"/>
          <w:szCs w:val="28"/>
        </w:rPr>
        <w:t>综合评价结论：</w:t>
      </w:r>
      <w:bookmarkStart w:id="33" w:name="_Toc502134864"/>
      <w:r>
        <w:rPr>
          <w:rFonts w:hint="eastAsia" w:cs="仿宋"/>
          <w:sz w:val="28"/>
          <w:szCs w:val="28"/>
        </w:rPr>
        <w:t>项目决策程序基本规范，项目实施过程管理基本合规。项目实施方案中说明项目建设期为2019年至2021年12月，</w:t>
      </w:r>
      <w:r>
        <w:rPr>
          <w:rFonts w:hint="eastAsia" w:cs="仿宋"/>
          <w:sz w:val="28"/>
          <w:szCs w:val="28"/>
          <w:lang w:eastAsia="zh-CN"/>
        </w:rPr>
        <w:t>截至</w:t>
      </w:r>
      <w:r>
        <w:rPr>
          <w:rFonts w:hint="eastAsia" w:cs="仿宋"/>
          <w:sz w:val="28"/>
          <w:szCs w:val="28"/>
        </w:rPr>
        <w:t>2023年12月31日，项目仍未最终完工并验收，项目未按批复建设工期完成建设，未及时取得预期的产出和效益。</w:t>
      </w:r>
    </w:p>
    <w:bookmarkEnd w:id="32"/>
    <w:bookmarkEnd w:id="33"/>
    <w:p w14:paraId="38737134">
      <w:pPr>
        <w:ind w:firstLine="560"/>
        <w:rPr>
          <w:rFonts w:hint="eastAsia" w:ascii="黑体" w:hAnsi="黑体" w:eastAsia="黑体" w:cs="黑体"/>
          <w:sz w:val="28"/>
          <w:szCs w:val="28"/>
        </w:rPr>
      </w:pPr>
      <w:bookmarkStart w:id="34" w:name="_Toc498009783"/>
      <w:bookmarkStart w:id="35" w:name="_Toc502134866"/>
      <w:r>
        <w:rPr>
          <w:rFonts w:hint="eastAsia" w:ascii="黑体" w:hAnsi="黑体" w:eastAsia="黑体" w:cs="黑体"/>
          <w:sz w:val="28"/>
          <w:szCs w:val="28"/>
        </w:rPr>
        <w:t>五、绩效评价情况分析</w:t>
      </w:r>
      <w:bookmarkEnd w:id="34"/>
      <w:bookmarkEnd w:id="35"/>
    </w:p>
    <w:p w14:paraId="3FCA97A8">
      <w:pPr>
        <w:ind w:firstLine="560"/>
        <w:rPr>
          <w:rFonts w:hint="eastAsia" w:ascii="楷体" w:hAnsi="楷体" w:eastAsia="楷体" w:cs="楷体"/>
          <w:sz w:val="28"/>
          <w:szCs w:val="28"/>
        </w:rPr>
      </w:pPr>
      <w:bookmarkStart w:id="36" w:name="_Toc502134867"/>
      <w:bookmarkStart w:id="37" w:name="_Toc498009784"/>
      <w:r>
        <w:rPr>
          <w:rFonts w:hint="eastAsia" w:ascii="楷体" w:hAnsi="楷体" w:eastAsia="楷体" w:cs="楷体"/>
          <w:sz w:val="28"/>
          <w:szCs w:val="28"/>
        </w:rPr>
        <w:t>(一)项目决策分析</w:t>
      </w:r>
      <w:bookmarkEnd w:id="36"/>
      <w:bookmarkEnd w:id="37"/>
    </w:p>
    <w:p w14:paraId="5A28D19C">
      <w:pPr>
        <w:ind w:firstLine="560"/>
        <w:rPr>
          <w:rFonts w:hint="eastAsia" w:cs="仿宋"/>
          <w:sz w:val="28"/>
          <w:szCs w:val="28"/>
        </w:rPr>
      </w:pPr>
      <w:r>
        <w:rPr>
          <w:rFonts w:hint="eastAsia" w:cs="仿宋"/>
          <w:sz w:val="28"/>
          <w:szCs w:val="28"/>
        </w:rPr>
        <w:t>项目决策满分1</w:t>
      </w:r>
      <w:r>
        <w:rPr>
          <w:rFonts w:cs="仿宋"/>
          <w:sz w:val="28"/>
          <w:szCs w:val="28"/>
        </w:rPr>
        <w:t>6</w:t>
      </w:r>
      <w:r>
        <w:rPr>
          <w:rFonts w:hint="eastAsia" w:cs="仿宋"/>
          <w:sz w:val="28"/>
          <w:szCs w:val="28"/>
        </w:rPr>
        <w:t>分，评价综合评分13分（占该项满分值的81.25%），具体情况如下：</w:t>
      </w:r>
      <w:bookmarkStart w:id="38" w:name="_Toc502134868"/>
    </w:p>
    <w:p w14:paraId="6AFE35BF">
      <w:pPr>
        <w:ind w:firstLine="544"/>
        <w:rPr>
          <w:rFonts w:hint="eastAsia" w:cs="仿宋"/>
          <w:spacing w:val="-4"/>
          <w:sz w:val="28"/>
          <w:szCs w:val="28"/>
        </w:rPr>
      </w:pPr>
      <w:r>
        <w:rPr>
          <w:rFonts w:hint="eastAsia" w:cs="仿宋"/>
          <w:spacing w:val="-4"/>
          <w:sz w:val="28"/>
          <w:szCs w:val="28"/>
        </w:rPr>
        <w:t>1.项目立项依据充分，符合国家法律法规、国民经济发展规划、行业发展规划和相关政策要求，与部门职能职责等相匹配，属于公共财政支持范围，未与相关部门同类项目或部门内部相关项目重复。卫健局获取寻甸回族彝族自治县发展和改革局《关于寻甸县第二人民医院建设项目可行性研究报告批复》（寻发改投资〔2020〕74号）等项目立项程序批复资料，并按照政府采购管理规定</w:t>
      </w:r>
      <w:r>
        <w:rPr>
          <w:rFonts w:cs="仿宋"/>
          <w:spacing w:val="-4"/>
          <w:sz w:val="28"/>
          <w:szCs w:val="28"/>
        </w:rPr>
        <w:t>采取</w:t>
      </w:r>
      <w:r>
        <w:rPr>
          <w:rFonts w:hint="eastAsia" w:cs="仿宋"/>
          <w:spacing w:val="-4"/>
          <w:sz w:val="28"/>
          <w:szCs w:val="28"/>
        </w:rPr>
        <w:t>公开招投标的方式，采购</w:t>
      </w:r>
      <w:r>
        <w:rPr>
          <w:rFonts w:hint="eastAsia"/>
          <w:sz w:val="28"/>
          <w:szCs w:val="28"/>
        </w:rPr>
        <w:t>云南建投第四建设有限公司、中国建筑西南设计研究院有限公司</w:t>
      </w:r>
      <w:r>
        <w:rPr>
          <w:sz w:val="28"/>
          <w:szCs w:val="28"/>
        </w:rPr>
        <w:t>为</w:t>
      </w:r>
      <w:r>
        <w:rPr>
          <w:rFonts w:hint="eastAsia"/>
          <w:sz w:val="28"/>
          <w:szCs w:val="28"/>
        </w:rPr>
        <w:t>设计施工总承包</w:t>
      </w:r>
      <w:r>
        <w:rPr>
          <w:rFonts w:hint="eastAsia" w:cs="仿宋"/>
          <w:spacing w:val="-4"/>
          <w:sz w:val="28"/>
          <w:szCs w:val="28"/>
        </w:rPr>
        <w:t>，项目立项程序基本规范。</w:t>
      </w:r>
    </w:p>
    <w:p w14:paraId="3560C5B1">
      <w:pPr>
        <w:ind w:firstLine="560"/>
        <w:rPr>
          <w:rFonts w:hint="eastAsia" w:cs="仿宋"/>
          <w:sz w:val="28"/>
          <w:szCs w:val="28"/>
        </w:rPr>
      </w:pPr>
      <w:r>
        <w:rPr>
          <w:rFonts w:hint="eastAsia" w:cs="仿宋"/>
          <w:sz w:val="28"/>
          <w:szCs w:val="28"/>
        </w:rPr>
        <w:t>2.项目绩效目标基本合理，所设定的绩效目标与实际工作内容具有相关性，与预算确定的项目投资额或资金量相匹配，符合客观实际、国家相关法律法规、国民经济发展规划和党委政府决策等。</w:t>
      </w:r>
    </w:p>
    <w:p w14:paraId="5C8CE0F4">
      <w:pPr>
        <w:ind w:firstLine="560"/>
        <w:rPr>
          <w:rFonts w:hint="eastAsia" w:cs="仿宋"/>
          <w:sz w:val="28"/>
          <w:szCs w:val="28"/>
        </w:rPr>
      </w:pPr>
      <w:r>
        <w:rPr>
          <w:rFonts w:hint="eastAsia" w:cs="仿宋"/>
          <w:sz w:val="28"/>
          <w:szCs w:val="28"/>
        </w:rPr>
        <w:t>根据卫健局提供的《寻甸县第二人民医院项目专项债券实施方案》中“绩效目标表”，所设定的绩效指标未将绩效目标细化、量化、分解为具体的工作任务，未与项目年度的任务数或计划数相对应，部分绩效目标未通过清晰、可衡量的指标及指标值予以体现，部分绩效目标未设定最能体现项目绩效目标实现程度和项目实施部门职能履职情况的关键的、核心的绩效指标。</w:t>
      </w:r>
    </w:p>
    <w:p w14:paraId="239EDFB0">
      <w:pPr>
        <w:pStyle w:val="4"/>
        <w:spacing w:after="0"/>
        <w:ind w:firstLine="560"/>
        <w:rPr>
          <w:rFonts w:hint="eastAsia" w:cs="仿宋"/>
          <w:sz w:val="28"/>
          <w:szCs w:val="28"/>
        </w:rPr>
      </w:pPr>
      <w:r>
        <w:rPr>
          <w:rFonts w:hint="eastAsia" w:cs="仿宋"/>
          <w:sz w:val="28"/>
          <w:szCs w:val="28"/>
        </w:rPr>
        <w:t>3.项目支出预算依据充分、合理，与项目内容相匹配，确定的项目投资额或资金量与工作任务相匹配，预算资金分配依据充分，资金分配额度合理，与项目单位或地方实际相适应。</w:t>
      </w:r>
    </w:p>
    <w:p w14:paraId="20F81DC2">
      <w:pPr>
        <w:ind w:firstLine="560"/>
        <w:rPr>
          <w:rFonts w:hint="eastAsia" w:ascii="楷体" w:hAnsi="楷体" w:eastAsia="楷体" w:cs="楷体"/>
          <w:sz w:val="28"/>
          <w:szCs w:val="28"/>
        </w:rPr>
      </w:pPr>
      <w:r>
        <w:rPr>
          <w:rFonts w:hint="eastAsia" w:ascii="楷体" w:hAnsi="楷体" w:eastAsia="楷体" w:cs="楷体"/>
          <w:sz w:val="28"/>
          <w:szCs w:val="28"/>
        </w:rPr>
        <w:t>(二</w:t>
      </w:r>
      <w:bookmarkStart w:id="39" w:name="_Toc498009785"/>
      <w:r>
        <w:rPr>
          <w:rFonts w:hint="eastAsia" w:ascii="楷体" w:hAnsi="楷体" w:eastAsia="楷体" w:cs="楷体"/>
          <w:sz w:val="28"/>
          <w:szCs w:val="28"/>
        </w:rPr>
        <w:t>)项目过程管理情况分析</w:t>
      </w:r>
      <w:bookmarkEnd w:id="38"/>
      <w:bookmarkEnd w:id="39"/>
    </w:p>
    <w:p w14:paraId="699A6581">
      <w:pPr>
        <w:ind w:firstLine="560"/>
        <w:rPr>
          <w:rFonts w:hint="eastAsia" w:cs="仿宋"/>
          <w:sz w:val="28"/>
          <w:szCs w:val="28"/>
        </w:rPr>
      </w:pPr>
      <w:r>
        <w:rPr>
          <w:rFonts w:hint="eastAsia" w:cs="仿宋"/>
          <w:sz w:val="28"/>
          <w:szCs w:val="28"/>
        </w:rPr>
        <w:t>项目过程管理满分2</w:t>
      </w:r>
      <w:r>
        <w:rPr>
          <w:rFonts w:cs="仿宋"/>
          <w:sz w:val="28"/>
          <w:szCs w:val="28"/>
        </w:rPr>
        <w:t>9</w:t>
      </w:r>
      <w:r>
        <w:rPr>
          <w:rFonts w:hint="eastAsia" w:cs="仿宋"/>
          <w:sz w:val="28"/>
          <w:szCs w:val="28"/>
        </w:rPr>
        <w:t>分，评价综合评分</w:t>
      </w:r>
      <w:r>
        <w:rPr>
          <w:rFonts w:cs="仿宋"/>
          <w:sz w:val="28"/>
          <w:szCs w:val="28"/>
        </w:rPr>
        <w:t>2</w:t>
      </w:r>
      <w:r>
        <w:rPr>
          <w:rFonts w:hint="eastAsia" w:cs="仿宋"/>
          <w:sz w:val="28"/>
          <w:szCs w:val="28"/>
        </w:rPr>
        <w:t>2分（占该项满分值的75.86%），具体情况如下：</w:t>
      </w:r>
      <w:bookmarkStart w:id="40" w:name="_Toc502134869"/>
      <w:bookmarkStart w:id="41" w:name="_Toc498009786"/>
    </w:p>
    <w:p w14:paraId="6334F162">
      <w:pPr>
        <w:ind w:firstLine="560"/>
        <w:rPr>
          <w:rFonts w:hint="eastAsia" w:cs="仿宋"/>
          <w:sz w:val="28"/>
          <w:szCs w:val="28"/>
        </w:rPr>
      </w:pPr>
      <w:r>
        <w:rPr>
          <w:rFonts w:hint="eastAsia" w:cs="仿宋"/>
          <w:sz w:val="28"/>
          <w:szCs w:val="28"/>
        </w:rPr>
        <w:t>1.项目预算安排专项债券资金1</w:t>
      </w:r>
      <w:r>
        <w:rPr>
          <w:rFonts w:cs="仿宋"/>
          <w:sz w:val="28"/>
          <w:szCs w:val="28"/>
        </w:rPr>
        <w:t>50</w:t>
      </w:r>
      <w:r>
        <w:rPr>
          <w:rFonts w:hint="eastAsia" w:cs="仿宋"/>
          <w:sz w:val="28"/>
          <w:szCs w:val="28"/>
        </w:rPr>
        <w:t>,</w:t>
      </w:r>
      <w:r>
        <w:rPr>
          <w:rFonts w:cs="仿宋"/>
          <w:sz w:val="28"/>
          <w:szCs w:val="28"/>
        </w:rPr>
        <w:t>0</w:t>
      </w:r>
      <w:r>
        <w:rPr>
          <w:rFonts w:hint="eastAsia" w:cs="仿宋"/>
          <w:sz w:val="28"/>
          <w:szCs w:val="28"/>
        </w:rPr>
        <w:t>00,000.00元，根据项目支出台账，实际到位资金</w:t>
      </w:r>
      <w:bookmarkStart w:id="42" w:name="_Hlk143953278"/>
      <w:bookmarkStart w:id="43" w:name="_Hlk144919762"/>
      <w:r>
        <w:rPr>
          <w:rFonts w:hint="eastAsia" w:cs="仿宋"/>
          <w:sz w:val="28"/>
          <w:szCs w:val="28"/>
        </w:rPr>
        <w:t>1</w:t>
      </w:r>
      <w:r>
        <w:rPr>
          <w:rFonts w:cs="仿宋"/>
          <w:sz w:val="28"/>
          <w:szCs w:val="28"/>
        </w:rPr>
        <w:t>50,000,</w:t>
      </w:r>
      <w:bookmarkEnd w:id="42"/>
      <w:r>
        <w:rPr>
          <w:rFonts w:cs="仿宋"/>
          <w:sz w:val="28"/>
          <w:szCs w:val="28"/>
        </w:rPr>
        <w:t>000.00</w:t>
      </w:r>
      <w:bookmarkEnd w:id="43"/>
      <w:r>
        <w:rPr>
          <w:rFonts w:cs="仿宋"/>
          <w:sz w:val="28"/>
          <w:szCs w:val="28"/>
        </w:rPr>
        <w:t>元，资金到位</w:t>
      </w:r>
      <w:r>
        <w:rPr>
          <w:rFonts w:hint="eastAsia" w:cs="仿宋"/>
          <w:sz w:val="28"/>
          <w:szCs w:val="28"/>
        </w:rPr>
        <w:t>1</w:t>
      </w:r>
      <w:r>
        <w:rPr>
          <w:rFonts w:cs="仿宋"/>
          <w:sz w:val="28"/>
          <w:szCs w:val="28"/>
        </w:rPr>
        <w:t>00%</w:t>
      </w:r>
      <w:r>
        <w:rPr>
          <w:rFonts w:hint="eastAsia" w:cs="仿宋"/>
          <w:sz w:val="28"/>
          <w:szCs w:val="28"/>
        </w:rPr>
        <w:t>。</w:t>
      </w:r>
    </w:p>
    <w:p w14:paraId="011D2F8C">
      <w:pPr>
        <w:ind w:firstLine="560"/>
        <w:rPr>
          <w:rFonts w:hint="eastAsia" w:cs="仿宋"/>
          <w:sz w:val="28"/>
          <w:szCs w:val="28"/>
        </w:rPr>
      </w:pPr>
      <w:r>
        <w:rPr>
          <w:rFonts w:hint="eastAsia" w:cs="仿宋"/>
          <w:sz w:val="28"/>
          <w:szCs w:val="28"/>
        </w:rPr>
        <w:t>2.根据项目支出台账，截至2023年12月31日，卫健局共计支付寻甸城乡投资开发集团有限公司相关费用</w:t>
      </w:r>
      <w:r>
        <w:rPr>
          <w:rFonts w:cs="仿宋"/>
          <w:sz w:val="28"/>
          <w:szCs w:val="28"/>
        </w:rPr>
        <w:t>150,000,000.00元</w:t>
      </w:r>
      <w:r>
        <w:rPr>
          <w:rFonts w:hint="eastAsia" w:cs="仿宋"/>
          <w:sz w:val="28"/>
          <w:szCs w:val="28"/>
        </w:rPr>
        <w:t>，但</w:t>
      </w:r>
      <w:r>
        <w:rPr>
          <w:rFonts w:hint="eastAsia" w:cs="仿宋"/>
          <w:sz w:val="28"/>
          <w:szCs w:val="28"/>
          <w:lang w:eastAsia="zh-CN"/>
        </w:rPr>
        <w:t>截至</w:t>
      </w:r>
      <w:r>
        <w:rPr>
          <w:rFonts w:cs="仿宋"/>
          <w:sz w:val="28"/>
          <w:szCs w:val="28"/>
        </w:rPr>
        <w:t>202</w:t>
      </w:r>
      <w:r>
        <w:rPr>
          <w:rFonts w:hint="eastAsia" w:cs="仿宋"/>
          <w:sz w:val="28"/>
          <w:szCs w:val="28"/>
        </w:rPr>
        <w:t>3</w:t>
      </w:r>
      <w:r>
        <w:rPr>
          <w:rFonts w:cs="仿宋"/>
          <w:sz w:val="28"/>
          <w:szCs w:val="28"/>
        </w:rPr>
        <w:t>年12月31日，寻甸城乡投资开发集团有限公司共支付项目资金</w:t>
      </w:r>
      <w:r>
        <w:rPr>
          <w:rFonts w:hint="eastAsia" w:cs="仿宋"/>
          <w:sz w:val="28"/>
          <w:szCs w:val="28"/>
        </w:rPr>
        <w:t>77,710,695.94</w:t>
      </w:r>
      <w:r>
        <w:rPr>
          <w:rFonts w:cs="仿宋"/>
          <w:sz w:val="28"/>
          <w:szCs w:val="28"/>
        </w:rPr>
        <w:t>元，余</w:t>
      </w:r>
      <w:r>
        <w:rPr>
          <w:rFonts w:hint="eastAsia" w:cs="仿宋"/>
          <w:sz w:val="28"/>
          <w:szCs w:val="28"/>
        </w:rPr>
        <w:t>72,289,304.06</w:t>
      </w:r>
      <w:r>
        <w:rPr>
          <w:rFonts w:cs="仿宋"/>
          <w:sz w:val="28"/>
          <w:szCs w:val="28"/>
        </w:rPr>
        <w:t>元结转在项目代建单位</w:t>
      </w:r>
      <w:r>
        <w:rPr>
          <w:rFonts w:hint="eastAsia" w:cs="仿宋"/>
          <w:sz w:val="28"/>
          <w:szCs w:val="28"/>
        </w:rPr>
        <w:t>，实际</w:t>
      </w:r>
      <w:r>
        <w:rPr>
          <w:rFonts w:cs="仿宋"/>
          <w:sz w:val="28"/>
          <w:szCs w:val="28"/>
        </w:rPr>
        <w:t>预算执行率</w:t>
      </w:r>
      <w:r>
        <w:rPr>
          <w:rFonts w:hint="eastAsia" w:cs="仿宋"/>
          <w:sz w:val="28"/>
          <w:szCs w:val="28"/>
        </w:rPr>
        <w:t>为51.81</w:t>
      </w:r>
      <w:r>
        <w:rPr>
          <w:rFonts w:cs="仿宋"/>
          <w:sz w:val="28"/>
          <w:szCs w:val="28"/>
        </w:rPr>
        <w:t>%</w:t>
      </w:r>
      <w:r>
        <w:rPr>
          <w:rFonts w:hint="eastAsia" w:cs="仿宋"/>
          <w:sz w:val="28"/>
          <w:szCs w:val="28"/>
        </w:rPr>
        <w:t>。</w:t>
      </w:r>
    </w:p>
    <w:p w14:paraId="57B5B366">
      <w:pPr>
        <w:ind w:firstLine="560"/>
        <w:rPr>
          <w:rFonts w:hint="eastAsia" w:cs="仿宋"/>
          <w:sz w:val="28"/>
          <w:szCs w:val="28"/>
        </w:rPr>
      </w:pPr>
      <w:r>
        <w:rPr>
          <w:rFonts w:hint="eastAsia" w:cs="仿宋"/>
          <w:sz w:val="28"/>
          <w:szCs w:val="28"/>
        </w:rPr>
        <w:t>3.项目预算资金使用基本符合国家财经法规和财务管理制度以及有关专项资金管理办法的规定和预算批复的用途，资金的拨付审批程序和手续完整，未发现截留、挤占、挪用等情况，但卫健局存在以拨代支、资本性支出费用化等不合规情况。</w:t>
      </w:r>
    </w:p>
    <w:p w14:paraId="70B029F8">
      <w:pPr>
        <w:ind w:firstLine="560"/>
        <w:rPr>
          <w:rFonts w:hint="eastAsia" w:cs="仿宋"/>
          <w:sz w:val="28"/>
          <w:szCs w:val="28"/>
        </w:rPr>
      </w:pPr>
      <w:r>
        <w:rPr>
          <w:rFonts w:hint="eastAsia" w:cs="仿宋"/>
          <w:sz w:val="28"/>
          <w:szCs w:val="28"/>
        </w:rPr>
        <w:t>4.项目财务管理和业务管理执行《寻甸县卫生健康局办公室财务管理制度》等内部控制制度和国家有关法律法规，相关管理制度基本能够得到有效的执行，政府采购程序等基本合法合规，但检查发现，存在“以拨代支”、项目绩效跟踪履职不到位等情况。</w:t>
      </w:r>
    </w:p>
    <w:p w14:paraId="3146F333">
      <w:pPr>
        <w:ind w:firstLine="560"/>
        <w:rPr>
          <w:rFonts w:hint="eastAsia" w:ascii="楷体" w:hAnsi="楷体" w:eastAsia="楷体" w:cs="楷体"/>
          <w:sz w:val="28"/>
          <w:szCs w:val="28"/>
        </w:rPr>
      </w:pPr>
      <w:r>
        <w:rPr>
          <w:rFonts w:hint="eastAsia" w:ascii="楷体" w:hAnsi="楷体" w:eastAsia="楷体" w:cs="楷体"/>
          <w:sz w:val="28"/>
          <w:szCs w:val="28"/>
        </w:rPr>
        <w:t>(三)项目产出情况分析</w:t>
      </w:r>
    </w:p>
    <w:p w14:paraId="09ECB8C8">
      <w:pPr>
        <w:ind w:firstLine="560"/>
        <w:rPr>
          <w:rFonts w:hint="eastAsia" w:cs="仿宋"/>
          <w:sz w:val="28"/>
          <w:szCs w:val="28"/>
        </w:rPr>
      </w:pPr>
      <w:r>
        <w:rPr>
          <w:rFonts w:hint="eastAsia" w:cs="仿宋"/>
          <w:sz w:val="28"/>
          <w:szCs w:val="28"/>
        </w:rPr>
        <w:t>项目产出满分3</w:t>
      </w:r>
      <w:r>
        <w:rPr>
          <w:rFonts w:cs="仿宋"/>
          <w:sz w:val="28"/>
          <w:szCs w:val="28"/>
        </w:rPr>
        <w:t>5</w:t>
      </w:r>
      <w:r>
        <w:rPr>
          <w:rFonts w:hint="eastAsia" w:cs="仿宋"/>
          <w:sz w:val="28"/>
          <w:szCs w:val="28"/>
        </w:rPr>
        <w:t>分，评价综合评分29分（占该项满分值的82.86%），具体情况如下：</w:t>
      </w:r>
    </w:p>
    <w:p w14:paraId="59798E8C">
      <w:pPr>
        <w:ind w:firstLine="560"/>
        <w:rPr>
          <w:rFonts w:hint="eastAsia" w:cs="仿宋"/>
          <w:sz w:val="28"/>
          <w:szCs w:val="28"/>
        </w:rPr>
      </w:pPr>
      <w:bookmarkStart w:id="44" w:name="_Hlk144992845"/>
      <w:r>
        <w:rPr>
          <w:rFonts w:hint="eastAsia" w:cs="仿宋"/>
          <w:sz w:val="28"/>
          <w:szCs w:val="28"/>
        </w:rPr>
        <w:t>1.实际完成率：</w:t>
      </w:r>
      <w:bookmarkEnd w:id="44"/>
      <w:r>
        <w:rPr>
          <w:rFonts w:hint="eastAsia" w:cs="仿宋"/>
          <w:sz w:val="28"/>
          <w:szCs w:val="28"/>
        </w:rPr>
        <w:t>根据《寻甸县第二人民医院装饰装修工程预验收会议纪要》等监理单位意见，</w:t>
      </w:r>
      <w:r>
        <w:rPr>
          <w:rFonts w:hint="eastAsia" w:cs="仿宋"/>
          <w:sz w:val="28"/>
          <w:szCs w:val="28"/>
          <w:lang w:eastAsia="zh-CN"/>
        </w:rPr>
        <w:t>截至</w:t>
      </w:r>
      <w:r>
        <w:rPr>
          <w:rFonts w:hint="eastAsia" w:cs="仿宋"/>
          <w:sz w:val="28"/>
          <w:szCs w:val="28"/>
        </w:rPr>
        <w:t>2023年12月27日，项目已具备初步验收条件，但暖通、给排水、电气三个分部工程须院区正式通水、通电后的竣工验收前再次调试到位，门诊楼牙科及新改配电室区域须在加固单位消除影响后及时恢复完善到位，项目已基本完工，实际完成率达100%。</w:t>
      </w:r>
    </w:p>
    <w:p w14:paraId="275E6C0D">
      <w:pPr>
        <w:ind w:firstLine="560"/>
        <w:rPr>
          <w:rFonts w:hint="eastAsia" w:cs="仿宋"/>
          <w:sz w:val="28"/>
          <w:szCs w:val="28"/>
        </w:rPr>
      </w:pPr>
      <w:r>
        <w:rPr>
          <w:rFonts w:hint="eastAsia" w:cs="仿宋"/>
          <w:sz w:val="28"/>
          <w:szCs w:val="28"/>
        </w:rPr>
        <w:t>2.质量达标率：根据《寻甸县第二人民医院装饰装修工程预验收会议纪要》等监理单位意见，</w:t>
      </w:r>
      <w:r>
        <w:rPr>
          <w:rFonts w:hint="eastAsia" w:cs="仿宋"/>
          <w:sz w:val="28"/>
          <w:szCs w:val="28"/>
          <w:lang w:eastAsia="zh-CN"/>
        </w:rPr>
        <w:t>截至</w:t>
      </w:r>
      <w:r>
        <w:rPr>
          <w:rFonts w:hint="eastAsia" w:cs="仿宋"/>
          <w:sz w:val="28"/>
          <w:szCs w:val="28"/>
        </w:rPr>
        <w:t>2023年12月27日，项目已具备初步验收条件，但暖通、给排水、电气三个分部工程须院区正式通水、通电后的竣工验收前再次调试到位，门诊楼牙科及新改配电室区域须在加固单位消除影响后及时恢复完善到位，项目已基本完工，但仍未达到最终验收标准。</w:t>
      </w:r>
    </w:p>
    <w:p w14:paraId="6C63E45E">
      <w:pPr>
        <w:ind w:firstLine="560"/>
        <w:rPr>
          <w:rFonts w:hint="eastAsia" w:cs="仿宋"/>
          <w:sz w:val="28"/>
          <w:szCs w:val="28"/>
        </w:rPr>
      </w:pPr>
      <w:r>
        <w:rPr>
          <w:rFonts w:hint="eastAsia" w:cs="仿宋"/>
          <w:sz w:val="28"/>
          <w:szCs w:val="28"/>
        </w:rPr>
        <w:t>3</w:t>
      </w:r>
      <w:r>
        <w:rPr>
          <w:rFonts w:cs="仿宋"/>
          <w:sz w:val="28"/>
          <w:szCs w:val="28"/>
        </w:rPr>
        <w:t>.</w:t>
      </w:r>
      <w:r>
        <w:rPr>
          <w:rFonts w:hint="eastAsia"/>
          <w:sz w:val="28"/>
          <w:szCs w:val="28"/>
        </w:rPr>
        <w:t>完成及时性：</w:t>
      </w:r>
      <w:r>
        <w:rPr>
          <w:rFonts w:hint="eastAsia" w:cs="仿宋"/>
          <w:sz w:val="28"/>
          <w:szCs w:val="28"/>
        </w:rPr>
        <w:t>项目可研批复未明确项目建设期，</w:t>
      </w:r>
      <w:r>
        <w:rPr>
          <w:rFonts w:hint="eastAsia"/>
          <w:sz w:val="28"/>
          <w:szCs w:val="28"/>
        </w:rPr>
        <w:t>项目实施方案中说明项目建设期为2019年至2021年12月，但受卫健局自筹资金进度影响，</w:t>
      </w:r>
      <w:r>
        <w:rPr>
          <w:rFonts w:hint="eastAsia"/>
          <w:sz w:val="28"/>
          <w:szCs w:val="28"/>
          <w:lang w:eastAsia="zh-CN"/>
        </w:rPr>
        <w:t>截至</w:t>
      </w:r>
      <w:r>
        <w:rPr>
          <w:rFonts w:hint="eastAsia"/>
          <w:sz w:val="28"/>
          <w:szCs w:val="28"/>
        </w:rPr>
        <w:t>2023年12月31日，项目仍未最终完工并验收，项目未在规定时限内完成</w:t>
      </w:r>
      <w:r>
        <w:rPr>
          <w:rFonts w:hint="eastAsia" w:cs="仿宋"/>
          <w:sz w:val="28"/>
          <w:szCs w:val="28"/>
        </w:rPr>
        <w:t>。</w:t>
      </w:r>
    </w:p>
    <w:p w14:paraId="4F3CEC73">
      <w:pPr>
        <w:ind w:firstLine="560"/>
        <w:rPr>
          <w:rFonts w:hint="eastAsia" w:cs="仿宋"/>
          <w:sz w:val="28"/>
          <w:szCs w:val="28"/>
        </w:rPr>
      </w:pPr>
      <w:r>
        <w:rPr>
          <w:rFonts w:hint="eastAsia"/>
          <w:sz w:val="28"/>
          <w:szCs w:val="28"/>
        </w:rPr>
        <w:t>4.成本节约率：</w:t>
      </w:r>
      <w:r>
        <w:rPr>
          <w:rFonts w:hint="eastAsia" w:cs="仿宋"/>
          <w:sz w:val="28"/>
          <w:szCs w:val="28"/>
        </w:rPr>
        <w:t>项目政府专项债券资金投资为150,000,000.00元，</w:t>
      </w:r>
      <w:r>
        <w:rPr>
          <w:rFonts w:hint="eastAsia" w:cs="仿宋"/>
          <w:sz w:val="28"/>
          <w:szCs w:val="28"/>
          <w:lang w:eastAsia="zh-CN"/>
        </w:rPr>
        <w:t>截至</w:t>
      </w:r>
      <w:r>
        <w:rPr>
          <w:rFonts w:hint="eastAsia" w:cs="仿宋"/>
          <w:sz w:val="28"/>
          <w:szCs w:val="28"/>
        </w:rPr>
        <w:t>审计评价现场结束日，项目仍未最终验收，无法获取经独立第三方审核的结算报告，无法计算成本节约率。</w:t>
      </w:r>
    </w:p>
    <w:p w14:paraId="6F47CCD2">
      <w:pPr>
        <w:ind w:firstLine="560"/>
        <w:rPr>
          <w:rFonts w:hint="eastAsia" w:ascii="楷体" w:hAnsi="楷体" w:eastAsia="楷体" w:cs="楷体"/>
          <w:sz w:val="28"/>
          <w:szCs w:val="28"/>
        </w:rPr>
      </w:pPr>
      <w:r>
        <w:rPr>
          <w:rFonts w:hint="eastAsia" w:ascii="楷体" w:hAnsi="楷体" w:eastAsia="楷体" w:cs="楷体"/>
          <w:sz w:val="28"/>
          <w:szCs w:val="28"/>
        </w:rPr>
        <w:t>(四)项目绩效情况分析</w:t>
      </w:r>
      <w:bookmarkEnd w:id="40"/>
      <w:bookmarkEnd w:id="41"/>
      <w:bookmarkStart w:id="45" w:name="_Toc498009787"/>
      <w:bookmarkStart w:id="46" w:name="_Toc502134870"/>
    </w:p>
    <w:p w14:paraId="30897459">
      <w:pPr>
        <w:ind w:firstLine="560"/>
        <w:rPr>
          <w:rFonts w:hint="eastAsia" w:cs="仿宋"/>
          <w:sz w:val="28"/>
          <w:szCs w:val="28"/>
        </w:rPr>
      </w:pPr>
      <w:r>
        <w:rPr>
          <w:rFonts w:hint="eastAsia" w:cs="仿宋"/>
          <w:sz w:val="28"/>
          <w:szCs w:val="28"/>
        </w:rPr>
        <w:t>项目绩效指标满分</w:t>
      </w:r>
      <w:r>
        <w:rPr>
          <w:rFonts w:cs="仿宋"/>
          <w:sz w:val="28"/>
          <w:szCs w:val="28"/>
        </w:rPr>
        <w:t>2</w:t>
      </w:r>
      <w:r>
        <w:rPr>
          <w:rFonts w:hint="eastAsia" w:cs="仿宋"/>
          <w:sz w:val="28"/>
          <w:szCs w:val="28"/>
        </w:rPr>
        <w:t>0分，评价综合评分</w:t>
      </w:r>
      <w:r>
        <w:rPr>
          <w:rFonts w:cs="仿宋"/>
          <w:sz w:val="28"/>
          <w:szCs w:val="28"/>
        </w:rPr>
        <w:t>1</w:t>
      </w:r>
      <w:r>
        <w:rPr>
          <w:rFonts w:hint="eastAsia" w:cs="仿宋"/>
          <w:sz w:val="28"/>
          <w:szCs w:val="28"/>
        </w:rPr>
        <w:t>7.42分（占该项满分值的87.10%），具体情况如下：</w:t>
      </w:r>
    </w:p>
    <w:bookmarkEnd w:id="45"/>
    <w:bookmarkEnd w:id="46"/>
    <w:p w14:paraId="24414F14">
      <w:pPr>
        <w:ind w:firstLine="560"/>
        <w:rPr>
          <w:rFonts w:hint="eastAsia" w:cs="仿宋"/>
          <w:sz w:val="28"/>
          <w:szCs w:val="28"/>
        </w:rPr>
      </w:pPr>
      <w:bookmarkStart w:id="47" w:name="_Toc502134871"/>
      <w:bookmarkStart w:id="48" w:name="_Toc498009788"/>
      <w:r>
        <w:rPr>
          <w:rFonts w:hint="eastAsia" w:cs="仿宋"/>
          <w:sz w:val="28"/>
          <w:szCs w:val="28"/>
        </w:rPr>
        <w:t>项目为实施期间，项目基本建设程序执行比较规范，建设单位基本按规定执行了项目法人制、监理制、招投标制、合同制的建设项目“四制”基本规范。项目施工过程中规范施工程序，安全措施基本得力，未发生安全事故。</w:t>
      </w:r>
      <w:bookmarkStart w:id="49" w:name="_Hlk145001823"/>
      <w:r>
        <w:rPr>
          <w:rFonts w:hint="eastAsia" w:cs="仿宋"/>
          <w:sz w:val="28"/>
          <w:szCs w:val="28"/>
        </w:rPr>
        <w:t>项目通过公开招投标确定了项目3个标段的施工单位、及部分标段的监理单位，通过竞争性谈判的方式确定设计及工程造价咨询单位，政府采购程序基本规范。</w:t>
      </w:r>
      <w:bookmarkEnd w:id="49"/>
    </w:p>
    <w:p w14:paraId="78837672">
      <w:pPr>
        <w:ind w:firstLine="560"/>
        <w:rPr>
          <w:rFonts w:hint="eastAsia" w:cs="仿宋"/>
          <w:sz w:val="28"/>
          <w:szCs w:val="28"/>
        </w:rPr>
      </w:pPr>
      <w:r>
        <w:rPr>
          <w:rFonts w:hint="eastAsia" w:cs="仿宋"/>
          <w:sz w:val="28"/>
          <w:szCs w:val="28"/>
        </w:rPr>
        <w:t>项目获得了</w:t>
      </w:r>
      <w:r>
        <w:rPr>
          <w:rFonts w:cs="仿宋"/>
          <w:sz w:val="28"/>
          <w:szCs w:val="28"/>
        </w:rPr>
        <w:t>昆明市环境保护局《关于对〈倘甸产业园区轿子山旅游开发区人民医院建设项目环境影响报告书〉的批复》（昆环保复〔2017〕9号），同意项目按照《报告书》所述工程内容、规模、功能、环保对策措施建设</w:t>
      </w:r>
      <w:r>
        <w:rPr>
          <w:rFonts w:hint="eastAsia" w:cs="仿宋"/>
          <w:sz w:val="28"/>
          <w:szCs w:val="28"/>
        </w:rPr>
        <w:t>。</w:t>
      </w:r>
    </w:p>
    <w:p w14:paraId="6663FEDB">
      <w:pPr>
        <w:ind w:firstLine="560"/>
        <w:rPr>
          <w:rFonts w:hint="eastAsia" w:cs="仿宋"/>
          <w:sz w:val="28"/>
          <w:szCs w:val="28"/>
        </w:rPr>
      </w:pPr>
      <w:r>
        <w:rPr>
          <w:rFonts w:hint="eastAsia" w:cs="仿宋"/>
          <w:sz w:val="28"/>
          <w:szCs w:val="28"/>
        </w:rPr>
        <w:t>发放《寻甸县卫生健康局寻甸县第二人民医院建设项目支出绩效评价调查问卷》共30份，收回30份，有效问卷30份，并对其结果进行统计汇总，寻甸县卫生健康局寻甸县第二人民医院建设项目支出绩效评价调查满意度为74.53%，社会公众对项目实施效果比较满意。</w:t>
      </w:r>
    </w:p>
    <w:p w14:paraId="2534F2C0">
      <w:pPr>
        <w:ind w:firstLine="560"/>
        <w:rPr>
          <w:rFonts w:hint="eastAsia" w:ascii="黑体" w:hAnsi="黑体" w:eastAsia="黑体" w:cs="黑体"/>
          <w:sz w:val="28"/>
          <w:szCs w:val="28"/>
        </w:rPr>
      </w:pPr>
      <w:r>
        <w:rPr>
          <w:rFonts w:hint="eastAsia" w:ascii="黑体" w:hAnsi="黑体" w:eastAsia="黑体" w:cs="黑体"/>
          <w:sz w:val="28"/>
          <w:szCs w:val="28"/>
        </w:rPr>
        <w:t>六、主要经验及做法</w:t>
      </w:r>
      <w:bookmarkEnd w:id="47"/>
      <w:bookmarkEnd w:id="48"/>
    </w:p>
    <w:p w14:paraId="7B516565">
      <w:pPr>
        <w:ind w:firstLine="560"/>
        <w:rPr>
          <w:rFonts w:hint="eastAsia" w:ascii="仿宋_GB2312" w:eastAsia="仿宋_GB2312" w:cs="仿宋"/>
          <w:sz w:val="28"/>
          <w:szCs w:val="28"/>
        </w:rPr>
      </w:pPr>
      <w:bookmarkStart w:id="50" w:name="_Toc502134872"/>
      <w:bookmarkStart w:id="51" w:name="_Toc498009789"/>
      <w:r>
        <w:rPr>
          <w:rFonts w:hint="eastAsia" w:cs="仿宋"/>
          <w:sz w:val="28"/>
          <w:szCs w:val="28"/>
        </w:rPr>
        <w:t>无。</w:t>
      </w:r>
    </w:p>
    <w:p w14:paraId="7CABD5FD">
      <w:pPr>
        <w:ind w:firstLine="560"/>
        <w:rPr>
          <w:rFonts w:hint="eastAsia" w:ascii="黑体" w:hAnsi="黑体" w:eastAsia="黑体" w:cs="黑体"/>
          <w:sz w:val="28"/>
          <w:szCs w:val="28"/>
        </w:rPr>
      </w:pPr>
      <w:r>
        <w:rPr>
          <w:rFonts w:hint="eastAsia" w:ascii="黑体" w:hAnsi="黑体" w:eastAsia="黑体" w:cs="黑体"/>
          <w:sz w:val="28"/>
          <w:szCs w:val="28"/>
        </w:rPr>
        <w:t>七、存在的主要问题</w:t>
      </w:r>
      <w:bookmarkEnd w:id="50"/>
      <w:bookmarkEnd w:id="51"/>
    </w:p>
    <w:p w14:paraId="673D4651">
      <w:pPr>
        <w:ind w:firstLine="560"/>
        <w:rPr>
          <w:rFonts w:hint="eastAsia" w:ascii="楷体" w:hAnsi="楷体" w:eastAsia="楷体" w:cs="楷体"/>
          <w:bCs/>
          <w:sz w:val="28"/>
          <w:szCs w:val="28"/>
        </w:rPr>
      </w:pPr>
      <w:bookmarkStart w:id="52" w:name="_Toc500849310"/>
      <w:bookmarkStart w:id="53" w:name="_Toc500202563"/>
      <w:bookmarkStart w:id="54" w:name="_Toc500440025"/>
      <w:bookmarkStart w:id="55" w:name="_Toc502134873"/>
      <w:bookmarkStart w:id="56" w:name="_Toc500364179"/>
      <w:bookmarkStart w:id="57" w:name="_Toc500589022"/>
      <w:r>
        <w:rPr>
          <w:rFonts w:ascii="楷体" w:hAnsi="楷体" w:eastAsia="楷体" w:cs="楷体"/>
          <w:bCs/>
          <w:sz w:val="28"/>
          <w:szCs w:val="28"/>
        </w:rPr>
        <w:t>(一)</w:t>
      </w:r>
      <w:r>
        <w:rPr>
          <w:rFonts w:hint="eastAsia" w:ascii="楷体" w:hAnsi="楷体" w:eastAsia="楷体" w:cs="楷体"/>
          <w:bCs/>
          <w:sz w:val="28"/>
          <w:szCs w:val="28"/>
        </w:rPr>
        <w:t>项目绩效</w:t>
      </w:r>
      <w:r>
        <w:rPr>
          <w:rFonts w:ascii="楷体" w:hAnsi="楷体" w:eastAsia="楷体" w:cs="楷体"/>
          <w:bCs/>
          <w:sz w:val="28"/>
          <w:szCs w:val="28"/>
        </w:rPr>
        <w:t>目标管理不到位</w:t>
      </w:r>
    </w:p>
    <w:p w14:paraId="34BF718F">
      <w:pPr>
        <w:ind w:firstLine="560"/>
        <w:rPr>
          <w:rFonts w:hint="eastAsia" w:cs="仿宋"/>
          <w:sz w:val="28"/>
          <w:szCs w:val="28"/>
        </w:rPr>
      </w:pPr>
      <w:r>
        <w:rPr>
          <w:rFonts w:hint="eastAsia" w:cs="楷体"/>
          <w:bCs/>
          <w:sz w:val="28"/>
          <w:szCs w:val="28"/>
        </w:rPr>
        <w:t>1.绩效目标管理履职不到位</w:t>
      </w:r>
    </w:p>
    <w:p w14:paraId="2F745683">
      <w:pPr>
        <w:ind w:firstLine="560"/>
        <w:rPr>
          <w:rFonts w:hint="eastAsia" w:cs="仿宋"/>
          <w:sz w:val="28"/>
          <w:szCs w:val="28"/>
        </w:rPr>
      </w:pPr>
      <w:bookmarkStart w:id="58" w:name="_Hlk177050834"/>
      <w:r>
        <w:rPr>
          <w:rFonts w:hint="eastAsia" w:cs="仿宋"/>
          <w:sz w:val="28"/>
          <w:szCs w:val="28"/>
        </w:rPr>
        <w:t>卫健局未在“预算一体化”系统中申报本项目，</w:t>
      </w:r>
      <w:bookmarkEnd w:id="58"/>
      <w:r>
        <w:rPr>
          <w:rFonts w:hint="eastAsia" w:cs="仿宋"/>
          <w:sz w:val="28"/>
          <w:szCs w:val="28"/>
        </w:rPr>
        <w:t>根据《</w:t>
      </w:r>
      <w:bookmarkStart w:id="59" w:name="_Hlk177050920"/>
      <w:r>
        <w:rPr>
          <w:rFonts w:hint="eastAsia" w:cs="仿宋"/>
          <w:sz w:val="28"/>
          <w:szCs w:val="28"/>
        </w:rPr>
        <w:t>寻甸县第二人民医院项目专项债券实施方案</w:t>
      </w:r>
      <w:bookmarkEnd w:id="59"/>
      <w:r>
        <w:rPr>
          <w:rFonts w:hint="eastAsia" w:cs="仿宋"/>
          <w:sz w:val="28"/>
          <w:szCs w:val="28"/>
        </w:rPr>
        <w:t>》中“绩效目标表”，存在的主要问题：</w:t>
      </w:r>
    </w:p>
    <w:p w14:paraId="1D27B815">
      <w:pPr>
        <w:ind w:firstLine="560"/>
        <w:rPr>
          <w:rFonts w:hint="eastAsia" w:cs="楷体"/>
          <w:bCs/>
          <w:sz w:val="28"/>
          <w:szCs w:val="28"/>
        </w:rPr>
      </w:pPr>
      <w:r>
        <w:rPr>
          <w:rFonts w:hint="eastAsia" w:cs="楷体"/>
          <w:bCs/>
          <w:sz w:val="28"/>
          <w:szCs w:val="28"/>
        </w:rPr>
        <w:t>(1)项目所设定的绩效指标未将绩效目标充分全面细化、量化、分解为具体的工作任务，部分绩效目标未通过清晰、可衡量的指标及指标值予以体现，部分绩效目标未设定最能体现项目绩效目标实现程度和项目实施部门职能履职情况的关键的、核心的绩效指标。</w:t>
      </w:r>
    </w:p>
    <w:p w14:paraId="17CDC4F7">
      <w:pPr>
        <w:ind w:firstLine="560"/>
        <w:rPr>
          <w:rFonts w:hint="eastAsia" w:cs="楷体"/>
          <w:bCs/>
          <w:sz w:val="28"/>
          <w:szCs w:val="28"/>
        </w:rPr>
      </w:pPr>
      <w:r>
        <w:rPr>
          <w:rFonts w:hint="eastAsia" w:cs="楷体"/>
          <w:bCs/>
          <w:sz w:val="28"/>
          <w:szCs w:val="28"/>
        </w:rPr>
        <w:t>(2)数量指标设定“建设数量=57567.53㎡、投资完成率=95%、资金使用率=100%”3个绩效指标，未充分分解项目工程量；社会效益仅设定“区域内经济发展=带动427个新增岗位就业机会”1个绩效指标，绩效指标设定不充分不全面，未就“提升（日均）就诊人数”、“提升医疗水平”等方面设定社会效益指标。</w:t>
      </w:r>
    </w:p>
    <w:p w14:paraId="4C09E835">
      <w:pPr>
        <w:ind w:firstLine="560"/>
        <w:rPr>
          <w:rFonts w:hint="eastAsia" w:cs="仿宋"/>
          <w:sz w:val="28"/>
          <w:szCs w:val="28"/>
        </w:rPr>
      </w:pPr>
      <w:r>
        <w:rPr>
          <w:rFonts w:hint="eastAsia" w:cs="仿宋"/>
          <w:sz w:val="28"/>
          <w:szCs w:val="28"/>
        </w:rPr>
        <w:t>上述情况不符合《中华人民共和国预算法》第三十二条“……各部门、各单位应当按照……以及绩效目标管理等预算编制规定，……编制本部门、本单位预算草案。”、《中共中央、国务院关于全面实施预算绩效管理的意见》（中发〔</w:t>
      </w:r>
      <w:r>
        <w:rPr>
          <w:rFonts w:cs="仿宋"/>
          <w:sz w:val="28"/>
          <w:szCs w:val="28"/>
        </w:rPr>
        <w:t>2018〕34号）第四条第（七）项“强化绩效目标管理。各地区各部门编制预算时要……全面设置部门和单位整体绩效目标、政策及项目绩效目标。绩效目标不仅要包括产出、成本，还要包括经济效益、社会效益、生态效益、可持续影响和服务对象满意度等绩效指标。……。”</w:t>
      </w:r>
      <w:r>
        <w:rPr>
          <w:rFonts w:hint="eastAsia" w:cs="仿宋"/>
          <w:sz w:val="28"/>
          <w:szCs w:val="28"/>
        </w:rPr>
        <w:t>和《云南省省级财政预算绩效目标管理暂行办法》（云财预〔</w:t>
      </w:r>
      <w:r>
        <w:rPr>
          <w:rFonts w:cs="仿宋"/>
          <w:sz w:val="28"/>
          <w:szCs w:val="28"/>
        </w:rPr>
        <w:t>2015〕344号）第十二条“绩效指标是绩效目标的细化和量化，主要包括产出指标、效果指标和效率指标等。绩效指标应符合相关性、重要性、可比性、系统性、经济性要求。每一类型的绩效指标应有具体、细化、量化的绩效指标内容与之对应。”</w:t>
      </w:r>
      <w:r>
        <w:rPr>
          <w:rFonts w:hint="eastAsia" w:cs="仿宋"/>
          <w:sz w:val="28"/>
          <w:szCs w:val="28"/>
        </w:rPr>
        <w:t>的规定。</w:t>
      </w:r>
    </w:p>
    <w:p w14:paraId="331E271A">
      <w:pPr>
        <w:ind w:firstLine="560"/>
        <w:rPr>
          <w:rFonts w:hint="eastAsia" w:cs="仿宋"/>
          <w:sz w:val="28"/>
          <w:szCs w:val="28"/>
        </w:rPr>
      </w:pPr>
      <w:r>
        <w:rPr>
          <w:rFonts w:hint="eastAsia" w:ascii="楷体" w:hAnsi="楷体" w:eastAsia="楷体" w:cs="楷体"/>
          <w:bCs/>
          <w:sz w:val="28"/>
          <w:szCs w:val="28"/>
        </w:rPr>
        <w:t>(二</w:t>
      </w:r>
      <w:r>
        <w:rPr>
          <w:rFonts w:ascii="楷体" w:hAnsi="楷体" w:eastAsia="楷体" w:cs="楷体"/>
          <w:bCs/>
          <w:sz w:val="28"/>
          <w:szCs w:val="28"/>
        </w:rPr>
        <w:t>)</w:t>
      </w:r>
      <w:r>
        <w:rPr>
          <w:rFonts w:hint="eastAsia" w:ascii="楷体" w:hAnsi="楷体" w:eastAsia="楷体" w:cs="楷体"/>
          <w:bCs/>
          <w:sz w:val="28"/>
          <w:szCs w:val="28"/>
        </w:rPr>
        <w:t>卫健局专债资金“以拨代支”</w:t>
      </w:r>
    </w:p>
    <w:p w14:paraId="26CECEDD">
      <w:pPr>
        <w:ind w:firstLine="560"/>
        <w:rPr>
          <w:rFonts w:hint="eastAsia" w:cs="仿宋"/>
          <w:sz w:val="28"/>
          <w:szCs w:val="28"/>
        </w:rPr>
      </w:pPr>
      <w:r>
        <w:rPr>
          <w:rFonts w:hint="eastAsia" w:cs="仿宋"/>
          <w:sz w:val="28"/>
          <w:szCs w:val="28"/>
        </w:rPr>
        <w:t>抽查发现，卫健局</w:t>
      </w:r>
      <w:r>
        <w:rPr>
          <w:rFonts w:cs="仿宋"/>
          <w:sz w:val="28"/>
          <w:szCs w:val="28"/>
        </w:rPr>
        <w:t>存在以拨代支的情况，</w:t>
      </w:r>
      <w:r>
        <w:rPr>
          <w:rFonts w:hint="eastAsia" w:cs="仿宋"/>
          <w:sz w:val="28"/>
          <w:szCs w:val="28"/>
        </w:rPr>
        <w:t>如：2021年12月记账18号凭证“根据代建合同预付寻甸城投集团第二人民医院建设项目工程款”75,000,000.00元和2022年5月记账31号凭证“拨寻甸城投集团二院项目建设专项债券经费”75,000,000.00元。</w:t>
      </w:r>
      <w:r>
        <w:rPr>
          <w:rFonts w:hint="eastAsia" w:cs="仿宋"/>
          <w:sz w:val="28"/>
          <w:szCs w:val="28"/>
          <w:lang w:eastAsia="zh-CN"/>
        </w:rPr>
        <w:t>截至</w:t>
      </w:r>
      <w:r>
        <w:rPr>
          <w:rFonts w:hint="eastAsia" w:cs="仿宋"/>
          <w:sz w:val="28"/>
          <w:szCs w:val="28"/>
        </w:rPr>
        <w:t>2023年12月31日累计支付项目代建单位寻甸城乡投资开发集团有限公司项目工程款150,000,000.00元，财务会计账记“业务活动费用-商品和服务费用”、预算会计账记“行政支出-财政拨款支出-项目支出”。该资金为2021年第二批新增专项债券资金150,000,000.00元，卫健局在没有任何经第三方审核的《工程计量清单》等项目实施进度证据资料和未取得合法发票的情况下，仅根据项目专项债券资金拨付申请表一次性拨款至项目代建单位寻甸城乡投资开发集团有限公司，并列支“行政支出”，形成“以拨代支”违规行为。</w:t>
      </w:r>
    </w:p>
    <w:p w14:paraId="66E2B386">
      <w:pPr>
        <w:ind w:firstLine="560"/>
        <w:rPr>
          <w:rFonts w:hint="eastAsia" w:cs="仿宋"/>
          <w:sz w:val="28"/>
          <w:szCs w:val="28"/>
        </w:rPr>
      </w:pPr>
      <w:r>
        <w:rPr>
          <w:rFonts w:hint="eastAsia" w:cs="仿宋"/>
          <w:sz w:val="28"/>
          <w:szCs w:val="28"/>
          <w:lang w:eastAsia="zh-CN"/>
        </w:rPr>
        <w:t>截至</w:t>
      </w:r>
      <w:r>
        <w:rPr>
          <w:rFonts w:hint="eastAsia" w:cs="仿宋"/>
          <w:sz w:val="28"/>
          <w:szCs w:val="28"/>
        </w:rPr>
        <w:t>2023年12月31日，寻甸城乡投资开发集团有限公司共收到150,000,000.00元，共支付项目资金77,710,695.94元，余72,289,304.06元结转在项目代建单位。</w:t>
      </w:r>
    </w:p>
    <w:p w14:paraId="220E0136">
      <w:pPr>
        <w:ind w:firstLine="560"/>
        <w:rPr>
          <w:rFonts w:hint="eastAsia" w:cs="仿宋"/>
          <w:sz w:val="28"/>
          <w:szCs w:val="28"/>
        </w:rPr>
      </w:pPr>
      <w:r>
        <w:rPr>
          <w:rFonts w:hint="eastAsia" w:cs="仿宋"/>
          <w:sz w:val="28"/>
          <w:szCs w:val="28"/>
        </w:rPr>
        <w:t>上述以拨代支的违规行为，不符合《中华人民共和国预算法》第九条“……政府性基金预算应当根据基金项目收入情况和实际支出需要，按基金项目编制，做到以收定支。”、第五十七条“……各级政府、各部门、各单位的支出必须按照预算执行，不得虚假列支。”、《国务院关于进一步深化预算管理制度改革的意见》（国发〔</w:t>
      </w:r>
      <w:r>
        <w:rPr>
          <w:rFonts w:cs="仿宋"/>
          <w:sz w:val="28"/>
          <w:szCs w:val="28"/>
        </w:rPr>
        <w:t>2021〕5号）第五条第（十六）项“……严禁以拨代支，进一步加强地方财政暂付性款项管理，……。”</w:t>
      </w:r>
      <w:r>
        <w:rPr>
          <w:rFonts w:hint="eastAsia" w:cs="仿宋"/>
          <w:sz w:val="28"/>
          <w:szCs w:val="28"/>
        </w:rPr>
        <w:t>和</w:t>
      </w:r>
      <w:r>
        <w:rPr>
          <w:rFonts w:cs="仿宋"/>
          <w:sz w:val="28"/>
          <w:szCs w:val="28"/>
        </w:rPr>
        <w:t>《地方政府专项债务预算管理办法》（财预〔2016〕155号）第二十三条“地方各级财政部门应当依据预算调整方案及专项债券发行规</w:t>
      </w:r>
      <w:r>
        <w:rPr>
          <w:rFonts w:hint="eastAsia" w:cs="仿宋"/>
          <w:sz w:val="28"/>
          <w:szCs w:val="28"/>
        </w:rPr>
        <w:t>定的预算科目和用途，使用专项债券资金。”的规定。</w:t>
      </w:r>
    </w:p>
    <w:p w14:paraId="0E512CD1">
      <w:pPr>
        <w:ind w:firstLine="560"/>
        <w:rPr>
          <w:rFonts w:hint="eastAsia" w:ascii="楷体" w:hAnsi="楷体" w:eastAsia="楷体" w:cs="楷体"/>
          <w:bCs/>
          <w:sz w:val="28"/>
          <w:szCs w:val="28"/>
        </w:rPr>
      </w:pPr>
      <w:r>
        <w:rPr>
          <w:rFonts w:hint="eastAsia" w:ascii="楷体" w:hAnsi="楷体" w:eastAsia="楷体" w:cs="仿宋"/>
          <w:sz w:val="28"/>
          <w:szCs w:val="28"/>
        </w:rPr>
        <w:t>(三)资本性支出费用化</w:t>
      </w:r>
    </w:p>
    <w:p w14:paraId="5B310A3E">
      <w:pPr>
        <w:ind w:firstLine="560"/>
        <w:rPr>
          <w:rFonts w:hint="eastAsia" w:cs="仿宋"/>
          <w:sz w:val="28"/>
          <w:szCs w:val="28"/>
        </w:rPr>
      </w:pPr>
      <w:r>
        <w:rPr>
          <w:rFonts w:hint="eastAsia" w:cs="仿宋"/>
          <w:sz w:val="28"/>
          <w:szCs w:val="28"/>
        </w:rPr>
        <w:t>1.卫健局在支付项目相关工程款及待摊费用时，账面均记入“业务活动费用-商品和服务费用”，如：2022年5月记账24号凭证“拨寻甸城投集团二院项目建设专项债券经费”75,000,000.00元，为支付项目代建单位代建费75,000,000.00元，财务会计账记“业务活动费-商品和服务费用”，未记入“预付账款-预付工程款”，不符合财政部关于印发《政府会计准则制度解释第2号》的通知（财会〔2019〕24号）第八条第（二）项“关于代建制项目的会计处理1.关于建设单位的账务处理(1)拨付代建单位工程款时，按照拨付的款项金额，借记‘预付账款——预付工程款’科目……”和《基本建设项目建设成本管理规定》（财建〔2016〕504号）第二条“建筑安装工程投资支出是指基本建设项目（以下简称项目）建设单位按照批准的建设内容发生的建筑工程和安装工程的实际成本，其中不包括被安装设备本身的价值，以及按照合同规定支付给施工单位的预付备料款和预付工程款。”的规定。</w:t>
      </w:r>
    </w:p>
    <w:p w14:paraId="0362CED5">
      <w:pPr>
        <w:ind w:firstLine="560"/>
        <w:rPr>
          <w:rFonts w:hint="eastAsia" w:cs="仿宋"/>
          <w:sz w:val="28"/>
          <w:szCs w:val="28"/>
        </w:rPr>
      </w:pPr>
      <w:r>
        <w:rPr>
          <w:rFonts w:hint="eastAsia" w:cs="仿宋"/>
          <w:sz w:val="28"/>
          <w:szCs w:val="28"/>
        </w:rPr>
        <w:t>2.穿透检查项目代建单位账目时发现，代建单位寻甸城乡投资开发集团有限公司在收到、支付项目代建费时通过“其他应付款-代建工程款”核算，未记入“开发成本”，不符合财政部关于印发《政府会计准则制度解释第2号》的通知（财会〔2019〕24号）第八条第（二）项“关于代建制项目的会计处理2.关于代建单位的账务处理……代建单位为企业的，按照企业类会计准则制度相关规定进行账务处理。”和《企业会计准则》第十二条“企业应当以实际发生的交易或者事项为依据进行会计确认、计量和报告，如实反映符合确认和计量要求的各项会计要素及其他相关信息，保证会计信息真实可靠，内容完整。”的规定。</w:t>
      </w:r>
    </w:p>
    <w:bookmarkEnd w:id="52"/>
    <w:bookmarkEnd w:id="53"/>
    <w:bookmarkEnd w:id="54"/>
    <w:bookmarkEnd w:id="55"/>
    <w:bookmarkEnd w:id="56"/>
    <w:bookmarkEnd w:id="57"/>
    <w:p w14:paraId="00A580D9">
      <w:pPr>
        <w:ind w:firstLine="560"/>
        <w:rPr>
          <w:rFonts w:hint="eastAsia" w:ascii="黑体" w:hAnsi="黑体" w:eastAsia="黑体" w:cs="黑体"/>
          <w:sz w:val="28"/>
          <w:szCs w:val="28"/>
        </w:rPr>
      </w:pPr>
      <w:bookmarkStart w:id="60" w:name="_Toc502134879"/>
      <w:bookmarkStart w:id="61" w:name="_Toc498009790"/>
      <w:r>
        <w:rPr>
          <w:rFonts w:hint="eastAsia" w:ascii="黑体" w:hAnsi="黑体" w:eastAsia="黑体" w:cs="黑体"/>
          <w:sz w:val="28"/>
          <w:szCs w:val="28"/>
        </w:rPr>
        <w:t>八、建议</w:t>
      </w:r>
      <w:bookmarkEnd w:id="60"/>
      <w:bookmarkEnd w:id="61"/>
      <w:bookmarkStart w:id="62" w:name="_Toc500589028"/>
      <w:bookmarkStart w:id="63" w:name="_Toc500202569"/>
      <w:bookmarkStart w:id="64" w:name="_Toc500364185"/>
      <w:bookmarkStart w:id="65" w:name="_Toc502134880"/>
      <w:bookmarkStart w:id="66" w:name="_Toc500440031"/>
      <w:bookmarkStart w:id="67" w:name="_Toc500849317"/>
      <w:bookmarkStart w:id="68" w:name="_Toc498009791"/>
    </w:p>
    <w:bookmarkEnd w:id="62"/>
    <w:bookmarkEnd w:id="63"/>
    <w:bookmarkEnd w:id="64"/>
    <w:bookmarkEnd w:id="65"/>
    <w:bookmarkEnd w:id="66"/>
    <w:bookmarkEnd w:id="67"/>
    <w:p w14:paraId="684CB289">
      <w:pPr>
        <w:ind w:firstLine="560"/>
        <w:rPr>
          <w:rFonts w:hint="eastAsia" w:ascii="楷体" w:hAnsi="楷体" w:eastAsia="楷体" w:cs="仿宋"/>
          <w:sz w:val="28"/>
          <w:szCs w:val="28"/>
        </w:rPr>
      </w:pPr>
      <w:bookmarkStart w:id="69" w:name="_Hlk143876661"/>
      <w:r>
        <w:rPr>
          <w:rFonts w:hint="eastAsia" w:ascii="楷体" w:hAnsi="楷体" w:eastAsia="楷体" w:cs="仿宋"/>
          <w:sz w:val="28"/>
          <w:szCs w:val="28"/>
        </w:rPr>
        <w:t>(一)加强绩效评价结果应用</w:t>
      </w:r>
    </w:p>
    <w:p w14:paraId="616A2A54">
      <w:pPr>
        <w:ind w:firstLine="495" w:firstLineChars="177"/>
        <w:rPr>
          <w:rFonts w:hint="eastAsia"/>
          <w:sz w:val="28"/>
          <w:szCs w:val="28"/>
        </w:rPr>
      </w:pPr>
      <w:r>
        <w:rPr>
          <w:rFonts w:hint="eastAsia"/>
          <w:sz w:val="28"/>
          <w:szCs w:val="28"/>
        </w:rPr>
        <w:t>1.切实加强绩效评价结果运用</w:t>
      </w:r>
    </w:p>
    <w:p w14:paraId="40E6C7C9">
      <w:pPr>
        <w:ind w:firstLine="495" w:firstLineChars="177"/>
        <w:rPr>
          <w:rFonts w:hint="eastAsia"/>
          <w:sz w:val="28"/>
          <w:szCs w:val="28"/>
        </w:rPr>
      </w:pPr>
      <w:r>
        <w:rPr>
          <w:rFonts w:hint="eastAsia"/>
          <w:sz w:val="28"/>
          <w:szCs w:val="28"/>
        </w:rPr>
        <w:t>按照《中华人民共和国预算法》等法律法规的规定，在预算绩效审核、审批、监督检查时，切实将绩效评价结果作为下一年度预算安排及相关责任落实的依据之一。同时根据《中共中央、国务院关于全面实施预算绩效管理的意见》（中发〔201</w:t>
      </w:r>
      <w:r>
        <w:rPr>
          <w:sz w:val="28"/>
          <w:szCs w:val="28"/>
        </w:rPr>
        <w:t>8</w:t>
      </w:r>
      <w:r>
        <w:rPr>
          <w:rFonts w:hint="eastAsia"/>
          <w:sz w:val="28"/>
          <w:szCs w:val="28"/>
        </w:rPr>
        <w:t>〕34号）第八条第（十八）项“……各级政府要将预算绩效结果纳入政府绩效和干部政绩考核体系，作为领导干部选拔任用、公务员考核的重要参考。……。”的规定，将绩效评价结果作为单位及单位相关负责人评优、评先、晋升、考核考评的必要依据之一。切实贯彻执行“预算编制有目标、预算执行有监控、预算完成有评价、评价结果有反馈、反馈结果有应用”和“谁用钱谁负责，用钱必问效，无效要问责”的预算绩效管理原则。</w:t>
      </w:r>
    </w:p>
    <w:p w14:paraId="708B39BE">
      <w:pPr>
        <w:ind w:firstLine="495" w:firstLineChars="177"/>
        <w:rPr>
          <w:rFonts w:hint="eastAsia"/>
          <w:sz w:val="28"/>
          <w:szCs w:val="28"/>
        </w:rPr>
      </w:pPr>
      <w:r>
        <w:rPr>
          <w:sz w:val="28"/>
          <w:szCs w:val="28"/>
        </w:rPr>
        <w:t>2.</w:t>
      </w:r>
      <w:r>
        <w:rPr>
          <w:rFonts w:hint="eastAsia"/>
          <w:sz w:val="28"/>
          <w:szCs w:val="28"/>
        </w:rPr>
        <w:t>提高对绩效评价及评价结果应用重要性的认识</w:t>
      </w:r>
    </w:p>
    <w:p w14:paraId="2833120E">
      <w:pPr>
        <w:ind w:firstLine="495" w:firstLineChars="177"/>
        <w:rPr>
          <w:rFonts w:hint="eastAsia"/>
          <w:sz w:val="28"/>
          <w:szCs w:val="28"/>
        </w:rPr>
      </w:pPr>
      <w:r>
        <w:rPr>
          <w:rFonts w:hint="eastAsia"/>
          <w:sz w:val="28"/>
          <w:szCs w:val="28"/>
        </w:rPr>
        <w:t>高度重视绩效评价及评价结果的应用工作，充分发挥绩效评价“以评促管”效能，积极探索和建立一套与预算管理相结合、多渠道应用评价结果的有效机制，努力提高绩效意识和财政资金使用效益。充分认识到进一步深化预算管理制度改革的重要意义。</w:t>
      </w:r>
    </w:p>
    <w:p w14:paraId="4A486971">
      <w:pPr>
        <w:ind w:firstLine="495" w:firstLineChars="177"/>
        <w:rPr>
          <w:rFonts w:hint="eastAsia"/>
          <w:sz w:val="28"/>
          <w:szCs w:val="28"/>
        </w:rPr>
      </w:pPr>
      <w:r>
        <w:rPr>
          <w:sz w:val="28"/>
          <w:szCs w:val="28"/>
        </w:rPr>
        <w:t>3.</w:t>
      </w:r>
      <w:r>
        <w:rPr>
          <w:rFonts w:hint="eastAsia"/>
          <w:sz w:val="28"/>
          <w:szCs w:val="28"/>
        </w:rPr>
        <w:t>建立评价结果反馈与整改机制</w:t>
      </w:r>
    </w:p>
    <w:p w14:paraId="57020365">
      <w:pPr>
        <w:ind w:firstLine="495" w:firstLineChars="177"/>
        <w:rPr>
          <w:rFonts w:hint="eastAsia"/>
          <w:sz w:val="28"/>
          <w:szCs w:val="28"/>
        </w:rPr>
      </w:pPr>
      <w:r>
        <w:rPr>
          <w:rFonts w:hint="eastAsia"/>
          <w:sz w:val="28"/>
          <w:szCs w:val="28"/>
        </w:rPr>
        <w:t>评价结果反馈与整改是绩效评价工作的重要内容和组成部分。财政主管部门要在评价工作结束后，以正式文件或反馈书的形式，将评价项目绩效情况、存在的问题及相关建议反馈给被评价单位，并督促其落实整改，以增强绩效评价工作的约束力。被评价单位要针对项目实施中存在的问题和建议进行认真整改，并将落实整改情况以整改报告书的形式反馈财政主管部门。</w:t>
      </w:r>
    </w:p>
    <w:p w14:paraId="03491063">
      <w:pPr>
        <w:ind w:firstLine="560"/>
        <w:rPr>
          <w:rFonts w:hint="eastAsia" w:ascii="楷体" w:hAnsi="楷体" w:eastAsia="楷体" w:cs="仿宋"/>
          <w:sz w:val="28"/>
          <w:szCs w:val="28"/>
        </w:rPr>
      </w:pPr>
      <w:r>
        <w:rPr>
          <w:rFonts w:ascii="楷体" w:hAnsi="楷体" w:eastAsia="楷体" w:cs="仿宋"/>
          <w:sz w:val="28"/>
          <w:szCs w:val="28"/>
        </w:rPr>
        <w:t>(二)强化绩效目标管理主体责任</w:t>
      </w:r>
    </w:p>
    <w:p w14:paraId="25065F83">
      <w:pPr>
        <w:ind w:firstLine="495" w:firstLineChars="177"/>
        <w:rPr>
          <w:rFonts w:hint="eastAsia"/>
          <w:sz w:val="28"/>
          <w:szCs w:val="28"/>
        </w:rPr>
      </w:pPr>
      <w:r>
        <w:rPr>
          <w:rFonts w:hint="eastAsia"/>
          <w:sz w:val="28"/>
          <w:szCs w:val="28"/>
        </w:rPr>
        <w:t>1</w:t>
      </w:r>
      <w:r>
        <w:rPr>
          <w:sz w:val="28"/>
          <w:szCs w:val="28"/>
        </w:rPr>
        <w:t>.</w:t>
      </w:r>
      <w:r>
        <w:rPr>
          <w:rFonts w:hint="eastAsia"/>
          <w:sz w:val="28"/>
          <w:szCs w:val="28"/>
        </w:rPr>
        <w:t>强化绩效目标管理主体责任</w:t>
      </w:r>
    </w:p>
    <w:p w14:paraId="008AEB41">
      <w:pPr>
        <w:ind w:firstLine="495" w:firstLineChars="177"/>
        <w:rPr>
          <w:rFonts w:hint="eastAsia"/>
          <w:sz w:val="28"/>
          <w:szCs w:val="28"/>
        </w:rPr>
      </w:pPr>
      <w:r>
        <w:rPr>
          <w:rFonts w:hint="eastAsia"/>
          <w:sz w:val="28"/>
          <w:szCs w:val="28"/>
        </w:rPr>
        <w:t>各部门、各单位在编制年度绩效目标时，应切实履行绩效目标管理主体责任，结合部门中长期规划、部门职能职责及年度的主要工作任务，梳理完善部门总体绩效目标和年度绩效目标，根据绩效目标确定具体的绩效指标，并设定清晰明确、规范完整、充分全面、最能体现总体目标实现程度的关键性、最具代表性、最能直接反映产出和效益的核心指标并明确具体指标值。</w:t>
      </w:r>
    </w:p>
    <w:p w14:paraId="6C6FCBBE">
      <w:pPr>
        <w:ind w:firstLine="495" w:firstLineChars="177"/>
        <w:rPr>
          <w:rFonts w:hint="eastAsia"/>
          <w:sz w:val="28"/>
          <w:szCs w:val="28"/>
        </w:rPr>
      </w:pPr>
      <w:r>
        <w:rPr>
          <w:rFonts w:hint="eastAsia"/>
          <w:sz w:val="28"/>
          <w:szCs w:val="28"/>
        </w:rPr>
        <w:t>2</w:t>
      </w:r>
      <w:r>
        <w:rPr>
          <w:sz w:val="28"/>
          <w:szCs w:val="28"/>
        </w:rPr>
        <w:t>.</w:t>
      </w:r>
      <w:r>
        <w:rPr>
          <w:rFonts w:hint="eastAsia"/>
          <w:sz w:val="28"/>
          <w:szCs w:val="28"/>
        </w:rPr>
        <w:t>强化绩效运行跟踪监控主体责任</w:t>
      </w:r>
    </w:p>
    <w:p w14:paraId="17E81B88">
      <w:pPr>
        <w:ind w:firstLine="495" w:firstLineChars="177"/>
        <w:rPr>
          <w:rFonts w:hint="eastAsia"/>
          <w:sz w:val="28"/>
          <w:szCs w:val="28"/>
        </w:rPr>
      </w:pPr>
      <w:r>
        <w:rPr>
          <w:rFonts w:hint="eastAsia"/>
          <w:sz w:val="28"/>
          <w:szCs w:val="28"/>
        </w:rPr>
        <w:t>各单位、各部门应建立并执行项目支出绩效运行跟踪监控机制，切实履行绩效跟踪监控主体责任，预算执行过程中及时对项目支出的绩效目标运行情况进行全覆盖跟踪监控管理，形成绩效跟踪监控报告或类似资料，定期采集绩效运行信息并汇总分析，对绩效目标运行情况进行跟踪管理和督促检查、纠偏扬长，发现绩效运行目标与预期绩效目标发生偏离时，要及时采取措施予以纠正。</w:t>
      </w:r>
    </w:p>
    <w:p w14:paraId="3E74F7D0">
      <w:pPr>
        <w:ind w:firstLine="495" w:firstLineChars="177"/>
        <w:rPr>
          <w:rFonts w:hint="eastAsia"/>
          <w:sz w:val="28"/>
          <w:szCs w:val="28"/>
        </w:rPr>
      </w:pPr>
      <w:r>
        <w:rPr>
          <w:sz w:val="28"/>
          <w:szCs w:val="28"/>
        </w:rPr>
        <w:t>3.</w:t>
      </w:r>
      <w:r>
        <w:rPr>
          <w:rFonts w:hint="eastAsia"/>
          <w:sz w:val="28"/>
          <w:szCs w:val="28"/>
        </w:rPr>
        <w:t>加强绩效评价指标体系建设</w:t>
      </w:r>
    </w:p>
    <w:p w14:paraId="2853C460">
      <w:pPr>
        <w:ind w:firstLine="560"/>
        <w:rPr>
          <w:rFonts w:hint="eastAsia" w:cs="仿宋"/>
          <w:sz w:val="28"/>
          <w:szCs w:val="28"/>
        </w:rPr>
      </w:pPr>
      <w:r>
        <w:rPr>
          <w:rFonts w:hint="eastAsia"/>
          <w:sz w:val="28"/>
          <w:szCs w:val="28"/>
        </w:rPr>
        <w:t>进一步加大绩效评价制度建设和完善</w:t>
      </w:r>
      <w:bookmarkStart w:id="70" w:name="_Hlk138864084"/>
      <w:r>
        <w:rPr>
          <w:rFonts w:hint="eastAsia"/>
          <w:sz w:val="28"/>
          <w:szCs w:val="28"/>
        </w:rPr>
        <w:t>绩效评价指标体系建设</w:t>
      </w:r>
      <w:bookmarkEnd w:id="70"/>
      <w:r>
        <w:rPr>
          <w:rFonts w:hint="eastAsia"/>
          <w:sz w:val="28"/>
          <w:szCs w:val="28"/>
        </w:rPr>
        <w:t>，在制度上加强规范管理，在执行中加大督促力度，让绩效评价工作真正走上制度化、规范化、标准化的新台阶，加强领导、统一思想、明确责任，制定由相关部门牵头、各部门参与的绩效评价管理制度和绩效评价指标体系建设。</w:t>
      </w:r>
    </w:p>
    <w:p w14:paraId="30A15A3D">
      <w:pPr>
        <w:ind w:firstLine="560"/>
        <w:rPr>
          <w:rFonts w:hint="eastAsia" w:ascii="楷体" w:hAnsi="楷体" w:eastAsia="楷体" w:cs="仿宋"/>
          <w:sz w:val="28"/>
          <w:szCs w:val="28"/>
        </w:rPr>
      </w:pPr>
      <w:r>
        <w:rPr>
          <w:rFonts w:ascii="楷体" w:hAnsi="楷体" w:eastAsia="楷体" w:cs="仿宋"/>
          <w:sz w:val="28"/>
          <w:szCs w:val="28"/>
        </w:rPr>
        <w:t>(</w:t>
      </w:r>
      <w:r>
        <w:rPr>
          <w:rFonts w:hint="eastAsia" w:ascii="楷体" w:hAnsi="楷体" w:eastAsia="楷体" w:cs="仿宋"/>
          <w:sz w:val="28"/>
          <w:szCs w:val="28"/>
        </w:rPr>
        <w:t>三</w:t>
      </w:r>
      <w:r>
        <w:rPr>
          <w:rFonts w:ascii="楷体" w:hAnsi="楷体" w:eastAsia="楷体" w:cs="仿宋"/>
          <w:sz w:val="28"/>
          <w:szCs w:val="28"/>
        </w:rPr>
        <w:t>)加强学习，提高认识</w:t>
      </w:r>
    </w:p>
    <w:p w14:paraId="390F94F3">
      <w:pPr>
        <w:ind w:firstLine="495" w:firstLineChars="177"/>
        <w:rPr>
          <w:rFonts w:hint="eastAsia"/>
          <w:sz w:val="28"/>
          <w:szCs w:val="28"/>
        </w:rPr>
      </w:pPr>
      <w:r>
        <w:rPr>
          <w:rFonts w:hint="eastAsia"/>
          <w:sz w:val="28"/>
          <w:szCs w:val="28"/>
        </w:rPr>
        <w:t>认真学习并严格按照《中华人民共和国预算法》、《中华人民共和国会计法》、《政府会计制度》、《政府会计准则》及运用指南和解释等系列法律法规，规范资金使用合规性和会计核算准确性。对项目具体实施单位资金使用、管理等情况进行有效的日常财务监控检查，保障项目资金合法合规使用，保证项目资金安全和专款专用。</w:t>
      </w:r>
    </w:p>
    <w:p w14:paraId="25D2105C">
      <w:pPr>
        <w:ind w:firstLine="560"/>
        <w:rPr>
          <w:rFonts w:hint="eastAsia"/>
          <w:sz w:val="28"/>
          <w:szCs w:val="28"/>
        </w:rPr>
      </w:pPr>
      <w:r>
        <w:rPr>
          <w:rFonts w:hint="eastAsia"/>
          <w:sz w:val="28"/>
          <w:szCs w:val="28"/>
        </w:rPr>
        <w:t>切实转变思想观念，牢固树立绩效意识，深入贯彻落实科学发展观，完善公共财政体系，推进财政科学化精细化管理，强化预算支出的责任和效率，提高财政资金使用效益</w:t>
      </w:r>
      <w:r>
        <w:rPr>
          <w:rFonts w:hint="eastAsia" w:cs="仿宋"/>
          <w:sz w:val="28"/>
          <w:szCs w:val="28"/>
        </w:rPr>
        <w:t>。</w:t>
      </w:r>
      <w:bookmarkEnd w:id="68"/>
      <w:bookmarkEnd w:id="69"/>
    </w:p>
    <w:p w14:paraId="06CA6A59">
      <w:pPr>
        <w:ind w:firstLine="495" w:firstLineChars="177"/>
        <w:rPr>
          <w:rFonts w:hint="eastAsia" w:ascii="楷体" w:hAnsi="楷体" w:eastAsia="楷体"/>
          <w:sz w:val="28"/>
          <w:szCs w:val="28"/>
        </w:rPr>
      </w:pPr>
      <w:r>
        <w:rPr>
          <w:rFonts w:hint="eastAsia" w:ascii="楷体" w:hAnsi="楷体" w:eastAsia="楷体"/>
          <w:sz w:val="28"/>
          <w:szCs w:val="28"/>
        </w:rPr>
        <w:t>(四)关于绩效管理的建议</w:t>
      </w:r>
    </w:p>
    <w:p w14:paraId="1E5E9267">
      <w:pPr>
        <w:ind w:firstLine="495" w:firstLineChars="177"/>
        <w:rPr>
          <w:rFonts w:hint="eastAsia"/>
          <w:sz w:val="28"/>
          <w:szCs w:val="28"/>
        </w:rPr>
      </w:pPr>
      <w:r>
        <w:rPr>
          <w:rFonts w:hint="eastAsia"/>
          <w:sz w:val="28"/>
          <w:szCs w:val="28"/>
        </w:rPr>
        <w:t>1.绩效自评</w:t>
      </w:r>
    </w:p>
    <w:p w14:paraId="2D234A7E">
      <w:pPr>
        <w:ind w:firstLine="495" w:firstLineChars="177"/>
        <w:rPr>
          <w:rFonts w:hint="eastAsia"/>
          <w:sz w:val="28"/>
          <w:szCs w:val="28"/>
        </w:rPr>
      </w:pPr>
      <w:r>
        <w:rPr>
          <w:rFonts w:hint="eastAsia"/>
          <w:sz w:val="28"/>
          <w:szCs w:val="28"/>
        </w:rPr>
        <w:t>绩效自评是预算单位主体责任之一，按照绩效评价管理原则，须先有项目产出和效果的绩效自评结果，才有预算主管部门的绩效评价基础。自评程序及方法建议如下：</w:t>
      </w:r>
    </w:p>
    <w:p w14:paraId="3DED8BC8">
      <w:pPr>
        <w:ind w:firstLine="495" w:firstLineChars="177"/>
        <w:rPr>
          <w:rFonts w:hint="eastAsia"/>
          <w:sz w:val="28"/>
          <w:szCs w:val="28"/>
        </w:rPr>
      </w:pPr>
      <w:r>
        <w:rPr>
          <w:rFonts w:hint="eastAsia"/>
          <w:sz w:val="28"/>
          <w:szCs w:val="28"/>
        </w:rPr>
        <w:t>(1)遵循“目标引领、科学规范、客观公正、结果导向”的原则。</w:t>
      </w:r>
    </w:p>
    <w:p w14:paraId="5D18407C">
      <w:pPr>
        <w:ind w:firstLine="495" w:firstLineChars="177"/>
        <w:rPr>
          <w:rFonts w:hint="eastAsia"/>
          <w:sz w:val="28"/>
          <w:szCs w:val="28"/>
        </w:rPr>
      </w:pPr>
      <w:r>
        <w:rPr>
          <w:rFonts w:hint="eastAsia"/>
          <w:sz w:val="28"/>
          <w:szCs w:val="28"/>
        </w:rPr>
        <w:t>(2)拟定评价计划。明确评价组织实施方式，确定评价目的、内容、任务、依据、评价时间及要求等方面的情况。</w:t>
      </w:r>
    </w:p>
    <w:p w14:paraId="066EC42B">
      <w:pPr>
        <w:ind w:firstLine="495" w:firstLineChars="177"/>
        <w:rPr>
          <w:rFonts w:hint="eastAsia"/>
          <w:sz w:val="28"/>
          <w:szCs w:val="28"/>
        </w:rPr>
      </w:pPr>
      <w:r>
        <w:rPr>
          <w:rFonts w:hint="eastAsia"/>
          <w:sz w:val="28"/>
          <w:szCs w:val="28"/>
        </w:rPr>
        <w:t>(3)根据评价计划拟定组织实施方案、评价指标体系等具体评价方案。</w:t>
      </w:r>
    </w:p>
    <w:p w14:paraId="62686768">
      <w:pPr>
        <w:ind w:firstLine="495" w:firstLineChars="177"/>
        <w:rPr>
          <w:rFonts w:hint="eastAsia"/>
          <w:sz w:val="28"/>
          <w:szCs w:val="28"/>
        </w:rPr>
      </w:pPr>
      <w:r>
        <w:rPr>
          <w:rFonts w:hint="eastAsia"/>
          <w:sz w:val="28"/>
          <w:szCs w:val="28"/>
        </w:rPr>
        <w:t>(4)收集项目资料，采集项目数据，形成评价底稿。</w:t>
      </w:r>
    </w:p>
    <w:p w14:paraId="5A53ED0D">
      <w:pPr>
        <w:ind w:firstLine="495" w:firstLineChars="177"/>
        <w:rPr>
          <w:rFonts w:hint="eastAsia"/>
          <w:sz w:val="28"/>
          <w:szCs w:val="28"/>
        </w:rPr>
      </w:pPr>
      <w:r>
        <w:rPr>
          <w:rFonts w:hint="eastAsia"/>
          <w:sz w:val="28"/>
          <w:szCs w:val="28"/>
        </w:rPr>
        <w:t>①项目资料包括但不限于（可以是电子资料和数据，但需随函附上目录清单）：a.资金支出明细账、完工项目验收资料（基本建设项目还应包括财务决算审计报告、竣工财务决算批复文件等）；b.项目申报立项的文件资料、项目调整的文件资料、资金管理办法、项目组织实施有关规定、资金支出总账等；c.反映绩效评价指标所对应绩效点的相关佐证材料，如：项目所提供公共产品数量的证明，项目所产生经济效益的凭证。</w:t>
      </w:r>
    </w:p>
    <w:p w14:paraId="60B9F79E">
      <w:pPr>
        <w:ind w:firstLine="495" w:firstLineChars="177"/>
        <w:rPr>
          <w:rFonts w:hint="eastAsia"/>
          <w:sz w:val="28"/>
          <w:szCs w:val="28"/>
        </w:rPr>
      </w:pPr>
      <w:r>
        <w:rPr>
          <w:rFonts w:hint="eastAsia"/>
          <w:sz w:val="28"/>
          <w:szCs w:val="28"/>
        </w:rPr>
        <w:t>②完成自评底稿：a.详细记录评价数据及其来源；b.详细记录自评方法和过程；c.根据采集的数据和证据资料，计算每个绩效指标的实际指标值，并与目标值比较，并详细记录于底稿；d.详细记录每一个绩效指标的评价分值的计算过程及依据；e.详细记录绩效偏差原因分析及改进措施。</w:t>
      </w:r>
    </w:p>
    <w:p w14:paraId="595D57D1">
      <w:pPr>
        <w:ind w:firstLine="495" w:firstLineChars="177"/>
        <w:rPr>
          <w:rFonts w:hint="eastAsia"/>
          <w:sz w:val="28"/>
          <w:szCs w:val="28"/>
        </w:rPr>
      </w:pPr>
      <w:r>
        <w:rPr>
          <w:rFonts w:hint="eastAsia"/>
          <w:sz w:val="28"/>
          <w:szCs w:val="28"/>
        </w:rPr>
        <w:t>(5)编制绩效自评报告。绩效自评报告的参考格式参照《项目支出绩效评价管理办法》（财预〔2020〕10 号）附件。</w:t>
      </w:r>
    </w:p>
    <w:p w14:paraId="6CFECA95">
      <w:pPr>
        <w:ind w:firstLine="495" w:firstLineChars="177"/>
        <w:rPr>
          <w:rFonts w:hint="eastAsia"/>
          <w:sz w:val="28"/>
          <w:szCs w:val="28"/>
        </w:rPr>
      </w:pPr>
      <w:r>
        <w:rPr>
          <w:rFonts w:hint="eastAsia"/>
          <w:sz w:val="28"/>
          <w:szCs w:val="28"/>
        </w:rPr>
        <w:t>2.绩效运行跟踪监控</w:t>
      </w:r>
    </w:p>
    <w:p w14:paraId="05AEB849">
      <w:pPr>
        <w:ind w:firstLine="495" w:firstLineChars="177"/>
        <w:rPr>
          <w:rFonts w:hint="eastAsia"/>
          <w:sz w:val="28"/>
          <w:szCs w:val="28"/>
        </w:rPr>
      </w:pPr>
      <w:r>
        <w:rPr>
          <w:rFonts w:hint="eastAsia"/>
          <w:sz w:val="28"/>
          <w:szCs w:val="28"/>
        </w:rPr>
        <w:t>在项目执行过程中，单位应采取绩效跟踪、数据核查和实地调研等动态监控方式，及时掌控项目的进展和资金使用情况，及时纠正偏离预算绩效目标的行为。</w:t>
      </w:r>
    </w:p>
    <w:p w14:paraId="1AE06944">
      <w:pPr>
        <w:ind w:firstLine="560"/>
        <w:rPr>
          <w:rFonts w:hint="eastAsia"/>
          <w:sz w:val="28"/>
          <w:szCs w:val="28"/>
        </w:rPr>
      </w:pPr>
      <w:r>
        <w:rPr>
          <w:rFonts w:hint="eastAsia"/>
          <w:sz w:val="28"/>
          <w:szCs w:val="28"/>
        </w:rPr>
        <w:t>跟踪方法：目标比较法，即定期采集绩效运行信息并汇总分析，将财政资金的绩效实现情况与预期绩效目标（即预算批复的绩效目标）进行比较，围绕预算执行、任务完成、实施措施、资金管理及使用、效益情况等进行分析评判。</w:t>
      </w:r>
    </w:p>
    <w:p w14:paraId="2E3317A4">
      <w:pPr>
        <w:ind w:firstLine="495" w:firstLineChars="177"/>
        <w:rPr>
          <w:rFonts w:hint="eastAsia"/>
          <w:sz w:val="28"/>
          <w:szCs w:val="28"/>
        </w:rPr>
      </w:pPr>
      <w:r>
        <w:rPr>
          <w:rFonts w:hint="eastAsia" w:ascii="楷体" w:hAnsi="楷体" w:eastAsia="楷体" w:cs="仿宋"/>
          <w:sz w:val="28"/>
          <w:szCs w:val="28"/>
        </w:rPr>
        <w:t>(五</w:t>
      </w:r>
      <w:r>
        <w:rPr>
          <w:rFonts w:ascii="楷体" w:hAnsi="楷体" w:eastAsia="楷体" w:cs="仿宋"/>
          <w:sz w:val="28"/>
          <w:szCs w:val="28"/>
        </w:rPr>
        <w:t>)</w:t>
      </w:r>
      <w:r>
        <w:rPr>
          <w:rFonts w:hint="eastAsia" w:ascii="楷体" w:hAnsi="楷体" w:eastAsia="楷体" w:cs="仿宋"/>
          <w:sz w:val="28"/>
          <w:szCs w:val="28"/>
        </w:rPr>
        <w:t>具体问题处理建议</w:t>
      </w:r>
    </w:p>
    <w:p w14:paraId="791EC26B">
      <w:pPr>
        <w:ind w:firstLine="560"/>
        <w:rPr>
          <w:rFonts w:hint="eastAsia" w:cs="仿宋"/>
          <w:sz w:val="28"/>
          <w:szCs w:val="28"/>
        </w:rPr>
      </w:pPr>
      <w:r>
        <w:rPr>
          <w:rFonts w:hint="eastAsia" w:cs="仿宋"/>
          <w:sz w:val="28"/>
          <w:szCs w:val="28"/>
        </w:rPr>
        <w:t>1.针对上述“以拨代支”的问题，建议卫健局调整相关账务，以实际发生的投资成本确认项目建设成本。</w:t>
      </w:r>
    </w:p>
    <w:p w14:paraId="2C158CE4">
      <w:pPr>
        <w:ind w:firstLine="560"/>
        <w:rPr>
          <w:rFonts w:hint="eastAsia" w:cs="仿宋"/>
          <w:sz w:val="28"/>
          <w:szCs w:val="28"/>
        </w:rPr>
      </w:pPr>
      <w:r>
        <w:rPr>
          <w:rFonts w:hint="eastAsia" w:cs="仿宋"/>
          <w:sz w:val="28"/>
          <w:szCs w:val="28"/>
        </w:rPr>
        <w:t>2.针对上述“资本性支出费用化”建议卫健局</w:t>
      </w:r>
      <w:r>
        <w:rPr>
          <w:rFonts w:hint="eastAsia"/>
          <w:sz w:val="28"/>
          <w:szCs w:val="28"/>
        </w:rPr>
        <w:t>加强学习并严格执行财经法规的规定、调整相关账务</w:t>
      </w:r>
      <w:r>
        <w:rPr>
          <w:rFonts w:hint="eastAsia" w:cs="仿宋"/>
          <w:sz w:val="28"/>
          <w:szCs w:val="28"/>
        </w:rPr>
        <w:t>。</w:t>
      </w:r>
    </w:p>
    <w:p w14:paraId="51CAD0C8">
      <w:pPr>
        <w:ind w:firstLine="480"/>
        <w:rPr>
          <w:rFonts w:hint="eastAsia"/>
        </w:rPr>
      </w:pPr>
    </w:p>
    <w:p w14:paraId="6CB86D35">
      <w:pPr>
        <w:ind w:firstLine="560"/>
        <w:rPr>
          <w:rFonts w:hint="eastAsia" w:cs="仿宋"/>
          <w:sz w:val="28"/>
          <w:szCs w:val="28"/>
        </w:rPr>
      </w:pPr>
      <w:r>
        <w:rPr>
          <w:rFonts w:hint="eastAsia" w:cs="仿宋"/>
          <w:sz w:val="28"/>
          <w:szCs w:val="28"/>
        </w:rPr>
        <w:t>附件：寻甸县第二人民医院建设项目支出绩效评价指标体系及评分表</w:t>
      </w:r>
    </w:p>
    <w:p w14:paraId="7A428150">
      <w:pPr>
        <w:ind w:firstLine="300"/>
        <w:rPr>
          <w:rFonts w:hint="eastAsia"/>
          <w:sz w:val="15"/>
          <w:szCs w:val="15"/>
        </w:rPr>
      </w:pPr>
    </w:p>
    <w:p w14:paraId="6467CC07">
      <w:pPr>
        <w:ind w:firstLine="265" w:firstLineChars="177"/>
        <w:rPr>
          <w:rFonts w:hint="eastAsia" w:cs="仿宋"/>
          <w:sz w:val="15"/>
          <w:szCs w:val="15"/>
        </w:rPr>
      </w:pPr>
      <w:r>
        <w:rPr>
          <w:rFonts w:hint="eastAsia" w:cs="仿宋"/>
          <w:sz w:val="15"/>
          <w:szCs w:val="15"/>
        </w:rPr>
        <w:t xml:space="preserve">                           </w:t>
      </w:r>
    </w:p>
    <w:p w14:paraId="7D0B0D05">
      <w:pPr>
        <w:ind w:firstLine="0" w:firstLineChars="0"/>
        <w:rPr>
          <w:rFonts w:hint="eastAsia" w:cs="仿宋"/>
          <w:sz w:val="28"/>
          <w:szCs w:val="28"/>
        </w:rPr>
      </w:pPr>
      <w:r>
        <w:rPr>
          <w:rFonts w:hint="eastAsia" w:cs="仿宋"/>
          <w:sz w:val="28"/>
          <w:szCs w:val="28"/>
        </w:rPr>
        <w:t>云南京健会计师事务所（普通合伙）     中国注册会计师：</w:t>
      </w:r>
    </w:p>
    <w:p w14:paraId="2BFF68E9">
      <w:pPr>
        <w:spacing w:line="240" w:lineRule="auto"/>
        <w:ind w:firstLine="5040" w:firstLineChars="2100"/>
        <w:rPr>
          <w:rFonts w:hint="eastAsia" w:cs="仿宋"/>
          <w:szCs w:val="24"/>
        </w:rPr>
      </w:pPr>
    </w:p>
    <w:p w14:paraId="0068824C">
      <w:pPr>
        <w:spacing w:line="240" w:lineRule="auto"/>
        <w:ind w:firstLine="5040" w:firstLineChars="2100"/>
        <w:rPr>
          <w:rFonts w:hint="eastAsia" w:cs="仿宋"/>
          <w:szCs w:val="24"/>
        </w:rPr>
      </w:pPr>
    </w:p>
    <w:p w14:paraId="445B544F">
      <w:pPr>
        <w:spacing w:line="240" w:lineRule="auto"/>
        <w:ind w:firstLine="1400" w:firstLineChars="500"/>
        <w:rPr>
          <w:rFonts w:hint="eastAsia" w:cs="仿宋"/>
          <w:sz w:val="28"/>
          <w:szCs w:val="28"/>
        </w:rPr>
      </w:pPr>
      <w:r>
        <w:rPr>
          <w:rFonts w:hint="eastAsia" w:cs="仿宋"/>
          <w:sz w:val="28"/>
          <w:szCs w:val="28"/>
        </w:rPr>
        <w:t>中国•昆明                  中国注册会计师：</w:t>
      </w:r>
    </w:p>
    <w:p w14:paraId="7EBE251A">
      <w:pPr>
        <w:pStyle w:val="4"/>
        <w:spacing w:line="240" w:lineRule="auto"/>
        <w:ind w:firstLine="300"/>
        <w:rPr>
          <w:rFonts w:hint="eastAsia"/>
          <w:sz w:val="15"/>
          <w:szCs w:val="15"/>
        </w:rPr>
      </w:pPr>
    </w:p>
    <w:p w14:paraId="5FA24CD5">
      <w:pPr>
        <w:ind w:firstLine="560"/>
        <w:rPr>
          <w:rFonts w:hint="eastAsia" w:ascii="仿宋_GB2312" w:hAnsi="仿宋_GB2312" w:eastAsia="仿宋_GB2312" w:cs="仿宋_GB2312"/>
          <w:sz w:val="28"/>
          <w:szCs w:val="28"/>
          <w:highlight w:val="yellow"/>
        </w:rPr>
      </w:pPr>
      <w:r>
        <w:rPr>
          <w:rFonts w:hint="eastAsia" w:cs="仿宋"/>
          <w:sz w:val="28"/>
          <w:szCs w:val="28"/>
        </w:rPr>
        <w:t xml:space="preserve">                             二〇二四年九月二十五日</w:t>
      </w:r>
    </w:p>
    <w:sectPr>
      <w:footerReference r:id="rId11" w:type="default"/>
      <w:pgSz w:w="11906" w:h="16838"/>
      <w:pgMar w:top="1440" w:right="1803" w:bottom="1440" w:left="1803" w:header="1077" w:footer="992" w:gutter="0"/>
      <w:pgBorders>
        <w:top w:val="single" w:color="auto" w:sz="4" w:space="1"/>
        <w:bottom w:val="single" w:color="auto" w:sz="4" w:space="1"/>
      </w:pgBorders>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E4A28">
    <w:pPr>
      <w:spacing w:line="240" w:lineRule="auto"/>
      <w:ind w:firstLine="0" w:firstLineChars="0"/>
      <w:jc w:val="distribute"/>
      <w:rPr>
        <w:rFonts w:ascii="Calibri" w:hAnsi="Calibri" w:cs="Calibri"/>
        <w:sz w:val="18"/>
        <w:szCs w:val="18"/>
      </w:rPr>
    </w:pPr>
    <w:r>
      <w:rPr>
        <w:rFonts w:hint="eastAsia" w:ascii="宋体" w:hAnsi="宋体" w:eastAsia="宋体" w:cs="宋体"/>
        <w:sz w:val="18"/>
        <w:szCs w:val="18"/>
      </w:rPr>
      <w:t>地址（Add）：云南省昆明市滇池旅游度假区广福路中天融域24幢2单元1001号</w:t>
    </w:r>
    <w:r>
      <w:rPr>
        <w:rFonts w:hint="eastAsia" w:ascii="宋体" w:hAnsi="宋体" w:eastAsia="宋体" w:cs="宋体"/>
        <w:sz w:val="18"/>
        <w:szCs w:val="18"/>
      </w:rPr>
      <mc:AlternateContent>
        <mc:Choice Requires="wps">
          <w:drawing>
            <wp:anchor distT="0" distB="0" distL="114300" distR="114300" simplePos="0" relativeHeight="251662336" behindDoc="0" locked="0" layoutInCell="1" allowOverlap="1">
              <wp:simplePos x="0" y="0"/>
              <wp:positionH relativeFrom="margin">
                <wp:posOffset>2175510</wp:posOffset>
              </wp:positionH>
              <wp:positionV relativeFrom="paragraph">
                <wp:posOffset>132715</wp:posOffset>
              </wp:positionV>
              <wp:extent cx="343535" cy="1447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43535" cy="144780"/>
                      </a:xfrm>
                      <a:prstGeom prst="rect">
                        <a:avLst/>
                      </a:prstGeom>
                      <a:noFill/>
                      <a:ln w="6350">
                        <a:noFill/>
                      </a:ln>
                    </wps:spPr>
                    <wps:txbx>
                      <w:txbxContent>
                        <w:p w14:paraId="0C70D8CE">
                          <w:pPr>
                            <w:pStyle w:val="5"/>
                            <w:ind w:firstLine="360"/>
                            <w:rPr>
                              <w:rFonts w:hint="eastAsia"/>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1.3pt;margin-top:10.45pt;height:11.4pt;width:27.05pt;mso-position-horizontal-relative:margin;mso-wrap-style:none;z-index:251662336;mso-width-relative:page;mso-height-relative:page;" filled="f" stroked="f" coordsize="21600,21600" o:gfxdata="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JzJXXaAAAACQEAAA8AAAAAAAAAAQAgAAAAIgAAAGRycy9kb3ducmV2Lnht&#10;bFBLAQIUABQAAAAIAIdO4kD3OM5dMAIAAFMEAAAOAAAAAAAAAAEAIAAAACkBAABkcnMvZTJvRG9j&#10;LnhtbFBLBQYAAAAABgAGAFkBAADLBQAAAAA=&#10;">
              <v:fill on="f" focussize="0,0"/>
              <v:stroke on="f" weight="0.5pt"/>
              <v:imagedata o:title=""/>
              <o:lock v:ext="edit" aspectratio="f"/>
              <v:textbox inset="0mm,0mm,0mm,0mm">
                <w:txbxContent>
                  <w:p w14:paraId="0C70D8CE">
                    <w:pPr>
                      <w:pStyle w:val="5"/>
                      <w:ind w:firstLine="360"/>
                      <w:rPr>
                        <w:rFonts w:hint="eastAsia"/>
                      </w:rPr>
                    </w:pPr>
                  </w:p>
                </w:txbxContent>
              </v:textbox>
            </v:shape>
          </w:pict>
        </mc:Fallback>
      </mc:AlternateContent>
    </w:r>
    <w:r>
      <w:rPr>
        <w:rFonts w:hint="eastAsia" w:ascii="宋体" w:hAnsi="宋体" w:eastAsia="宋体" w:cs="宋体"/>
        <w:sz w:val="18"/>
        <w:szCs w:val="18"/>
      </w:rPr>
      <mc:AlternateContent>
        <mc:Choice Requires="wps">
          <w:drawing>
            <wp:anchor distT="0" distB="0" distL="114300" distR="114300" simplePos="0" relativeHeight="251663360" behindDoc="0" locked="0" layoutInCell="1" allowOverlap="1">
              <wp:simplePos x="0" y="0"/>
              <wp:positionH relativeFrom="margin">
                <wp:posOffset>1553210</wp:posOffset>
              </wp:positionH>
              <wp:positionV relativeFrom="paragraph">
                <wp:posOffset>76200</wp:posOffset>
              </wp:positionV>
              <wp:extent cx="495300" cy="149225"/>
              <wp:effectExtent l="0" t="0" r="0" b="0"/>
              <wp:wrapNone/>
              <wp:docPr id="7" name="文本框 7"/>
              <wp:cNvGraphicFramePr/>
              <a:graphic xmlns:a="http://schemas.openxmlformats.org/drawingml/2006/main">
                <a:graphicData uri="http://schemas.microsoft.com/office/word/2010/wordprocessingShape">
                  <wps:wsp>
                    <wps:cNvSpPr txBox="1"/>
                    <wps:spPr>
                      <a:xfrm flipH="1">
                        <a:off x="0" y="0"/>
                        <a:ext cx="495300" cy="149225"/>
                      </a:xfrm>
                      <a:prstGeom prst="rect">
                        <a:avLst/>
                      </a:prstGeom>
                      <a:noFill/>
                      <a:ln>
                        <a:noFill/>
                      </a:ln>
                    </wps:spPr>
                    <wps:txbx>
                      <w:txbxContent>
                        <w:p w14:paraId="3036F361">
                          <w:pPr>
                            <w:pStyle w:val="5"/>
                            <w:ind w:firstLine="360"/>
                            <w:rPr>
                              <w:rFonts w:hint="eastAsia"/>
                            </w:rPr>
                          </w:pPr>
                        </w:p>
                      </w:txbxContent>
                    </wps:txbx>
                    <wps:bodyPr lIns="0" tIns="0" rIns="0" bIns="0">
                      <a:noAutofit/>
                    </wps:bodyPr>
                  </wps:wsp>
                </a:graphicData>
              </a:graphic>
            </wp:anchor>
          </w:drawing>
        </mc:Choice>
        <mc:Fallback>
          <w:pict>
            <v:shape id="_x0000_s1026" o:spid="_x0000_s1026" o:spt="202" type="#_x0000_t202" style="position:absolute;left:0pt;flip:x;margin-left:122.3pt;margin-top:6pt;height:11.75pt;width:39pt;mso-position-horizontal-relative:margin;z-index:251663360;mso-width-relative:page;mso-height-relative:page;" filled="f" stroked="f" coordsize="21600,21600" o:gfxdata="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e+RtLXAAAACQEAAA8AAAAAAAAAAQAgAAAAIgAAAGRycy9kb3ducmV2&#10;LnhtbFBLAQIUABQAAAAIAIdO4kBKYPgLxAEAAIkDAAAOAAAAAAAAAAEAIAAAACYBAABkcnMvZTJv&#10;RG9jLnhtbFBLBQYAAAAABgAGAFkBAABcBQAAAAA=&#10;">
              <v:fill on="f" focussize="0,0"/>
              <v:stroke on="f"/>
              <v:imagedata o:title=""/>
              <o:lock v:ext="edit" aspectratio="f"/>
              <v:textbox inset="0mm,0mm,0mm,0mm">
                <w:txbxContent>
                  <w:p w14:paraId="3036F361">
                    <w:pPr>
                      <w:pStyle w:val="5"/>
                      <w:ind w:firstLine="360"/>
                      <w:rPr>
                        <w:rFonts w:hint="eastAsia"/>
                      </w:rPr>
                    </w:pPr>
                  </w:p>
                </w:txbxContent>
              </v:textbox>
            </v:shape>
          </w:pict>
        </mc:Fallback>
      </mc:AlternateContent>
    </w:r>
    <w:r>
      <w:rPr>
        <w:rFonts w:ascii="Calibri" w:hAnsi="Calibri" w:cs="Calibri"/>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90D31">
                          <w:pPr>
                            <w:pStyle w:val="5"/>
                            <w:ind w:firstLine="360"/>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BF90D31">
                    <w:pPr>
                      <w:pStyle w:val="5"/>
                      <w:ind w:firstLine="360"/>
                      <w:rPr>
                        <w:rFonts w:hint="eastAsia"/>
                      </w:rPr>
                    </w:pPr>
                  </w:p>
                </w:txbxContent>
              </v:textbox>
            </v:shape>
          </w:pict>
        </mc:Fallback>
      </mc:AlternateContent>
    </w:r>
  </w:p>
  <w:p w14:paraId="5B4F97AD">
    <w:pPr>
      <w:spacing w:line="240" w:lineRule="auto"/>
      <w:ind w:firstLine="0" w:firstLineChars="0"/>
      <w:jc w:val="distribute"/>
      <w:rPr>
        <w:rFonts w:ascii="Calibri" w:hAnsi="Calibri" w:cs="Calibri"/>
        <w:sz w:val="18"/>
        <w:szCs w:val="18"/>
      </w:rPr>
    </w:pPr>
    <w:r>
      <w:rPr>
        <w:rFonts w:hint="eastAsia" w:ascii="宋体" w:hAnsi="宋体" w:eastAsia="宋体" w:cs="宋体"/>
        <w:sz w:val="18"/>
        <w:szCs w:val="18"/>
      </w:rPr>
      <mc:AlternateContent>
        <mc:Choice Requires="wps">
          <w:drawing>
            <wp:anchor distT="0" distB="0" distL="114300" distR="114300" simplePos="0" relativeHeight="251659264" behindDoc="0" locked="0" layoutInCell="1" allowOverlap="1">
              <wp:simplePos x="0" y="0"/>
              <wp:positionH relativeFrom="margin">
                <wp:posOffset>2175510</wp:posOffset>
              </wp:positionH>
              <wp:positionV relativeFrom="paragraph">
                <wp:posOffset>132715</wp:posOffset>
              </wp:positionV>
              <wp:extent cx="343535" cy="1447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43535" cy="144780"/>
                      </a:xfrm>
                      <a:prstGeom prst="rect">
                        <a:avLst/>
                      </a:prstGeom>
                      <a:noFill/>
                      <a:ln w="6350">
                        <a:noFill/>
                      </a:ln>
                    </wps:spPr>
                    <wps:txbx>
                      <w:txbxContent>
                        <w:p w14:paraId="17B794D5">
                          <w:pPr>
                            <w:pStyle w:val="5"/>
                            <w:ind w:firstLine="360"/>
                            <w:rPr>
                              <w:rFonts w:hint="eastAsia"/>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1.3pt;margin-top:10.45pt;height:11.4pt;width:27.05pt;mso-position-horizontal-relative:margin;mso-wrap-style:none;z-index:251659264;mso-width-relative:page;mso-height-relative:page;" filled="f" stroked="f" coordsize="21600,21600" o:gfxdata="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JzJXXaAAAACQEAAA8AAAAAAAAAAQAgAAAAIgAAAGRycy9kb3ducmV2Lnht&#10;bFBLAQIUABQAAAAIAIdO4kABWAd4MAIAAFMEAAAOAAAAAAAAAAEAIAAAACkBAABkcnMvZTJvRG9j&#10;LnhtbFBLBQYAAAAABgAGAFkBAADLBQAAAAA=&#10;">
              <v:fill on="f" focussize="0,0"/>
              <v:stroke on="f" weight="0.5pt"/>
              <v:imagedata o:title=""/>
              <o:lock v:ext="edit" aspectratio="f"/>
              <v:textbox inset="0mm,0mm,0mm,0mm">
                <w:txbxContent>
                  <w:p w14:paraId="17B794D5">
                    <w:pPr>
                      <w:pStyle w:val="5"/>
                      <w:ind w:firstLine="360"/>
                      <w:rPr>
                        <w:rFonts w:hint="eastAsia"/>
                      </w:rPr>
                    </w:pPr>
                  </w:p>
                </w:txbxContent>
              </v:textbox>
            </v:shape>
          </w:pict>
        </mc:Fallback>
      </mc:AlternateContent>
    </w:r>
    <w:r>
      <w:rPr>
        <w:rFonts w:hint="eastAsia" w:ascii="宋体" w:hAnsi="宋体" w:eastAsia="宋体" w:cs="宋体"/>
        <w:sz w:val="18"/>
        <w:szCs w:val="18"/>
      </w:rPr>
      <mc:AlternateContent>
        <mc:Choice Requires="wps">
          <w:drawing>
            <wp:anchor distT="0" distB="0" distL="114300" distR="114300" simplePos="0" relativeHeight="251660288" behindDoc="0" locked="0" layoutInCell="1" allowOverlap="1">
              <wp:simplePos x="0" y="0"/>
              <wp:positionH relativeFrom="margin">
                <wp:posOffset>1553210</wp:posOffset>
              </wp:positionH>
              <wp:positionV relativeFrom="paragraph">
                <wp:posOffset>76200</wp:posOffset>
              </wp:positionV>
              <wp:extent cx="495300" cy="149225"/>
              <wp:effectExtent l="0" t="0" r="0" b="0"/>
              <wp:wrapNone/>
              <wp:docPr id="6" name="文本框 6"/>
              <wp:cNvGraphicFramePr/>
              <a:graphic xmlns:a="http://schemas.openxmlformats.org/drawingml/2006/main">
                <a:graphicData uri="http://schemas.microsoft.com/office/word/2010/wordprocessingShape">
                  <wps:wsp>
                    <wps:cNvSpPr txBox="1"/>
                    <wps:spPr>
                      <a:xfrm flipH="1">
                        <a:off x="0" y="0"/>
                        <a:ext cx="495300" cy="149225"/>
                      </a:xfrm>
                      <a:prstGeom prst="rect">
                        <a:avLst/>
                      </a:prstGeom>
                      <a:noFill/>
                      <a:ln>
                        <a:noFill/>
                      </a:ln>
                    </wps:spPr>
                    <wps:txbx>
                      <w:txbxContent>
                        <w:p w14:paraId="2EC80B84">
                          <w:pPr>
                            <w:ind w:firstLine="480"/>
                            <w:rPr>
                              <w:rFonts w:hint="eastAsia"/>
                            </w:rPr>
                          </w:pPr>
                        </w:p>
                      </w:txbxContent>
                    </wps:txbx>
                    <wps:bodyPr lIns="0" tIns="0" rIns="0" bIns="0">
                      <a:noAutofit/>
                    </wps:bodyPr>
                  </wps:wsp>
                </a:graphicData>
              </a:graphic>
            </wp:anchor>
          </w:drawing>
        </mc:Choice>
        <mc:Fallback>
          <w:pict>
            <v:shape id="_x0000_s1026" o:spid="_x0000_s1026" o:spt="202" type="#_x0000_t202" style="position:absolute;left:0pt;flip:x;margin-left:122.3pt;margin-top:6pt;height:11.75pt;width:39pt;mso-position-horizontal-relative:margin;z-index:251660288;mso-width-relative:page;mso-height-relative:page;" filled="f" stroked="f" coordsize="21600,21600" o:gfxdata="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e+RtLXAAAACQEAAA8AAAAAAAAAAQAgAAAAIgAAAGRycy9kb3ducmV2&#10;LnhtbFBLAQIUABQAAAAIAIdO4kBhtChnxAEAAIkDAAAOAAAAAAAAAAEAIAAAACYBAABkcnMvZTJv&#10;RG9jLnhtbFBLBQYAAAAABgAGAFkBAABcBQAAAAA=&#10;">
              <v:fill on="f" focussize="0,0"/>
              <v:stroke on="f"/>
              <v:imagedata o:title=""/>
              <o:lock v:ext="edit" aspectratio="f"/>
              <v:textbox inset="0mm,0mm,0mm,0mm">
                <w:txbxContent>
                  <w:p w14:paraId="2EC80B84">
                    <w:pPr>
                      <w:ind w:firstLine="480"/>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FFFFD">
    <w:pPr>
      <w:pStyle w:val="5"/>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22B6A">
    <w:pPr>
      <w:pStyle w:val="5"/>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CEF83">
    <w:pPr>
      <w:spacing w:line="240" w:lineRule="auto"/>
      <w:ind w:firstLine="0" w:firstLineChars="0"/>
      <w:rPr>
        <w:rFonts w:hint="eastAsia"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posOffset>2061845</wp:posOffset>
              </wp:positionH>
              <wp:positionV relativeFrom="paragraph">
                <wp:posOffset>635</wp:posOffset>
              </wp:positionV>
              <wp:extent cx="1847850" cy="196850"/>
              <wp:effectExtent l="0" t="0" r="0" b="12700"/>
              <wp:wrapNone/>
              <wp:docPr id="28" name="文本框 28"/>
              <wp:cNvGraphicFramePr/>
              <a:graphic xmlns:a="http://schemas.openxmlformats.org/drawingml/2006/main">
                <a:graphicData uri="http://schemas.microsoft.com/office/word/2010/wordprocessingShape">
                  <wps:wsp>
                    <wps:cNvSpPr txBox="1"/>
                    <wps:spPr>
                      <a:xfrm>
                        <a:off x="0" y="0"/>
                        <a:ext cx="1847850" cy="196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E0D86">
                          <w:pPr>
                            <w:pStyle w:val="5"/>
                            <w:ind w:firstLine="360"/>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21</w:t>
                          </w:r>
                          <w: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2.35pt;margin-top:0.05pt;height:15.5pt;width:145.5pt;mso-position-horizontal-relative:margin;z-index:251668480;mso-width-relative:page;mso-height-relative:page;" filled="f" stroked="f" coordsize="21600,21600" o:gfxdata="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0F8Z0wAAAAcBAAAPAAAAAAAAAAEAIAAAACIAAABkcnMvZG93bnJldi54bWxQSwECFAAU&#10;AAAACACHTuJAv4TkQS8CAABYBAAADgAAAAAAAAABACAAAAAiAQAAZHJzL2Uyb0RvYy54bWxQSwUG&#10;AAAAAAYABgBZAQAAwwUAAAAA&#10;">
              <v:fill on="f" focussize="0,0"/>
              <v:stroke on="f" weight="0.5pt"/>
              <v:imagedata o:title=""/>
              <o:lock v:ext="edit" aspectratio="f"/>
              <v:textbox inset="0mm,0mm,0mm,0mm">
                <w:txbxContent>
                  <w:p w14:paraId="69EE0D86">
                    <w:pPr>
                      <w:pStyle w:val="5"/>
                      <w:ind w:firstLine="360"/>
                      <w:rPr>
                        <w:rFonts w:hint="eastAsia"/>
                      </w:rPr>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21</w:t>
                    </w:r>
                    <w:r>
                      <w:t>页</w:t>
                    </w:r>
                  </w:p>
                </w:txbxContent>
              </v:textbox>
            </v:shape>
          </w:pict>
        </mc:Fallback>
      </mc:AlternateContent>
    </w:r>
    <w:r>
      <w:rPr>
        <w:sz w:val="18"/>
        <w:szCs w:val="18"/>
      </w:rPr>
      <mc:AlternateContent>
        <mc:Choice Requires="wps">
          <w:drawing>
            <wp:anchor distT="0" distB="0" distL="114300" distR="114300" simplePos="0" relativeHeight="251667456" behindDoc="0" locked="0" layoutInCell="1" allowOverlap="1">
              <wp:simplePos x="0" y="0"/>
              <wp:positionH relativeFrom="margin">
                <wp:posOffset>2517775</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16C22">
                          <w:pPr>
                            <w:pStyle w:val="5"/>
                            <w:ind w:firstLine="360"/>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8.25pt;margin-top:0pt;height:144pt;width:144pt;mso-position-horizontal-relative:margin;mso-wrap-style:none;z-index:251667456;mso-width-relative:page;mso-height-relative:page;" filled="f" stroked="f" coordsize="21600,21600" o:gfxdata="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evbmbVAAAACAEAAA8AAAAAAAAAAQAgAAAAIgAAAGRycy9kb3ducmV2LnhtbFBLAQIUABQA&#10;AAAIAIdO4kCvY9gwLAIAAFUEAAAOAAAAAAAAAAEAIAAAACQBAABkcnMvZTJvRG9jLnhtbFBLBQYA&#10;AAAABgAGAFkBAADCBQAAAAA=&#10;">
              <v:fill on="f" focussize="0,0"/>
              <v:stroke on="f" weight="0.5pt"/>
              <v:imagedata o:title=""/>
              <o:lock v:ext="edit" aspectratio="f"/>
              <v:textbox inset="0mm,0mm,0mm,0mm" style="mso-fit-shape-to-text:t;">
                <w:txbxContent>
                  <w:p w14:paraId="7D616C22">
                    <w:pPr>
                      <w:pStyle w:val="5"/>
                      <w:ind w:firstLine="360"/>
                      <w:rPr>
                        <w:rFonts w:hint="eastAsia"/>
                      </w:rPr>
                    </w:pPr>
                  </w:p>
                </w:txbxContent>
              </v:textbox>
            </v:shape>
          </w:pict>
        </mc:Fallback>
      </mc:AlternateContent>
    </w:r>
  </w:p>
  <w:p w14:paraId="18DD44EA">
    <w:pPr>
      <w:spacing w:line="240" w:lineRule="auto"/>
      <w:ind w:firstLine="0" w:firstLineChars="0"/>
      <w:jc w:val="distribute"/>
      <w:rPr>
        <w:rFonts w:ascii="Calibri" w:hAnsi="Calibri" w:cs="Calibri"/>
        <w:sz w:val="18"/>
        <w:szCs w:val="18"/>
      </w:rPr>
    </w:pPr>
    <w:r>
      <w:rPr>
        <w:rFonts w:hint="eastAsia" w:ascii="宋体" w:hAnsi="宋体" w:eastAsia="宋体" w:cs="宋体"/>
        <w:sz w:val="18"/>
        <w:szCs w:val="18"/>
      </w:rPr>
      <mc:AlternateContent>
        <mc:Choice Requires="wps">
          <w:drawing>
            <wp:anchor distT="0" distB="0" distL="114300" distR="114300" simplePos="0" relativeHeight="251666432" behindDoc="0" locked="0" layoutInCell="1" allowOverlap="1">
              <wp:simplePos x="0" y="0"/>
              <wp:positionH relativeFrom="margin">
                <wp:posOffset>2175510</wp:posOffset>
              </wp:positionH>
              <wp:positionV relativeFrom="paragraph">
                <wp:posOffset>132715</wp:posOffset>
              </wp:positionV>
              <wp:extent cx="343535" cy="14478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343535" cy="144780"/>
                      </a:xfrm>
                      <a:prstGeom prst="rect">
                        <a:avLst/>
                      </a:prstGeom>
                      <a:noFill/>
                      <a:ln w="6350">
                        <a:noFill/>
                      </a:ln>
                    </wps:spPr>
                    <wps:txbx>
                      <w:txbxContent>
                        <w:p w14:paraId="113CABD2">
                          <w:pPr>
                            <w:pStyle w:val="5"/>
                            <w:ind w:firstLine="0" w:firstLineChars="0"/>
                            <w:rPr>
                              <w:rFonts w:hint="eastAsia"/>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1.3pt;margin-top:10.45pt;height:11.4pt;width:27.05pt;mso-position-horizontal-relative:margin;mso-wrap-style:none;z-index:251666432;mso-width-relative:page;mso-height-relative:page;" filled="f" stroked="f" coordsize="21600,21600" o:gfxdata="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JzJXXaAAAACQEAAA8AAAAAAAAAAQAgAAAAIgAAAGRycy9kb3ducmV2Lnht&#10;bFBLAQIUABQAAAAIAIdO4kDw0IXZMAIAAFUEAAAOAAAAAAAAAAEAIAAAACkBAABkcnMvZTJvRG9j&#10;LnhtbFBLBQYAAAAABgAGAFkBAADLBQAAAAA=&#10;">
              <v:fill on="f" focussize="0,0"/>
              <v:stroke on="f" weight="0.5pt"/>
              <v:imagedata o:title=""/>
              <o:lock v:ext="edit" aspectratio="f"/>
              <v:textbox inset="0mm,0mm,0mm,0mm">
                <w:txbxContent>
                  <w:p w14:paraId="113CABD2">
                    <w:pPr>
                      <w:pStyle w:val="5"/>
                      <w:ind w:firstLine="0" w:firstLineChars="0"/>
                      <w:rPr>
                        <w:rFonts w:hint="eastAsia"/>
                      </w:rPr>
                    </w:pPr>
                  </w:p>
                </w:txbxContent>
              </v:textbox>
            </v:shape>
          </w:pict>
        </mc:Fallback>
      </mc:AlternateContent>
    </w:r>
    <w:r>
      <w:rPr>
        <w:rFonts w:ascii="Calibri" w:hAnsi="Calibri" w:cs="Calibri"/>
        <w:sz w:val="18"/>
        <w:szCs w:val="18"/>
      </w:rPr>
      <mc:AlternateContent>
        <mc:Choice Requires="wps">
          <w:drawing>
            <wp:anchor distT="0" distB="0" distL="114300" distR="114300" simplePos="0" relativeHeight="251665408" behindDoc="0" locked="0" layoutInCell="1" allowOverlap="1">
              <wp:simplePos x="0" y="0"/>
              <wp:positionH relativeFrom="margin">
                <wp:posOffset>2517775</wp:posOffset>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1258D">
                          <w:pPr>
                            <w:pStyle w:val="5"/>
                            <w:ind w:firstLine="0" w:firstLineChars="0"/>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8.25pt;margin-top:0pt;height:144pt;width:144pt;mso-position-horizontal-relative:margin;mso-wrap-style:none;z-index:251665408;mso-width-relative:page;mso-height-relative:page;" filled="f" stroked="f" coordsize="21600,21600" o:gfxdata="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569uZtUAAAAIAQAADwAAAAAAAAABACAAAAAiAAAAZHJzL2Rvd25yZXYueG1sUEsBAhQAFAAA&#10;AAgAh07iQEm63mMrAgAAVwQAAA4AAAAAAAAAAQAgAAAAJAEAAGRycy9lMm9Eb2MueG1sUEsFBgAA&#10;AAAGAAYAWQEAAMEFAAAAAA==&#10;">
              <v:fill on="f" focussize="0,0"/>
              <v:stroke on="f" weight="0.5pt"/>
              <v:imagedata o:title=""/>
              <o:lock v:ext="edit" aspectratio="f"/>
              <v:textbox inset="0mm,0mm,0mm,0mm" style="mso-fit-shape-to-text:t;">
                <w:txbxContent>
                  <w:p w14:paraId="71A1258D">
                    <w:pPr>
                      <w:pStyle w:val="5"/>
                      <w:ind w:firstLine="0" w:firstLineChars="0"/>
                      <w:rPr>
                        <w:rFonts w:hint="eastAsia"/>
                      </w:rPr>
                    </w:pPr>
                  </w:p>
                </w:txbxContent>
              </v:textbox>
            </v:shape>
          </w:pict>
        </mc:Fallback>
      </mc:AlternateContent>
    </w:r>
    <w:r>
      <w:rPr>
        <w:rFonts w:hint="eastAsia" w:ascii="宋体" w:hAnsi="宋体" w:eastAsia="宋体" w:cs="宋体"/>
        <w:sz w:val="18"/>
        <w:szCs w:val="18"/>
      </w:rPr>
      <mc:AlternateContent>
        <mc:Choice Requires="wps">
          <w:drawing>
            <wp:anchor distT="0" distB="0" distL="114300" distR="114300" simplePos="0" relativeHeight="251664384" behindDoc="0" locked="0" layoutInCell="1" allowOverlap="1">
              <wp:simplePos x="0" y="0"/>
              <wp:positionH relativeFrom="margin">
                <wp:posOffset>2175510</wp:posOffset>
              </wp:positionH>
              <wp:positionV relativeFrom="paragraph">
                <wp:posOffset>132715</wp:posOffset>
              </wp:positionV>
              <wp:extent cx="343535" cy="1447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43535" cy="144780"/>
                      </a:xfrm>
                      <a:prstGeom prst="rect">
                        <a:avLst/>
                      </a:prstGeom>
                      <a:noFill/>
                      <a:ln w="6350">
                        <a:noFill/>
                      </a:ln>
                    </wps:spPr>
                    <wps:txbx>
                      <w:txbxContent>
                        <w:p w14:paraId="51D01650">
                          <w:pPr>
                            <w:pStyle w:val="5"/>
                            <w:ind w:firstLine="360"/>
                            <w:rPr>
                              <w:rFonts w:hint="eastAsia"/>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1.3pt;margin-top:10.45pt;height:11.4pt;width:27.05pt;mso-position-horizontal-relative:margin;mso-wrap-style:none;z-index:251664384;mso-width-relative:page;mso-height-relative:page;" filled="f" stroked="f" coordsize="21600,21600" o:gfxdata="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JzJXXaAAAACQEAAA8AAAAAAAAAAQAgAAAAIgAAAGRycy9kb3ducmV2Lnht&#10;bFBLAQIUABQAAAAIAIdO4kAN5JApMAIAAFUEAAAOAAAAAAAAAAEAIAAAACkBAABkcnMvZTJvRG9j&#10;LnhtbFBLBQYAAAAABgAGAFkBAADLBQAAAAA=&#10;">
              <v:fill on="f" focussize="0,0"/>
              <v:stroke on="f" weight="0.5pt"/>
              <v:imagedata o:title=""/>
              <o:lock v:ext="edit" aspectratio="f"/>
              <v:textbox inset="0mm,0mm,0mm,0mm">
                <w:txbxContent>
                  <w:p w14:paraId="51D01650">
                    <w:pPr>
                      <w:pStyle w:val="5"/>
                      <w:ind w:firstLine="360"/>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FDC20">
    <w:pPr>
      <w:pStyle w:val="6"/>
      <w:spacing w:line="240" w:lineRule="auto"/>
      <w:ind w:firstLine="0" w:firstLineChars="0"/>
      <w:jc w:val="right"/>
      <w:rPr>
        <w:rFonts w:hint="eastAsia" w:ascii="隶书" w:eastAsia="隶书"/>
      </w:rPr>
    </w:pPr>
    <w:r>
      <w:rPr>
        <w:rFonts w:hint="eastAsia" w:ascii="隶书" w:eastAsia="隶书"/>
        <w:sz w:val="21"/>
        <w:szCs w:val="21"/>
      </w:rPr>
      <w:t>云南京健会计师事务所（普通合伙）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134F7">
    <w:pPr>
      <w:pStyle w:val="6"/>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8116">
    <w:pPr>
      <w:pStyle w:val="6"/>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AE6716"/>
    <w:rsid w:val="00002219"/>
    <w:rsid w:val="000038D4"/>
    <w:rsid w:val="00005169"/>
    <w:rsid w:val="0000608E"/>
    <w:rsid w:val="00011C57"/>
    <w:rsid w:val="00015509"/>
    <w:rsid w:val="00024B3C"/>
    <w:rsid w:val="0003307D"/>
    <w:rsid w:val="00033BE3"/>
    <w:rsid w:val="000361C1"/>
    <w:rsid w:val="00044C9E"/>
    <w:rsid w:val="0005055D"/>
    <w:rsid w:val="00064E98"/>
    <w:rsid w:val="00086A0F"/>
    <w:rsid w:val="000B6965"/>
    <w:rsid w:val="000D1D34"/>
    <w:rsid w:val="000E2072"/>
    <w:rsid w:val="000F72F8"/>
    <w:rsid w:val="001214D1"/>
    <w:rsid w:val="001239EA"/>
    <w:rsid w:val="001264B1"/>
    <w:rsid w:val="00142AB7"/>
    <w:rsid w:val="001572F5"/>
    <w:rsid w:val="00166060"/>
    <w:rsid w:val="00180D6B"/>
    <w:rsid w:val="001A670E"/>
    <w:rsid w:val="001B0A62"/>
    <w:rsid w:val="001E5BB7"/>
    <w:rsid w:val="001E74EE"/>
    <w:rsid w:val="001F2A85"/>
    <w:rsid w:val="00202A6A"/>
    <w:rsid w:val="00214176"/>
    <w:rsid w:val="002203D9"/>
    <w:rsid w:val="002415BB"/>
    <w:rsid w:val="0025552D"/>
    <w:rsid w:val="002712A3"/>
    <w:rsid w:val="002715D8"/>
    <w:rsid w:val="002719B5"/>
    <w:rsid w:val="00275F57"/>
    <w:rsid w:val="00280F61"/>
    <w:rsid w:val="002C2048"/>
    <w:rsid w:val="002D2828"/>
    <w:rsid w:val="002F42E5"/>
    <w:rsid w:val="00326965"/>
    <w:rsid w:val="00340ADF"/>
    <w:rsid w:val="00352558"/>
    <w:rsid w:val="00370B44"/>
    <w:rsid w:val="003712D1"/>
    <w:rsid w:val="003722B5"/>
    <w:rsid w:val="00374C05"/>
    <w:rsid w:val="003756BB"/>
    <w:rsid w:val="003856E2"/>
    <w:rsid w:val="00391CCA"/>
    <w:rsid w:val="003935FA"/>
    <w:rsid w:val="003A1E68"/>
    <w:rsid w:val="003A2646"/>
    <w:rsid w:val="003A27F7"/>
    <w:rsid w:val="003B05DD"/>
    <w:rsid w:val="003B32E5"/>
    <w:rsid w:val="003B3D37"/>
    <w:rsid w:val="003B4DEF"/>
    <w:rsid w:val="003C273F"/>
    <w:rsid w:val="003D39DD"/>
    <w:rsid w:val="003E11E1"/>
    <w:rsid w:val="003F052C"/>
    <w:rsid w:val="003F4E19"/>
    <w:rsid w:val="00403F6D"/>
    <w:rsid w:val="0040495C"/>
    <w:rsid w:val="0042036D"/>
    <w:rsid w:val="00422D75"/>
    <w:rsid w:val="00431574"/>
    <w:rsid w:val="004329B0"/>
    <w:rsid w:val="0044645E"/>
    <w:rsid w:val="004503E8"/>
    <w:rsid w:val="0047338E"/>
    <w:rsid w:val="00483509"/>
    <w:rsid w:val="0048737F"/>
    <w:rsid w:val="00493D71"/>
    <w:rsid w:val="004A457C"/>
    <w:rsid w:val="004B0346"/>
    <w:rsid w:val="004C5B65"/>
    <w:rsid w:val="004C5B92"/>
    <w:rsid w:val="004D6964"/>
    <w:rsid w:val="004E26CD"/>
    <w:rsid w:val="00511D5C"/>
    <w:rsid w:val="00515092"/>
    <w:rsid w:val="005220D0"/>
    <w:rsid w:val="00532715"/>
    <w:rsid w:val="00533749"/>
    <w:rsid w:val="00571DF9"/>
    <w:rsid w:val="00586C37"/>
    <w:rsid w:val="005927C2"/>
    <w:rsid w:val="005B1321"/>
    <w:rsid w:val="005B2093"/>
    <w:rsid w:val="005B639E"/>
    <w:rsid w:val="005C18B1"/>
    <w:rsid w:val="005C43AC"/>
    <w:rsid w:val="005C573E"/>
    <w:rsid w:val="005D1A8D"/>
    <w:rsid w:val="005D6324"/>
    <w:rsid w:val="005E15A2"/>
    <w:rsid w:val="005E6414"/>
    <w:rsid w:val="005E6E6C"/>
    <w:rsid w:val="005F68D0"/>
    <w:rsid w:val="00604810"/>
    <w:rsid w:val="00611E60"/>
    <w:rsid w:val="006149C5"/>
    <w:rsid w:val="00614B5D"/>
    <w:rsid w:val="006306BF"/>
    <w:rsid w:val="00640D04"/>
    <w:rsid w:val="0064231A"/>
    <w:rsid w:val="0066613F"/>
    <w:rsid w:val="0066677A"/>
    <w:rsid w:val="006703CD"/>
    <w:rsid w:val="0067124D"/>
    <w:rsid w:val="0068706F"/>
    <w:rsid w:val="006B193F"/>
    <w:rsid w:val="006B4261"/>
    <w:rsid w:val="006C257B"/>
    <w:rsid w:val="006C43D2"/>
    <w:rsid w:val="006C5BA8"/>
    <w:rsid w:val="006C798D"/>
    <w:rsid w:val="006E438B"/>
    <w:rsid w:val="006E5D1A"/>
    <w:rsid w:val="006E6946"/>
    <w:rsid w:val="0071483A"/>
    <w:rsid w:val="00730ADF"/>
    <w:rsid w:val="00731A35"/>
    <w:rsid w:val="00763E3C"/>
    <w:rsid w:val="00770054"/>
    <w:rsid w:val="007701F9"/>
    <w:rsid w:val="0077314F"/>
    <w:rsid w:val="007733AF"/>
    <w:rsid w:val="007926C2"/>
    <w:rsid w:val="007A2B55"/>
    <w:rsid w:val="007B2524"/>
    <w:rsid w:val="007C45FD"/>
    <w:rsid w:val="007D06F9"/>
    <w:rsid w:val="007D29F6"/>
    <w:rsid w:val="007F143F"/>
    <w:rsid w:val="007F5A7A"/>
    <w:rsid w:val="008041E4"/>
    <w:rsid w:val="008071AD"/>
    <w:rsid w:val="008113A7"/>
    <w:rsid w:val="0081361F"/>
    <w:rsid w:val="008362BE"/>
    <w:rsid w:val="00841B15"/>
    <w:rsid w:val="008438CF"/>
    <w:rsid w:val="008445D5"/>
    <w:rsid w:val="00854DF0"/>
    <w:rsid w:val="00861AF7"/>
    <w:rsid w:val="00864C20"/>
    <w:rsid w:val="00876B68"/>
    <w:rsid w:val="008A6E93"/>
    <w:rsid w:val="008B0C94"/>
    <w:rsid w:val="008B79EC"/>
    <w:rsid w:val="008C6B4A"/>
    <w:rsid w:val="008D6685"/>
    <w:rsid w:val="00913BC2"/>
    <w:rsid w:val="009223AD"/>
    <w:rsid w:val="00932AF3"/>
    <w:rsid w:val="00932D0E"/>
    <w:rsid w:val="009444DF"/>
    <w:rsid w:val="009654AB"/>
    <w:rsid w:val="009850B8"/>
    <w:rsid w:val="00986C3F"/>
    <w:rsid w:val="009B15DF"/>
    <w:rsid w:val="009B4B58"/>
    <w:rsid w:val="009C0BE2"/>
    <w:rsid w:val="009C4DF1"/>
    <w:rsid w:val="009F5083"/>
    <w:rsid w:val="009F65C5"/>
    <w:rsid w:val="00A007BA"/>
    <w:rsid w:val="00A01C88"/>
    <w:rsid w:val="00A13752"/>
    <w:rsid w:val="00A1491F"/>
    <w:rsid w:val="00A22A0E"/>
    <w:rsid w:val="00A240C9"/>
    <w:rsid w:val="00A32982"/>
    <w:rsid w:val="00A4267B"/>
    <w:rsid w:val="00A46FBA"/>
    <w:rsid w:val="00A53BC4"/>
    <w:rsid w:val="00A623BE"/>
    <w:rsid w:val="00A65A75"/>
    <w:rsid w:val="00A67A80"/>
    <w:rsid w:val="00A776C4"/>
    <w:rsid w:val="00A809BB"/>
    <w:rsid w:val="00A82EFD"/>
    <w:rsid w:val="00A929E4"/>
    <w:rsid w:val="00A95766"/>
    <w:rsid w:val="00A975BA"/>
    <w:rsid w:val="00A978AE"/>
    <w:rsid w:val="00AC33F7"/>
    <w:rsid w:val="00AE21DE"/>
    <w:rsid w:val="00AE6716"/>
    <w:rsid w:val="00AE7FDF"/>
    <w:rsid w:val="00B0066B"/>
    <w:rsid w:val="00B01956"/>
    <w:rsid w:val="00B1088C"/>
    <w:rsid w:val="00B22112"/>
    <w:rsid w:val="00B2454C"/>
    <w:rsid w:val="00B35908"/>
    <w:rsid w:val="00B45F98"/>
    <w:rsid w:val="00B46E5F"/>
    <w:rsid w:val="00B5312E"/>
    <w:rsid w:val="00B5451E"/>
    <w:rsid w:val="00B7097B"/>
    <w:rsid w:val="00B709E3"/>
    <w:rsid w:val="00B90069"/>
    <w:rsid w:val="00B93D7A"/>
    <w:rsid w:val="00B95049"/>
    <w:rsid w:val="00B95EE7"/>
    <w:rsid w:val="00BA7A3B"/>
    <w:rsid w:val="00BB69B2"/>
    <w:rsid w:val="00BC4075"/>
    <w:rsid w:val="00BC7EDA"/>
    <w:rsid w:val="00BD2F72"/>
    <w:rsid w:val="00BD5DA4"/>
    <w:rsid w:val="00BD6B55"/>
    <w:rsid w:val="00BF04C3"/>
    <w:rsid w:val="00C14398"/>
    <w:rsid w:val="00C36906"/>
    <w:rsid w:val="00C3762A"/>
    <w:rsid w:val="00C45671"/>
    <w:rsid w:val="00C56F4D"/>
    <w:rsid w:val="00C60C82"/>
    <w:rsid w:val="00C71063"/>
    <w:rsid w:val="00C75453"/>
    <w:rsid w:val="00C76CBF"/>
    <w:rsid w:val="00C91185"/>
    <w:rsid w:val="00C956F9"/>
    <w:rsid w:val="00CA2F04"/>
    <w:rsid w:val="00CB52C5"/>
    <w:rsid w:val="00CE2AD0"/>
    <w:rsid w:val="00CE44A7"/>
    <w:rsid w:val="00D00525"/>
    <w:rsid w:val="00D0787B"/>
    <w:rsid w:val="00D10B47"/>
    <w:rsid w:val="00D10C8C"/>
    <w:rsid w:val="00D12103"/>
    <w:rsid w:val="00D161F4"/>
    <w:rsid w:val="00D1717B"/>
    <w:rsid w:val="00D25417"/>
    <w:rsid w:val="00D273EB"/>
    <w:rsid w:val="00D27FD0"/>
    <w:rsid w:val="00DB350C"/>
    <w:rsid w:val="00DB458C"/>
    <w:rsid w:val="00DB612D"/>
    <w:rsid w:val="00DB6EB6"/>
    <w:rsid w:val="00DD64BC"/>
    <w:rsid w:val="00DE352C"/>
    <w:rsid w:val="00DE7A9A"/>
    <w:rsid w:val="00DF324C"/>
    <w:rsid w:val="00DF49F8"/>
    <w:rsid w:val="00E35CAE"/>
    <w:rsid w:val="00E35F11"/>
    <w:rsid w:val="00E42ADD"/>
    <w:rsid w:val="00E526BF"/>
    <w:rsid w:val="00E55609"/>
    <w:rsid w:val="00E6085D"/>
    <w:rsid w:val="00E7219A"/>
    <w:rsid w:val="00E8619D"/>
    <w:rsid w:val="00E959D8"/>
    <w:rsid w:val="00E97E57"/>
    <w:rsid w:val="00EA47EA"/>
    <w:rsid w:val="00EB2875"/>
    <w:rsid w:val="00EB637E"/>
    <w:rsid w:val="00EC0F7D"/>
    <w:rsid w:val="00EC490D"/>
    <w:rsid w:val="00EC6C22"/>
    <w:rsid w:val="00ED5C39"/>
    <w:rsid w:val="00F048D4"/>
    <w:rsid w:val="00F1335B"/>
    <w:rsid w:val="00F505C4"/>
    <w:rsid w:val="00F538C0"/>
    <w:rsid w:val="00F53C6A"/>
    <w:rsid w:val="00F55E9E"/>
    <w:rsid w:val="00F57864"/>
    <w:rsid w:val="00F65635"/>
    <w:rsid w:val="00F66CE9"/>
    <w:rsid w:val="00FB1D37"/>
    <w:rsid w:val="00FB218F"/>
    <w:rsid w:val="00FC07AE"/>
    <w:rsid w:val="00FC52C9"/>
    <w:rsid w:val="00FD7511"/>
    <w:rsid w:val="00FD7C03"/>
    <w:rsid w:val="00FE4897"/>
    <w:rsid w:val="00FF2222"/>
    <w:rsid w:val="010C6983"/>
    <w:rsid w:val="012C7DC0"/>
    <w:rsid w:val="012F3B23"/>
    <w:rsid w:val="01432CF3"/>
    <w:rsid w:val="01436F9F"/>
    <w:rsid w:val="01880A19"/>
    <w:rsid w:val="018C388B"/>
    <w:rsid w:val="01B65C30"/>
    <w:rsid w:val="01C64855"/>
    <w:rsid w:val="01E26F97"/>
    <w:rsid w:val="02151E80"/>
    <w:rsid w:val="022E0963"/>
    <w:rsid w:val="0257031E"/>
    <w:rsid w:val="02684EB4"/>
    <w:rsid w:val="026D72F2"/>
    <w:rsid w:val="02A02758"/>
    <w:rsid w:val="02A3463C"/>
    <w:rsid w:val="02A70805"/>
    <w:rsid w:val="02BC2BBA"/>
    <w:rsid w:val="02EA73E1"/>
    <w:rsid w:val="0307577D"/>
    <w:rsid w:val="03BD28D6"/>
    <w:rsid w:val="045C346D"/>
    <w:rsid w:val="048A2A24"/>
    <w:rsid w:val="049401D8"/>
    <w:rsid w:val="04AC5FBE"/>
    <w:rsid w:val="04E77027"/>
    <w:rsid w:val="05145211"/>
    <w:rsid w:val="0521507F"/>
    <w:rsid w:val="055C6AE7"/>
    <w:rsid w:val="05634866"/>
    <w:rsid w:val="057F1E81"/>
    <w:rsid w:val="05FB5DC4"/>
    <w:rsid w:val="06186903"/>
    <w:rsid w:val="062A6E20"/>
    <w:rsid w:val="06404308"/>
    <w:rsid w:val="06790629"/>
    <w:rsid w:val="06A96071"/>
    <w:rsid w:val="06BD18CD"/>
    <w:rsid w:val="06DD1B0A"/>
    <w:rsid w:val="06DE5211"/>
    <w:rsid w:val="070077AC"/>
    <w:rsid w:val="07014EC2"/>
    <w:rsid w:val="074C6A10"/>
    <w:rsid w:val="075C167D"/>
    <w:rsid w:val="07D475CA"/>
    <w:rsid w:val="07F53CEB"/>
    <w:rsid w:val="080C5426"/>
    <w:rsid w:val="081D15C4"/>
    <w:rsid w:val="08281E83"/>
    <w:rsid w:val="08310243"/>
    <w:rsid w:val="08932548"/>
    <w:rsid w:val="08BE1A5F"/>
    <w:rsid w:val="08E46646"/>
    <w:rsid w:val="095F41FF"/>
    <w:rsid w:val="09734E97"/>
    <w:rsid w:val="09790F31"/>
    <w:rsid w:val="097C2206"/>
    <w:rsid w:val="09811723"/>
    <w:rsid w:val="09943BCA"/>
    <w:rsid w:val="09BE3873"/>
    <w:rsid w:val="09D850BF"/>
    <w:rsid w:val="0A177A6F"/>
    <w:rsid w:val="0A9F4057"/>
    <w:rsid w:val="0ABE7C42"/>
    <w:rsid w:val="0AD41505"/>
    <w:rsid w:val="0B114150"/>
    <w:rsid w:val="0B2B5475"/>
    <w:rsid w:val="0B316DB7"/>
    <w:rsid w:val="0B45384A"/>
    <w:rsid w:val="0BFF1C88"/>
    <w:rsid w:val="0C016446"/>
    <w:rsid w:val="0C1D7C13"/>
    <w:rsid w:val="0C230B9E"/>
    <w:rsid w:val="0C45114E"/>
    <w:rsid w:val="0C4F19D8"/>
    <w:rsid w:val="0CC071D9"/>
    <w:rsid w:val="0CD226F8"/>
    <w:rsid w:val="0CD33493"/>
    <w:rsid w:val="0CED7F3F"/>
    <w:rsid w:val="0D4940A8"/>
    <w:rsid w:val="0D654235"/>
    <w:rsid w:val="0D831253"/>
    <w:rsid w:val="0DBA5E70"/>
    <w:rsid w:val="0DCA5DE1"/>
    <w:rsid w:val="0DE47989"/>
    <w:rsid w:val="0DFA4270"/>
    <w:rsid w:val="0E4873B8"/>
    <w:rsid w:val="0E62232C"/>
    <w:rsid w:val="0E69015E"/>
    <w:rsid w:val="0E6C554A"/>
    <w:rsid w:val="0E732050"/>
    <w:rsid w:val="0EA96822"/>
    <w:rsid w:val="0F201299"/>
    <w:rsid w:val="0F3026BC"/>
    <w:rsid w:val="0F4F24AB"/>
    <w:rsid w:val="0F6F0C3D"/>
    <w:rsid w:val="0FA554CA"/>
    <w:rsid w:val="102D258D"/>
    <w:rsid w:val="106C2346"/>
    <w:rsid w:val="106C7654"/>
    <w:rsid w:val="10762E0B"/>
    <w:rsid w:val="10A3523B"/>
    <w:rsid w:val="10A41CED"/>
    <w:rsid w:val="10AD2C55"/>
    <w:rsid w:val="10C43B87"/>
    <w:rsid w:val="11041BAB"/>
    <w:rsid w:val="110B1D5E"/>
    <w:rsid w:val="111D6972"/>
    <w:rsid w:val="11352493"/>
    <w:rsid w:val="11365128"/>
    <w:rsid w:val="1150050C"/>
    <w:rsid w:val="11686341"/>
    <w:rsid w:val="11CA17ED"/>
    <w:rsid w:val="11DA58D8"/>
    <w:rsid w:val="11E920D6"/>
    <w:rsid w:val="120A0F69"/>
    <w:rsid w:val="1225668C"/>
    <w:rsid w:val="122660D5"/>
    <w:rsid w:val="12320C01"/>
    <w:rsid w:val="1256332B"/>
    <w:rsid w:val="1283031A"/>
    <w:rsid w:val="128565DB"/>
    <w:rsid w:val="12DB208F"/>
    <w:rsid w:val="12ED67D7"/>
    <w:rsid w:val="12FC68FF"/>
    <w:rsid w:val="130C2193"/>
    <w:rsid w:val="130E3903"/>
    <w:rsid w:val="13166809"/>
    <w:rsid w:val="132922C3"/>
    <w:rsid w:val="13544641"/>
    <w:rsid w:val="13943B2C"/>
    <w:rsid w:val="13D5523A"/>
    <w:rsid w:val="13D656DB"/>
    <w:rsid w:val="13D7779C"/>
    <w:rsid w:val="13DF48A7"/>
    <w:rsid w:val="144D3492"/>
    <w:rsid w:val="144D747C"/>
    <w:rsid w:val="145A1383"/>
    <w:rsid w:val="14D5415A"/>
    <w:rsid w:val="14D9678B"/>
    <w:rsid w:val="14FC5A91"/>
    <w:rsid w:val="15AC577F"/>
    <w:rsid w:val="15EE2E40"/>
    <w:rsid w:val="16446A3C"/>
    <w:rsid w:val="16523EA2"/>
    <w:rsid w:val="16DD2D5E"/>
    <w:rsid w:val="16E01397"/>
    <w:rsid w:val="16EA3483"/>
    <w:rsid w:val="174C1CD5"/>
    <w:rsid w:val="1752026A"/>
    <w:rsid w:val="175A563C"/>
    <w:rsid w:val="179C442C"/>
    <w:rsid w:val="17D26242"/>
    <w:rsid w:val="186561F9"/>
    <w:rsid w:val="18736211"/>
    <w:rsid w:val="18772165"/>
    <w:rsid w:val="18B6616D"/>
    <w:rsid w:val="18E933C9"/>
    <w:rsid w:val="18FD2189"/>
    <w:rsid w:val="19250992"/>
    <w:rsid w:val="19BA7F53"/>
    <w:rsid w:val="19BE25D1"/>
    <w:rsid w:val="19EB2EA3"/>
    <w:rsid w:val="1A032ECE"/>
    <w:rsid w:val="1A17016E"/>
    <w:rsid w:val="1A1F29A8"/>
    <w:rsid w:val="1A3C7AF1"/>
    <w:rsid w:val="1A3D12CC"/>
    <w:rsid w:val="1A545436"/>
    <w:rsid w:val="1A6C6495"/>
    <w:rsid w:val="1AE02712"/>
    <w:rsid w:val="1AE80A5A"/>
    <w:rsid w:val="1AEA56AB"/>
    <w:rsid w:val="1AF104DA"/>
    <w:rsid w:val="1B045886"/>
    <w:rsid w:val="1B082591"/>
    <w:rsid w:val="1B3E28E5"/>
    <w:rsid w:val="1B552716"/>
    <w:rsid w:val="1B6D5FA5"/>
    <w:rsid w:val="1B6F0F2D"/>
    <w:rsid w:val="1B79551A"/>
    <w:rsid w:val="1BA928F0"/>
    <w:rsid w:val="1C2D714A"/>
    <w:rsid w:val="1C6D0C27"/>
    <w:rsid w:val="1C6D274D"/>
    <w:rsid w:val="1C7707CD"/>
    <w:rsid w:val="1C906637"/>
    <w:rsid w:val="1CC9627E"/>
    <w:rsid w:val="1CD55A4A"/>
    <w:rsid w:val="1D0F7A8E"/>
    <w:rsid w:val="1D1B0AD1"/>
    <w:rsid w:val="1D221FDC"/>
    <w:rsid w:val="1D2F1285"/>
    <w:rsid w:val="1D3941A5"/>
    <w:rsid w:val="1D4C7ED3"/>
    <w:rsid w:val="1D7736C9"/>
    <w:rsid w:val="1D831AE5"/>
    <w:rsid w:val="1D8D6A3B"/>
    <w:rsid w:val="1D904FA5"/>
    <w:rsid w:val="1DC03EC1"/>
    <w:rsid w:val="1DD14027"/>
    <w:rsid w:val="1DE925A7"/>
    <w:rsid w:val="1E010BC0"/>
    <w:rsid w:val="1E2C4E59"/>
    <w:rsid w:val="1EB01ACB"/>
    <w:rsid w:val="1ED05892"/>
    <w:rsid w:val="1ED53D73"/>
    <w:rsid w:val="1EE8779D"/>
    <w:rsid w:val="1F4164DF"/>
    <w:rsid w:val="1F591721"/>
    <w:rsid w:val="1F6F6360"/>
    <w:rsid w:val="1F8B1E2F"/>
    <w:rsid w:val="1F91086F"/>
    <w:rsid w:val="1FE2356A"/>
    <w:rsid w:val="200244D1"/>
    <w:rsid w:val="201E59ED"/>
    <w:rsid w:val="2025021C"/>
    <w:rsid w:val="20356024"/>
    <w:rsid w:val="20536DBE"/>
    <w:rsid w:val="20694D65"/>
    <w:rsid w:val="20A14E27"/>
    <w:rsid w:val="20D30E0A"/>
    <w:rsid w:val="20D60287"/>
    <w:rsid w:val="20FC17FA"/>
    <w:rsid w:val="2114179F"/>
    <w:rsid w:val="21197B5A"/>
    <w:rsid w:val="216A2D40"/>
    <w:rsid w:val="21B96FEE"/>
    <w:rsid w:val="21C127EB"/>
    <w:rsid w:val="21CB0D2F"/>
    <w:rsid w:val="21E17F5C"/>
    <w:rsid w:val="21E23314"/>
    <w:rsid w:val="21EC0A72"/>
    <w:rsid w:val="21EF780B"/>
    <w:rsid w:val="221055AD"/>
    <w:rsid w:val="223F479F"/>
    <w:rsid w:val="223F5AC1"/>
    <w:rsid w:val="22583D0D"/>
    <w:rsid w:val="225F634C"/>
    <w:rsid w:val="229064AC"/>
    <w:rsid w:val="22C67807"/>
    <w:rsid w:val="22C92735"/>
    <w:rsid w:val="22CB5EF7"/>
    <w:rsid w:val="22E86417"/>
    <w:rsid w:val="230C5D84"/>
    <w:rsid w:val="231435FF"/>
    <w:rsid w:val="2325225E"/>
    <w:rsid w:val="23950F27"/>
    <w:rsid w:val="23B177E1"/>
    <w:rsid w:val="24211347"/>
    <w:rsid w:val="24310DD4"/>
    <w:rsid w:val="246D2625"/>
    <w:rsid w:val="248C6DDD"/>
    <w:rsid w:val="24900048"/>
    <w:rsid w:val="24BB522A"/>
    <w:rsid w:val="24F37529"/>
    <w:rsid w:val="24FF72D3"/>
    <w:rsid w:val="250F2C31"/>
    <w:rsid w:val="251E0472"/>
    <w:rsid w:val="2520642A"/>
    <w:rsid w:val="25286AA1"/>
    <w:rsid w:val="252B25EC"/>
    <w:rsid w:val="25364DC1"/>
    <w:rsid w:val="253C3631"/>
    <w:rsid w:val="25462E4B"/>
    <w:rsid w:val="258309B4"/>
    <w:rsid w:val="25862011"/>
    <w:rsid w:val="258C0E52"/>
    <w:rsid w:val="260D7D0C"/>
    <w:rsid w:val="261A1FEA"/>
    <w:rsid w:val="261C3DE4"/>
    <w:rsid w:val="263A71E2"/>
    <w:rsid w:val="26690FCD"/>
    <w:rsid w:val="26963F27"/>
    <w:rsid w:val="269B1693"/>
    <w:rsid w:val="26DF0CD6"/>
    <w:rsid w:val="26ED48AE"/>
    <w:rsid w:val="271B4099"/>
    <w:rsid w:val="278F4F46"/>
    <w:rsid w:val="27A01740"/>
    <w:rsid w:val="27C416DF"/>
    <w:rsid w:val="27EF7121"/>
    <w:rsid w:val="28192057"/>
    <w:rsid w:val="281D28B1"/>
    <w:rsid w:val="283519AE"/>
    <w:rsid w:val="283C3A8D"/>
    <w:rsid w:val="2884724B"/>
    <w:rsid w:val="28870583"/>
    <w:rsid w:val="28D97FCA"/>
    <w:rsid w:val="28E7113E"/>
    <w:rsid w:val="291B5803"/>
    <w:rsid w:val="292F68A9"/>
    <w:rsid w:val="294D2F40"/>
    <w:rsid w:val="29733142"/>
    <w:rsid w:val="29A033E8"/>
    <w:rsid w:val="29BC365E"/>
    <w:rsid w:val="2A1C5137"/>
    <w:rsid w:val="2A3E70CF"/>
    <w:rsid w:val="2A6B5300"/>
    <w:rsid w:val="2A871926"/>
    <w:rsid w:val="2AC250CD"/>
    <w:rsid w:val="2B3602D5"/>
    <w:rsid w:val="2B4E7485"/>
    <w:rsid w:val="2B80177F"/>
    <w:rsid w:val="2B90159F"/>
    <w:rsid w:val="2B993748"/>
    <w:rsid w:val="2BAE482F"/>
    <w:rsid w:val="2BBE1DE2"/>
    <w:rsid w:val="2BE36683"/>
    <w:rsid w:val="2BE90021"/>
    <w:rsid w:val="2C706F8B"/>
    <w:rsid w:val="2C9B3A25"/>
    <w:rsid w:val="2CC24680"/>
    <w:rsid w:val="2DA362F7"/>
    <w:rsid w:val="2DC42BAC"/>
    <w:rsid w:val="2DDB1185"/>
    <w:rsid w:val="2DDE1315"/>
    <w:rsid w:val="2E70008E"/>
    <w:rsid w:val="2E795570"/>
    <w:rsid w:val="2EB4177E"/>
    <w:rsid w:val="2F32229C"/>
    <w:rsid w:val="2F474DB3"/>
    <w:rsid w:val="30065DDB"/>
    <w:rsid w:val="308D7FA8"/>
    <w:rsid w:val="30B1378E"/>
    <w:rsid w:val="30F14E48"/>
    <w:rsid w:val="30F25A6D"/>
    <w:rsid w:val="31202692"/>
    <w:rsid w:val="31202FD3"/>
    <w:rsid w:val="312A5619"/>
    <w:rsid w:val="31A23AE0"/>
    <w:rsid w:val="31C37AEC"/>
    <w:rsid w:val="32145CC4"/>
    <w:rsid w:val="32350A5C"/>
    <w:rsid w:val="32477ABF"/>
    <w:rsid w:val="325970B3"/>
    <w:rsid w:val="32CC0E3B"/>
    <w:rsid w:val="32DF1CBC"/>
    <w:rsid w:val="32E84C40"/>
    <w:rsid w:val="33656E24"/>
    <w:rsid w:val="33816DA8"/>
    <w:rsid w:val="33F469AE"/>
    <w:rsid w:val="340B3A91"/>
    <w:rsid w:val="34214870"/>
    <w:rsid w:val="345A637A"/>
    <w:rsid w:val="348D4052"/>
    <w:rsid w:val="34960E51"/>
    <w:rsid w:val="34B93037"/>
    <w:rsid w:val="34C2659C"/>
    <w:rsid w:val="34ED24C6"/>
    <w:rsid w:val="350911FE"/>
    <w:rsid w:val="35212153"/>
    <w:rsid w:val="3544533E"/>
    <w:rsid w:val="354C0B93"/>
    <w:rsid w:val="355B423F"/>
    <w:rsid w:val="357D6768"/>
    <w:rsid w:val="35BF3B38"/>
    <w:rsid w:val="35E23F6E"/>
    <w:rsid w:val="35EC067D"/>
    <w:rsid w:val="36215071"/>
    <w:rsid w:val="36314683"/>
    <w:rsid w:val="36472C7B"/>
    <w:rsid w:val="36753A20"/>
    <w:rsid w:val="36B0540D"/>
    <w:rsid w:val="36B326B4"/>
    <w:rsid w:val="36C17BFE"/>
    <w:rsid w:val="36CE2123"/>
    <w:rsid w:val="36D60122"/>
    <w:rsid w:val="36D9255D"/>
    <w:rsid w:val="37020263"/>
    <w:rsid w:val="37290822"/>
    <w:rsid w:val="373206A1"/>
    <w:rsid w:val="378E3DE6"/>
    <w:rsid w:val="37A32806"/>
    <w:rsid w:val="37D751E2"/>
    <w:rsid w:val="380B1DFE"/>
    <w:rsid w:val="38276F53"/>
    <w:rsid w:val="382E6775"/>
    <w:rsid w:val="385852A1"/>
    <w:rsid w:val="386F48E8"/>
    <w:rsid w:val="38A16914"/>
    <w:rsid w:val="38A718AB"/>
    <w:rsid w:val="38D91E08"/>
    <w:rsid w:val="38E0103A"/>
    <w:rsid w:val="38E063FB"/>
    <w:rsid w:val="38F230E0"/>
    <w:rsid w:val="393C79BC"/>
    <w:rsid w:val="3971570C"/>
    <w:rsid w:val="39945652"/>
    <w:rsid w:val="39B234B0"/>
    <w:rsid w:val="39CC0DE9"/>
    <w:rsid w:val="3A056E55"/>
    <w:rsid w:val="3A5860F9"/>
    <w:rsid w:val="3A896034"/>
    <w:rsid w:val="3A9F1F4F"/>
    <w:rsid w:val="3AA23B34"/>
    <w:rsid w:val="3AB45EB9"/>
    <w:rsid w:val="3AD018DF"/>
    <w:rsid w:val="3B013692"/>
    <w:rsid w:val="3B1667F3"/>
    <w:rsid w:val="3B3358B7"/>
    <w:rsid w:val="3B493B46"/>
    <w:rsid w:val="3B55625B"/>
    <w:rsid w:val="3B597FFC"/>
    <w:rsid w:val="3B660AEC"/>
    <w:rsid w:val="3B760DD2"/>
    <w:rsid w:val="3B86620D"/>
    <w:rsid w:val="3BB421DB"/>
    <w:rsid w:val="3BE552CD"/>
    <w:rsid w:val="3BF2764E"/>
    <w:rsid w:val="3C021C37"/>
    <w:rsid w:val="3C0540D6"/>
    <w:rsid w:val="3C24092A"/>
    <w:rsid w:val="3C693243"/>
    <w:rsid w:val="3C976231"/>
    <w:rsid w:val="3C9B25CD"/>
    <w:rsid w:val="3CAA0274"/>
    <w:rsid w:val="3D1746DC"/>
    <w:rsid w:val="3D237BE8"/>
    <w:rsid w:val="3D2C4D79"/>
    <w:rsid w:val="3D366EF4"/>
    <w:rsid w:val="3D4142F0"/>
    <w:rsid w:val="3D511084"/>
    <w:rsid w:val="3D642282"/>
    <w:rsid w:val="3D6F1615"/>
    <w:rsid w:val="3D7B5779"/>
    <w:rsid w:val="3D8A5584"/>
    <w:rsid w:val="3D9B2911"/>
    <w:rsid w:val="3D9C39EF"/>
    <w:rsid w:val="3DA235BF"/>
    <w:rsid w:val="3DB15E99"/>
    <w:rsid w:val="3DB46368"/>
    <w:rsid w:val="3DD8680E"/>
    <w:rsid w:val="3DFD5343"/>
    <w:rsid w:val="3E3062DB"/>
    <w:rsid w:val="3E850F52"/>
    <w:rsid w:val="3E9B2E8A"/>
    <w:rsid w:val="3E9F6A9D"/>
    <w:rsid w:val="3F1672F1"/>
    <w:rsid w:val="3F231079"/>
    <w:rsid w:val="3F4B41E0"/>
    <w:rsid w:val="3F592467"/>
    <w:rsid w:val="3F5D0E23"/>
    <w:rsid w:val="3F8245EF"/>
    <w:rsid w:val="3F8B2040"/>
    <w:rsid w:val="3F913ED2"/>
    <w:rsid w:val="3FAC1725"/>
    <w:rsid w:val="3FAD78C2"/>
    <w:rsid w:val="3FF47E41"/>
    <w:rsid w:val="400F00BB"/>
    <w:rsid w:val="405C3701"/>
    <w:rsid w:val="40615229"/>
    <w:rsid w:val="40733563"/>
    <w:rsid w:val="40B10190"/>
    <w:rsid w:val="40B74800"/>
    <w:rsid w:val="411613DD"/>
    <w:rsid w:val="41516E1E"/>
    <w:rsid w:val="416027A0"/>
    <w:rsid w:val="416E5398"/>
    <w:rsid w:val="418862CD"/>
    <w:rsid w:val="41A449A2"/>
    <w:rsid w:val="421B2713"/>
    <w:rsid w:val="42284FC8"/>
    <w:rsid w:val="42770C8F"/>
    <w:rsid w:val="429B2E0A"/>
    <w:rsid w:val="42AA5444"/>
    <w:rsid w:val="42F5056C"/>
    <w:rsid w:val="42FB7CE0"/>
    <w:rsid w:val="431112AD"/>
    <w:rsid w:val="43232F1C"/>
    <w:rsid w:val="433663BD"/>
    <w:rsid w:val="43561DE5"/>
    <w:rsid w:val="435E21EF"/>
    <w:rsid w:val="436B4467"/>
    <w:rsid w:val="43D9345F"/>
    <w:rsid w:val="440138B3"/>
    <w:rsid w:val="44154208"/>
    <w:rsid w:val="44394D1C"/>
    <w:rsid w:val="44406011"/>
    <w:rsid w:val="445451F2"/>
    <w:rsid w:val="44620BD2"/>
    <w:rsid w:val="446D7633"/>
    <w:rsid w:val="4488315B"/>
    <w:rsid w:val="4493471C"/>
    <w:rsid w:val="449C2C79"/>
    <w:rsid w:val="44B00229"/>
    <w:rsid w:val="44BE2144"/>
    <w:rsid w:val="44DF23A8"/>
    <w:rsid w:val="450736B6"/>
    <w:rsid w:val="45341CE2"/>
    <w:rsid w:val="45532B45"/>
    <w:rsid w:val="45621D42"/>
    <w:rsid w:val="45630290"/>
    <w:rsid w:val="45934454"/>
    <w:rsid w:val="4595257E"/>
    <w:rsid w:val="459D705A"/>
    <w:rsid w:val="45C42CBF"/>
    <w:rsid w:val="45DA2707"/>
    <w:rsid w:val="460E2404"/>
    <w:rsid w:val="46162C84"/>
    <w:rsid w:val="462E0F20"/>
    <w:rsid w:val="465F798A"/>
    <w:rsid w:val="46AC1B1A"/>
    <w:rsid w:val="46B80FA9"/>
    <w:rsid w:val="46CD7454"/>
    <w:rsid w:val="46FD0BBA"/>
    <w:rsid w:val="473D6FFA"/>
    <w:rsid w:val="47620B5A"/>
    <w:rsid w:val="476A374A"/>
    <w:rsid w:val="47C33349"/>
    <w:rsid w:val="47E54BDD"/>
    <w:rsid w:val="47E62852"/>
    <w:rsid w:val="4809270E"/>
    <w:rsid w:val="48155FBD"/>
    <w:rsid w:val="484F1501"/>
    <w:rsid w:val="48616542"/>
    <w:rsid w:val="487C4B5B"/>
    <w:rsid w:val="488B3ADA"/>
    <w:rsid w:val="489578D5"/>
    <w:rsid w:val="48C756C4"/>
    <w:rsid w:val="48F347C2"/>
    <w:rsid w:val="48F40872"/>
    <w:rsid w:val="490910CB"/>
    <w:rsid w:val="49466876"/>
    <w:rsid w:val="49672FCD"/>
    <w:rsid w:val="497D1E37"/>
    <w:rsid w:val="49A21D84"/>
    <w:rsid w:val="49C079A0"/>
    <w:rsid w:val="49E56842"/>
    <w:rsid w:val="4A1F4F34"/>
    <w:rsid w:val="4A202CB3"/>
    <w:rsid w:val="4A4C0BBD"/>
    <w:rsid w:val="4A741CD0"/>
    <w:rsid w:val="4AB169D3"/>
    <w:rsid w:val="4AE523B5"/>
    <w:rsid w:val="4AFF1CE5"/>
    <w:rsid w:val="4AFF2850"/>
    <w:rsid w:val="4B2C2C5C"/>
    <w:rsid w:val="4B3948BD"/>
    <w:rsid w:val="4B542445"/>
    <w:rsid w:val="4B8633C6"/>
    <w:rsid w:val="4BAE6978"/>
    <w:rsid w:val="4BF85767"/>
    <w:rsid w:val="4C4609B9"/>
    <w:rsid w:val="4C6B50F5"/>
    <w:rsid w:val="4C7613FB"/>
    <w:rsid w:val="4C9A610C"/>
    <w:rsid w:val="4CAB4A57"/>
    <w:rsid w:val="4CAF036C"/>
    <w:rsid w:val="4CB545C0"/>
    <w:rsid w:val="4CBB7439"/>
    <w:rsid w:val="4CBE1C08"/>
    <w:rsid w:val="4CFA12DC"/>
    <w:rsid w:val="4D317C9E"/>
    <w:rsid w:val="4D356131"/>
    <w:rsid w:val="4D521D49"/>
    <w:rsid w:val="4D5F31CA"/>
    <w:rsid w:val="4D635CDE"/>
    <w:rsid w:val="4D647E46"/>
    <w:rsid w:val="4D6B2FF6"/>
    <w:rsid w:val="4D7C15EC"/>
    <w:rsid w:val="4DA21BCB"/>
    <w:rsid w:val="4DA31278"/>
    <w:rsid w:val="4E022AED"/>
    <w:rsid w:val="4E0F5AA6"/>
    <w:rsid w:val="4E7B47FF"/>
    <w:rsid w:val="4E800E7B"/>
    <w:rsid w:val="4EC57FA6"/>
    <w:rsid w:val="4EDD2F85"/>
    <w:rsid w:val="4EE759E0"/>
    <w:rsid w:val="4EFB1785"/>
    <w:rsid w:val="4EFC0E40"/>
    <w:rsid w:val="4F073576"/>
    <w:rsid w:val="4F32383F"/>
    <w:rsid w:val="4F4201F9"/>
    <w:rsid w:val="4F596DC1"/>
    <w:rsid w:val="4F5B18B4"/>
    <w:rsid w:val="4F746E17"/>
    <w:rsid w:val="4F7E527E"/>
    <w:rsid w:val="4F9948BE"/>
    <w:rsid w:val="4F9A7281"/>
    <w:rsid w:val="4FAE6D31"/>
    <w:rsid w:val="4FB16A86"/>
    <w:rsid w:val="50114985"/>
    <w:rsid w:val="50173009"/>
    <w:rsid w:val="504B0595"/>
    <w:rsid w:val="508470D2"/>
    <w:rsid w:val="50CC2E3A"/>
    <w:rsid w:val="50E37FBB"/>
    <w:rsid w:val="516C1EC9"/>
    <w:rsid w:val="518F192B"/>
    <w:rsid w:val="51A35549"/>
    <w:rsid w:val="51C96CF8"/>
    <w:rsid w:val="51E16B22"/>
    <w:rsid w:val="51E71584"/>
    <w:rsid w:val="520134A4"/>
    <w:rsid w:val="52417CD3"/>
    <w:rsid w:val="525A2598"/>
    <w:rsid w:val="528D2D69"/>
    <w:rsid w:val="52A72CB9"/>
    <w:rsid w:val="52C645C7"/>
    <w:rsid w:val="5308234F"/>
    <w:rsid w:val="531A7701"/>
    <w:rsid w:val="533A7773"/>
    <w:rsid w:val="535A4036"/>
    <w:rsid w:val="535E0C0C"/>
    <w:rsid w:val="536F55E2"/>
    <w:rsid w:val="539A7C35"/>
    <w:rsid w:val="53EE2B63"/>
    <w:rsid w:val="541259A4"/>
    <w:rsid w:val="54221113"/>
    <w:rsid w:val="543625D7"/>
    <w:rsid w:val="54410718"/>
    <w:rsid w:val="5506526C"/>
    <w:rsid w:val="55497B99"/>
    <w:rsid w:val="556F44BF"/>
    <w:rsid w:val="557E0DC2"/>
    <w:rsid w:val="55981C1E"/>
    <w:rsid w:val="559E43DB"/>
    <w:rsid w:val="55CC0E83"/>
    <w:rsid w:val="5615080D"/>
    <w:rsid w:val="561574B3"/>
    <w:rsid w:val="56250D86"/>
    <w:rsid w:val="566A5330"/>
    <w:rsid w:val="567F26ED"/>
    <w:rsid w:val="568024C8"/>
    <w:rsid w:val="568F79BF"/>
    <w:rsid w:val="56A33FC4"/>
    <w:rsid w:val="56A763F2"/>
    <w:rsid w:val="56BE663C"/>
    <w:rsid w:val="56CD2153"/>
    <w:rsid w:val="56E75D17"/>
    <w:rsid w:val="56F312B5"/>
    <w:rsid w:val="56F74C0E"/>
    <w:rsid w:val="572B04F0"/>
    <w:rsid w:val="572B4176"/>
    <w:rsid w:val="57664E51"/>
    <w:rsid w:val="577603E3"/>
    <w:rsid w:val="5789602C"/>
    <w:rsid w:val="57D9376A"/>
    <w:rsid w:val="580649F2"/>
    <w:rsid w:val="58226B70"/>
    <w:rsid w:val="58230A94"/>
    <w:rsid w:val="58351BA6"/>
    <w:rsid w:val="584F5D9B"/>
    <w:rsid w:val="58795EFF"/>
    <w:rsid w:val="58835B9A"/>
    <w:rsid w:val="58B22CF9"/>
    <w:rsid w:val="58B840B1"/>
    <w:rsid w:val="58C67791"/>
    <w:rsid w:val="58F23A2C"/>
    <w:rsid w:val="58F33BD7"/>
    <w:rsid w:val="595950A7"/>
    <w:rsid w:val="5983654E"/>
    <w:rsid w:val="599B6043"/>
    <w:rsid w:val="59AB446D"/>
    <w:rsid w:val="5A1437A3"/>
    <w:rsid w:val="5A1F2A6A"/>
    <w:rsid w:val="5A321CCA"/>
    <w:rsid w:val="5A4031BD"/>
    <w:rsid w:val="5A742FCA"/>
    <w:rsid w:val="5A7557BC"/>
    <w:rsid w:val="5A7E34D5"/>
    <w:rsid w:val="5A801F1C"/>
    <w:rsid w:val="5AAB0EAB"/>
    <w:rsid w:val="5AC64458"/>
    <w:rsid w:val="5AD56AE1"/>
    <w:rsid w:val="5AF42D65"/>
    <w:rsid w:val="5AF96C92"/>
    <w:rsid w:val="5B6B2916"/>
    <w:rsid w:val="5B721AD3"/>
    <w:rsid w:val="5BA5390B"/>
    <w:rsid w:val="5BAF49EA"/>
    <w:rsid w:val="5BCF2B45"/>
    <w:rsid w:val="5BDC583E"/>
    <w:rsid w:val="5BDD7D44"/>
    <w:rsid w:val="5C2D62B3"/>
    <w:rsid w:val="5C331F55"/>
    <w:rsid w:val="5C37747F"/>
    <w:rsid w:val="5C3978AE"/>
    <w:rsid w:val="5C661078"/>
    <w:rsid w:val="5C7A4320"/>
    <w:rsid w:val="5C9167F0"/>
    <w:rsid w:val="5C930CB2"/>
    <w:rsid w:val="5CAE6718"/>
    <w:rsid w:val="5CED33FE"/>
    <w:rsid w:val="5CFE4B36"/>
    <w:rsid w:val="5D152663"/>
    <w:rsid w:val="5D250AE8"/>
    <w:rsid w:val="5D810B69"/>
    <w:rsid w:val="5D8562D6"/>
    <w:rsid w:val="5DA67B5E"/>
    <w:rsid w:val="5DB26B1C"/>
    <w:rsid w:val="5DC77A74"/>
    <w:rsid w:val="5DD80BA4"/>
    <w:rsid w:val="5DE65906"/>
    <w:rsid w:val="5DF10DD6"/>
    <w:rsid w:val="5E107A6E"/>
    <w:rsid w:val="5E240474"/>
    <w:rsid w:val="5E4A08B0"/>
    <w:rsid w:val="5E552402"/>
    <w:rsid w:val="5E581806"/>
    <w:rsid w:val="5EA954DA"/>
    <w:rsid w:val="5EF60C22"/>
    <w:rsid w:val="5F165F74"/>
    <w:rsid w:val="5F3E22C2"/>
    <w:rsid w:val="5F474EA9"/>
    <w:rsid w:val="5F8F3F9D"/>
    <w:rsid w:val="5FC33A72"/>
    <w:rsid w:val="5FE44BCC"/>
    <w:rsid w:val="5FFA3215"/>
    <w:rsid w:val="601278AE"/>
    <w:rsid w:val="602074C3"/>
    <w:rsid w:val="60342152"/>
    <w:rsid w:val="607F216A"/>
    <w:rsid w:val="609D0C9B"/>
    <w:rsid w:val="60D3361E"/>
    <w:rsid w:val="60F942D1"/>
    <w:rsid w:val="612912AD"/>
    <w:rsid w:val="613220FF"/>
    <w:rsid w:val="61446D7C"/>
    <w:rsid w:val="614B06AC"/>
    <w:rsid w:val="617C14DD"/>
    <w:rsid w:val="61B844A8"/>
    <w:rsid w:val="61D62E95"/>
    <w:rsid w:val="61D8581E"/>
    <w:rsid w:val="61FF2F13"/>
    <w:rsid w:val="622218C3"/>
    <w:rsid w:val="6222364C"/>
    <w:rsid w:val="6239511B"/>
    <w:rsid w:val="62473027"/>
    <w:rsid w:val="62641F1A"/>
    <w:rsid w:val="627B7180"/>
    <w:rsid w:val="6308246A"/>
    <w:rsid w:val="6308767C"/>
    <w:rsid w:val="63287634"/>
    <w:rsid w:val="63396070"/>
    <w:rsid w:val="634867D2"/>
    <w:rsid w:val="634F0BF5"/>
    <w:rsid w:val="63525AAC"/>
    <w:rsid w:val="63531E3F"/>
    <w:rsid w:val="639768D2"/>
    <w:rsid w:val="63C05149"/>
    <w:rsid w:val="63F95E7B"/>
    <w:rsid w:val="64047A76"/>
    <w:rsid w:val="64107C83"/>
    <w:rsid w:val="641761B2"/>
    <w:rsid w:val="6429437B"/>
    <w:rsid w:val="648A2DED"/>
    <w:rsid w:val="64AA5921"/>
    <w:rsid w:val="64E965E9"/>
    <w:rsid w:val="64F613A1"/>
    <w:rsid w:val="64FB67B9"/>
    <w:rsid w:val="650F0297"/>
    <w:rsid w:val="65311AE8"/>
    <w:rsid w:val="65372FB5"/>
    <w:rsid w:val="6579788B"/>
    <w:rsid w:val="65A56F80"/>
    <w:rsid w:val="65CD5AEB"/>
    <w:rsid w:val="65D200C7"/>
    <w:rsid w:val="65D31262"/>
    <w:rsid w:val="65DE71F4"/>
    <w:rsid w:val="65E7615B"/>
    <w:rsid w:val="66067D88"/>
    <w:rsid w:val="662F3C78"/>
    <w:rsid w:val="66807846"/>
    <w:rsid w:val="66953C5B"/>
    <w:rsid w:val="669B2A9B"/>
    <w:rsid w:val="669F55F1"/>
    <w:rsid w:val="67157EB9"/>
    <w:rsid w:val="673B62F2"/>
    <w:rsid w:val="674F16A7"/>
    <w:rsid w:val="67906BAE"/>
    <w:rsid w:val="679D3EE7"/>
    <w:rsid w:val="67D36A56"/>
    <w:rsid w:val="67D56B92"/>
    <w:rsid w:val="67E036E9"/>
    <w:rsid w:val="67E5573D"/>
    <w:rsid w:val="683E687F"/>
    <w:rsid w:val="68430FB9"/>
    <w:rsid w:val="68C61A50"/>
    <w:rsid w:val="68E311B2"/>
    <w:rsid w:val="68FF3ACA"/>
    <w:rsid w:val="6900055E"/>
    <w:rsid w:val="690A6C79"/>
    <w:rsid w:val="69223AE7"/>
    <w:rsid w:val="69251ED4"/>
    <w:rsid w:val="692A4AFD"/>
    <w:rsid w:val="69326652"/>
    <w:rsid w:val="69347AF7"/>
    <w:rsid w:val="693A50E1"/>
    <w:rsid w:val="696E1979"/>
    <w:rsid w:val="69AA7B28"/>
    <w:rsid w:val="69B14B4E"/>
    <w:rsid w:val="69C175E5"/>
    <w:rsid w:val="69C56D45"/>
    <w:rsid w:val="69F57E4B"/>
    <w:rsid w:val="6A1221A1"/>
    <w:rsid w:val="6A233920"/>
    <w:rsid w:val="6A6366AE"/>
    <w:rsid w:val="6A8B6B18"/>
    <w:rsid w:val="6A9352A2"/>
    <w:rsid w:val="6A9A1577"/>
    <w:rsid w:val="6AA338E6"/>
    <w:rsid w:val="6AC86E77"/>
    <w:rsid w:val="6AF13C0D"/>
    <w:rsid w:val="6B5F4E4D"/>
    <w:rsid w:val="6B654FB0"/>
    <w:rsid w:val="6B6E1CA4"/>
    <w:rsid w:val="6BAF6941"/>
    <w:rsid w:val="6BCC1F13"/>
    <w:rsid w:val="6BCF03F8"/>
    <w:rsid w:val="6BD91EBE"/>
    <w:rsid w:val="6BE1101B"/>
    <w:rsid w:val="6C24259C"/>
    <w:rsid w:val="6C3219E1"/>
    <w:rsid w:val="6C5579CA"/>
    <w:rsid w:val="6C72726E"/>
    <w:rsid w:val="6CB44AB8"/>
    <w:rsid w:val="6CD509C5"/>
    <w:rsid w:val="6CE4138B"/>
    <w:rsid w:val="6CFA7874"/>
    <w:rsid w:val="6D514C03"/>
    <w:rsid w:val="6D69125F"/>
    <w:rsid w:val="6DA76031"/>
    <w:rsid w:val="6DA81CE8"/>
    <w:rsid w:val="6DBE17E3"/>
    <w:rsid w:val="6DCC1FAB"/>
    <w:rsid w:val="6DE537AC"/>
    <w:rsid w:val="6E096EF8"/>
    <w:rsid w:val="6E160574"/>
    <w:rsid w:val="6E816BBF"/>
    <w:rsid w:val="6E9134A9"/>
    <w:rsid w:val="6ED5286B"/>
    <w:rsid w:val="6F1A7E1A"/>
    <w:rsid w:val="6F314155"/>
    <w:rsid w:val="6FF85E6E"/>
    <w:rsid w:val="700A48AB"/>
    <w:rsid w:val="70245076"/>
    <w:rsid w:val="704E5507"/>
    <w:rsid w:val="705A51FE"/>
    <w:rsid w:val="70935E14"/>
    <w:rsid w:val="70A4763A"/>
    <w:rsid w:val="70B22023"/>
    <w:rsid w:val="70D45314"/>
    <w:rsid w:val="70DB1C8A"/>
    <w:rsid w:val="717B1403"/>
    <w:rsid w:val="71A147B9"/>
    <w:rsid w:val="71D842FA"/>
    <w:rsid w:val="71E65CC9"/>
    <w:rsid w:val="71F00255"/>
    <w:rsid w:val="721434B7"/>
    <w:rsid w:val="725F33BF"/>
    <w:rsid w:val="72651EB0"/>
    <w:rsid w:val="729C267B"/>
    <w:rsid w:val="72B23E6D"/>
    <w:rsid w:val="72C251F0"/>
    <w:rsid w:val="72D87B33"/>
    <w:rsid w:val="72DD5B9E"/>
    <w:rsid w:val="72F54E01"/>
    <w:rsid w:val="731A2D6E"/>
    <w:rsid w:val="73374395"/>
    <w:rsid w:val="7366202F"/>
    <w:rsid w:val="737A786F"/>
    <w:rsid w:val="73B461E3"/>
    <w:rsid w:val="73B604ED"/>
    <w:rsid w:val="73EE50F4"/>
    <w:rsid w:val="740D3F11"/>
    <w:rsid w:val="741257AC"/>
    <w:rsid w:val="742B1612"/>
    <w:rsid w:val="7441199D"/>
    <w:rsid w:val="74420B02"/>
    <w:rsid w:val="745C550C"/>
    <w:rsid w:val="74A064AE"/>
    <w:rsid w:val="74CE6BB0"/>
    <w:rsid w:val="74D46B08"/>
    <w:rsid w:val="74D96958"/>
    <w:rsid w:val="74FE6B71"/>
    <w:rsid w:val="74FE774A"/>
    <w:rsid w:val="75023274"/>
    <w:rsid w:val="75184790"/>
    <w:rsid w:val="75577D7F"/>
    <w:rsid w:val="755D5C19"/>
    <w:rsid w:val="757022FB"/>
    <w:rsid w:val="75A15325"/>
    <w:rsid w:val="75B2473D"/>
    <w:rsid w:val="75C03D91"/>
    <w:rsid w:val="75EF6235"/>
    <w:rsid w:val="75F71F3B"/>
    <w:rsid w:val="763563F5"/>
    <w:rsid w:val="766D57C1"/>
    <w:rsid w:val="76801850"/>
    <w:rsid w:val="769714F7"/>
    <w:rsid w:val="76AC2318"/>
    <w:rsid w:val="76BC6C30"/>
    <w:rsid w:val="76E17F51"/>
    <w:rsid w:val="76E83D9B"/>
    <w:rsid w:val="76F7624B"/>
    <w:rsid w:val="772571D5"/>
    <w:rsid w:val="7730088B"/>
    <w:rsid w:val="77411D56"/>
    <w:rsid w:val="774839AC"/>
    <w:rsid w:val="77605E1A"/>
    <w:rsid w:val="77742983"/>
    <w:rsid w:val="77800D5D"/>
    <w:rsid w:val="77827BF3"/>
    <w:rsid w:val="778B633D"/>
    <w:rsid w:val="7793327E"/>
    <w:rsid w:val="77C232DA"/>
    <w:rsid w:val="77D973E1"/>
    <w:rsid w:val="77EA3464"/>
    <w:rsid w:val="78021C7B"/>
    <w:rsid w:val="780C1E19"/>
    <w:rsid w:val="786B70AF"/>
    <w:rsid w:val="78760913"/>
    <w:rsid w:val="7881477B"/>
    <w:rsid w:val="788F38A7"/>
    <w:rsid w:val="78A46720"/>
    <w:rsid w:val="78AD0AA4"/>
    <w:rsid w:val="78EB2F59"/>
    <w:rsid w:val="78FD09AB"/>
    <w:rsid w:val="79010BD2"/>
    <w:rsid w:val="79017261"/>
    <w:rsid w:val="79346435"/>
    <w:rsid w:val="7943014A"/>
    <w:rsid w:val="796608A4"/>
    <w:rsid w:val="7999176C"/>
    <w:rsid w:val="79AB2DAA"/>
    <w:rsid w:val="79B661E6"/>
    <w:rsid w:val="79CA7D83"/>
    <w:rsid w:val="79D77004"/>
    <w:rsid w:val="79F12D18"/>
    <w:rsid w:val="7A461590"/>
    <w:rsid w:val="7A506505"/>
    <w:rsid w:val="7A6822EA"/>
    <w:rsid w:val="7A814BA2"/>
    <w:rsid w:val="7A88510B"/>
    <w:rsid w:val="7A942566"/>
    <w:rsid w:val="7AAC5343"/>
    <w:rsid w:val="7B4D10C0"/>
    <w:rsid w:val="7B5E19E1"/>
    <w:rsid w:val="7B8D502D"/>
    <w:rsid w:val="7BD0668B"/>
    <w:rsid w:val="7BD55037"/>
    <w:rsid w:val="7BEA41E2"/>
    <w:rsid w:val="7C1C27D8"/>
    <w:rsid w:val="7C230E82"/>
    <w:rsid w:val="7C304BF8"/>
    <w:rsid w:val="7C461A40"/>
    <w:rsid w:val="7C5C2009"/>
    <w:rsid w:val="7C655175"/>
    <w:rsid w:val="7C6D71FD"/>
    <w:rsid w:val="7C7E2620"/>
    <w:rsid w:val="7C8243CE"/>
    <w:rsid w:val="7C9902EC"/>
    <w:rsid w:val="7C9B318C"/>
    <w:rsid w:val="7CCE3276"/>
    <w:rsid w:val="7CCE4670"/>
    <w:rsid w:val="7CDD6CC4"/>
    <w:rsid w:val="7D341239"/>
    <w:rsid w:val="7D374E9E"/>
    <w:rsid w:val="7D477545"/>
    <w:rsid w:val="7D617FEB"/>
    <w:rsid w:val="7D6C6C25"/>
    <w:rsid w:val="7D82688C"/>
    <w:rsid w:val="7D936B21"/>
    <w:rsid w:val="7DB41EC3"/>
    <w:rsid w:val="7E141252"/>
    <w:rsid w:val="7E930BA3"/>
    <w:rsid w:val="7E985166"/>
    <w:rsid w:val="7EFE7213"/>
    <w:rsid w:val="7F171BCC"/>
    <w:rsid w:val="7F37013C"/>
    <w:rsid w:val="7F401C7A"/>
    <w:rsid w:val="7F5F1232"/>
    <w:rsid w:val="7F7316D3"/>
    <w:rsid w:val="7F755C75"/>
    <w:rsid w:val="7FA119C3"/>
    <w:rsid w:val="7FA3150B"/>
    <w:rsid w:val="7FC239A0"/>
    <w:rsid w:val="7FEB5D35"/>
    <w:rsid w:val="7FEB6D9F"/>
    <w:rsid w:val="7FF8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仿宋" w:hAnsi="仿宋" w:eastAsia="仿宋" w:cstheme="minorBidi"/>
      <w:kern w:val="2"/>
      <w:sz w:val="24"/>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9"/>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正文文本 字符"/>
    <w:basedOn w:val="8"/>
    <w:link w:val="4"/>
    <w:qFormat/>
    <w:uiPriority w:val="99"/>
    <w:rPr>
      <w:rFonts w:asciiTheme="minorHAnsi" w:hAnsiTheme="minorHAnsi" w:eastAsiaTheme="minorEastAsia" w:cstheme="minorBidi"/>
      <w:kern w:val="2"/>
      <w:sz w:val="21"/>
      <w:szCs w:val="22"/>
    </w:rPr>
  </w:style>
  <w:style w:type="character" w:customStyle="1" w:styleId="10">
    <w:name w:val="标题 1 字符"/>
    <w:basedOn w:val="8"/>
    <w:link w:val="2"/>
    <w:qFormat/>
    <w:uiPriority w:val="0"/>
    <w:rPr>
      <w:rFonts w:asciiTheme="minorHAnsi" w:hAnsiTheme="minorHAnsi" w:eastAsiaTheme="minorEastAsia" w:cstheme="minorBidi"/>
      <w:b/>
      <w:bCs/>
      <w:kern w:val="44"/>
      <w:sz w:val="44"/>
      <w:szCs w:val="44"/>
    </w:rPr>
  </w:style>
  <w:style w:type="paragraph" w:customStyle="1" w:styleId="11">
    <w:name w:val="TOC 标题1"/>
    <w:basedOn w:val="2"/>
    <w:next w:val="1"/>
    <w:semiHidden/>
    <w:unhideWhenUsed/>
    <w:qFormat/>
    <w:uiPriority w:val="39"/>
    <w:pPr>
      <w:outlineLvl w:val="9"/>
    </w:pPr>
    <w:rPr>
      <w:rFonts w:ascii="Times New Roman" w:hAnsi="Times New Roman" w:eastAsia="宋体" w:cs="Times New Roman"/>
    </w:rPr>
  </w:style>
  <w:style w:type="paragraph" w:customStyle="1" w:styleId="12">
    <w:name w:val="TOC 标题11"/>
    <w:basedOn w:val="2"/>
    <w:next w:val="1"/>
    <w:semiHidden/>
    <w:unhideWhenUsed/>
    <w:qFormat/>
    <w:uiPriority w:val="39"/>
    <w:pPr>
      <w:outlineLvl w:val="9"/>
    </w:pPr>
    <w:rPr>
      <w:rFonts w:ascii="Times New Roman" w:hAnsi="Times New Roman" w:eastAsia="宋体" w:cs="Times New Roman"/>
    </w:rPr>
  </w:style>
  <w:style w:type="paragraph" w:styleId="13">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10905</Words>
  <Characters>11665</Characters>
  <Lines>85</Lines>
  <Paragraphs>24</Paragraphs>
  <TotalTime>0</TotalTime>
  <ScaleCrop>false</ScaleCrop>
  <LinksUpToDate>false</LinksUpToDate>
  <CharactersWithSpaces>11745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2020-08-18T02:52:00Z</dcterms:created>
  <dc:creator>de'l'l</dc:creator>
  <cp:lastModifiedBy>听潮</cp:lastModifiedBy>
  <cp:lastPrinted>2022-09-27T01:49:00Z</cp:lastPrinted>
  <dcterms:modified xsi:type="dcterms:W3CDTF">2024-12-11T02:30:35Z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9E4FEDDC0F54436D8DD072BB9EE19449_13</vt:lpwstr>
  </property>
</Properties>
</file>