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B2A2B">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0" w:name="_Toc20961"/>
      <w:bookmarkStart w:id="27" w:name="_GoBack"/>
      <w:bookmarkEnd w:id="27"/>
      <w:r>
        <w:rPr>
          <w:rFonts w:hint="default" w:ascii="Times New Roman" w:hAnsi="Times New Roman" w:eastAsia="宋体" w:cs="Times New Roman"/>
          <w:b/>
          <w:bCs/>
          <w:snapToGrid w:val="0"/>
          <w:color w:val="auto"/>
          <w:sz w:val="30"/>
          <w:szCs w:val="30"/>
          <w:highlight w:val="none"/>
        </w:rPr>
        <w:t>一、建设项目基本情况</w:t>
      </w:r>
      <w:bookmarkEnd w:id="0"/>
    </w:p>
    <w:tbl>
      <w:tblPr>
        <w:tblStyle w:val="28"/>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1"/>
        <w:gridCol w:w="346"/>
        <w:gridCol w:w="1846"/>
        <w:gridCol w:w="1459"/>
        <w:gridCol w:w="4518"/>
      </w:tblGrid>
      <w:tr w14:paraId="3C615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047" w:type="dxa"/>
            <w:gridSpan w:val="2"/>
            <w:tcMar>
              <w:top w:w="16" w:type="dxa"/>
              <w:left w:w="16" w:type="dxa"/>
              <w:right w:w="16" w:type="dxa"/>
            </w:tcMar>
            <w:vAlign w:val="center"/>
          </w:tcPr>
          <w:p w14:paraId="1B46AC1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823" w:type="dxa"/>
            <w:gridSpan w:val="3"/>
            <w:vAlign w:val="center"/>
          </w:tcPr>
          <w:p w14:paraId="2C77119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年产10万吨商品混凝土生产线扩建项目</w:t>
            </w:r>
          </w:p>
        </w:tc>
      </w:tr>
      <w:tr w14:paraId="401DC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047" w:type="dxa"/>
            <w:gridSpan w:val="2"/>
            <w:tcMar>
              <w:top w:w="16" w:type="dxa"/>
              <w:left w:w="16" w:type="dxa"/>
              <w:right w:w="16" w:type="dxa"/>
            </w:tcMar>
            <w:vAlign w:val="center"/>
          </w:tcPr>
          <w:p w14:paraId="6E0B26C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823" w:type="dxa"/>
            <w:gridSpan w:val="3"/>
            <w:vAlign w:val="center"/>
          </w:tcPr>
          <w:p w14:paraId="3C4FF41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401</w:t>
            </w:r>
            <w:r>
              <w:rPr>
                <w:rFonts w:hint="default" w:ascii="Times New Roman" w:hAnsi="Times New Roman" w:eastAsia="宋体" w:cs="Times New Roman"/>
                <w:color w:val="auto"/>
                <w:sz w:val="24"/>
                <w:szCs w:val="24"/>
                <w:highlight w:val="none"/>
                <w:lang w:val="en-US" w:eastAsia="zh-CN"/>
              </w:rPr>
              <w:t>-530129-04-01-</w:t>
            </w:r>
            <w:r>
              <w:rPr>
                <w:rFonts w:hint="default" w:ascii="Times New Roman" w:hAnsi="Times New Roman" w:cs="Times New Roman"/>
                <w:color w:val="auto"/>
                <w:sz w:val="24"/>
                <w:szCs w:val="24"/>
                <w:highlight w:val="none"/>
                <w:lang w:val="en-US" w:eastAsia="zh-CN"/>
              </w:rPr>
              <w:t>498518</w:t>
            </w:r>
          </w:p>
        </w:tc>
      </w:tr>
      <w:tr w14:paraId="1B6A4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047" w:type="dxa"/>
            <w:gridSpan w:val="2"/>
            <w:tcMar>
              <w:top w:w="16" w:type="dxa"/>
              <w:left w:w="16" w:type="dxa"/>
              <w:right w:w="16" w:type="dxa"/>
            </w:tcMar>
            <w:vAlign w:val="center"/>
          </w:tcPr>
          <w:p w14:paraId="028EFE8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1846" w:type="dxa"/>
            <w:vAlign w:val="center"/>
          </w:tcPr>
          <w:p w14:paraId="45A1749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p>
        </w:tc>
        <w:tc>
          <w:tcPr>
            <w:tcW w:w="1459" w:type="dxa"/>
            <w:vAlign w:val="center"/>
          </w:tcPr>
          <w:p w14:paraId="797E9B0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4518" w:type="dxa"/>
            <w:vAlign w:val="center"/>
          </w:tcPr>
          <w:p w14:paraId="2CDA048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p>
        </w:tc>
      </w:tr>
      <w:tr w14:paraId="3D1AF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047" w:type="dxa"/>
            <w:gridSpan w:val="2"/>
            <w:tcMar>
              <w:top w:w="16" w:type="dxa"/>
              <w:left w:w="16" w:type="dxa"/>
              <w:right w:w="16" w:type="dxa"/>
            </w:tcMar>
            <w:vAlign w:val="center"/>
          </w:tcPr>
          <w:p w14:paraId="7B5EC94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823" w:type="dxa"/>
            <w:gridSpan w:val="3"/>
            <w:vAlign w:val="center"/>
          </w:tcPr>
          <w:p w14:paraId="10777E7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u w:val="none"/>
                <w:lang w:val="en-US" w:eastAsia="zh-CN"/>
              </w:rPr>
              <w:t>云南省昆明市寻甸县金所乡哨上大村</w:t>
            </w:r>
          </w:p>
        </w:tc>
      </w:tr>
      <w:tr w14:paraId="35A73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7" w:type="dxa"/>
            <w:gridSpan w:val="2"/>
            <w:tcMar>
              <w:top w:w="16" w:type="dxa"/>
              <w:left w:w="16" w:type="dxa"/>
              <w:right w:w="16" w:type="dxa"/>
            </w:tcMar>
            <w:vAlign w:val="center"/>
          </w:tcPr>
          <w:p w14:paraId="1764D2D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823" w:type="dxa"/>
            <w:gridSpan w:val="3"/>
            <w:vAlign w:val="center"/>
          </w:tcPr>
          <w:p w14:paraId="2225B87C">
            <w:pPr>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highlight w:val="none"/>
              </w:rPr>
              <w:t>16.887</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highlight w:val="none"/>
              </w:rPr>
              <w:t>33</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highlight w:val="none"/>
              </w:rPr>
              <w:t>0.348</w:t>
            </w:r>
            <w:r>
              <w:rPr>
                <w:rFonts w:hint="default" w:ascii="Times New Roman" w:hAnsi="Times New Roman" w:eastAsia="宋体" w:cs="Times New Roman"/>
                <w:color w:val="auto"/>
                <w:sz w:val="24"/>
                <w:szCs w:val="24"/>
                <w:highlight w:val="none"/>
              </w:rPr>
              <w:t>秒）</w:t>
            </w:r>
          </w:p>
        </w:tc>
      </w:tr>
      <w:tr w14:paraId="3B1B5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47" w:type="dxa"/>
            <w:gridSpan w:val="2"/>
            <w:tcMar>
              <w:top w:w="16" w:type="dxa"/>
              <w:left w:w="16" w:type="dxa"/>
              <w:right w:w="16" w:type="dxa"/>
            </w:tcMar>
            <w:vAlign w:val="center"/>
          </w:tcPr>
          <w:p w14:paraId="37105EC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2E92BDD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846" w:type="dxa"/>
            <w:vAlign w:val="center"/>
          </w:tcPr>
          <w:p w14:paraId="1F7CEE1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C3021水泥制品制造</w:t>
            </w:r>
          </w:p>
        </w:tc>
        <w:tc>
          <w:tcPr>
            <w:tcW w:w="1459" w:type="dxa"/>
            <w:vAlign w:val="center"/>
          </w:tcPr>
          <w:p w14:paraId="5BFCF5C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bookmarkStart w:id="1" w:name="_Hlk49843745"/>
            <w:r>
              <w:rPr>
                <w:rFonts w:hint="default" w:ascii="Times New Roman" w:hAnsi="Times New Roman" w:eastAsia="宋体" w:cs="Times New Roman"/>
                <w:color w:val="auto"/>
                <w:sz w:val="24"/>
                <w:szCs w:val="24"/>
                <w:highlight w:val="none"/>
              </w:rPr>
              <w:t>建设项目</w:t>
            </w:r>
          </w:p>
          <w:p w14:paraId="02C5FF3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1"/>
          </w:p>
        </w:tc>
        <w:tc>
          <w:tcPr>
            <w:tcW w:w="4518" w:type="dxa"/>
            <w:vAlign w:val="center"/>
          </w:tcPr>
          <w:p w14:paraId="75EF8B2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第二十七项“非金属矿物制品业”第55条“石膏、水泥制品及类似制品制造302”中的“商品混凝土”</w:t>
            </w:r>
          </w:p>
        </w:tc>
      </w:tr>
      <w:tr w14:paraId="37BA3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47" w:type="dxa"/>
            <w:gridSpan w:val="2"/>
            <w:tcMar>
              <w:top w:w="16" w:type="dxa"/>
              <w:left w:w="16" w:type="dxa"/>
              <w:right w:w="16" w:type="dxa"/>
            </w:tcMar>
            <w:vAlign w:val="center"/>
          </w:tcPr>
          <w:p w14:paraId="7F1D97D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846" w:type="dxa"/>
            <w:vAlign w:val="center"/>
          </w:tcPr>
          <w:p w14:paraId="4CEA0ED1">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新建（迁建）</w:t>
            </w:r>
          </w:p>
          <w:p w14:paraId="63418FE9">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改建</w:t>
            </w:r>
          </w:p>
          <w:p w14:paraId="5024C783">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szCs w:val="24"/>
                <w:highlight w:val="none"/>
              </w:rPr>
              <w:t>扩建</w:t>
            </w:r>
          </w:p>
          <w:p w14:paraId="46940E0B">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技术改造</w:t>
            </w:r>
          </w:p>
        </w:tc>
        <w:tc>
          <w:tcPr>
            <w:tcW w:w="1459" w:type="dxa"/>
            <w:vAlign w:val="center"/>
          </w:tcPr>
          <w:p w14:paraId="27D5389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522FD0D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4518" w:type="dxa"/>
            <w:vAlign w:val="center"/>
          </w:tcPr>
          <w:p w14:paraId="7BD5B0FB">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szCs w:val="24"/>
                <w:highlight w:val="none"/>
              </w:rPr>
              <w:t>首次申报项目</w:t>
            </w:r>
          </w:p>
          <w:p w14:paraId="14F45719">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不予批准后再次申报项目</w:t>
            </w:r>
          </w:p>
          <w:p w14:paraId="56FA50E7">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超五年重新审核项目</w:t>
            </w:r>
          </w:p>
          <w:p w14:paraId="5600CAC9">
            <w:pPr>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重大变动重新报批项目</w:t>
            </w:r>
          </w:p>
        </w:tc>
      </w:tr>
      <w:tr w14:paraId="5EE5A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gridSpan w:val="2"/>
            <w:tcMar>
              <w:top w:w="16" w:type="dxa"/>
              <w:left w:w="16" w:type="dxa"/>
              <w:right w:w="16" w:type="dxa"/>
            </w:tcMar>
            <w:vAlign w:val="center"/>
          </w:tcPr>
          <w:p w14:paraId="42222F8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569B434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1846" w:type="dxa"/>
            <w:vAlign w:val="center"/>
          </w:tcPr>
          <w:p w14:paraId="31163F2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459" w:type="dxa"/>
            <w:vAlign w:val="center"/>
          </w:tcPr>
          <w:p w14:paraId="2619729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6C48D8A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4518" w:type="dxa"/>
            <w:vAlign w:val="center"/>
          </w:tcPr>
          <w:p w14:paraId="7E608BF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401</w:t>
            </w:r>
            <w:r>
              <w:rPr>
                <w:rFonts w:hint="default" w:ascii="Times New Roman" w:hAnsi="Times New Roman" w:eastAsia="宋体" w:cs="Times New Roman"/>
                <w:color w:val="auto"/>
                <w:sz w:val="24"/>
                <w:szCs w:val="24"/>
                <w:highlight w:val="none"/>
                <w:lang w:val="en-US" w:eastAsia="zh-CN"/>
              </w:rPr>
              <w:t>-530129-04-01-</w:t>
            </w:r>
            <w:r>
              <w:rPr>
                <w:rFonts w:hint="default" w:ascii="Times New Roman" w:hAnsi="Times New Roman" w:cs="Times New Roman"/>
                <w:color w:val="auto"/>
                <w:sz w:val="24"/>
                <w:szCs w:val="24"/>
                <w:highlight w:val="none"/>
                <w:lang w:val="en-US" w:eastAsia="zh-CN"/>
              </w:rPr>
              <w:t>498518</w:t>
            </w:r>
          </w:p>
        </w:tc>
      </w:tr>
      <w:tr w14:paraId="27652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047" w:type="dxa"/>
            <w:gridSpan w:val="2"/>
            <w:tcMar>
              <w:top w:w="16" w:type="dxa"/>
              <w:left w:w="16" w:type="dxa"/>
              <w:right w:w="16" w:type="dxa"/>
            </w:tcMar>
            <w:vAlign w:val="center"/>
          </w:tcPr>
          <w:p w14:paraId="1A5BC0D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846" w:type="dxa"/>
            <w:vAlign w:val="center"/>
          </w:tcPr>
          <w:p w14:paraId="2A6F755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Cs w:val="0"/>
                <w:color w:val="auto"/>
                <w:sz w:val="24"/>
                <w:szCs w:val="24"/>
                <w:lang w:val="en-US" w:eastAsia="zh-CN"/>
              </w:rPr>
              <w:t>500</w:t>
            </w:r>
          </w:p>
        </w:tc>
        <w:tc>
          <w:tcPr>
            <w:tcW w:w="1459" w:type="dxa"/>
            <w:tcMar>
              <w:top w:w="16" w:type="dxa"/>
              <w:left w:w="16" w:type="dxa"/>
              <w:right w:w="16" w:type="dxa"/>
            </w:tcMar>
            <w:vAlign w:val="center"/>
          </w:tcPr>
          <w:p w14:paraId="7136C47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4518" w:type="dxa"/>
            <w:vAlign w:val="center"/>
          </w:tcPr>
          <w:p w14:paraId="65AB550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24</w:t>
            </w:r>
          </w:p>
        </w:tc>
      </w:tr>
      <w:tr w14:paraId="7C593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7" w:type="dxa"/>
            <w:gridSpan w:val="2"/>
            <w:tcMar>
              <w:top w:w="16" w:type="dxa"/>
              <w:left w:w="16" w:type="dxa"/>
              <w:right w:w="16" w:type="dxa"/>
            </w:tcMar>
            <w:vAlign w:val="center"/>
          </w:tcPr>
          <w:p w14:paraId="72ED3F5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846" w:type="dxa"/>
            <w:vAlign w:val="center"/>
          </w:tcPr>
          <w:p w14:paraId="2F39AE7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4.8</w:t>
            </w:r>
          </w:p>
        </w:tc>
        <w:tc>
          <w:tcPr>
            <w:tcW w:w="1459" w:type="dxa"/>
            <w:tcMar>
              <w:top w:w="16" w:type="dxa"/>
              <w:left w:w="16" w:type="dxa"/>
              <w:right w:w="16" w:type="dxa"/>
            </w:tcMar>
            <w:vAlign w:val="center"/>
          </w:tcPr>
          <w:p w14:paraId="621A8E7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4518" w:type="dxa"/>
            <w:vAlign w:val="center"/>
          </w:tcPr>
          <w:p w14:paraId="0052509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3个月</w:t>
            </w:r>
          </w:p>
        </w:tc>
      </w:tr>
      <w:tr w14:paraId="0DE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7" w:type="dxa"/>
            <w:gridSpan w:val="2"/>
            <w:tcMar>
              <w:top w:w="16" w:type="dxa"/>
              <w:left w:w="16" w:type="dxa"/>
              <w:right w:w="16" w:type="dxa"/>
            </w:tcMar>
            <w:vAlign w:val="center"/>
          </w:tcPr>
          <w:p w14:paraId="222312D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846" w:type="dxa"/>
            <w:vAlign w:val="center"/>
          </w:tcPr>
          <w:p w14:paraId="1BE1E45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szCs w:val="24"/>
                <w:highlight w:val="none"/>
              </w:rPr>
              <w:t>否</w:t>
            </w:r>
          </w:p>
          <w:p w14:paraId="45ACA97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u w:val="single"/>
              </w:rPr>
              <w:sym w:font="Wingdings 2" w:char="0052"/>
            </w:r>
            <w:r>
              <w:rPr>
                <w:rFonts w:hint="default" w:ascii="Times New Roman" w:hAnsi="Times New Roman" w:eastAsia="宋体" w:cs="Times New Roman"/>
                <w:color w:val="auto"/>
                <w:sz w:val="24"/>
                <w:szCs w:val="24"/>
                <w:highlight w:val="none"/>
                <w:u w:val="single"/>
              </w:rPr>
              <w:t>是：</w:t>
            </w:r>
            <w:r>
              <w:rPr>
                <w:rFonts w:hint="eastAsia" w:cs="Times New Roman"/>
                <w:color w:val="auto"/>
                <w:sz w:val="24"/>
                <w:szCs w:val="24"/>
                <w:highlight w:val="none"/>
                <w:u w:val="single"/>
                <w:lang w:eastAsia="zh-CN"/>
              </w:rPr>
              <w:t>项目涉及未批先建，</w:t>
            </w:r>
            <w:r>
              <w:rPr>
                <w:rFonts w:hint="eastAsia" w:cs="Times New Roman"/>
                <w:color w:val="auto"/>
                <w:sz w:val="24"/>
                <w:szCs w:val="24"/>
                <w:highlight w:val="none"/>
                <w:u w:val="single"/>
                <w:lang w:val="en-US" w:eastAsia="zh-CN"/>
              </w:rPr>
              <w:t>2023年12月29日昆明市生态环境局出具</w:t>
            </w:r>
            <w:r>
              <w:rPr>
                <w:rFonts w:hint="eastAsia" w:cs="Times New Roman"/>
                <w:color w:val="auto"/>
                <w:sz w:val="24"/>
                <w:szCs w:val="24"/>
                <w:highlight w:val="none"/>
                <w:u w:val="single"/>
                <w:lang w:eastAsia="zh-CN"/>
              </w:rPr>
              <w:t>《昆明市生态环境局行政处罚决定书》昆生环罚【</w:t>
            </w:r>
            <w:r>
              <w:rPr>
                <w:rFonts w:hint="eastAsia" w:cs="Times New Roman"/>
                <w:color w:val="auto"/>
                <w:sz w:val="24"/>
                <w:szCs w:val="24"/>
                <w:highlight w:val="none"/>
                <w:u w:val="single"/>
                <w:lang w:val="en-US" w:eastAsia="zh-CN"/>
              </w:rPr>
              <w:t>2023</w:t>
            </w:r>
            <w:r>
              <w:rPr>
                <w:rFonts w:hint="eastAsia" w:cs="Times New Roman"/>
                <w:color w:val="auto"/>
                <w:sz w:val="24"/>
                <w:szCs w:val="24"/>
                <w:highlight w:val="none"/>
                <w:u w:val="single"/>
                <w:lang w:eastAsia="zh-CN"/>
              </w:rPr>
              <w:t>】</w:t>
            </w:r>
            <w:r>
              <w:rPr>
                <w:rFonts w:hint="eastAsia" w:cs="Times New Roman"/>
                <w:color w:val="auto"/>
                <w:sz w:val="24"/>
                <w:szCs w:val="24"/>
                <w:highlight w:val="none"/>
                <w:u w:val="single"/>
                <w:lang w:val="en-US" w:eastAsia="zh-CN"/>
              </w:rPr>
              <w:t>11-11号对建设单位未批先建违法行为进行了处罚，处以人民币贰万肆仟柒佰元整并责令停止建设，建设单位已停止建设并于2024年1月1日缴纳了罚款。</w:t>
            </w:r>
          </w:p>
        </w:tc>
        <w:tc>
          <w:tcPr>
            <w:tcW w:w="1459" w:type="dxa"/>
            <w:tcMar>
              <w:top w:w="16" w:type="dxa"/>
              <w:left w:w="16" w:type="dxa"/>
              <w:right w:w="16" w:type="dxa"/>
            </w:tcMar>
            <w:vAlign w:val="center"/>
          </w:tcPr>
          <w:p w14:paraId="0678264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2700D7E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4518" w:type="dxa"/>
            <w:vAlign w:val="center"/>
          </w:tcPr>
          <w:p w14:paraId="7EC876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800</w:t>
            </w:r>
          </w:p>
        </w:tc>
      </w:tr>
      <w:tr w14:paraId="48E8C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1" w:type="dxa"/>
            <w:vAlign w:val="center"/>
          </w:tcPr>
          <w:p w14:paraId="1114DEE7">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169" w:type="dxa"/>
            <w:gridSpan w:val="4"/>
            <w:vAlign w:val="center"/>
          </w:tcPr>
          <w:p w14:paraId="4F351DBB">
            <w:pPr>
              <w:keepNext w:val="0"/>
              <w:keepLines w:val="0"/>
              <w:pageBreakBefore w:val="0"/>
              <w:widowControl w:val="0"/>
              <w:kinsoku/>
              <w:wordWrap/>
              <w:overflowPunct/>
              <w:topLinePunct w:val="0"/>
              <w:autoSpaceDE w:val="0"/>
              <w:autoSpaceDN w:val="0"/>
              <w:bidi w:val="0"/>
              <w:adjustRightInd w:val="0"/>
              <w:snapToGrid w:val="0"/>
              <w:spacing w:line="288"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项目专项评价判定情况如下表所示。</w:t>
            </w:r>
          </w:p>
          <w:p w14:paraId="5AF0279D">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9"/>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087"/>
              <w:gridCol w:w="3289"/>
              <w:gridCol w:w="792"/>
            </w:tblGrid>
            <w:tr w14:paraId="7394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14:paraId="2325F509">
                  <w:pPr>
                    <w:keepNext w:val="0"/>
                    <w:keepLines w:val="0"/>
                    <w:pageBreakBefore w:val="0"/>
                    <w:kinsoku/>
                    <w:wordWrap/>
                    <w:overflowPunct/>
                    <w:topLinePunct w:val="0"/>
                    <w:autoSpaceDE w:val="0"/>
                    <w:autoSpaceDN w:val="0"/>
                    <w:bidi w:val="0"/>
                    <w:adjustRightInd w:val="0"/>
                    <w:snapToGrid w:val="0"/>
                    <w:ind w:left="0" w:leftChars="0" w:firstLine="0" w:firstLineChars="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1944" w:type="pct"/>
                  <w:noWrap w:val="0"/>
                  <w:vAlign w:val="center"/>
                </w:tcPr>
                <w:p w14:paraId="485ECCD6">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071" w:type="pct"/>
                  <w:noWrap w:val="0"/>
                  <w:vAlign w:val="center"/>
                </w:tcPr>
                <w:p w14:paraId="7A7FF42A">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497" w:type="pct"/>
                  <w:noWrap w:val="0"/>
                  <w:vAlign w:val="center"/>
                </w:tcPr>
                <w:p w14:paraId="2E7C4C07">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14:paraId="0703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pct"/>
                  <w:noWrap w:val="0"/>
                  <w:vAlign w:val="center"/>
                </w:tcPr>
                <w:p w14:paraId="15562504">
                  <w:pPr>
                    <w:keepNext w:val="0"/>
                    <w:keepLines w:val="0"/>
                    <w:pageBreakBefore w:val="0"/>
                    <w:tabs>
                      <w:tab w:val="left" w:pos="3255"/>
                    </w:tabs>
                    <w:kinsoku/>
                    <w:wordWrap/>
                    <w:overflowPunct/>
                    <w:topLinePunct w:val="0"/>
                    <w:bidi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1944" w:type="pct"/>
                  <w:noWrap w:val="0"/>
                  <w:vAlign w:val="center"/>
                </w:tcPr>
                <w:p w14:paraId="6B49DD0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排放废气含有毒有害污染物、二噁英、苯并[a]芘、氰化物、氯气且厂界500m范围内有环境空气保护目标的建设项目。</w:t>
                  </w:r>
                </w:p>
              </w:tc>
              <w:tc>
                <w:tcPr>
                  <w:tcW w:w="2071" w:type="pct"/>
                  <w:noWrap w:val="0"/>
                  <w:vAlign w:val="center"/>
                </w:tcPr>
                <w:p w14:paraId="463415DD">
                  <w:pPr>
                    <w:keepNext w:val="0"/>
                    <w:keepLines w:val="0"/>
                    <w:pageBreakBefore w:val="0"/>
                    <w:widowControl/>
                    <w:suppressLineNumbers w:val="0"/>
                    <w:kinsoku/>
                    <w:wordWrap/>
                    <w:overflowPunct/>
                    <w:topLinePunct w:val="0"/>
                    <w:bidi w:val="0"/>
                    <w:ind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cs="Times New Roman"/>
                      <w:color w:val="auto"/>
                      <w:kern w:val="0"/>
                      <w:sz w:val="20"/>
                      <w:szCs w:val="20"/>
                      <w:lang w:val="en-US" w:eastAsia="zh-CN" w:bidi="ar"/>
                    </w:rPr>
                    <w:t>本项目主要排放废气污染物为</w:t>
                  </w:r>
                  <w:r>
                    <w:rPr>
                      <w:rFonts w:hint="default" w:ascii="Times New Roman" w:hAnsi="Times New Roman" w:cs="Times New Roman"/>
                      <w:color w:val="auto"/>
                      <w:szCs w:val="24"/>
                      <w:highlight w:val="none"/>
                      <w:lang w:val="en-US" w:eastAsia="zh-CN"/>
                    </w:rPr>
                    <w:t>颗粒物，</w:t>
                  </w:r>
                  <w:r>
                    <w:rPr>
                      <w:rFonts w:hint="default" w:ascii="Times New Roman" w:hAnsi="Times New Roman" w:eastAsia="宋体" w:cs="Times New Roman"/>
                      <w:b w:val="0"/>
                      <w:bCs w:val="0"/>
                      <w:color w:val="auto"/>
                      <w:kern w:val="0"/>
                      <w:sz w:val="21"/>
                      <w:szCs w:val="21"/>
                      <w:highlight w:val="none"/>
                      <w:vertAlign w:val="baseline"/>
                      <w:lang w:val="en-US" w:eastAsia="zh-CN"/>
                    </w:rPr>
                    <w:t>不排放含有毒有害污染物、二噁英、苯并[a]芘、氰化物、氯气等废气。</w:t>
                  </w:r>
                </w:p>
              </w:tc>
              <w:tc>
                <w:tcPr>
                  <w:tcW w:w="497" w:type="pct"/>
                  <w:noWrap w:val="0"/>
                  <w:vAlign w:val="center"/>
                </w:tcPr>
                <w:p w14:paraId="4FE8DF4F">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6D43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14:paraId="6102B5BC">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1944" w:type="pct"/>
                  <w:noWrap w:val="0"/>
                  <w:vAlign w:val="center"/>
                </w:tcPr>
                <w:p w14:paraId="1BC89818">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071" w:type="pct"/>
                  <w:noWrap w:val="0"/>
                  <w:vAlign w:val="center"/>
                </w:tcPr>
                <w:p w14:paraId="410246CB">
                  <w:pPr>
                    <w:pStyle w:val="17"/>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本项目建成后食堂废水经</w:t>
                  </w:r>
                  <w:r>
                    <w:rPr>
                      <w:rFonts w:hint="default" w:ascii="Times New Roman" w:hAnsi="Times New Roman" w:cs="Times New Roman"/>
                      <w:b w:val="0"/>
                      <w:bCs w:val="0"/>
                      <w:color w:val="auto"/>
                      <w:sz w:val="21"/>
                      <w:szCs w:val="21"/>
                      <w:highlight w:val="none"/>
                      <w:lang w:val="en-US" w:eastAsia="zh-CN"/>
                    </w:rPr>
                    <w:t>三级</w:t>
                  </w:r>
                  <w:r>
                    <w:rPr>
                      <w:rFonts w:hint="default" w:ascii="Times New Roman" w:hAnsi="Times New Roman" w:eastAsia="宋体" w:cs="Times New Roman"/>
                      <w:b w:val="0"/>
                      <w:bCs w:val="0"/>
                      <w:color w:val="auto"/>
                      <w:sz w:val="21"/>
                      <w:szCs w:val="21"/>
                      <w:highlight w:val="none"/>
                      <w:lang w:val="en-US" w:eastAsia="zh-CN"/>
                    </w:rPr>
                    <w:t>隔油池处理后与其他生活污水直接排入</w:t>
                  </w:r>
                  <w:r>
                    <w:rPr>
                      <w:rFonts w:hint="default" w:ascii="Times New Roman" w:hAnsi="Times New Roman" w:cs="Times New Roman"/>
                      <w:b w:val="0"/>
                      <w:bCs w:val="0"/>
                      <w:color w:val="auto"/>
                      <w:sz w:val="21"/>
                      <w:szCs w:val="21"/>
                      <w:highlight w:val="none"/>
                      <w:lang w:val="en-US" w:eastAsia="zh-CN"/>
                    </w:rPr>
                    <w:t>沉淀池</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lang w:val="en-US" w:eastAsia="zh-CN"/>
                    </w:rPr>
                    <w:t>沉淀池内生产用水回用于生产搅拌</w:t>
                  </w:r>
                  <w:r>
                    <w:rPr>
                      <w:rFonts w:hint="default" w:ascii="Times New Roman" w:hAnsi="Times New Roman" w:eastAsia="宋体" w:cs="Times New Roman"/>
                      <w:b w:val="0"/>
                      <w:bCs w:val="0"/>
                      <w:color w:val="auto"/>
                      <w:sz w:val="21"/>
                      <w:szCs w:val="21"/>
                      <w:highlight w:val="none"/>
                      <w:lang w:val="en-US" w:eastAsia="zh-CN"/>
                    </w:rPr>
                    <w:t>。</w:t>
                  </w:r>
                </w:p>
              </w:tc>
              <w:tc>
                <w:tcPr>
                  <w:tcW w:w="497" w:type="pct"/>
                  <w:noWrap w:val="0"/>
                  <w:vAlign w:val="center"/>
                </w:tcPr>
                <w:p w14:paraId="054A4D2C">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05A0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14:paraId="642966A4">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1944" w:type="pct"/>
                  <w:noWrap w:val="0"/>
                  <w:vAlign w:val="center"/>
                </w:tcPr>
                <w:p w14:paraId="78E70A10">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14:paraId="6FC7645E">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项目涉及有毒有害和易燃易爆危险物质最大暂存量未超过临界量。</w:t>
                  </w:r>
                </w:p>
              </w:tc>
              <w:tc>
                <w:tcPr>
                  <w:tcW w:w="497" w:type="pct"/>
                  <w:noWrap w:val="0"/>
                  <w:vAlign w:val="center"/>
                </w:tcPr>
                <w:p w14:paraId="0B571411">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7DD7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14:paraId="1E3C84D4">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1944" w:type="pct"/>
                  <w:noWrap w:val="0"/>
                  <w:vAlign w:val="center"/>
                </w:tcPr>
                <w:p w14:paraId="6EA71269">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071" w:type="pct"/>
                  <w:noWrap w:val="0"/>
                  <w:vAlign w:val="center"/>
                </w:tcPr>
                <w:p w14:paraId="64F4931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497" w:type="pct"/>
                  <w:noWrap w:val="0"/>
                  <w:vAlign w:val="center"/>
                </w:tcPr>
                <w:p w14:paraId="44F79503">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5286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14:paraId="0FC9C23E">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1944" w:type="pct"/>
                  <w:noWrap w:val="0"/>
                  <w:vAlign w:val="center"/>
                </w:tcPr>
                <w:p w14:paraId="6E80B757">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071" w:type="pct"/>
                  <w:noWrap w:val="0"/>
                  <w:vAlign w:val="center"/>
                </w:tcPr>
                <w:p w14:paraId="162F6945">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497" w:type="pct"/>
                  <w:noWrap w:val="0"/>
                  <w:vAlign w:val="center"/>
                </w:tcPr>
                <w:p w14:paraId="1E061740">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3FBE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noWrap w:val="0"/>
                  <w:vAlign w:val="center"/>
                </w:tcPr>
                <w:p w14:paraId="4C261915">
                  <w:pPr>
                    <w:keepNext w:val="0"/>
                    <w:keepLines w:val="0"/>
                    <w:pageBreakBefore w:val="0"/>
                    <w:kinsoku/>
                    <w:wordWrap/>
                    <w:overflowPunct/>
                    <w:topLinePunct w:val="0"/>
                    <w:autoSpaceDE w:val="0"/>
                    <w:autoSpaceDN w:val="0"/>
                    <w:bidi w:val="0"/>
                    <w:adjustRightInd w:val="0"/>
                    <w:snapToGrid w:val="0"/>
                    <w:ind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14:paraId="4CD01765">
                  <w:pPr>
                    <w:keepNext w:val="0"/>
                    <w:keepLines w:val="0"/>
                    <w:pageBreakBefore w:val="0"/>
                    <w:kinsoku/>
                    <w:wordWrap/>
                    <w:overflowPunct/>
                    <w:topLinePunct w:val="0"/>
                    <w:autoSpaceDE w:val="0"/>
                    <w:autoSpaceDN w:val="0"/>
                    <w:bidi w:val="0"/>
                    <w:adjustRightInd w:val="0"/>
                    <w:snapToGrid w:val="0"/>
                    <w:ind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14:paraId="19878AF4">
                  <w:pPr>
                    <w:keepNext w:val="0"/>
                    <w:keepLines w:val="0"/>
                    <w:pageBreakBefore w:val="0"/>
                    <w:kinsoku/>
                    <w:wordWrap/>
                    <w:overflowPunct/>
                    <w:topLinePunct w:val="0"/>
                    <w:autoSpaceDE w:val="0"/>
                    <w:autoSpaceDN w:val="0"/>
                    <w:bidi w:val="0"/>
                    <w:adjustRightInd w:val="0"/>
                    <w:snapToGrid w:val="0"/>
                    <w:ind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14:paraId="3F6D6299">
            <w:pPr>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14:paraId="4D4E2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01" w:type="dxa"/>
            <w:vAlign w:val="center"/>
          </w:tcPr>
          <w:p w14:paraId="2E5C1CF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69" w:type="dxa"/>
            <w:gridSpan w:val="4"/>
            <w:vAlign w:val="center"/>
          </w:tcPr>
          <w:p w14:paraId="1740C726">
            <w:pPr>
              <w:autoSpaceDE w:val="0"/>
              <w:autoSpaceDN w:val="0"/>
              <w:adjustRightInd w:val="0"/>
              <w:snapToGrid w:val="0"/>
              <w:spacing w:line="360" w:lineRule="auto"/>
              <w:ind w:left="0" w:leftChars="0" w:firstLine="0" w:firstLineChars="0"/>
              <w:jc w:val="center"/>
              <w:rPr>
                <w:rFonts w:hint="default" w:ascii="Times New Roman" w:hAnsi="Times New Roman" w:eastAsia="宋体" w:cs="Times New Roman"/>
                <w:color w:val="auto"/>
                <w:highlight w:val="none"/>
                <w:lang w:val="en-US" w:eastAsia="zh-CN"/>
              </w:rPr>
            </w:pPr>
            <w:r>
              <w:rPr>
                <w:rStyle w:val="33"/>
                <w:rFonts w:hint="default" w:ascii="Times New Roman" w:hAnsi="Times New Roman" w:cs="Times New Roman"/>
                <w:b w:val="0"/>
                <w:bCs w:val="0"/>
                <w:color w:val="auto"/>
                <w:sz w:val="24"/>
                <w:highlight w:val="none"/>
                <w:lang w:val="en-US"/>
              </w:rPr>
              <w:t>无</w:t>
            </w:r>
          </w:p>
        </w:tc>
      </w:tr>
      <w:tr w14:paraId="6D0B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01" w:type="dxa"/>
            <w:vAlign w:val="center"/>
          </w:tcPr>
          <w:p w14:paraId="535196C7">
            <w:pPr>
              <w:keepNext w:val="0"/>
              <w:keepLines w:val="0"/>
              <w:pageBreakBefore w:val="0"/>
              <w:widowControl w:val="0"/>
              <w:kinsoku/>
              <w:wordWrap/>
              <w:overflowPunct/>
              <w:topLinePunct w:val="0"/>
              <w:bidi w:val="0"/>
              <w:adjustRightInd w:val="0"/>
              <w:snapToGrid w:val="0"/>
              <w:ind w:left="0" w:lef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8169" w:type="dxa"/>
            <w:gridSpan w:val="4"/>
            <w:vAlign w:val="center"/>
          </w:tcPr>
          <w:p w14:paraId="0B6703B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highlight w:val="none"/>
                <w:lang w:val="en-US" w:eastAsia="zh-CN"/>
              </w:rPr>
            </w:pPr>
            <w:r>
              <w:rPr>
                <w:rStyle w:val="33"/>
                <w:rFonts w:hint="default" w:ascii="Times New Roman" w:hAnsi="Times New Roman" w:cs="Times New Roman"/>
                <w:b w:val="0"/>
                <w:bCs w:val="0"/>
                <w:color w:val="auto"/>
                <w:sz w:val="24"/>
                <w:highlight w:val="none"/>
                <w:lang w:val="en-US"/>
              </w:rPr>
              <w:t>无</w:t>
            </w:r>
          </w:p>
        </w:tc>
      </w:tr>
      <w:tr w14:paraId="2E734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14:paraId="59C7F187">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w:t>
            </w:r>
            <w:r>
              <w:rPr>
                <w:rFonts w:hint="eastAsia" w:cs="Times New Roman"/>
                <w:color w:val="auto"/>
                <w:kern w:val="0"/>
                <w:sz w:val="24"/>
                <w:szCs w:val="24"/>
                <w:highlight w:val="none"/>
                <w:lang w:eastAsia="zh-CN"/>
              </w:rPr>
              <w:t>符合性分析</w:t>
            </w:r>
          </w:p>
        </w:tc>
        <w:tc>
          <w:tcPr>
            <w:tcW w:w="8169" w:type="dxa"/>
            <w:gridSpan w:val="4"/>
            <w:vAlign w:val="center"/>
          </w:tcPr>
          <w:p w14:paraId="7FD99386">
            <w:pPr>
              <w:keepNext w:val="0"/>
              <w:keepLines w:val="0"/>
              <w:widowControl/>
              <w:suppressLineNumbers w:val="0"/>
              <w:ind w:left="0" w:leftChars="0" w:firstLine="0" w:firstLine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lang w:val="en-US" w:eastAsia="zh-CN" w:bidi="ar"/>
              </w:rPr>
              <w:t>无</w:t>
            </w:r>
          </w:p>
        </w:tc>
      </w:tr>
      <w:tr w14:paraId="520B0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1" w:type="dxa"/>
            <w:vAlign w:val="center"/>
          </w:tcPr>
          <w:p w14:paraId="021A99BC">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69" w:type="dxa"/>
            <w:gridSpan w:val="4"/>
            <w:vAlign w:val="center"/>
          </w:tcPr>
          <w:p w14:paraId="1B13EB75">
            <w:pPr>
              <w:keepNext w:val="0"/>
              <w:keepLines w:val="0"/>
              <w:pageBreakBefore w:val="0"/>
              <w:widowControl w:val="0"/>
              <w:tabs>
                <w:tab w:val="left" w:pos="511"/>
              </w:tabs>
              <w:kinsoku/>
              <w:wordWrap/>
              <w:overflowPunct/>
              <w:topLinePunct w:val="0"/>
              <w:autoSpaceDE/>
              <w:autoSpaceDN/>
              <w:bidi w:val="0"/>
              <w:adjustRightInd/>
              <w:snapToGrid/>
              <w:spacing w:line="360" w:lineRule="auto"/>
              <w:ind w:left="0" w:right="0"/>
              <w:textAlignment w:val="auto"/>
              <w:outlineLvl w:val="1"/>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1、产业政策符合性分析</w:t>
            </w:r>
          </w:p>
          <w:p w14:paraId="3AB8CBB4">
            <w:pPr>
              <w:keepNext w:val="0"/>
              <w:keepLines w:val="0"/>
              <w:pageBreakBefore w:val="0"/>
              <w:widowControl w:val="0"/>
              <w:kinsoku/>
              <w:wordWrap/>
              <w:overflowPunct/>
              <w:topLinePunct w:val="0"/>
              <w:autoSpaceDE/>
              <w:autoSpaceDN/>
              <w:bidi w:val="0"/>
              <w:adjustRightInd/>
              <w:snapToGrid/>
              <w:spacing w:line="360" w:lineRule="auto"/>
              <w:ind w:left="0" w:right="0"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本项目属于水泥制品制造项目，根据《产业结构调整指导目录（</w:t>
            </w:r>
            <w:r>
              <w:rPr>
                <w:rFonts w:hint="default" w:ascii="Times New Roman" w:hAnsi="Times New Roman" w:eastAsia="Times New Roman" w:cs="Times New Roman"/>
                <w:color w:val="auto"/>
                <w:spacing w:val="-3"/>
                <w:sz w:val="24"/>
                <w:szCs w:val="24"/>
              </w:rPr>
              <w:t>2019</w:t>
            </w:r>
            <w:r>
              <w:rPr>
                <w:rFonts w:hint="default" w:ascii="Times New Roman" w:hAnsi="Times New Roman" w:eastAsia="宋体" w:cs="Times New Roman"/>
                <w:color w:val="auto"/>
                <w:spacing w:val="-3"/>
                <w:sz w:val="24"/>
                <w:szCs w:val="24"/>
              </w:rPr>
              <w:t>年本）》，该项目不属于以上目录的限制类和淘汰类，属于允许类，并且</w:t>
            </w:r>
            <w:r>
              <w:rPr>
                <w:rFonts w:hint="default" w:ascii="Times New Roman" w:hAnsi="Times New Roman" w:eastAsia="宋体" w:cs="Times New Roman"/>
                <w:color w:val="auto"/>
                <w:spacing w:val="-2"/>
                <w:sz w:val="24"/>
                <w:szCs w:val="24"/>
              </w:rPr>
              <w:t>项目已于</w:t>
            </w:r>
            <w:r>
              <w:rPr>
                <w:rFonts w:hint="default" w:ascii="Times New Roman" w:hAnsi="Times New Roman" w:eastAsia="宋体" w:cs="Times New Roman"/>
                <w:color w:val="auto"/>
                <w:spacing w:val="-2"/>
                <w:sz w:val="24"/>
                <w:szCs w:val="24"/>
                <w:lang w:val="en-US" w:eastAsia="zh-CN"/>
              </w:rPr>
              <w:t>2</w:t>
            </w:r>
            <w:r>
              <w:rPr>
                <w:rFonts w:hint="default" w:ascii="Times New Roman" w:hAnsi="Times New Roman" w:eastAsia="Times New Roman" w:cs="Times New Roman"/>
                <w:color w:val="auto"/>
                <w:spacing w:val="-2"/>
                <w:sz w:val="24"/>
                <w:szCs w:val="24"/>
              </w:rPr>
              <w:t>02</w:t>
            </w:r>
            <w:r>
              <w:rPr>
                <w:rFonts w:hint="default" w:ascii="Times New Roman" w:hAnsi="Times New Roman" w:eastAsia="宋体" w:cs="Times New Roman"/>
                <w:color w:val="auto"/>
                <w:spacing w:val="-2"/>
                <w:sz w:val="24"/>
                <w:szCs w:val="24"/>
                <w:lang w:val="en-US" w:eastAsia="zh-CN"/>
              </w:rPr>
              <w:t>4</w:t>
            </w:r>
            <w:r>
              <w:rPr>
                <w:rFonts w:hint="default" w:ascii="Times New Roman" w:hAnsi="Times New Roman" w:eastAsia="宋体" w:cs="Times New Roman"/>
                <w:color w:val="auto"/>
                <w:spacing w:val="-2"/>
                <w:sz w:val="24"/>
                <w:szCs w:val="24"/>
              </w:rPr>
              <w:t>年</w:t>
            </w:r>
            <w:r>
              <w:rPr>
                <w:rFonts w:hint="default" w:ascii="Times New Roman" w:hAnsi="Times New Roman" w:eastAsia="宋体" w:cs="Times New Roman"/>
                <w:color w:val="auto"/>
                <w:spacing w:val="-2"/>
                <w:sz w:val="24"/>
                <w:szCs w:val="24"/>
                <w:lang w:val="en-US" w:eastAsia="zh-CN"/>
              </w:rPr>
              <w:t>1</w:t>
            </w:r>
            <w:r>
              <w:rPr>
                <w:rFonts w:hint="default" w:ascii="Times New Roman" w:hAnsi="Times New Roman" w:eastAsia="宋体" w:cs="Times New Roman"/>
                <w:color w:val="auto"/>
                <w:spacing w:val="-2"/>
                <w:sz w:val="24"/>
                <w:szCs w:val="24"/>
              </w:rPr>
              <w:t>月</w:t>
            </w:r>
            <w:r>
              <w:rPr>
                <w:rFonts w:hint="default" w:ascii="Times New Roman" w:hAnsi="Times New Roman" w:eastAsia="宋体" w:cs="Times New Roman"/>
                <w:color w:val="auto"/>
                <w:spacing w:val="-2"/>
                <w:sz w:val="24"/>
                <w:szCs w:val="24"/>
                <w:lang w:val="en-US" w:eastAsia="zh-CN"/>
              </w:rPr>
              <w:t>26</w:t>
            </w:r>
            <w:r>
              <w:rPr>
                <w:rFonts w:hint="default" w:ascii="Times New Roman" w:hAnsi="Times New Roman" w:eastAsia="宋体" w:cs="Times New Roman"/>
                <w:color w:val="auto"/>
                <w:spacing w:val="-2"/>
                <w:sz w:val="24"/>
                <w:szCs w:val="24"/>
              </w:rPr>
              <w:t>日获得</w:t>
            </w:r>
            <w:r>
              <w:rPr>
                <w:rFonts w:hint="default" w:ascii="Times New Roman" w:hAnsi="Times New Roman" w:eastAsia="宋体" w:cs="Times New Roman"/>
                <w:color w:val="auto"/>
                <w:spacing w:val="-2"/>
                <w:sz w:val="24"/>
                <w:szCs w:val="24"/>
                <w:lang w:val="en-US" w:eastAsia="zh-CN"/>
              </w:rPr>
              <w:t>寻甸</w:t>
            </w:r>
            <w:r>
              <w:rPr>
                <w:rFonts w:hint="default" w:ascii="Times New Roman" w:hAnsi="Times New Roman" w:eastAsia="宋体" w:cs="Times New Roman"/>
                <w:color w:val="auto"/>
                <w:spacing w:val="-2"/>
                <w:sz w:val="24"/>
                <w:szCs w:val="24"/>
              </w:rPr>
              <w:t>市发展和改革局签发的投资项目备案证，备案号：</w:t>
            </w:r>
            <w:r>
              <w:rPr>
                <w:rFonts w:hint="default" w:ascii="Times New Roman" w:hAnsi="Times New Roman" w:eastAsia="Times New Roman" w:cs="Times New Roman"/>
                <w:color w:val="auto"/>
                <w:spacing w:val="-2"/>
                <w:sz w:val="24"/>
                <w:szCs w:val="24"/>
              </w:rPr>
              <w:t>2303-530181-04-01</w:t>
            </w:r>
            <w:r>
              <w:rPr>
                <w:rFonts w:hint="default" w:ascii="Times New Roman" w:hAnsi="Times New Roman" w:eastAsia="Times New Roman" w:cs="Times New Roman"/>
                <w:color w:val="auto"/>
                <w:spacing w:val="-3"/>
                <w:sz w:val="24"/>
                <w:szCs w:val="24"/>
              </w:rPr>
              <w:t>-307692</w:t>
            </w:r>
            <w:r>
              <w:rPr>
                <w:rFonts w:hint="default" w:ascii="Times New Roman" w:hAnsi="Times New Roman" w:eastAsia="宋体" w:cs="Times New Roman"/>
                <w:color w:val="auto"/>
                <w:spacing w:val="-3"/>
                <w:sz w:val="24"/>
                <w:szCs w:val="24"/>
              </w:rPr>
              <w:t>（详见附件</w:t>
            </w:r>
            <w:r>
              <w:rPr>
                <w:rFonts w:hint="default" w:ascii="Times New Roman" w:hAnsi="Times New Roman" w:eastAsia="宋体" w:cs="Times New Roman"/>
                <w:color w:val="auto"/>
                <w:spacing w:val="-3"/>
                <w:sz w:val="24"/>
                <w:szCs w:val="24"/>
                <w:lang w:val="en-US" w:eastAsia="zh-CN"/>
              </w:rPr>
              <w:t>4</w:t>
            </w:r>
            <w:r>
              <w:rPr>
                <w:rFonts w:hint="default" w:ascii="Times New Roman" w:hAnsi="Times New Roman" w:eastAsia="宋体" w:cs="Times New Roman"/>
                <w:color w:val="auto"/>
                <w:spacing w:val="-3"/>
                <w:sz w:val="24"/>
                <w:szCs w:val="24"/>
              </w:rPr>
              <w:t>）。因此，本项目符</w:t>
            </w:r>
            <w:r>
              <w:rPr>
                <w:rFonts w:hint="default" w:ascii="Times New Roman" w:hAnsi="Times New Roman" w:eastAsia="宋体" w:cs="Times New Roman"/>
                <w:color w:val="auto"/>
                <w:spacing w:val="-2"/>
                <w:sz w:val="24"/>
                <w:szCs w:val="24"/>
              </w:rPr>
              <w:t>合国家产业政策。</w:t>
            </w:r>
          </w:p>
          <w:p w14:paraId="7A293905">
            <w:pPr>
              <w:pStyle w:val="14"/>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cs="Times New Roman"/>
                <w:b/>
                <w:bCs/>
                <w:color w:val="auto"/>
                <w:kern w:val="0"/>
                <w:sz w:val="24"/>
                <w:szCs w:val="24"/>
                <w:highlight w:val="none"/>
                <w:lang w:val="en-US" w:eastAsia="zh-CN" w:bidi="ar-SA"/>
              </w:rPr>
              <w:t>2、</w:t>
            </w:r>
            <w:r>
              <w:rPr>
                <w:rFonts w:hint="default" w:ascii="Times New Roman" w:hAnsi="Times New Roman" w:eastAsia="宋体" w:cs="Times New Roman"/>
                <w:b/>
                <w:bCs/>
                <w:color w:val="auto"/>
                <w:kern w:val="0"/>
                <w:sz w:val="24"/>
                <w:szCs w:val="24"/>
                <w:highlight w:val="none"/>
                <w:lang w:val="en-US" w:eastAsia="zh-CN" w:bidi="ar-SA"/>
              </w:rPr>
              <w:t>与云南省政府发布“三线一单”符合性分析</w:t>
            </w:r>
          </w:p>
          <w:p w14:paraId="34F485F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根据《云南省人民政府关于实施“三线一单”生态环境分区 管控的意见》（云政发〔2020〕29号），云南省生态保护红线、环境质量底线、资源利用上线和生态环境准入清单（以下简称 “三线一单”）基本情况如下。</w:t>
            </w:r>
          </w:p>
          <w:p w14:paraId="0841D190">
            <w:pPr>
              <w:pStyle w:val="34"/>
              <w:spacing w:before="120" w:after="48"/>
              <w:outlineLvl w:val="9"/>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表1-</w:t>
            </w:r>
            <w:r>
              <w:rPr>
                <w:rFonts w:hint="default" w:ascii="Times New Roman" w:hAnsi="Times New Roman" w:cs="Times New Roman"/>
                <w:bCs/>
                <w:snapToGrid w:val="0"/>
                <w:color w:val="auto"/>
                <w:kern w:val="0"/>
                <w:szCs w:val="21"/>
                <w:highlight w:val="none"/>
                <w:lang w:val="en-US" w:eastAsia="zh-CN"/>
              </w:rPr>
              <w:t>2</w:t>
            </w:r>
            <w:r>
              <w:rPr>
                <w:rFonts w:hint="default" w:ascii="Times New Roman" w:hAnsi="Times New Roman" w:eastAsia="宋体" w:cs="Times New Roman"/>
                <w:bCs/>
                <w:snapToGrid w:val="0"/>
                <w:color w:val="auto"/>
                <w:kern w:val="0"/>
                <w:szCs w:val="21"/>
                <w:highlight w:val="none"/>
                <w:lang w:val="en-US" w:eastAsia="zh-CN"/>
              </w:rPr>
              <w:t xml:space="preserve"> </w:t>
            </w:r>
            <w:r>
              <w:rPr>
                <w:rFonts w:hint="default" w:ascii="Times New Roman" w:hAnsi="Times New Roman" w:cs="Times New Roman"/>
                <w:bCs/>
                <w:snapToGrid w:val="0"/>
                <w:color w:val="auto"/>
                <w:kern w:val="0"/>
                <w:szCs w:val="21"/>
                <w:highlight w:val="none"/>
                <w:lang w:val="en-US" w:eastAsia="zh-CN"/>
              </w:rPr>
              <w:t xml:space="preserve">  </w:t>
            </w:r>
            <w:r>
              <w:rPr>
                <w:rFonts w:hint="default" w:ascii="Times New Roman" w:hAnsi="Times New Roman" w:eastAsia="宋体" w:cs="Times New Roman"/>
                <w:bCs/>
                <w:snapToGrid w:val="0"/>
                <w:color w:val="auto"/>
                <w:kern w:val="0"/>
                <w:szCs w:val="21"/>
                <w:highlight w:val="none"/>
                <w:lang w:val="en-US" w:eastAsia="zh-CN"/>
              </w:rPr>
              <w:t>项目与云南省政府发布“三线一单”符合性分析</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3180"/>
              <w:gridCol w:w="3846"/>
              <w:gridCol w:w="439"/>
            </w:tblGrid>
            <w:tr w14:paraId="42E5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02C03CF5">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w:t>
                  </w:r>
                </w:p>
              </w:tc>
              <w:tc>
                <w:tcPr>
                  <w:tcW w:w="2001" w:type="pct"/>
                  <w:noWrap w:val="0"/>
                  <w:vAlign w:val="center"/>
                </w:tcPr>
                <w:p w14:paraId="166DDF9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分析内容</w:t>
                  </w:r>
                </w:p>
              </w:tc>
              <w:tc>
                <w:tcPr>
                  <w:tcW w:w="2420" w:type="pct"/>
                  <w:noWrap w:val="0"/>
                  <w:vAlign w:val="center"/>
                </w:tcPr>
                <w:p w14:paraId="328B866E">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项目情况</w:t>
                  </w:r>
                </w:p>
              </w:tc>
              <w:tc>
                <w:tcPr>
                  <w:tcW w:w="276" w:type="pct"/>
                  <w:noWrap w:val="0"/>
                  <w:vAlign w:val="center"/>
                </w:tcPr>
                <w:p w14:paraId="447A4566">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符合性</w:t>
                  </w:r>
                </w:p>
              </w:tc>
            </w:tr>
            <w:tr w14:paraId="58D6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67D83F17">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生态保护红线</w:t>
                  </w:r>
                </w:p>
              </w:tc>
              <w:tc>
                <w:tcPr>
                  <w:tcW w:w="2001" w:type="pct"/>
                  <w:noWrap w:val="0"/>
                  <w:vAlign w:val="center"/>
                </w:tcPr>
                <w:p w14:paraId="72D36B5C">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保护红线是生态空间范围内具有特殊重要生态功能必须实行强制性严格保护的区。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420" w:type="pct"/>
                  <w:noWrap w:val="0"/>
                  <w:vAlign w:val="center"/>
                </w:tcPr>
                <w:p w14:paraId="5BA1B2EC">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本项目位于云南省昆明市寻甸县金所乡哨上大村，</w:t>
                  </w:r>
                  <w:r>
                    <w:rPr>
                      <w:rFonts w:hint="eastAsia" w:cs="Times New Roman"/>
                      <w:color w:val="auto"/>
                      <w:kern w:val="0"/>
                      <w:sz w:val="21"/>
                      <w:szCs w:val="21"/>
                      <w:highlight w:val="none"/>
                      <w:vertAlign w:val="baseline"/>
                      <w:lang w:val="en-US" w:eastAsia="zh-CN"/>
                    </w:rPr>
                    <w:t>根据寻甸回族彝族自治县自然资源局《关于年产10万吨商品混凝土生产线扩建项目用地范围是否涉及生态保护红线及城镇开发边界的情况说明》及《寻甸回族彝族自治县自然资源局关于年产10万吨商品混凝土生产线扩建项目范围是否涉及永久基本农田的说明》</w:t>
                  </w:r>
                  <w:r>
                    <w:rPr>
                      <w:rFonts w:hint="default" w:ascii="Times New Roman" w:hAnsi="Times New Roman" w:eastAsia="宋体" w:cs="Times New Roman"/>
                      <w:color w:val="auto"/>
                      <w:kern w:val="0"/>
                      <w:sz w:val="21"/>
                      <w:szCs w:val="21"/>
                      <w:highlight w:val="none"/>
                      <w:vertAlign w:val="baseline"/>
                      <w:lang w:val="en-US" w:eastAsia="zh-CN"/>
                    </w:rPr>
                    <w:t>本次项目建设不</w:t>
                  </w:r>
                  <w:r>
                    <w:rPr>
                      <w:rFonts w:hint="eastAsia" w:cs="Times New Roman"/>
                      <w:color w:val="auto"/>
                      <w:kern w:val="0"/>
                      <w:sz w:val="21"/>
                      <w:szCs w:val="21"/>
                      <w:highlight w:val="none"/>
                      <w:vertAlign w:val="baseline"/>
                      <w:lang w:val="en-US" w:eastAsia="zh-CN"/>
                    </w:rPr>
                    <w:t>涉及生态保护红线、城镇开发边界及永久基本农田</w:t>
                  </w:r>
                  <w:r>
                    <w:rPr>
                      <w:rFonts w:hint="default" w:ascii="Times New Roman" w:hAnsi="Times New Roman" w:eastAsia="宋体" w:cs="Times New Roman"/>
                      <w:color w:val="auto"/>
                      <w:kern w:val="0"/>
                      <w:sz w:val="21"/>
                      <w:szCs w:val="21"/>
                      <w:highlight w:val="none"/>
                      <w:vertAlign w:val="baseline"/>
                      <w:lang w:val="en-US" w:eastAsia="zh-CN"/>
                    </w:rPr>
                    <w:t>，符合生态红线保护要求。</w:t>
                  </w:r>
                </w:p>
              </w:tc>
              <w:tc>
                <w:tcPr>
                  <w:tcW w:w="276" w:type="pct"/>
                  <w:noWrap w:val="0"/>
                  <w:vAlign w:val="center"/>
                </w:tcPr>
                <w:p w14:paraId="7469172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符合</w:t>
                  </w:r>
                </w:p>
              </w:tc>
            </w:tr>
            <w:tr w14:paraId="5188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125A0EF4">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环境质量底线</w:t>
                  </w:r>
                </w:p>
              </w:tc>
              <w:tc>
                <w:tcPr>
                  <w:tcW w:w="2001" w:type="pct"/>
                  <w:noWrap w:val="0"/>
                  <w:vAlign w:val="center"/>
                </w:tcPr>
                <w:p w14:paraId="7765FDF0">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420" w:type="pct"/>
                  <w:noWrap w:val="0"/>
                  <w:vAlign w:val="center"/>
                </w:tcPr>
                <w:p w14:paraId="173ED6E4">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选址区域环境空气达到《环境空气质量标准》（GB3095-2012）二级标准，在采取相应的措施后，项目运营期废气对周围环境影响较小；本项目生活污水及生产废水均不外排。项目严格采取环境保护措施后，确保污染物达标排放，项目建成后不</w:t>
                  </w:r>
                  <w:r>
                    <w:rPr>
                      <w:rFonts w:hint="eastAsia" w:cs="Times New Roman"/>
                      <w:color w:val="auto"/>
                      <w:kern w:val="0"/>
                      <w:sz w:val="21"/>
                      <w:szCs w:val="21"/>
                      <w:highlight w:val="none"/>
                      <w:vertAlign w:val="baseline"/>
                      <w:lang w:val="en-US" w:eastAsia="zh-CN"/>
                    </w:rPr>
                    <w:t>会对</w:t>
                  </w:r>
                  <w:r>
                    <w:rPr>
                      <w:rFonts w:hint="default" w:ascii="Times New Roman" w:hAnsi="Times New Roman" w:eastAsia="宋体" w:cs="Times New Roman"/>
                      <w:color w:val="auto"/>
                      <w:kern w:val="0"/>
                      <w:sz w:val="21"/>
                      <w:szCs w:val="21"/>
                      <w:highlight w:val="none"/>
                      <w:vertAlign w:val="baseline"/>
                      <w:lang w:val="en-US" w:eastAsia="zh-CN"/>
                    </w:rPr>
                    <w:t>区域环境质量底线造成冲击。</w:t>
                  </w:r>
                </w:p>
              </w:tc>
              <w:tc>
                <w:tcPr>
                  <w:tcW w:w="276" w:type="pct"/>
                  <w:noWrap w:val="0"/>
                  <w:vAlign w:val="center"/>
                </w:tcPr>
                <w:p w14:paraId="294100D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符合</w:t>
                  </w:r>
                </w:p>
              </w:tc>
            </w:tr>
            <w:tr w14:paraId="263F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619E7C57">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资源利用上线</w:t>
                  </w:r>
                </w:p>
              </w:tc>
              <w:tc>
                <w:tcPr>
                  <w:tcW w:w="2001" w:type="pct"/>
                  <w:noWrap w:val="0"/>
                  <w:vAlign w:val="center"/>
                </w:tcPr>
                <w:p w14:paraId="26A265B5">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资源是环境的载体，资源利用上线是各地区能源、水、土地等资源消耗不得突破的“天花板”。相关规划环评应依据有关资源利用上线，对规划实施以及规划内项目资源开发利用，区分不同行业，从能源资源开发等量或减量替代、开采方式和规模控制、利用效率和保护措施等方面提出建议，为规划编制和审批决策提供重要依据。</w:t>
                  </w:r>
                </w:p>
              </w:tc>
              <w:tc>
                <w:tcPr>
                  <w:tcW w:w="2420" w:type="pct"/>
                  <w:noWrap w:val="0"/>
                  <w:vAlign w:val="center"/>
                </w:tcPr>
                <w:p w14:paraId="2690EB8C">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本项目运营过程中会消耗一定量电能、水资源，水、电消耗量较区域总量来说，占比很小；项目不占用基本农田、林地等，不会突破省下达的总量和强度控制指标。</w:t>
                  </w:r>
                </w:p>
              </w:tc>
              <w:tc>
                <w:tcPr>
                  <w:tcW w:w="276" w:type="pct"/>
                  <w:noWrap w:val="0"/>
                  <w:vAlign w:val="center"/>
                </w:tcPr>
                <w:p w14:paraId="48C5F271">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符合</w:t>
                  </w:r>
                </w:p>
              </w:tc>
            </w:tr>
            <w:tr w14:paraId="7612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02532D5B">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负面清单</w:t>
                  </w:r>
                </w:p>
              </w:tc>
              <w:tc>
                <w:tcPr>
                  <w:tcW w:w="2001" w:type="pct"/>
                  <w:noWrap w:val="0"/>
                  <w:vAlign w:val="center"/>
                </w:tcPr>
                <w:p w14:paraId="0AF6F375">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准入负面清单是基于生态保护红线、环境质量底线和资源利用上，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执行依据为《云南省长江经济带发展负面清单指南实施细则（试行）》。</w:t>
                  </w:r>
                </w:p>
              </w:tc>
              <w:tc>
                <w:tcPr>
                  <w:tcW w:w="2420" w:type="pct"/>
                  <w:noWrap w:val="0"/>
                  <w:vAlign w:val="center"/>
                </w:tcPr>
                <w:p w14:paraId="1BB49149">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属于《产业结构调整指导目录（2024年版）》中允许类；生产设备和生产工艺不属于限制类和淘汰类，项目建设符合产业政策要求。根据《市场准入负面清单（2022年版）》，本项目不在其禁止准入类和限制准入类中，故本项目符合《市场准入负面清单（2022年版）》相关要求。</w:t>
                  </w:r>
                </w:p>
              </w:tc>
              <w:tc>
                <w:tcPr>
                  <w:tcW w:w="276" w:type="pct"/>
                  <w:noWrap w:val="0"/>
                  <w:vAlign w:val="center"/>
                </w:tcPr>
                <w:p w14:paraId="17C4C7FC">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符合</w:t>
                  </w:r>
                </w:p>
              </w:tc>
            </w:tr>
          </w:tbl>
          <w:p w14:paraId="208A3663">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lang w:val="en-US" w:eastAsia="zh-CN"/>
              </w:rPr>
              <w:t>、项目与</w:t>
            </w:r>
            <w:bookmarkStart w:id="2" w:name="_Toc14631_WPSOffice_Level2"/>
            <w:bookmarkStart w:id="3" w:name="_Toc1839"/>
            <w:bookmarkStart w:id="4" w:name="_Toc11005"/>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14:paraId="2BF4DF8F">
            <w:pPr>
              <w:keepNext w:val="0"/>
              <w:keepLines w:val="0"/>
              <w:pageBreakBefore w:val="0"/>
              <w:widowControl w:val="0"/>
              <w:kinsoku/>
              <w:wordWrap/>
              <w:overflowPunct/>
              <w:topLinePunct w:val="0"/>
              <w:autoSpaceDE/>
              <w:autoSpaceDN/>
              <w:bidi w:val="0"/>
              <w:adjustRightInd/>
              <w:snapToGrid/>
              <w:spacing w:line="360" w:lineRule="auto"/>
              <w:ind w:left="0" w:leftChars="0" w:right="0" w:firstLine="508" w:firstLineChars="200"/>
              <w:jc w:val="both"/>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7"/>
                <w:sz w:val="24"/>
                <w:szCs w:val="24"/>
              </w:rPr>
              <w:t>根据昆明市人民政府文件《昆明市人民政府关于昆明市</w:t>
            </w:r>
            <w:r>
              <w:rPr>
                <w:rFonts w:hint="default" w:ascii="Times New Roman" w:hAnsi="Times New Roman" w:eastAsia="Times New Roman" w:cs="Times New Roman"/>
                <w:color w:val="auto"/>
                <w:spacing w:val="7"/>
                <w:sz w:val="24"/>
                <w:szCs w:val="24"/>
              </w:rPr>
              <w:t>“</w:t>
            </w:r>
            <w:r>
              <w:rPr>
                <w:rFonts w:hint="default" w:ascii="Times New Roman" w:hAnsi="Times New Roman" w:eastAsia="宋体" w:cs="Times New Roman"/>
                <w:color w:val="auto"/>
                <w:spacing w:val="7"/>
                <w:sz w:val="24"/>
                <w:szCs w:val="24"/>
              </w:rPr>
              <w:t>三线一单</w:t>
            </w:r>
            <w:r>
              <w:rPr>
                <w:rFonts w:hint="default" w:ascii="Times New Roman" w:hAnsi="Times New Roman" w:eastAsia="Times New Roman" w:cs="Times New Roman"/>
                <w:color w:val="auto"/>
                <w:spacing w:val="7"/>
                <w:sz w:val="24"/>
                <w:szCs w:val="24"/>
              </w:rPr>
              <w:t>”</w:t>
            </w:r>
            <w:r>
              <w:rPr>
                <w:rFonts w:hint="default" w:ascii="Times New Roman" w:hAnsi="Times New Roman" w:eastAsia="宋体" w:cs="Times New Roman"/>
                <w:color w:val="auto"/>
                <w:spacing w:val="2"/>
                <w:sz w:val="24"/>
                <w:szCs w:val="24"/>
              </w:rPr>
              <w:t>生态环境分区管控的实施意见》（昆政发〔</w:t>
            </w:r>
            <w:r>
              <w:rPr>
                <w:rFonts w:hint="default" w:ascii="Times New Roman" w:hAnsi="Times New Roman" w:eastAsia="Times New Roman" w:cs="Times New Roman"/>
                <w:color w:val="auto"/>
                <w:spacing w:val="2"/>
                <w:sz w:val="24"/>
                <w:szCs w:val="24"/>
              </w:rPr>
              <w:t>2021</w:t>
            </w:r>
            <w:r>
              <w:rPr>
                <w:rFonts w:hint="default" w:ascii="Times New Roman" w:hAnsi="Times New Roman" w:eastAsia="宋体" w:cs="Times New Roman"/>
                <w:color w:val="auto"/>
                <w:spacing w:val="2"/>
                <w:sz w:val="24"/>
                <w:szCs w:val="24"/>
              </w:rPr>
              <w:t>〕</w:t>
            </w:r>
            <w:r>
              <w:rPr>
                <w:rFonts w:hint="default" w:ascii="Times New Roman" w:hAnsi="Times New Roman" w:eastAsia="Times New Roman" w:cs="Times New Roman"/>
                <w:color w:val="auto"/>
                <w:spacing w:val="2"/>
                <w:sz w:val="24"/>
                <w:szCs w:val="24"/>
              </w:rPr>
              <w:t>21</w:t>
            </w:r>
            <w:r>
              <w:rPr>
                <w:rFonts w:hint="default" w:ascii="Times New Roman" w:hAnsi="Times New Roman" w:eastAsia="Times New Roman" w:cs="Times New Roman"/>
                <w:color w:val="auto"/>
                <w:spacing w:val="25"/>
                <w:w w:val="101"/>
                <w:sz w:val="24"/>
                <w:szCs w:val="24"/>
              </w:rPr>
              <w:t xml:space="preserve"> </w:t>
            </w:r>
            <w:r>
              <w:rPr>
                <w:rFonts w:hint="default" w:ascii="Times New Roman" w:hAnsi="Times New Roman" w:eastAsia="宋体" w:cs="Times New Roman"/>
                <w:color w:val="auto"/>
                <w:spacing w:val="2"/>
                <w:sz w:val="24"/>
                <w:szCs w:val="24"/>
              </w:rPr>
              <w:t>号）的要求，全市</w:t>
            </w:r>
            <w:r>
              <w:rPr>
                <w:rFonts w:hint="default" w:ascii="Times New Roman" w:hAnsi="Times New Roman" w:eastAsia="宋体" w:cs="Times New Roman"/>
                <w:color w:val="auto"/>
                <w:spacing w:val="-2"/>
                <w:sz w:val="24"/>
                <w:szCs w:val="24"/>
              </w:rPr>
              <w:t>共划分</w:t>
            </w:r>
            <w:r>
              <w:rPr>
                <w:rFonts w:hint="default" w:ascii="Times New Roman" w:hAnsi="Times New Roman" w:eastAsia="Times New Roman" w:cs="Times New Roman"/>
                <w:color w:val="auto"/>
                <w:spacing w:val="-2"/>
                <w:sz w:val="24"/>
                <w:szCs w:val="24"/>
              </w:rPr>
              <w:t>129</w:t>
            </w:r>
            <w:r>
              <w:rPr>
                <w:rFonts w:hint="default" w:ascii="Times New Roman" w:hAnsi="Times New Roman" w:eastAsia="宋体" w:cs="Times New Roman"/>
                <w:color w:val="auto"/>
                <w:spacing w:val="-2"/>
                <w:sz w:val="24"/>
                <w:szCs w:val="24"/>
              </w:rPr>
              <w:t>个生态环境管控单元，分为优先保护、重点管控和一般管控</w:t>
            </w:r>
            <w:r>
              <w:rPr>
                <w:rFonts w:hint="default" w:ascii="Times New Roman" w:hAnsi="Times New Roman" w:eastAsia="Times New Roman" w:cs="Times New Roman"/>
                <w:color w:val="auto"/>
                <w:spacing w:val="-2"/>
                <w:sz w:val="24"/>
                <w:szCs w:val="24"/>
              </w:rPr>
              <w:t>3</w:t>
            </w:r>
            <w:r>
              <w:rPr>
                <w:rFonts w:hint="default" w:ascii="Times New Roman" w:hAnsi="Times New Roman" w:eastAsia="宋体" w:cs="Times New Roman"/>
                <w:color w:val="auto"/>
                <w:sz w:val="24"/>
                <w:szCs w:val="24"/>
              </w:rPr>
              <w:t>类。优先保护单元</w:t>
            </w:r>
            <w:r>
              <w:rPr>
                <w:rFonts w:hint="default" w:ascii="Times New Roman" w:hAnsi="Times New Roman" w:eastAsia="Times New Roman" w:cs="Times New Roman"/>
                <w:color w:val="auto"/>
                <w:sz w:val="24"/>
                <w:szCs w:val="24"/>
              </w:rPr>
              <w:t>42</w:t>
            </w:r>
            <w:r>
              <w:rPr>
                <w:rFonts w:hint="default" w:ascii="Times New Roman" w:hAnsi="Times New Roman" w:eastAsia="宋体" w:cs="Times New Roman"/>
                <w:color w:val="auto"/>
                <w:sz w:val="24"/>
                <w:szCs w:val="24"/>
              </w:rPr>
              <w:t>个，重点管控单元</w:t>
            </w:r>
            <w:r>
              <w:rPr>
                <w:rFonts w:hint="default" w:ascii="Times New Roman" w:hAnsi="Times New Roman" w:eastAsia="Times New Roman" w:cs="Times New Roman"/>
                <w:color w:val="auto"/>
                <w:sz w:val="24"/>
                <w:szCs w:val="24"/>
              </w:rPr>
              <w:t>76</w:t>
            </w:r>
            <w:r>
              <w:rPr>
                <w:rFonts w:hint="default" w:ascii="Times New Roman" w:hAnsi="Times New Roman" w:eastAsia="宋体" w:cs="Times New Roman"/>
                <w:color w:val="auto"/>
                <w:spacing w:val="-1"/>
                <w:sz w:val="24"/>
                <w:szCs w:val="24"/>
              </w:rPr>
              <w:t>个，一般管控单元</w:t>
            </w:r>
            <w:r>
              <w:rPr>
                <w:rFonts w:hint="default" w:ascii="Times New Roman" w:hAnsi="Times New Roman" w:eastAsia="Times New Roman" w:cs="Times New Roman"/>
                <w:color w:val="auto"/>
                <w:spacing w:val="-1"/>
                <w:sz w:val="24"/>
                <w:szCs w:val="24"/>
              </w:rPr>
              <w:t>14</w:t>
            </w:r>
            <w:r>
              <w:rPr>
                <w:rFonts w:hint="default" w:ascii="Times New Roman" w:hAnsi="Times New Roman" w:eastAsia="宋体" w:cs="Times New Roman"/>
                <w:color w:val="auto"/>
                <w:spacing w:val="-1"/>
                <w:sz w:val="24"/>
                <w:szCs w:val="24"/>
              </w:rPr>
              <w:t>个。本</w:t>
            </w:r>
            <w:r>
              <w:rPr>
                <w:rFonts w:hint="default" w:ascii="Times New Roman" w:hAnsi="Times New Roman" w:eastAsia="宋体" w:cs="Times New Roman"/>
                <w:color w:val="auto"/>
                <w:spacing w:val="-2"/>
                <w:sz w:val="24"/>
                <w:szCs w:val="24"/>
              </w:rPr>
              <w:t>项目位于寻甸回族彝族自治县县城重点管控单元（见图</w:t>
            </w:r>
            <w:r>
              <w:rPr>
                <w:rFonts w:hint="default" w:ascii="Times New Roman" w:hAnsi="Times New Roman" w:eastAsia="Times New Roman" w:cs="Times New Roman"/>
                <w:color w:val="auto"/>
                <w:spacing w:val="-2"/>
                <w:sz w:val="24"/>
                <w:szCs w:val="24"/>
              </w:rPr>
              <w:t>1-1</w:t>
            </w:r>
            <w:r>
              <w:rPr>
                <w:rFonts w:hint="default" w:ascii="Times New Roman" w:hAnsi="Times New Roman" w:eastAsia="宋体" w:cs="Times New Roman"/>
                <w:color w:val="auto"/>
                <w:spacing w:val="10"/>
                <w:sz w:val="24"/>
                <w:szCs w:val="24"/>
              </w:rPr>
              <w:t>），</w:t>
            </w:r>
            <w:r>
              <w:rPr>
                <w:rFonts w:hint="default" w:ascii="Times New Roman" w:hAnsi="Times New Roman" w:eastAsia="宋体" w:cs="Times New Roman"/>
                <w:color w:val="auto"/>
                <w:spacing w:val="-2"/>
                <w:sz w:val="24"/>
                <w:szCs w:val="24"/>
              </w:rPr>
              <w:t>项目建设内容</w:t>
            </w:r>
            <w:r>
              <w:rPr>
                <w:rFonts w:hint="default" w:ascii="Times New Roman" w:hAnsi="Times New Roman" w:eastAsia="宋体" w:cs="Times New Roman"/>
                <w:color w:val="auto"/>
                <w:spacing w:val="-4"/>
                <w:sz w:val="24"/>
                <w:szCs w:val="24"/>
              </w:rPr>
              <w:t>为水泥制品制造，不属于“高污染、高环境风险”项目，不包含空间布局</w:t>
            </w:r>
            <w:r>
              <w:rPr>
                <w:rFonts w:hint="default" w:ascii="Times New Roman" w:hAnsi="Times New Roman" w:eastAsia="宋体" w:cs="Times New Roman"/>
                <w:color w:val="auto"/>
                <w:sz w:val="24"/>
                <w:szCs w:val="24"/>
              </w:rPr>
              <w:t>约束、污染物排放管控及环境风险防控中涉及的内容。本项目符合性分析如下</w:t>
            </w:r>
            <w:r>
              <w:rPr>
                <w:rFonts w:hint="default" w:ascii="Times New Roman" w:hAnsi="Times New Roman" w:eastAsia="宋体" w:cs="Times New Roman"/>
                <w:color w:val="auto"/>
                <w:spacing w:val="-3"/>
                <w:sz w:val="24"/>
                <w:szCs w:val="24"/>
              </w:rPr>
              <w:t>：</w:t>
            </w:r>
          </w:p>
          <w:p w14:paraId="0FEAFF28">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1）生态保护红线符合性</w:t>
            </w:r>
          </w:p>
          <w:p w14:paraId="6FF42693">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云南省生态保护红线》中提出：“全省生态保护红线主要类型包含生物多样性维护、水源涵养、水土保持三大红线类型共11个分区，分布在昆明市范围内的包括高原湖泊及牛栏江上游水源涵养生态保护红线、珠江上游及滇东南喀斯特地带水土保持生态保护红线、金沙江干热河谷及山原水土保持生态保护红线、金沙江下游—小江流域水土流失控制生态保护红线”。本项目选址位于云南省昆明市寻甸县金所乡哨上大村，项目建设不在生态红线范围内。</w:t>
            </w:r>
          </w:p>
          <w:p w14:paraId="2B6C9535">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2）环境质量底线符合性</w:t>
            </w:r>
          </w:p>
          <w:p w14:paraId="0F927D4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根据《昆明市“三线一单”生态环境分区管控实施意见》：“到2025年，全市生态环境质量持续改善，生态空间得到优化和有效保护，区域生态安全屏障更加牢固。全市环境空气质量总体保持优良，主城建成区空气质量优良天数占比达99%以上，二氧化硫（SO</w:t>
            </w:r>
            <w:r>
              <w:rPr>
                <w:rFonts w:hint="default" w:ascii="Times New Roman" w:hAnsi="Times New Roman" w:eastAsia="宋体" w:cs="Times New Roman"/>
                <w:color w:val="auto"/>
                <w:kern w:val="0"/>
                <w:sz w:val="24"/>
                <w:szCs w:val="24"/>
                <w:highlight w:val="none"/>
                <w:vertAlign w:val="sub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）和氮氧化物（NO</w:t>
            </w:r>
            <w:r>
              <w:rPr>
                <w:rFonts w:hint="default" w:ascii="Times New Roman" w:hAnsi="Times New Roman" w:eastAsia="宋体" w:cs="Times New Roman"/>
                <w:color w:val="auto"/>
                <w:kern w:val="0"/>
                <w:sz w:val="24"/>
                <w:szCs w:val="24"/>
                <w:highlight w:val="none"/>
                <w:vertAlign w:val="subscript"/>
                <w:lang w:val="en-US" w:eastAsia="zh-CN" w:bidi="ar"/>
              </w:rPr>
              <w:t>X</w:t>
            </w:r>
            <w:r>
              <w:rPr>
                <w:rFonts w:hint="default" w:ascii="Times New Roman" w:hAnsi="Times New Roman" w:eastAsia="宋体" w:cs="Times New Roman"/>
                <w:color w:val="auto"/>
                <w:kern w:val="0"/>
                <w:sz w:val="24"/>
                <w:szCs w:val="24"/>
                <w:highlight w:val="none"/>
                <w:lang w:val="en-US" w:eastAsia="zh-CN" w:bidi="ar"/>
              </w:rPr>
              <w:t>）排放总量控制在省下达的目标以内，主城区空气中颗粒物（PM</w:t>
            </w:r>
            <w:r>
              <w:rPr>
                <w:rFonts w:hint="default" w:ascii="Times New Roman" w:hAnsi="Times New Roman" w:eastAsia="宋体" w:cs="Times New Roman"/>
                <w:color w:val="auto"/>
                <w:kern w:val="0"/>
                <w:sz w:val="24"/>
                <w:szCs w:val="24"/>
                <w:highlight w:val="none"/>
                <w:vertAlign w:val="subscript"/>
                <w:lang w:val="en-US" w:eastAsia="zh-CN" w:bidi="ar"/>
              </w:rPr>
              <w:t>10</w:t>
            </w:r>
            <w:r>
              <w:rPr>
                <w:rFonts w:hint="default" w:ascii="Times New Roman" w:hAnsi="Times New Roman" w:eastAsia="宋体" w:cs="Times New Roman"/>
                <w:color w:val="auto"/>
                <w:kern w:val="0"/>
                <w:sz w:val="24"/>
                <w:szCs w:val="24"/>
                <w:highlight w:val="none"/>
                <w:lang w:val="en-US" w:eastAsia="zh-CN" w:bidi="ar"/>
              </w:rPr>
              <w:t>、PM</w:t>
            </w:r>
            <w:r>
              <w:rPr>
                <w:rFonts w:hint="default" w:ascii="Times New Roman" w:hAnsi="Times New Roman" w:eastAsia="宋体" w:cs="Times New Roman"/>
                <w:color w:val="auto"/>
                <w:kern w:val="0"/>
                <w:sz w:val="24"/>
                <w:szCs w:val="24"/>
                <w:highlight w:val="none"/>
                <w:vertAlign w:val="subscript"/>
                <w:lang w:val="en-US" w:eastAsia="zh-CN" w:bidi="ar"/>
              </w:rPr>
              <w:t>2.5</w:t>
            </w:r>
            <w:r>
              <w:rPr>
                <w:rFonts w:hint="default" w:ascii="Times New Roman" w:hAnsi="Times New Roman" w:eastAsia="宋体" w:cs="Times New Roman"/>
                <w:color w:val="auto"/>
                <w:kern w:val="0"/>
                <w:sz w:val="24"/>
                <w:szCs w:val="24"/>
                <w:highlight w:val="none"/>
                <w:lang w:val="en-US" w:eastAsia="zh-CN" w:bidi="ar"/>
              </w:rPr>
              <w:t>）稳定</w:t>
            </w:r>
            <w:r>
              <w:rPr>
                <w:rFonts w:hint="eastAsia" w:ascii="Times New Roman" w:hAnsi="Times New Roman" w:cs="Times New Roman"/>
                <w:color w:val="auto"/>
                <w:kern w:val="0"/>
                <w:sz w:val="24"/>
                <w:szCs w:val="24"/>
                <w:highlight w:val="none"/>
                <w:lang w:val="en-US" w:eastAsia="zh-CN" w:bidi="ar"/>
              </w:rPr>
              <w:t>达到</w:t>
            </w:r>
            <w:r>
              <w:rPr>
                <w:rFonts w:hint="default" w:ascii="Times New Roman" w:hAnsi="Times New Roman" w:eastAsia="宋体" w:cs="Times New Roman"/>
                <w:color w:val="auto"/>
                <w:kern w:val="0"/>
                <w:sz w:val="24"/>
                <w:szCs w:val="24"/>
                <w:highlight w:val="none"/>
                <w:lang w:val="en-US" w:eastAsia="zh-CN" w:bidi="ar"/>
              </w:rPr>
              <w:t>《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14:paraId="6ECC333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p w14:paraId="3E0AB72B">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项目选址区域环境空气达到《环境空气质量标准》（GB3095-2012）二级标准，在采取相应的措施后，项目运营期废气对周围环境影响较小；本项目生活污水及生产废水均不外排。项目严格采取环境保护措施后，确保污染物达标排放，项目建成后不</w:t>
            </w:r>
            <w:r>
              <w:rPr>
                <w:rFonts w:hint="eastAsia" w:cs="Times New Roman"/>
                <w:color w:val="auto"/>
                <w:kern w:val="0"/>
                <w:sz w:val="24"/>
                <w:highlight w:val="none"/>
                <w:lang w:eastAsia="zh-CN"/>
              </w:rPr>
              <w:t>会对</w:t>
            </w:r>
            <w:r>
              <w:rPr>
                <w:rFonts w:hint="default" w:ascii="Times New Roman" w:hAnsi="Times New Roman" w:cs="Times New Roman"/>
                <w:color w:val="auto"/>
                <w:kern w:val="0"/>
                <w:sz w:val="24"/>
                <w:highlight w:val="none"/>
              </w:rPr>
              <w:t>区域环境质量底线造成冲击。</w:t>
            </w:r>
          </w:p>
          <w:p w14:paraId="5E82AB80">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3资源利用上线符合性</w:t>
            </w:r>
          </w:p>
          <w:p w14:paraId="2D2ACC0A">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FF"/>
              </w:rPr>
            </w:pPr>
            <w:r>
              <w:rPr>
                <w:rFonts w:hint="default" w:ascii="Times New Roman" w:hAnsi="Times New Roman" w:eastAsia="宋体" w:cs="Times New Roman"/>
                <w:color w:val="auto"/>
                <w:sz w:val="24"/>
                <w:highlight w:val="none"/>
                <w:shd w:val="clear" w:color="auto" w:fill="FFFFFF"/>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14:paraId="48F3D7B4">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FF"/>
              </w:rPr>
            </w:pPr>
            <w:r>
              <w:rPr>
                <w:rFonts w:hint="default" w:ascii="Times New Roman" w:hAnsi="Times New Roman" w:eastAsia="宋体" w:cs="Times New Roman"/>
                <w:color w:val="auto"/>
                <w:sz w:val="24"/>
                <w:highlight w:val="none"/>
                <w:shd w:val="clear" w:color="auto" w:fill="FFFFFF"/>
              </w:rPr>
              <w:t>本项目运营过程中会消耗一定量电能、水资源，水、电消耗量较区域总量来说，占比很小；项目不占用基本农田、林地等，不会突破省下达的总量和强度控制指标。</w:t>
            </w:r>
          </w:p>
          <w:p w14:paraId="234CDE73">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FF"/>
              </w:rPr>
            </w:pPr>
            <w:r>
              <w:rPr>
                <w:rFonts w:hint="eastAsia" w:cs="Times New Roman"/>
                <w:color w:val="auto"/>
                <w:sz w:val="24"/>
                <w:highlight w:val="none"/>
                <w:shd w:val="clear" w:color="auto" w:fill="FFFFFF"/>
                <w:lang w:val="en-US" w:eastAsia="zh-CN"/>
              </w:rPr>
              <w:t>根据《关于查询寻甸科宏建筑材料有限公司年产10万吨商品混凝土生产线扩建项目涉及“三线一单”情况的复函》（昆环评估复函〔2024〕13号），本项目位于寻甸回族彝族自治县一般管控单元。</w:t>
            </w:r>
            <w:r>
              <w:rPr>
                <w:rFonts w:hint="default" w:ascii="Times New Roman" w:hAnsi="Times New Roman" w:eastAsia="宋体" w:cs="Times New Roman"/>
                <w:color w:val="auto"/>
                <w:sz w:val="24"/>
                <w:highlight w:val="none"/>
                <w:shd w:val="clear" w:color="auto" w:fill="FFFFFF"/>
              </w:rPr>
              <w:t>项目与昆明市“三线一单”符合性分析详见下表：</w:t>
            </w:r>
          </w:p>
          <w:p w14:paraId="2F868F32">
            <w:pPr>
              <w:pStyle w:val="34"/>
              <w:spacing w:before="120" w:after="48"/>
              <w:outlineLvl w:val="9"/>
              <w:rPr>
                <w:rFonts w:hint="default" w:ascii="Times New Roman" w:hAnsi="Times New Roman" w:eastAsia="宋体" w:cs="Times New Roman"/>
                <w:bCs/>
                <w:snapToGrid w:val="0"/>
                <w:color w:val="auto"/>
                <w:kern w:val="0"/>
                <w:szCs w:val="21"/>
                <w:highlight w:val="none"/>
              </w:rPr>
            </w:pPr>
            <w:bookmarkStart w:id="5"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1-</w:t>
            </w:r>
            <w:r>
              <w:rPr>
                <w:rFonts w:hint="default" w:ascii="Times New Roman" w:hAnsi="Times New Roman" w:cs="Times New Roman"/>
                <w:bCs/>
                <w:snapToGrid w:val="0"/>
                <w:color w:val="auto"/>
                <w:kern w:val="0"/>
                <w:szCs w:val="21"/>
                <w:highlight w:val="none"/>
                <w:lang w:val="en-US" w:eastAsia="zh-CN"/>
              </w:rPr>
              <w:t>3</w:t>
            </w:r>
            <w:r>
              <w:rPr>
                <w:rFonts w:hint="default" w:ascii="Times New Roman" w:hAnsi="Times New Roman" w:eastAsia="宋体" w:cs="Times New Roman"/>
                <w:bCs/>
                <w:snapToGrid w:val="0"/>
                <w:color w:val="auto"/>
                <w:kern w:val="0"/>
                <w:szCs w:val="21"/>
                <w:highlight w:val="none"/>
                <w:lang w:val="en-US" w:eastAsia="zh-CN"/>
              </w:rPr>
              <w:t xml:space="preserve">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5"/>
          </w:p>
          <w:tbl>
            <w:tblPr>
              <w:tblStyle w:val="28"/>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6"/>
              <w:gridCol w:w="695"/>
              <w:gridCol w:w="423"/>
              <w:gridCol w:w="3025"/>
              <w:gridCol w:w="2702"/>
              <w:gridCol w:w="704"/>
            </w:tblGrid>
            <w:tr w14:paraId="7E1E704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pct"/>
                  <w:gridSpan w:val="2"/>
                  <w:tcBorders>
                    <w:tl2br w:val="nil"/>
                    <w:tr2bl w:val="nil"/>
                  </w:tcBorders>
                  <w:noWrap w:val="0"/>
                  <w:vAlign w:val="center"/>
                </w:tcPr>
                <w:p w14:paraId="49C7BAD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169" w:type="pct"/>
                  <w:gridSpan w:val="2"/>
                  <w:tcBorders>
                    <w:tl2br w:val="nil"/>
                    <w:tr2bl w:val="nil"/>
                  </w:tcBorders>
                  <w:noWrap w:val="0"/>
                  <w:vAlign w:val="center"/>
                </w:tcPr>
                <w:p w14:paraId="371FC17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700" w:type="pct"/>
                  <w:tcBorders>
                    <w:tl2br w:val="nil"/>
                    <w:tr2bl w:val="nil"/>
                  </w:tcBorders>
                  <w:noWrap w:val="0"/>
                  <w:vAlign w:val="center"/>
                </w:tcPr>
                <w:p w14:paraId="29F06E8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43" w:type="pct"/>
                  <w:tcBorders>
                    <w:tl2br w:val="nil"/>
                    <w:tr2bl w:val="nil"/>
                  </w:tcBorders>
                  <w:noWrap w:val="0"/>
                  <w:vAlign w:val="center"/>
                </w:tcPr>
                <w:p w14:paraId="7DC8A9F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14:paraId="795A591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vMerge w:val="restart"/>
                  <w:tcBorders>
                    <w:tl2br w:val="nil"/>
                    <w:tr2bl w:val="nil"/>
                  </w:tcBorders>
                  <w:noWrap w:val="0"/>
                  <w:vAlign w:val="center"/>
                </w:tcPr>
                <w:p w14:paraId="41981DA4">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37" w:type="pct"/>
                  <w:vMerge w:val="restart"/>
                  <w:tcBorders>
                    <w:tl2br w:val="nil"/>
                    <w:tr2bl w:val="nil"/>
                  </w:tcBorders>
                  <w:noWrap w:val="0"/>
                  <w:vAlign w:val="center"/>
                </w:tcPr>
                <w:p w14:paraId="7472ED0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寻甸回族彝族自治县县城重点管控单元</w:t>
                  </w:r>
                </w:p>
              </w:tc>
              <w:tc>
                <w:tcPr>
                  <w:tcW w:w="266" w:type="pct"/>
                  <w:tcBorders>
                    <w:tl2br w:val="nil"/>
                    <w:tr2bl w:val="nil"/>
                  </w:tcBorders>
                  <w:noWrap w:val="0"/>
                  <w:vAlign w:val="center"/>
                </w:tcPr>
                <w:p w14:paraId="22FCA0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空间布局</w:t>
                  </w:r>
                </w:p>
                <w:p w14:paraId="6A8A15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约束</w:t>
                  </w:r>
                </w:p>
              </w:tc>
              <w:tc>
                <w:tcPr>
                  <w:tcW w:w="1903" w:type="pct"/>
                  <w:tcBorders>
                    <w:tl2br w:val="nil"/>
                    <w:tr2bl w:val="nil"/>
                  </w:tcBorders>
                  <w:noWrap w:val="0"/>
                  <w:vAlign w:val="center"/>
                </w:tcPr>
                <w:p w14:paraId="11216E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1.禁止一切破坏水环境生态平衡的活动及破坏水源林、护岸林、与水源保护相关植被的活动。</w:t>
                  </w:r>
                </w:p>
                <w:p w14:paraId="241B2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2.禁止向水域倾倒工业废渣、城市垃圾、粪便及其他废弃物。</w:t>
                  </w:r>
                </w:p>
                <w:p w14:paraId="701F09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3.禁止使用剧毒和高残留农药，不得滥用化肥，不得使用炸药、毒品捕杀鱼类。</w:t>
                  </w:r>
                </w:p>
                <w:p w14:paraId="07695E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4.禁止设立装卸垃圾、粪便、油类和有毒物品的码头。</w:t>
                  </w:r>
                </w:p>
                <w:p w14:paraId="021FDC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5.禁止新建、扩建对水体污染严重的建设项目；改建建设项目，不得增加排污量。</w:t>
                  </w:r>
                </w:p>
              </w:tc>
              <w:tc>
                <w:tcPr>
                  <w:tcW w:w="1700" w:type="pct"/>
                  <w:tcBorders>
                    <w:tl2br w:val="nil"/>
                    <w:tr2bl w:val="nil"/>
                  </w:tcBorders>
                  <w:noWrap w:val="0"/>
                  <w:vAlign w:val="center"/>
                </w:tcPr>
                <w:p w14:paraId="74794D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1.项目</w:t>
                  </w:r>
                  <w:r>
                    <w:rPr>
                      <w:rStyle w:val="35"/>
                      <w:rFonts w:hint="eastAsia" w:cs="Times New Roman"/>
                      <w:color w:val="auto"/>
                      <w:kern w:val="0"/>
                      <w:szCs w:val="21"/>
                      <w:highlight w:val="none"/>
                      <w:lang w:val="en-US" w:eastAsia="zh-CN"/>
                    </w:rPr>
                    <w:t>不涉及水源保护区，</w:t>
                  </w:r>
                  <w:r>
                    <w:rPr>
                      <w:rStyle w:val="35"/>
                      <w:rFonts w:hint="default" w:ascii="Times New Roman" w:hAnsi="Times New Roman" w:eastAsia="宋体" w:cs="Times New Roman"/>
                      <w:color w:val="auto"/>
                      <w:kern w:val="0"/>
                      <w:szCs w:val="21"/>
                      <w:highlight w:val="none"/>
                      <w:lang w:val="en-US" w:eastAsia="zh-CN"/>
                    </w:rPr>
                    <w:t>项目废水回用，不外排</w:t>
                  </w:r>
                  <w:r>
                    <w:rPr>
                      <w:rStyle w:val="35"/>
                      <w:rFonts w:hint="default" w:ascii="Times New Roman" w:hAnsi="Times New Roman" w:cs="Times New Roman"/>
                      <w:color w:val="auto"/>
                      <w:kern w:val="0"/>
                      <w:szCs w:val="21"/>
                      <w:highlight w:val="none"/>
                      <w:lang w:val="en-US" w:eastAsia="zh-CN"/>
                    </w:rPr>
                    <w:t>。</w:t>
                  </w:r>
                </w:p>
                <w:p w14:paraId="795930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Style w:val="35"/>
                      <w:rFonts w:hint="eastAsia" w:cs="Times New Roman"/>
                      <w:color w:val="auto"/>
                      <w:kern w:val="0"/>
                      <w:szCs w:val="21"/>
                      <w:highlight w:val="none"/>
                      <w:lang w:val="en-US" w:eastAsia="zh-CN"/>
                    </w:rPr>
                    <w:t>2.</w:t>
                  </w:r>
                  <w:r>
                    <w:rPr>
                      <w:rFonts w:hint="default" w:ascii="Times New Roman" w:hAnsi="Times New Roman" w:cs="Times New Roman"/>
                      <w:color w:val="auto"/>
                      <w:sz w:val="21"/>
                      <w:szCs w:val="21"/>
                      <w:lang w:val="en-US" w:eastAsia="zh-CN"/>
                    </w:rPr>
                    <w:t>项目产生的</w:t>
                  </w:r>
                  <w:r>
                    <w:rPr>
                      <w:rFonts w:hint="default" w:ascii="Times New Roman" w:hAnsi="Times New Roman" w:eastAsia="宋体" w:cs="Times New Roman"/>
                      <w:color w:val="auto"/>
                      <w:sz w:val="21"/>
                      <w:szCs w:val="21"/>
                      <w:lang w:val="en-US" w:eastAsia="zh-CN"/>
                    </w:rPr>
                    <w:t>生活垃圾</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油污</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餐厨垃圾</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收集后委托环卫部门定期清运处置</w:t>
                  </w:r>
                  <w:r>
                    <w:rPr>
                      <w:rFonts w:hint="default" w:ascii="Times New Roman" w:hAnsi="Times New Roman" w:cs="Times New Roman"/>
                      <w:color w:val="auto"/>
                      <w:sz w:val="21"/>
                      <w:szCs w:val="21"/>
                      <w:lang w:val="en-US" w:eastAsia="zh-CN"/>
                    </w:rPr>
                    <w:t>；</w:t>
                  </w:r>
                </w:p>
                <w:p w14:paraId="2013B3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产生的底泥定期清理后暂存于原料堆场，用作原料回用于搅拌生产</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化粪池污泥委托当地农户定期清运用于周边农田施肥</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生产废料用于路面的铺垫料，或者路面的平整料</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危险废物统一收集暂存于危废暂存间后，委托有资质单位处置。</w:t>
                  </w:r>
                </w:p>
                <w:p w14:paraId="71FB18A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项目不使用农药、化肥、炸药等。</w:t>
                  </w:r>
                </w:p>
                <w:p w14:paraId="6483A59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项目不设码头。</w:t>
                  </w:r>
                </w:p>
                <w:p w14:paraId="3889AEE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项目属于扩建项目，</w:t>
                  </w:r>
                  <w:r>
                    <w:rPr>
                      <w:rStyle w:val="35"/>
                      <w:rFonts w:hint="default" w:ascii="Times New Roman" w:hAnsi="Times New Roman" w:eastAsia="宋体" w:cs="Times New Roman"/>
                      <w:color w:val="auto"/>
                      <w:kern w:val="0"/>
                      <w:szCs w:val="21"/>
                      <w:highlight w:val="none"/>
                      <w:lang w:val="en-US" w:eastAsia="zh-CN"/>
                    </w:rPr>
                    <w:t>项目废水回用，不外排</w:t>
                  </w:r>
                  <w:r>
                    <w:rPr>
                      <w:rStyle w:val="35"/>
                      <w:rFonts w:hint="default" w:ascii="Times New Roman" w:hAnsi="Times New Roman" w:cs="Times New Roman"/>
                      <w:color w:val="auto"/>
                      <w:kern w:val="0"/>
                      <w:szCs w:val="21"/>
                      <w:highlight w:val="none"/>
                      <w:lang w:val="en-US" w:eastAsia="zh-CN"/>
                    </w:rPr>
                    <w:t>。</w:t>
                  </w:r>
                </w:p>
              </w:tc>
              <w:tc>
                <w:tcPr>
                  <w:tcW w:w="443" w:type="pct"/>
                  <w:tcBorders>
                    <w:tl2br w:val="nil"/>
                    <w:tr2bl w:val="nil"/>
                  </w:tcBorders>
                  <w:noWrap w:val="0"/>
                  <w:vAlign w:val="center"/>
                </w:tcPr>
                <w:p w14:paraId="1D98979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EA439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vMerge w:val="continue"/>
                  <w:tcBorders>
                    <w:tl2br w:val="nil"/>
                    <w:tr2bl w:val="nil"/>
                  </w:tcBorders>
                  <w:noWrap w:val="0"/>
                  <w:vAlign w:val="center"/>
                </w:tcPr>
                <w:p w14:paraId="51A35460">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auto"/>
                      <w:szCs w:val="21"/>
                      <w:highlight w:val="none"/>
                    </w:rPr>
                  </w:pPr>
                </w:p>
              </w:tc>
              <w:tc>
                <w:tcPr>
                  <w:tcW w:w="437" w:type="pct"/>
                  <w:vMerge w:val="continue"/>
                  <w:tcBorders>
                    <w:tl2br w:val="nil"/>
                    <w:tr2bl w:val="nil"/>
                  </w:tcBorders>
                  <w:noWrap w:val="0"/>
                  <w:vAlign w:val="center"/>
                </w:tcPr>
                <w:p w14:paraId="3A33CFC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auto"/>
                      <w:szCs w:val="21"/>
                      <w:highlight w:val="none"/>
                    </w:rPr>
                  </w:pPr>
                </w:p>
              </w:tc>
              <w:tc>
                <w:tcPr>
                  <w:tcW w:w="266" w:type="pct"/>
                  <w:tcBorders>
                    <w:tl2br w:val="nil"/>
                    <w:tr2bl w:val="nil"/>
                  </w:tcBorders>
                  <w:noWrap w:val="0"/>
                  <w:vAlign w:val="center"/>
                </w:tcPr>
                <w:p w14:paraId="200F97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环境风险</w:t>
                  </w:r>
                </w:p>
                <w:p w14:paraId="4ECA6D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防控</w:t>
                  </w:r>
                </w:p>
              </w:tc>
              <w:tc>
                <w:tcPr>
                  <w:tcW w:w="1903" w:type="pct"/>
                  <w:tcBorders>
                    <w:tl2br w:val="nil"/>
                    <w:tr2bl w:val="nil"/>
                  </w:tcBorders>
                  <w:noWrap w:val="0"/>
                  <w:vAlign w:val="center"/>
                </w:tcPr>
                <w:p w14:paraId="4218FF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1.防范农业面源污染，实现畜禽粪污资源化利用。</w:t>
                  </w:r>
                </w:p>
                <w:p w14:paraId="53F37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2.禁止高毒高风险农药使用。</w:t>
                  </w:r>
                </w:p>
                <w:p w14:paraId="15DD5F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default" w:ascii="Times New Roman" w:hAnsi="Times New Roman" w:eastAsia="宋体" w:cs="Times New Roman"/>
                      <w:color w:val="auto"/>
                      <w:kern w:val="0"/>
                      <w:szCs w:val="21"/>
                      <w:highlight w:val="none"/>
                      <w:lang w:val="en-US" w:eastAsia="zh-CN"/>
                    </w:rPr>
                    <w:t>3.建立环境</w:t>
                  </w:r>
                  <w:r>
                    <w:rPr>
                      <w:rStyle w:val="35"/>
                      <w:rFonts w:hint="eastAsia" w:cs="Times New Roman"/>
                      <w:color w:val="auto"/>
                      <w:kern w:val="0"/>
                      <w:szCs w:val="21"/>
                      <w:highlight w:val="none"/>
                      <w:lang w:val="en-US" w:eastAsia="zh-CN"/>
                    </w:rPr>
                    <w:t>风险监测预警体系</w:t>
                  </w:r>
                  <w:r>
                    <w:rPr>
                      <w:rStyle w:val="35"/>
                      <w:rFonts w:hint="default" w:ascii="Times New Roman" w:hAnsi="Times New Roman" w:eastAsia="宋体" w:cs="Times New Roman"/>
                      <w:color w:val="auto"/>
                      <w:kern w:val="0"/>
                      <w:szCs w:val="21"/>
                      <w:highlight w:val="none"/>
                      <w:lang w:val="en-US" w:eastAsia="zh-CN"/>
                    </w:rPr>
                    <w:t>，完善突发环境事件应急预案，提高预警能力。</w:t>
                  </w:r>
                </w:p>
              </w:tc>
              <w:tc>
                <w:tcPr>
                  <w:tcW w:w="1700" w:type="pct"/>
                  <w:tcBorders>
                    <w:tl2br w:val="nil"/>
                    <w:tr2bl w:val="nil"/>
                  </w:tcBorders>
                  <w:noWrap w:val="0"/>
                  <w:vAlign w:val="center"/>
                </w:tcPr>
                <w:p w14:paraId="563E9D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5"/>
                      <w:rFonts w:hint="default" w:ascii="Times New Roman" w:hAnsi="Times New Roman" w:eastAsia="宋体" w:cs="Times New Roman"/>
                      <w:color w:val="auto"/>
                      <w:kern w:val="0"/>
                      <w:szCs w:val="21"/>
                      <w:highlight w:val="none"/>
                      <w:lang w:val="en-US" w:eastAsia="zh-CN"/>
                    </w:rPr>
                  </w:pPr>
                  <w:r>
                    <w:rPr>
                      <w:rStyle w:val="35"/>
                      <w:rFonts w:hint="eastAsia" w:cs="Times New Roman"/>
                      <w:color w:val="auto"/>
                      <w:kern w:val="0"/>
                      <w:szCs w:val="21"/>
                      <w:highlight w:val="none"/>
                      <w:lang w:val="en-US" w:eastAsia="zh-CN"/>
                    </w:rPr>
                    <w:t>本项目不使用</w:t>
                  </w:r>
                  <w:r>
                    <w:rPr>
                      <w:rStyle w:val="35"/>
                      <w:rFonts w:hint="default" w:ascii="Times New Roman" w:hAnsi="Times New Roman" w:eastAsia="宋体" w:cs="Times New Roman"/>
                      <w:color w:val="auto"/>
                      <w:kern w:val="0"/>
                      <w:szCs w:val="21"/>
                      <w:highlight w:val="none"/>
                      <w:lang w:val="en-US" w:eastAsia="zh-CN"/>
                    </w:rPr>
                    <w:t>农药</w:t>
                  </w:r>
                  <w:r>
                    <w:rPr>
                      <w:rStyle w:val="35"/>
                      <w:rFonts w:hint="eastAsia" w:cs="Times New Roman"/>
                      <w:color w:val="auto"/>
                      <w:kern w:val="0"/>
                      <w:szCs w:val="21"/>
                      <w:highlight w:val="none"/>
                      <w:lang w:val="en-US" w:eastAsia="zh-CN"/>
                    </w:rPr>
                    <w:t>，已尽快开展</w:t>
                  </w:r>
                  <w:r>
                    <w:rPr>
                      <w:rStyle w:val="35"/>
                      <w:rFonts w:hint="default" w:ascii="Times New Roman" w:hAnsi="Times New Roman" w:eastAsia="宋体" w:cs="Times New Roman"/>
                      <w:color w:val="auto"/>
                      <w:kern w:val="0"/>
                      <w:szCs w:val="21"/>
                      <w:highlight w:val="none"/>
                      <w:lang w:val="en-US" w:eastAsia="zh-CN"/>
                    </w:rPr>
                    <w:t>突发环境事件应急预案</w:t>
                  </w:r>
                  <w:r>
                    <w:rPr>
                      <w:rStyle w:val="35"/>
                      <w:rFonts w:hint="eastAsia" w:cs="Times New Roman"/>
                      <w:color w:val="auto"/>
                      <w:kern w:val="0"/>
                      <w:szCs w:val="21"/>
                      <w:highlight w:val="none"/>
                      <w:lang w:val="en-US" w:eastAsia="zh-CN"/>
                    </w:rPr>
                    <w:t>编制工作。</w:t>
                  </w:r>
                </w:p>
              </w:tc>
              <w:tc>
                <w:tcPr>
                  <w:tcW w:w="443" w:type="pct"/>
                  <w:tcBorders>
                    <w:tl2br w:val="nil"/>
                    <w:tr2bl w:val="nil"/>
                  </w:tcBorders>
                  <w:noWrap w:val="0"/>
                  <w:vAlign w:val="center"/>
                </w:tcPr>
                <w:p w14:paraId="6809FE6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bookmarkEnd w:id="2"/>
            <w:bookmarkEnd w:id="3"/>
            <w:bookmarkEnd w:id="4"/>
          </w:tbl>
          <w:p w14:paraId="45F3449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kern w:val="0"/>
                <w:sz w:val="24"/>
                <w:szCs w:val="24"/>
                <w:highlight w:val="none"/>
                <w:lang w:val="en-US" w:eastAsia="zh-CN" w:bidi="ar-SA"/>
              </w:rPr>
            </w:pPr>
          </w:p>
          <w:p w14:paraId="02BA0C6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综上所述，本项目的建设符合《昆明市人民政府关于昆明市“三线一单”生态环境分区管控的实施意见》（昆政发〔2021〕21号）的相关要求。</w:t>
            </w:r>
          </w:p>
          <w:p w14:paraId="4B4F4072">
            <w:pPr>
              <w:keepNext w:val="0"/>
              <w:keepLines w:val="0"/>
              <w:pageBreakBefore w:val="0"/>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cs="Times New Roman"/>
                <w:b/>
                <w:bCs w:val="0"/>
                <w:color w:val="auto"/>
                <w:kern w:val="2"/>
                <w:sz w:val="24"/>
                <w:szCs w:val="24"/>
                <w:highlight w:val="none"/>
                <w:lang w:val="en-US" w:eastAsia="zh-CN" w:bidi="ar-SA"/>
              </w:rPr>
              <w:t>4</w:t>
            </w:r>
            <w:r>
              <w:rPr>
                <w:rFonts w:hint="default" w:ascii="Times New Roman" w:hAnsi="Times New Roman" w:eastAsia="宋体" w:cs="Times New Roman"/>
                <w:b/>
                <w:bCs w:val="0"/>
                <w:color w:val="auto"/>
                <w:kern w:val="2"/>
                <w:sz w:val="24"/>
                <w:szCs w:val="24"/>
                <w:highlight w:val="none"/>
                <w:lang w:val="en-US" w:eastAsia="zh-CN" w:bidi="ar-SA"/>
              </w:rPr>
              <w:t>、与《云南省牛栏江保护条例》符合性分析</w:t>
            </w:r>
          </w:p>
          <w:p w14:paraId="6ECA9D43">
            <w:pPr>
              <w:pStyle w:val="36"/>
              <w:keepNext w:val="0"/>
              <w:keepLines w:val="0"/>
              <w:pageBreakBefore w:val="0"/>
              <w:kinsoku/>
              <w:wordWrap/>
              <w:overflowPunct/>
              <w:topLinePunct w:val="0"/>
              <w:bidi w:val="0"/>
              <w:spacing w:line="360" w:lineRule="auto"/>
              <w:textAlignment w:val="auto"/>
              <w:rPr>
                <w:rStyle w:val="33"/>
                <w:rFonts w:hint="default" w:ascii="Times New Roman" w:hAnsi="Times New Roman" w:eastAsia="宋体" w:cs="Times New Roman"/>
                <w:color w:val="auto"/>
                <w:sz w:val="24"/>
                <w:highlight w:val="none"/>
              </w:rPr>
            </w:pPr>
            <w:r>
              <w:rPr>
                <w:rStyle w:val="33"/>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14:paraId="39A022B8">
            <w:pPr>
              <w:pStyle w:val="36"/>
              <w:keepNext w:val="0"/>
              <w:keepLines w:val="0"/>
              <w:pageBreakBefore w:val="0"/>
              <w:kinsoku/>
              <w:wordWrap/>
              <w:overflowPunct/>
              <w:topLinePunct w:val="0"/>
              <w:bidi w:val="0"/>
              <w:spacing w:line="360" w:lineRule="auto"/>
              <w:textAlignment w:val="auto"/>
              <w:rPr>
                <w:rStyle w:val="33"/>
                <w:rFonts w:hint="default" w:ascii="Times New Roman" w:hAnsi="Times New Roman" w:eastAsia="宋体" w:cs="Times New Roman"/>
                <w:color w:val="auto"/>
                <w:sz w:val="24"/>
                <w:highlight w:val="none"/>
              </w:rPr>
            </w:pPr>
            <w:r>
              <w:rPr>
                <w:rStyle w:val="33"/>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14:paraId="4707CB71">
            <w:pPr>
              <w:pStyle w:val="36"/>
              <w:rPr>
                <w:rStyle w:val="33"/>
                <w:rFonts w:hint="default" w:ascii="Times New Roman" w:hAnsi="Times New Roman" w:eastAsia="宋体" w:cs="Times New Roman"/>
                <w:color w:val="auto"/>
                <w:sz w:val="24"/>
                <w:highlight w:val="none"/>
              </w:rPr>
            </w:pPr>
            <w:r>
              <w:rPr>
                <w:rStyle w:val="33"/>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14:paraId="6D82EF16">
            <w:pPr>
              <w:pStyle w:val="36"/>
              <w:rPr>
                <w:rStyle w:val="33"/>
                <w:rFonts w:hint="default" w:ascii="Times New Roman" w:hAnsi="Times New Roman" w:eastAsia="宋体" w:cs="Times New Roman"/>
                <w:color w:val="auto"/>
                <w:sz w:val="24"/>
                <w:highlight w:val="none"/>
              </w:rPr>
            </w:pPr>
            <w:r>
              <w:rPr>
                <w:rStyle w:val="33"/>
                <w:rFonts w:hint="default" w:ascii="Times New Roman" w:hAnsi="Times New Roman" w:eastAsia="宋体" w:cs="Times New Roman"/>
                <w:color w:val="auto"/>
                <w:sz w:val="24"/>
                <w:highlight w:val="none"/>
              </w:rPr>
              <w:t>（三）重点水源涵养区为流域范围内除水源保护核心区、重点污染控制区以外的集水区域。</w:t>
            </w:r>
          </w:p>
          <w:p w14:paraId="4BC87CE5">
            <w:pPr>
              <w:pStyle w:val="36"/>
              <w:rPr>
                <w:rStyle w:val="33"/>
                <w:rFonts w:hint="default" w:ascii="Times New Roman" w:hAnsi="Times New Roman" w:eastAsia="宋体" w:cs="Times New Roman"/>
                <w:color w:val="auto"/>
                <w:sz w:val="24"/>
                <w:highlight w:val="none"/>
              </w:rPr>
            </w:pPr>
            <w:r>
              <w:rPr>
                <w:rStyle w:val="33"/>
                <w:rFonts w:hint="default" w:ascii="Times New Roman" w:hAnsi="Times New Roman" w:eastAsia="宋体" w:cs="Times New Roman"/>
                <w:color w:val="auto"/>
                <w:sz w:val="24"/>
                <w:highlight w:val="none"/>
              </w:rPr>
              <w:t>本项目位于云南省昆明市寻甸</w:t>
            </w:r>
            <w:r>
              <w:rPr>
                <w:rStyle w:val="33"/>
                <w:rFonts w:hint="default" w:ascii="Times New Roman" w:hAnsi="Times New Roman" w:cs="Times New Roman"/>
                <w:color w:val="auto"/>
                <w:sz w:val="24"/>
                <w:highlight w:val="none"/>
                <w:lang w:val="en-US"/>
              </w:rPr>
              <w:t>县</w:t>
            </w:r>
            <w:r>
              <w:rPr>
                <w:rStyle w:val="33"/>
                <w:rFonts w:hint="default" w:ascii="Times New Roman" w:hAnsi="Times New Roman" w:eastAsia="宋体" w:cs="Times New Roman"/>
                <w:color w:val="auto"/>
                <w:sz w:val="24"/>
                <w:highlight w:val="none"/>
                <w:lang w:val="en-US"/>
              </w:rPr>
              <w:t>金所</w:t>
            </w:r>
            <w:r>
              <w:rPr>
                <w:rStyle w:val="33"/>
                <w:rFonts w:hint="default" w:ascii="Times New Roman" w:hAnsi="Times New Roman" w:cs="Times New Roman"/>
                <w:color w:val="auto"/>
                <w:sz w:val="24"/>
                <w:highlight w:val="none"/>
                <w:lang w:val="en-US"/>
              </w:rPr>
              <w:t>乡上哨大村</w:t>
            </w:r>
            <w:r>
              <w:rPr>
                <w:rStyle w:val="33"/>
                <w:rFonts w:hint="default" w:ascii="Times New Roman" w:hAnsi="Times New Roman" w:eastAsia="宋体" w:cs="Times New Roman"/>
                <w:color w:val="auto"/>
                <w:sz w:val="24"/>
                <w:highlight w:val="none"/>
                <w:lang w:val="en-US"/>
              </w:rPr>
              <w:t>内</w:t>
            </w:r>
            <w:r>
              <w:rPr>
                <w:rStyle w:val="33"/>
                <w:rFonts w:hint="default" w:ascii="Times New Roman" w:hAnsi="Times New Roman" w:eastAsia="宋体" w:cs="Times New Roman"/>
                <w:color w:val="auto"/>
                <w:sz w:val="24"/>
                <w:highlight w:val="none"/>
              </w:rPr>
              <w:t>，根据牛栏江水系功能规划图可知，项目区属于</w:t>
            </w:r>
            <w:r>
              <w:rPr>
                <w:rStyle w:val="33"/>
                <w:rFonts w:hint="default" w:ascii="Times New Roman" w:hAnsi="Times New Roman" w:eastAsia="宋体" w:cs="Times New Roman"/>
                <w:color w:val="auto"/>
                <w:sz w:val="24"/>
                <w:highlight w:val="none"/>
                <w:lang w:val="en-US"/>
              </w:rPr>
              <w:t>重点</w:t>
            </w:r>
            <w:r>
              <w:rPr>
                <w:rStyle w:val="33"/>
                <w:rFonts w:hint="default" w:ascii="Times New Roman" w:hAnsi="Times New Roman" w:eastAsia="宋体" w:cs="Times New Roman"/>
                <w:color w:val="auto"/>
                <w:sz w:val="24"/>
                <w:highlight w:val="none"/>
              </w:rPr>
              <w:t>污染控制区。根据《云南省牛栏江保护条例》中第三十二、三十三条中规定的禁止行为分析项目选址符合性。</w:t>
            </w:r>
          </w:p>
          <w:p w14:paraId="6F7DB812">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179"/>
              <w:gridCol w:w="3250"/>
              <w:gridCol w:w="685"/>
            </w:tblGrid>
            <w:tr w14:paraId="47B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noWrap w:val="0"/>
                  <w:vAlign w:val="center"/>
                </w:tcPr>
                <w:p w14:paraId="3414F3CE">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b/>
                      <w:bCs/>
                      <w:color w:val="auto"/>
                      <w:sz w:val="21"/>
                      <w:szCs w:val="21"/>
                      <w:highlight w:val="none"/>
                    </w:rPr>
                  </w:pPr>
                  <w:r>
                    <w:rPr>
                      <w:rStyle w:val="33"/>
                      <w:rFonts w:hint="default" w:ascii="Times New Roman" w:hAnsi="Times New Roman" w:eastAsia="宋体" w:cs="Times New Roman"/>
                      <w:b/>
                      <w:bCs/>
                      <w:color w:val="auto"/>
                      <w:sz w:val="21"/>
                      <w:szCs w:val="21"/>
                      <w:highlight w:val="none"/>
                    </w:rPr>
                    <w:t>保护区划分</w:t>
                  </w:r>
                </w:p>
              </w:tc>
              <w:tc>
                <w:tcPr>
                  <w:tcW w:w="2001" w:type="pct"/>
                  <w:noWrap w:val="0"/>
                  <w:vAlign w:val="center"/>
                </w:tcPr>
                <w:p w14:paraId="0FAB7684">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b/>
                      <w:bCs/>
                      <w:color w:val="auto"/>
                      <w:sz w:val="21"/>
                      <w:szCs w:val="21"/>
                      <w:highlight w:val="none"/>
                    </w:rPr>
                  </w:pPr>
                  <w:r>
                    <w:rPr>
                      <w:rStyle w:val="33"/>
                      <w:rFonts w:hint="default" w:ascii="Times New Roman" w:hAnsi="Times New Roman" w:eastAsia="宋体" w:cs="Times New Roman"/>
                      <w:b/>
                      <w:bCs/>
                      <w:color w:val="auto"/>
                      <w:sz w:val="21"/>
                      <w:szCs w:val="21"/>
                      <w:highlight w:val="none"/>
                    </w:rPr>
                    <w:t>禁止行为</w:t>
                  </w:r>
                </w:p>
              </w:tc>
              <w:tc>
                <w:tcPr>
                  <w:tcW w:w="2046" w:type="pct"/>
                  <w:noWrap w:val="0"/>
                  <w:vAlign w:val="center"/>
                </w:tcPr>
                <w:p w14:paraId="2A5FA705">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b/>
                      <w:bCs/>
                      <w:color w:val="auto"/>
                      <w:sz w:val="21"/>
                      <w:szCs w:val="21"/>
                      <w:highlight w:val="none"/>
                    </w:rPr>
                  </w:pPr>
                  <w:r>
                    <w:rPr>
                      <w:rStyle w:val="33"/>
                      <w:rFonts w:hint="default" w:ascii="Times New Roman" w:hAnsi="Times New Roman" w:eastAsia="宋体" w:cs="Times New Roman"/>
                      <w:b/>
                      <w:bCs/>
                      <w:color w:val="auto"/>
                      <w:sz w:val="21"/>
                      <w:szCs w:val="21"/>
                      <w:highlight w:val="none"/>
                    </w:rPr>
                    <w:t>建设内容</w:t>
                  </w:r>
                </w:p>
              </w:tc>
              <w:tc>
                <w:tcPr>
                  <w:tcW w:w="431" w:type="pct"/>
                  <w:noWrap w:val="0"/>
                  <w:vAlign w:val="center"/>
                </w:tcPr>
                <w:p w14:paraId="05561FBE">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b/>
                      <w:bCs/>
                      <w:color w:val="auto"/>
                      <w:sz w:val="21"/>
                      <w:szCs w:val="21"/>
                      <w:highlight w:val="none"/>
                    </w:rPr>
                  </w:pPr>
                  <w:r>
                    <w:rPr>
                      <w:rStyle w:val="33"/>
                      <w:rFonts w:hint="default" w:ascii="Times New Roman" w:hAnsi="Times New Roman" w:eastAsia="宋体" w:cs="Times New Roman"/>
                      <w:b/>
                      <w:bCs/>
                      <w:color w:val="auto"/>
                      <w:sz w:val="21"/>
                      <w:szCs w:val="21"/>
                      <w:highlight w:val="none"/>
                    </w:rPr>
                    <w:t>符合性</w:t>
                  </w:r>
                </w:p>
              </w:tc>
            </w:tr>
            <w:tr w14:paraId="28B8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0" w:type="pct"/>
                  <w:vMerge w:val="restart"/>
                  <w:noWrap w:val="0"/>
                  <w:vAlign w:val="center"/>
                </w:tcPr>
                <w:p w14:paraId="6CF599CB">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lang w:val="en-US"/>
                    </w:rPr>
                    <w:t>重点</w:t>
                  </w:r>
                  <w:r>
                    <w:rPr>
                      <w:rStyle w:val="33"/>
                      <w:rFonts w:hint="default" w:ascii="Times New Roman" w:hAnsi="Times New Roman" w:eastAsia="宋体" w:cs="Times New Roman"/>
                      <w:color w:val="auto"/>
                      <w:sz w:val="21"/>
                      <w:szCs w:val="21"/>
                      <w:highlight w:val="none"/>
                    </w:rPr>
                    <w:t>污染控制区</w:t>
                  </w:r>
                </w:p>
              </w:tc>
              <w:tc>
                <w:tcPr>
                  <w:tcW w:w="2001" w:type="pct"/>
                  <w:noWrap w:val="0"/>
                  <w:vAlign w:val="center"/>
                </w:tcPr>
                <w:p w14:paraId="2E9EC224">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（一）盗伐、滥伐林木和破坏草地；</w:t>
                  </w:r>
                </w:p>
              </w:tc>
              <w:tc>
                <w:tcPr>
                  <w:tcW w:w="2046" w:type="pct"/>
                  <w:noWrap w:val="0"/>
                  <w:vAlign w:val="center"/>
                </w:tcPr>
                <w:p w14:paraId="6B3317EA">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项目位于金所乡上哨大村内，为</w:t>
                  </w:r>
                  <w:r>
                    <w:rPr>
                      <w:rStyle w:val="33"/>
                      <w:rFonts w:hint="default" w:ascii="Times New Roman" w:hAnsi="Times New Roman" w:eastAsia="宋体" w:cs="Times New Roman"/>
                      <w:color w:val="auto"/>
                      <w:sz w:val="21"/>
                      <w:szCs w:val="21"/>
                      <w:highlight w:val="none"/>
                      <w:lang w:val="en-US"/>
                    </w:rPr>
                    <w:t>扩建</w:t>
                  </w:r>
                  <w:r>
                    <w:rPr>
                      <w:rStyle w:val="33"/>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项目用地属于</w:t>
                  </w:r>
                  <w:r>
                    <w:rPr>
                      <w:rFonts w:hint="default" w:ascii="Times New Roman" w:hAnsi="Times New Roman" w:cs="Times New Roman"/>
                      <w:color w:val="auto"/>
                      <w:sz w:val="21"/>
                      <w:szCs w:val="18"/>
                      <w:highlight w:val="none"/>
                      <w:lang w:val="en-US" w:eastAsia="zh-CN"/>
                    </w:rPr>
                    <w:t>居民居住</w:t>
                  </w:r>
                  <w:r>
                    <w:rPr>
                      <w:rFonts w:hint="default" w:ascii="Times New Roman" w:hAnsi="Times New Roman" w:eastAsia="宋体" w:cs="Times New Roman"/>
                      <w:color w:val="auto"/>
                      <w:sz w:val="21"/>
                      <w:szCs w:val="18"/>
                      <w:highlight w:val="none"/>
                    </w:rPr>
                    <w:t>用地，不存在盗伐、滥伐林木和破坏草地行为</w:t>
                  </w:r>
                  <w:r>
                    <w:rPr>
                      <w:rStyle w:val="33"/>
                      <w:rFonts w:hint="default" w:ascii="Times New Roman" w:hAnsi="Times New Roman" w:eastAsia="宋体" w:cs="Times New Roman"/>
                      <w:color w:val="auto"/>
                      <w:sz w:val="21"/>
                      <w:szCs w:val="21"/>
                      <w:highlight w:val="none"/>
                    </w:rPr>
                    <w:t>。</w:t>
                  </w:r>
                </w:p>
              </w:tc>
              <w:tc>
                <w:tcPr>
                  <w:tcW w:w="431" w:type="pct"/>
                  <w:noWrap w:val="0"/>
                  <w:vAlign w:val="center"/>
                </w:tcPr>
                <w:p w14:paraId="471B7B00">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1829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351FFCA0">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527E08FC">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（二）使用高毒、高残留农药；</w:t>
                  </w:r>
                </w:p>
              </w:tc>
              <w:tc>
                <w:tcPr>
                  <w:tcW w:w="2046" w:type="pct"/>
                  <w:noWrap w:val="0"/>
                  <w:vAlign w:val="center"/>
                </w:tcPr>
                <w:p w14:paraId="2269D35A">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不涉及。</w:t>
                  </w:r>
                </w:p>
              </w:tc>
              <w:tc>
                <w:tcPr>
                  <w:tcW w:w="431" w:type="pct"/>
                  <w:noWrap w:val="0"/>
                  <w:vAlign w:val="center"/>
                </w:tcPr>
                <w:p w14:paraId="448BEA32">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6598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3E204392">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5191ABED">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（三）利用溶洞、渗井、渗坑、裂隙排放、倾倒含有毒有害物质的废水、废渣；</w:t>
                  </w:r>
                </w:p>
              </w:tc>
              <w:tc>
                <w:tcPr>
                  <w:tcW w:w="2046" w:type="pct"/>
                  <w:vMerge w:val="restart"/>
                  <w:noWrap w:val="0"/>
                  <w:vAlign w:val="center"/>
                </w:tcPr>
                <w:p w14:paraId="27718C0F">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1.项目无废水外排。</w:t>
                  </w:r>
                </w:p>
                <w:p w14:paraId="6E7A1AAC">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2.项目所有固体废弃物均得到合理有效</w:t>
                  </w:r>
                  <w:r>
                    <w:rPr>
                      <w:rStyle w:val="33"/>
                      <w:rFonts w:hint="eastAsia" w:cs="Times New Roman"/>
                      <w:color w:val="auto"/>
                      <w:sz w:val="21"/>
                      <w:szCs w:val="21"/>
                      <w:highlight w:val="none"/>
                    </w:rPr>
                    <w:t>地</w:t>
                  </w:r>
                  <w:r>
                    <w:rPr>
                      <w:rStyle w:val="33"/>
                      <w:rFonts w:hint="default" w:ascii="Times New Roman" w:hAnsi="Times New Roman" w:eastAsia="宋体" w:cs="Times New Roman"/>
                      <w:color w:val="auto"/>
                      <w:sz w:val="21"/>
                      <w:szCs w:val="21"/>
                      <w:highlight w:val="none"/>
                    </w:rPr>
                    <w:t>利用和处置，处置率为100%。</w:t>
                  </w:r>
                </w:p>
              </w:tc>
              <w:tc>
                <w:tcPr>
                  <w:tcW w:w="431" w:type="pct"/>
                  <w:noWrap w:val="0"/>
                  <w:vAlign w:val="center"/>
                </w:tcPr>
                <w:p w14:paraId="112AA4D7">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7132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154D0DE7">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2ED1D177">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（四）向水体排放废水、倾倒工业废渣、城镇垃圾或者其他废弃物；</w:t>
                  </w:r>
                </w:p>
              </w:tc>
              <w:tc>
                <w:tcPr>
                  <w:tcW w:w="2046" w:type="pct"/>
                  <w:vMerge w:val="continue"/>
                  <w:noWrap w:val="0"/>
                  <w:vAlign w:val="center"/>
                </w:tcPr>
                <w:p w14:paraId="503636C0">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431" w:type="pct"/>
                  <w:noWrap w:val="0"/>
                  <w:vAlign w:val="center"/>
                </w:tcPr>
                <w:p w14:paraId="70BBBBEA">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798A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2677DD19">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464FCDFE">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2046" w:type="pct"/>
                  <w:noWrap w:val="0"/>
                  <w:vAlign w:val="center"/>
                </w:tcPr>
                <w:p w14:paraId="6E125175">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项目设置危险废物暂存间暂存危险废物，并委托资质单位进行处置，危险废物贮存设施的选址与设计、运行与管理、安全防护、环境监测及应急措施以及关闭等遵循《危险废物贮存污染控制标准》（GB18597-20</w:t>
                  </w:r>
                  <w:r>
                    <w:rPr>
                      <w:rStyle w:val="33"/>
                      <w:rFonts w:hint="default" w:ascii="Times New Roman" w:hAnsi="Times New Roman" w:eastAsia="宋体" w:cs="Times New Roman"/>
                      <w:color w:val="auto"/>
                      <w:sz w:val="21"/>
                      <w:szCs w:val="21"/>
                      <w:highlight w:val="none"/>
                      <w:lang w:val="en-US"/>
                    </w:rPr>
                    <w:t>23</w:t>
                  </w:r>
                  <w:r>
                    <w:rPr>
                      <w:rStyle w:val="33"/>
                      <w:rFonts w:hint="default" w:ascii="Times New Roman" w:hAnsi="Times New Roman" w:eastAsia="宋体" w:cs="Times New Roman"/>
                      <w:color w:val="auto"/>
                      <w:sz w:val="21"/>
                      <w:szCs w:val="21"/>
                      <w:highlight w:val="none"/>
                    </w:rPr>
                    <w:t>）</w:t>
                  </w:r>
                  <w:r>
                    <w:rPr>
                      <w:rStyle w:val="33"/>
                      <w:rFonts w:hint="default" w:ascii="Times New Roman" w:hAnsi="Times New Roman" w:eastAsia="宋体" w:cs="Times New Roman"/>
                      <w:color w:val="auto"/>
                      <w:sz w:val="21"/>
                      <w:szCs w:val="21"/>
                      <w:highlight w:val="none"/>
                      <w:lang w:val="en-US"/>
                    </w:rPr>
                    <w:t>中</w:t>
                  </w:r>
                  <w:r>
                    <w:rPr>
                      <w:rStyle w:val="33"/>
                      <w:rFonts w:hint="default" w:ascii="Times New Roman" w:hAnsi="Times New Roman" w:eastAsia="宋体" w:cs="Times New Roman"/>
                      <w:color w:val="auto"/>
                      <w:sz w:val="21"/>
                      <w:szCs w:val="21"/>
                      <w:highlight w:val="none"/>
                    </w:rPr>
                    <w:t>的规定。</w:t>
                  </w:r>
                </w:p>
              </w:tc>
              <w:tc>
                <w:tcPr>
                  <w:tcW w:w="431" w:type="pct"/>
                  <w:noWrap w:val="0"/>
                  <w:vAlign w:val="center"/>
                </w:tcPr>
                <w:p w14:paraId="19454E26">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2F5C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307251D9">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070B1EA1">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2046" w:type="pct"/>
                  <w:noWrap w:val="0"/>
                  <w:vAlign w:val="center"/>
                </w:tcPr>
                <w:p w14:paraId="73142BA5">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项目不产生含有毒、病原体的污水</w:t>
                  </w:r>
                  <w:r>
                    <w:rPr>
                      <w:rStyle w:val="33"/>
                      <w:rFonts w:hint="default" w:ascii="Times New Roman" w:hAnsi="Times New Roman" w:cs="Times New Roman"/>
                      <w:color w:val="auto"/>
                      <w:sz w:val="21"/>
                      <w:szCs w:val="21"/>
                      <w:highlight w:val="none"/>
                      <w:lang w:val="en-US"/>
                    </w:rPr>
                    <w:t>且生产过程中均为物理反应不涉及化学反应</w:t>
                  </w:r>
                  <w:r>
                    <w:rPr>
                      <w:rStyle w:val="33"/>
                      <w:rFonts w:hint="default" w:ascii="Times New Roman" w:hAnsi="Times New Roman" w:eastAsia="宋体" w:cs="Times New Roman"/>
                      <w:color w:val="auto"/>
                      <w:sz w:val="21"/>
                      <w:szCs w:val="21"/>
                      <w:highlight w:val="none"/>
                    </w:rPr>
                    <w:t>，项目各污染物均得到妥善处置，无此行为</w:t>
                  </w:r>
                </w:p>
              </w:tc>
              <w:tc>
                <w:tcPr>
                  <w:tcW w:w="431" w:type="pct"/>
                  <w:noWrap w:val="0"/>
                  <w:vAlign w:val="center"/>
                </w:tcPr>
                <w:p w14:paraId="3F422DB6">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419A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1C5FCBD5">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46F19028">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（七）新建、扩建工业园区；</w:t>
                  </w:r>
                </w:p>
              </w:tc>
              <w:tc>
                <w:tcPr>
                  <w:tcW w:w="2046" w:type="pct"/>
                  <w:noWrap w:val="0"/>
                  <w:vAlign w:val="center"/>
                </w:tcPr>
                <w:p w14:paraId="769A29BA">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无此行为。</w:t>
                  </w:r>
                </w:p>
              </w:tc>
              <w:tc>
                <w:tcPr>
                  <w:tcW w:w="431" w:type="pct"/>
                  <w:noWrap w:val="0"/>
                  <w:vAlign w:val="center"/>
                </w:tcPr>
                <w:p w14:paraId="7A48FECC">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2EF6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1C5923E8">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155762BF">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（八）新建、扩建重点水污染物排放的工业项目；</w:t>
                  </w:r>
                </w:p>
              </w:tc>
              <w:tc>
                <w:tcPr>
                  <w:tcW w:w="2046" w:type="pct"/>
                  <w:noWrap w:val="0"/>
                  <w:vAlign w:val="center"/>
                </w:tcPr>
                <w:p w14:paraId="4AD0DDA5">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项目不是重点水污染物排放的工业项目。</w:t>
                  </w:r>
                </w:p>
              </w:tc>
              <w:tc>
                <w:tcPr>
                  <w:tcW w:w="431" w:type="pct"/>
                  <w:noWrap w:val="0"/>
                  <w:vAlign w:val="center"/>
                </w:tcPr>
                <w:p w14:paraId="5F83AB16">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r w14:paraId="1F91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14:paraId="7D491C98">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p>
              </w:tc>
              <w:tc>
                <w:tcPr>
                  <w:tcW w:w="2001" w:type="pct"/>
                  <w:noWrap w:val="0"/>
                  <w:vAlign w:val="center"/>
                </w:tcPr>
                <w:p w14:paraId="3955912C">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（九）新建、改建、扩建经营性陵园、公墓。</w:t>
                  </w:r>
                </w:p>
              </w:tc>
              <w:tc>
                <w:tcPr>
                  <w:tcW w:w="2046" w:type="pct"/>
                  <w:noWrap w:val="0"/>
                  <w:vAlign w:val="center"/>
                </w:tcPr>
                <w:p w14:paraId="5A258D92">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与项目无关。</w:t>
                  </w:r>
                </w:p>
              </w:tc>
              <w:tc>
                <w:tcPr>
                  <w:tcW w:w="431" w:type="pct"/>
                  <w:noWrap w:val="0"/>
                  <w:vAlign w:val="center"/>
                </w:tcPr>
                <w:p w14:paraId="60A12EDD">
                  <w:pPr>
                    <w:pStyle w:val="1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33"/>
                      <w:rFonts w:hint="default" w:ascii="Times New Roman" w:hAnsi="Times New Roman" w:eastAsia="宋体" w:cs="Times New Roman"/>
                      <w:color w:val="auto"/>
                      <w:sz w:val="21"/>
                      <w:szCs w:val="21"/>
                      <w:highlight w:val="none"/>
                    </w:rPr>
                  </w:pPr>
                  <w:r>
                    <w:rPr>
                      <w:rStyle w:val="33"/>
                      <w:rFonts w:hint="default" w:ascii="Times New Roman" w:hAnsi="Times New Roman" w:eastAsia="宋体" w:cs="Times New Roman"/>
                      <w:color w:val="auto"/>
                      <w:sz w:val="21"/>
                      <w:szCs w:val="21"/>
                      <w:highlight w:val="none"/>
                    </w:rPr>
                    <w:t>符合</w:t>
                  </w:r>
                </w:p>
              </w:tc>
            </w:tr>
          </w:tbl>
          <w:p w14:paraId="08940938">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33"/>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14:paraId="33B8E988">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、与《牛栏江流域（云南部分）水环境保护规划（2009~2030）》的相符性分析</w:t>
            </w:r>
          </w:p>
          <w:p w14:paraId="08DF1FFE">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14:paraId="6C953E6E">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本项目位于云南省昆明市寻甸金所乡上哨大村内，根据牛栏江水系功能规划图，项目属于重点污染控制区。本项目生产废水经沉淀池处理后回用于生产，不外排。</w:t>
            </w:r>
            <w:r>
              <w:rPr>
                <w:rFonts w:hint="default" w:ascii="Times New Roman" w:hAnsi="Times New Roman" w:eastAsia="宋体" w:cs="Times New Roman"/>
                <w:color w:val="auto"/>
                <w:kern w:val="2"/>
                <w:sz w:val="24"/>
                <w:szCs w:val="24"/>
                <w:highlight w:val="none"/>
                <w:shd w:val="clear" w:color="auto" w:fill="auto"/>
                <w:lang w:val="zh-CN" w:eastAsia="zh-CN" w:bidi="ar-SA"/>
              </w:rPr>
              <w:t>生活污水</w:t>
            </w:r>
            <w:r>
              <w:rPr>
                <w:rFonts w:hint="default" w:ascii="Times New Roman" w:hAnsi="Times New Roman" w:eastAsia="宋体" w:cs="Times New Roman"/>
                <w:color w:val="auto"/>
                <w:kern w:val="2"/>
                <w:sz w:val="24"/>
                <w:szCs w:val="24"/>
                <w:highlight w:val="none"/>
                <w:shd w:val="clear" w:color="auto" w:fill="auto"/>
                <w:lang w:val="en-US" w:eastAsia="zh-CN" w:bidi="ar-SA"/>
              </w:rPr>
              <w:t>经处理后，</w:t>
            </w:r>
            <w:r>
              <w:rPr>
                <w:rFonts w:hint="default" w:ascii="Times New Roman" w:hAnsi="Times New Roman" w:eastAsia="宋体" w:cs="Times New Roman"/>
                <w:b w:val="0"/>
                <w:bCs w:val="0"/>
                <w:color w:val="auto"/>
                <w:sz w:val="24"/>
                <w:szCs w:val="24"/>
                <w:highlight w:val="none"/>
                <w:lang w:val="en-US" w:eastAsia="zh-CN"/>
              </w:rPr>
              <w:t>用于项目</w:t>
            </w:r>
            <w:r>
              <w:rPr>
                <w:rFonts w:hint="default" w:ascii="Times New Roman" w:hAnsi="Times New Roman" w:cs="Times New Roman"/>
                <w:b w:val="0"/>
                <w:bCs w:val="0"/>
                <w:color w:val="auto"/>
                <w:sz w:val="24"/>
                <w:szCs w:val="24"/>
                <w:highlight w:val="none"/>
                <w:lang w:val="en-US" w:eastAsia="zh-CN"/>
              </w:rPr>
              <w:t>搅拌生产</w:t>
            </w:r>
            <w:r>
              <w:rPr>
                <w:rFonts w:hint="default" w:ascii="Times New Roman" w:hAnsi="Times New Roman" w:eastAsia="宋体" w:cs="Times New Roman"/>
                <w:b w:val="0"/>
                <w:bCs w:val="0"/>
                <w:color w:val="auto"/>
                <w:sz w:val="24"/>
                <w:szCs w:val="24"/>
                <w:highlight w:val="none"/>
                <w:lang w:val="en-US" w:eastAsia="zh-CN"/>
              </w:rPr>
              <w:t>，不外排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14:paraId="704B2E30">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14:paraId="2092ABCB">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6</w:t>
            </w:r>
            <w:r>
              <w:rPr>
                <w:rFonts w:hint="default" w:ascii="Times New Roman" w:hAnsi="Times New Roman" w:eastAsia="宋体" w:cs="Times New Roman"/>
                <w:b/>
                <w:bCs w:val="0"/>
                <w:color w:val="auto"/>
                <w:sz w:val="24"/>
                <w:szCs w:val="24"/>
                <w:highlight w:val="none"/>
                <w:lang w:val="en-US" w:eastAsia="zh-CN"/>
              </w:rPr>
              <w:t>、与《牛栏江流域（寻甸段）水环境保护规划（2011~2030）》的相符性分析</w:t>
            </w:r>
          </w:p>
          <w:p w14:paraId="3B0C4A78">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寻甸段）水环境保护规划（2011~2030）》可知，牛栏江流域（寻甸段）水环境分区范围涉及规划区干流及主要支流（前进河、羊街河、马龙河等）河流径流区，规划分为三个保护区：水源保护核心区、重点污染控制区、重点水源涵养区；本项目位于寻甸金所乡上哨大村内，属于重点污染控制区。对照《牛栏江（寻甸段）水环境保护规划（2011~2030）》对重点污染控制区的水环境保护策略，项目符合性见下表。</w:t>
            </w:r>
          </w:p>
          <w:p w14:paraId="17FDC8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14:paraId="73B811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w:t>
            </w:r>
            <w:r>
              <w:rPr>
                <w:rFonts w:hint="default" w:ascii="Times New Roman" w:hAnsi="Times New Roman" w:cs="Times New Roman"/>
                <w:b/>
                <w:bCs/>
                <w:color w:val="auto"/>
                <w:spacing w:val="-2"/>
                <w:sz w:val="21"/>
                <w:szCs w:val="21"/>
                <w:highlight w:val="none"/>
                <w:lang w:val="en-US" w:eastAsia="zh-CN"/>
              </w:rPr>
              <w:t>5</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pacing w:val="-2"/>
                <w:sz w:val="21"/>
                <w:szCs w:val="21"/>
                <w:highlight w:val="none"/>
                <w:lang w:val="en-US" w:eastAsia="zh-CN"/>
              </w:rPr>
              <w:t xml:space="preserve"> 《牛栏江（寻甸段）水环境保护规划（2011~2030）》符合表</w:t>
            </w:r>
          </w:p>
          <w:tbl>
            <w:tblPr>
              <w:tblStyle w:val="28"/>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063"/>
              <w:gridCol w:w="2505"/>
              <w:gridCol w:w="706"/>
            </w:tblGrid>
            <w:tr w14:paraId="77DD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00" w:type="dxa"/>
                  <w:vAlign w:val="center"/>
                </w:tcPr>
                <w:p w14:paraId="065E0F79">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4063" w:type="dxa"/>
                  <w:vAlign w:val="center"/>
                </w:tcPr>
                <w:p w14:paraId="5DF09C71">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《牛栏江流域（寻甸段）水环境保护规划》重点污染控制区水环境保护策略</w:t>
                  </w:r>
                </w:p>
              </w:tc>
              <w:tc>
                <w:tcPr>
                  <w:tcW w:w="2505" w:type="dxa"/>
                  <w:vAlign w:val="center"/>
                </w:tcPr>
                <w:p w14:paraId="6020BF69">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该项目情况</w:t>
                  </w:r>
                </w:p>
              </w:tc>
              <w:tc>
                <w:tcPr>
                  <w:tcW w:w="706" w:type="dxa"/>
                  <w:vAlign w:val="center"/>
                </w:tcPr>
                <w:p w14:paraId="4AC3ED9F">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相符性</w:t>
                  </w:r>
                </w:p>
              </w:tc>
            </w:tr>
            <w:tr w14:paraId="329E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00" w:type="dxa"/>
                  <w:vAlign w:val="center"/>
                </w:tcPr>
                <w:p w14:paraId="609F7210">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w:t>
                  </w:r>
                </w:p>
              </w:tc>
              <w:tc>
                <w:tcPr>
                  <w:tcW w:w="4063" w:type="dxa"/>
                  <w:vAlign w:val="center"/>
                </w:tcPr>
                <w:p w14:paraId="6D77A93B">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505" w:type="dxa"/>
                  <w:vAlign w:val="center"/>
                </w:tcPr>
                <w:p w14:paraId="606125AD">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本项目生产废水经</w:t>
                  </w:r>
                  <w:r>
                    <w:rPr>
                      <w:rFonts w:hint="default" w:ascii="Times New Roman" w:hAnsi="Times New Roman" w:cs="Times New Roman"/>
                      <w:b w:val="0"/>
                      <w:bCs w:val="0"/>
                      <w:color w:val="auto"/>
                      <w:sz w:val="21"/>
                      <w:szCs w:val="21"/>
                      <w:highlight w:val="none"/>
                      <w:lang w:val="en-US" w:eastAsia="zh-CN"/>
                    </w:rPr>
                    <w:t>沉淀池</w:t>
                  </w:r>
                  <w:r>
                    <w:rPr>
                      <w:rFonts w:hint="default" w:ascii="Times New Roman" w:hAnsi="Times New Roman" w:eastAsia="宋体" w:cs="Times New Roman"/>
                      <w:b w:val="0"/>
                      <w:bCs w:val="0"/>
                      <w:color w:val="auto"/>
                      <w:sz w:val="21"/>
                      <w:szCs w:val="21"/>
                      <w:highlight w:val="none"/>
                      <w:lang w:val="en-US" w:eastAsia="zh-CN"/>
                    </w:rPr>
                    <w:t>处理后回用于生产，不外排</w:t>
                  </w:r>
                  <w:r>
                    <w:rPr>
                      <w:rFonts w:hint="default"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zh-CN" w:eastAsia="zh-CN"/>
                    </w:rPr>
                    <w:t>生活污水</w:t>
                  </w:r>
                  <w:r>
                    <w:rPr>
                      <w:rFonts w:hint="default" w:ascii="Times New Roman" w:hAnsi="Times New Roman" w:eastAsia="宋体" w:cs="Times New Roman"/>
                      <w:b w:val="0"/>
                      <w:bCs w:val="0"/>
                      <w:color w:val="auto"/>
                      <w:sz w:val="21"/>
                      <w:szCs w:val="21"/>
                      <w:highlight w:val="none"/>
                      <w:lang w:val="en-US" w:eastAsia="zh-CN"/>
                    </w:rPr>
                    <w:t>经处理后，用于项目搅拌生产，不外排。</w:t>
                  </w:r>
                  <w:r>
                    <w:rPr>
                      <w:rFonts w:hint="default" w:ascii="Times New Roman" w:hAnsi="Times New Roman" w:eastAsia="宋体" w:cs="Times New Roman"/>
                      <w:b w:val="0"/>
                      <w:bCs/>
                      <w:color w:val="auto"/>
                      <w:sz w:val="21"/>
                      <w:szCs w:val="21"/>
                      <w:highlight w:val="none"/>
                    </w:rPr>
                    <w:t>本项目废水能够</w:t>
                  </w:r>
                  <w:r>
                    <w:rPr>
                      <w:rFonts w:hint="default" w:ascii="Times New Roman" w:hAnsi="Times New Roman" w:eastAsia="宋体" w:cs="Times New Roman"/>
                      <w:b w:val="0"/>
                      <w:bCs/>
                      <w:color w:val="auto"/>
                      <w:sz w:val="21"/>
                      <w:szCs w:val="21"/>
                      <w:highlight w:val="none"/>
                      <w:lang w:val="en-US" w:eastAsia="zh-CN"/>
                    </w:rPr>
                    <w:t>实现</w:t>
                  </w:r>
                  <w:r>
                    <w:rPr>
                      <w:rFonts w:hint="default" w:ascii="Times New Roman" w:hAnsi="Times New Roman" w:eastAsia="宋体" w:cs="Times New Roman"/>
                      <w:b w:val="0"/>
                      <w:bCs/>
                      <w:color w:val="auto"/>
                      <w:sz w:val="21"/>
                      <w:szCs w:val="21"/>
                      <w:highlight w:val="none"/>
                    </w:rPr>
                    <w:t>“零排放”；固废处置率100%。</w:t>
                  </w:r>
                </w:p>
              </w:tc>
              <w:tc>
                <w:tcPr>
                  <w:tcW w:w="706" w:type="dxa"/>
                  <w:vAlign w:val="center"/>
                </w:tcPr>
                <w:p w14:paraId="49C1FDDE">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符合</w:t>
                  </w:r>
                </w:p>
              </w:tc>
            </w:tr>
            <w:tr w14:paraId="703A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00" w:type="dxa"/>
                  <w:vAlign w:val="center"/>
                </w:tcPr>
                <w:p w14:paraId="5E033D96">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w:t>
                  </w:r>
                </w:p>
              </w:tc>
              <w:tc>
                <w:tcPr>
                  <w:tcW w:w="4063" w:type="dxa"/>
                  <w:vAlign w:val="center"/>
                </w:tcPr>
                <w:p w14:paraId="362AF024">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建设再生水回用系统，污染控制区内不得建设不符合国家产业政策的工业项目及高污染工业项目；新增工业项目废水不得排放有毒有害物质，改扩建项目不得新增COD、TN、TP排放量；新增、改建、扩建工业项目应采用先进的生产工艺和污染防治技术，其清洁生产水平达到国家清洁生产标准中的国内先进水平。</w:t>
                  </w:r>
                </w:p>
              </w:tc>
              <w:tc>
                <w:tcPr>
                  <w:tcW w:w="2505" w:type="dxa"/>
                  <w:vAlign w:val="center"/>
                </w:tcPr>
                <w:p w14:paraId="21E2DD16">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本项目不属于不符合国家产业政策的工业项目及高污染工业项目；</w:t>
                  </w:r>
                  <w:r>
                    <w:rPr>
                      <w:rFonts w:hint="default" w:ascii="Times New Roman" w:hAnsi="Times New Roman" w:eastAsia="宋体" w:cs="Times New Roman"/>
                      <w:b w:val="0"/>
                      <w:bCs w:val="0"/>
                      <w:color w:val="auto"/>
                      <w:sz w:val="21"/>
                      <w:szCs w:val="21"/>
                      <w:highlight w:val="none"/>
                      <w:lang w:val="en-US" w:eastAsia="zh-CN"/>
                    </w:rPr>
                    <w:t>项目生产废水经</w:t>
                  </w:r>
                  <w:r>
                    <w:rPr>
                      <w:rFonts w:hint="default" w:ascii="Times New Roman" w:hAnsi="Times New Roman" w:cs="Times New Roman"/>
                      <w:b w:val="0"/>
                      <w:bCs w:val="0"/>
                      <w:color w:val="auto"/>
                      <w:sz w:val="21"/>
                      <w:szCs w:val="21"/>
                      <w:highlight w:val="none"/>
                      <w:lang w:val="en-US" w:eastAsia="zh-CN"/>
                    </w:rPr>
                    <w:t>沉淀池</w:t>
                  </w:r>
                  <w:r>
                    <w:rPr>
                      <w:rFonts w:hint="default" w:ascii="Times New Roman" w:hAnsi="Times New Roman" w:eastAsia="宋体" w:cs="Times New Roman"/>
                      <w:b w:val="0"/>
                      <w:bCs w:val="0"/>
                      <w:color w:val="auto"/>
                      <w:sz w:val="21"/>
                      <w:szCs w:val="21"/>
                      <w:highlight w:val="none"/>
                      <w:lang w:val="en-US" w:eastAsia="zh-CN"/>
                    </w:rPr>
                    <w:t>处理后回用于生产，不外排</w:t>
                  </w:r>
                  <w:r>
                    <w:rPr>
                      <w:rFonts w:hint="default"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zh-CN" w:eastAsia="zh-CN"/>
                    </w:rPr>
                    <w:t>生活污水</w:t>
                  </w:r>
                  <w:r>
                    <w:rPr>
                      <w:rFonts w:hint="default" w:ascii="Times New Roman" w:hAnsi="Times New Roman" w:eastAsia="宋体" w:cs="Times New Roman"/>
                      <w:b w:val="0"/>
                      <w:bCs w:val="0"/>
                      <w:color w:val="auto"/>
                      <w:sz w:val="21"/>
                      <w:szCs w:val="21"/>
                      <w:highlight w:val="none"/>
                      <w:lang w:val="en-US" w:eastAsia="zh-CN"/>
                    </w:rPr>
                    <w:t>经处理后，用于项目搅拌生产，不外排。</w:t>
                  </w:r>
                </w:p>
              </w:tc>
              <w:tc>
                <w:tcPr>
                  <w:tcW w:w="706" w:type="dxa"/>
                  <w:vAlign w:val="center"/>
                </w:tcPr>
                <w:p w14:paraId="68545AFF">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符合</w:t>
                  </w:r>
                </w:p>
              </w:tc>
            </w:tr>
          </w:tbl>
          <w:p w14:paraId="48802CC2">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由上表可知，项目符合《牛栏江流域（寻甸段）水环境保护规划》对重点污染控制区的相关要求。</w:t>
            </w:r>
          </w:p>
          <w:p w14:paraId="68899238">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7</w:t>
            </w:r>
            <w:r>
              <w:rPr>
                <w:rFonts w:hint="default" w:ascii="Times New Roman" w:hAnsi="Times New Roman" w:eastAsia="宋体" w:cs="Times New Roman"/>
                <w:b/>
                <w:bCs w:val="0"/>
                <w:color w:val="auto"/>
                <w:sz w:val="24"/>
                <w:szCs w:val="24"/>
                <w:highlight w:val="none"/>
                <w:lang w:val="en-US" w:eastAsia="zh-CN"/>
              </w:rPr>
              <w:t>、《长江经济带发展负面清单指南》（试行，2022年版）的通知》的符合性分析</w:t>
            </w:r>
          </w:p>
          <w:p w14:paraId="1743BA8C">
            <w:pP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14:paraId="085694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default" w:ascii="Times New Roman" w:hAnsi="Times New Roman" w:cs="Times New Roman"/>
                <w:b/>
                <w:color w:val="auto"/>
                <w:szCs w:val="21"/>
                <w:highlight w:val="none"/>
                <w:lang w:val="en-US" w:eastAsia="zh-CN"/>
              </w:rPr>
              <w:t>6</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9"/>
              <w:gridCol w:w="2577"/>
              <w:gridCol w:w="895"/>
            </w:tblGrid>
            <w:tr w14:paraId="0D41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13" w:type="pct"/>
                  <w:noWrap w:val="0"/>
                  <w:vAlign w:val="center"/>
                </w:tcPr>
                <w:p w14:paraId="147D88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《指南》要求</w:t>
                  </w:r>
                </w:p>
              </w:tc>
              <w:tc>
                <w:tcPr>
                  <w:tcW w:w="1622" w:type="pct"/>
                  <w:noWrap w:val="0"/>
                  <w:vAlign w:val="center"/>
                </w:tcPr>
                <w:p w14:paraId="39365D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w:t>
                  </w:r>
                </w:p>
              </w:tc>
              <w:tc>
                <w:tcPr>
                  <w:tcW w:w="563" w:type="pct"/>
                  <w:noWrap w:val="0"/>
                  <w:vAlign w:val="center"/>
                </w:tcPr>
                <w:p w14:paraId="7F2AB6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相符性</w:t>
                  </w:r>
                </w:p>
              </w:tc>
            </w:tr>
            <w:tr w14:paraId="3CAB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13" w:type="pct"/>
                  <w:noWrap w:val="0"/>
                  <w:vAlign w:val="center"/>
                </w:tcPr>
                <w:p w14:paraId="180F76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w:t>
                  </w:r>
                  <w:r>
                    <w:rPr>
                      <w:rFonts w:hint="default" w:ascii="Times New Roman" w:hAnsi="Times New Roman" w:cs="Times New Roman"/>
                      <w:color w:val="auto"/>
                      <w:sz w:val="21"/>
                      <w:szCs w:val="21"/>
                      <w:highlight w:val="none"/>
                      <w:lang w:val="zh-CN"/>
                    </w:rPr>
                    <w:t>总体规划</w:t>
                  </w:r>
                  <w:r>
                    <w:rPr>
                      <w:rFonts w:hint="default" w:ascii="Times New Roman" w:hAnsi="Times New Roman" w:eastAsia="宋体" w:cs="Times New Roman"/>
                      <w:color w:val="auto"/>
                      <w:sz w:val="21"/>
                      <w:szCs w:val="21"/>
                      <w:highlight w:val="none"/>
                      <w:lang w:val="zh-CN"/>
                    </w:rPr>
                    <w:t>的码头项目，禁止建设不符合《长江</w:t>
                  </w:r>
                  <w:r>
                    <w:rPr>
                      <w:rFonts w:hint="default" w:ascii="Times New Roman" w:hAnsi="Times New Roman" w:cs="Times New Roman"/>
                      <w:color w:val="auto"/>
                      <w:sz w:val="21"/>
                      <w:szCs w:val="21"/>
                      <w:highlight w:val="none"/>
                      <w:lang w:val="zh-CN"/>
                    </w:rPr>
                    <w:t>干线</w:t>
                  </w:r>
                  <w:r>
                    <w:rPr>
                      <w:rFonts w:hint="default" w:ascii="Times New Roman" w:hAnsi="Times New Roman" w:eastAsia="宋体" w:cs="Times New Roman"/>
                      <w:color w:val="auto"/>
                      <w:sz w:val="21"/>
                      <w:szCs w:val="21"/>
                      <w:highlight w:val="none"/>
                      <w:lang w:val="zh-CN"/>
                    </w:rPr>
                    <w:t>过江通道布局规划》的过长江通道项目。</w:t>
                  </w:r>
                </w:p>
              </w:tc>
              <w:tc>
                <w:tcPr>
                  <w:tcW w:w="1622" w:type="pct"/>
                  <w:noWrap w:val="0"/>
                  <w:vAlign w:val="center"/>
                </w:tcPr>
                <w:p w14:paraId="7DE199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kern w:val="0"/>
                      <w:sz w:val="21"/>
                      <w:szCs w:val="21"/>
                      <w:highlight w:val="none"/>
                      <w:lang w:val="en-US" w:eastAsia="zh-CN" w:bidi="ar-SA"/>
                    </w:rPr>
                    <w:t>寻甸金所乡上哨大村内</w:t>
                  </w:r>
                  <w:r>
                    <w:rPr>
                      <w:rFonts w:hint="default" w:ascii="Times New Roman" w:hAnsi="Times New Roman" w:eastAsia="宋体" w:cs="Times New Roman"/>
                      <w:color w:val="auto"/>
                      <w:sz w:val="21"/>
                      <w:szCs w:val="21"/>
                      <w:highlight w:val="none"/>
                    </w:rPr>
                    <w:t>，不属于码头或过长江通道项目。</w:t>
                  </w:r>
                </w:p>
              </w:tc>
              <w:tc>
                <w:tcPr>
                  <w:tcW w:w="563" w:type="pct"/>
                  <w:noWrap w:val="0"/>
                  <w:vAlign w:val="center"/>
                </w:tcPr>
                <w:p w14:paraId="2276D2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682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14:paraId="10BD4B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1622" w:type="pct"/>
                  <w:noWrap w:val="0"/>
                  <w:vAlign w:val="center"/>
                </w:tcPr>
                <w:p w14:paraId="727042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kern w:val="0"/>
                      <w:sz w:val="21"/>
                      <w:szCs w:val="21"/>
                      <w:highlight w:val="none"/>
                      <w:lang w:val="en-US" w:eastAsia="zh-CN" w:bidi="ar-SA"/>
                    </w:rPr>
                    <w:t>寻甸金所乡上哨大村内</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14:paraId="29F0A5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0AC6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813" w:type="pct"/>
                  <w:noWrap w:val="0"/>
                  <w:vAlign w:val="center"/>
                </w:tcPr>
                <w:p w14:paraId="729953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22" w:type="pct"/>
                  <w:noWrap w:val="0"/>
                  <w:vAlign w:val="center"/>
                </w:tcPr>
                <w:p w14:paraId="13E2AA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kern w:val="0"/>
                      <w:sz w:val="21"/>
                      <w:szCs w:val="21"/>
                      <w:highlight w:val="none"/>
                      <w:lang w:val="en-US" w:eastAsia="zh-CN" w:bidi="ar-SA"/>
                    </w:rPr>
                    <w:t>寻甸金所乡上哨大村内</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14:paraId="427420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47F1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813" w:type="pct"/>
                  <w:noWrap w:val="0"/>
                  <w:vAlign w:val="center"/>
                </w:tcPr>
                <w:p w14:paraId="702A9E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22" w:type="pct"/>
                  <w:noWrap w:val="0"/>
                  <w:vAlign w:val="center"/>
                </w:tcPr>
                <w:p w14:paraId="14746D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563" w:type="pct"/>
                  <w:noWrap w:val="0"/>
                  <w:vAlign w:val="center"/>
                </w:tcPr>
                <w:p w14:paraId="64E7BB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41D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813" w:type="pct"/>
                  <w:noWrap w:val="0"/>
                  <w:vAlign w:val="center"/>
                </w:tcPr>
                <w:p w14:paraId="2E134F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622" w:type="pct"/>
                  <w:noWrap w:val="0"/>
                  <w:vAlign w:val="center"/>
                </w:tcPr>
                <w:p w14:paraId="46ACC8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项目在金所乡上哨大村内，不属于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563" w:type="pct"/>
                  <w:noWrap w:val="0"/>
                  <w:vAlign w:val="center"/>
                </w:tcPr>
                <w:p w14:paraId="35D48D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BF0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14:paraId="28FCB4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1622" w:type="pct"/>
                  <w:noWrap w:val="0"/>
                  <w:vAlign w:val="center"/>
                </w:tcPr>
                <w:p w14:paraId="5F8368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563" w:type="pct"/>
                  <w:noWrap w:val="0"/>
                  <w:vAlign w:val="center"/>
                </w:tcPr>
                <w:p w14:paraId="550C4C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185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14:paraId="77092B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1622" w:type="pct"/>
                  <w:noWrap w:val="0"/>
                  <w:vAlign w:val="center"/>
                </w:tcPr>
                <w:p w14:paraId="4B1BEE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563" w:type="pct"/>
                  <w:noWrap w:val="0"/>
                  <w:vAlign w:val="center"/>
                </w:tcPr>
                <w:p w14:paraId="502717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99F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13" w:type="pct"/>
                  <w:noWrap w:val="0"/>
                  <w:vAlign w:val="center"/>
                </w:tcPr>
                <w:p w14:paraId="0CE1C0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22" w:type="pct"/>
                  <w:noWrap w:val="0"/>
                  <w:vAlign w:val="center"/>
                </w:tcPr>
                <w:p w14:paraId="6CBEC6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kern w:val="0"/>
                      <w:sz w:val="21"/>
                      <w:szCs w:val="21"/>
                      <w:highlight w:val="none"/>
                      <w:lang w:val="en-US" w:eastAsia="zh-CN" w:bidi="ar-SA"/>
                    </w:rPr>
                    <w:t>寻甸金所乡上哨大村内</w:t>
                  </w:r>
                  <w:r>
                    <w:rPr>
                      <w:rFonts w:hint="default" w:ascii="Times New Roman" w:hAnsi="Times New Roman" w:eastAsia="宋体" w:cs="Times New Roman"/>
                      <w:color w:val="auto"/>
                      <w:highlight w:val="none"/>
                    </w:rPr>
                    <w:t>，项目不属于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563" w:type="pct"/>
                  <w:noWrap w:val="0"/>
                  <w:vAlign w:val="center"/>
                </w:tcPr>
                <w:p w14:paraId="42F2E6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7FA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13" w:type="pct"/>
                  <w:noWrap w:val="0"/>
                  <w:vAlign w:val="center"/>
                </w:tcPr>
                <w:p w14:paraId="38A8A3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1622" w:type="pct"/>
                  <w:noWrap w:val="0"/>
                  <w:vAlign w:val="center"/>
                </w:tcPr>
                <w:p w14:paraId="1F9359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val="en-US" w:eastAsia="zh-CN"/>
                    </w:rPr>
                    <w:t>不属于</w:t>
                  </w:r>
                  <w:r>
                    <w:rPr>
                      <w:rFonts w:hint="default" w:ascii="Times New Roman" w:hAnsi="Times New Roman" w:eastAsia="宋体" w:cs="Times New Roman"/>
                      <w:color w:val="auto"/>
                      <w:szCs w:val="21"/>
                      <w:highlight w:val="none"/>
                      <w:lang w:val="zh-CN"/>
                    </w:rPr>
                    <w:t>高污染项目</w:t>
                  </w:r>
                  <w:r>
                    <w:rPr>
                      <w:rFonts w:hint="default" w:ascii="Times New Roman" w:hAnsi="Times New Roman" w:eastAsia="宋体" w:cs="Times New Roman"/>
                      <w:color w:val="auto"/>
                      <w:szCs w:val="21"/>
                      <w:highlight w:val="none"/>
                    </w:rPr>
                    <w:t>。</w:t>
                  </w:r>
                </w:p>
              </w:tc>
              <w:tc>
                <w:tcPr>
                  <w:tcW w:w="563" w:type="pct"/>
                  <w:noWrap w:val="0"/>
                  <w:vAlign w:val="center"/>
                </w:tcPr>
                <w:p w14:paraId="673106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785E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13" w:type="pct"/>
                  <w:noWrap w:val="0"/>
                  <w:vAlign w:val="center"/>
                </w:tcPr>
                <w:p w14:paraId="42780C7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en-US" w:eastAsia="zh-CN"/>
                    </w:rPr>
                    <w:t>禁止新建、扩建不符合国家石化、现代煤工艺等产业布局的规划项目。</w:t>
                  </w:r>
                </w:p>
              </w:tc>
              <w:tc>
                <w:tcPr>
                  <w:tcW w:w="1622" w:type="pct"/>
                  <w:noWrap w:val="0"/>
                  <w:vAlign w:val="center"/>
                </w:tcPr>
                <w:p w14:paraId="2C710C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val="en-US" w:eastAsia="zh-CN"/>
                    </w:rPr>
                    <w:t>不涉及国家石化、现代煤工艺等产业布局的规划项目。</w:t>
                  </w:r>
                </w:p>
              </w:tc>
              <w:tc>
                <w:tcPr>
                  <w:tcW w:w="563" w:type="pct"/>
                  <w:noWrap w:val="0"/>
                  <w:vAlign w:val="center"/>
                </w:tcPr>
                <w:p w14:paraId="7A9250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8A2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813" w:type="pct"/>
                  <w:noWrap w:val="0"/>
                  <w:vAlign w:val="center"/>
                </w:tcPr>
                <w:p w14:paraId="1D032D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en-US" w:eastAsia="zh-CN"/>
                    </w:rPr>
                    <w:t>一</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1622" w:type="pct"/>
                  <w:noWrap w:val="0"/>
                  <w:vAlign w:val="center"/>
                </w:tcPr>
                <w:p w14:paraId="5D8167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563" w:type="pct"/>
                  <w:noWrap w:val="0"/>
                  <w:vAlign w:val="center"/>
                </w:tcPr>
                <w:p w14:paraId="2EF7EA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14:paraId="72A091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color w:val="auto"/>
                <w:szCs w:val="21"/>
                <w:highlight w:val="none"/>
              </w:rPr>
            </w:pPr>
          </w:p>
          <w:p w14:paraId="4A4C202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6" w:name="_Toc15006"/>
            <w:r>
              <w:rPr>
                <w:rFonts w:hint="default" w:ascii="Times New Roman" w:hAnsi="Times New Roman" w:cs="Times New Roman"/>
                <w:b/>
                <w:bCs/>
                <w:color w:val="auto"/>
                <w:kern w:val="0"/>
                <w:sz w:val="24"/>
                <w:szCs w:val="24"/>
                <w:highlight w:val="none"/>
                <w:lang w:val="en-US" w:eastAsia="zh-CN"/>
              </w:rPr>
              <w:t>8</w:t>
            </w:r>
            <w:r>
              <w:rPr>
                <w:rFonts w:hint="default" w:ascii="Times New Roman" w:hAnsi="Times New Roman" w:eastAsia="宋体" w:cs="Times New Roman"/>
                <w:b/>
                <w:bCs/>
                <w:color w:val="auto"/>
                <w:kern w:val="0"/>
                <w:sz w:val="24"/>
                <w:szCs w:val="24"/>
                <w:highlight w:val="none"/>
                <w:lang w:val="en-US" w:eastAsia="zh-CN"/>
              </w:rPr>
              <w:t>、与《云南省长江经济带发展负面清单指南实施细则（试行，2022年版）》的符合性分析</w:t>
            </w:r>
            <w:bookmarkEnd w:id="6"/>
          </w:p>
          <w:p w14:paraId="17D069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 xml:space="preserve">1-9   </w:t>
            </w:r>
            <w:r>
              <w:rPr>
                <w:rFonts w:hint="default" w:ascii="Times New Roman" w:hAnsi="Times New Roman" w:eastAsia="宋体" w:cs="Times New Roman"/>
                <w:b/>
                <w:color w:val="auto"/>
                <w:szCs w:val="21"/>
                <w:highlight w:val="none"/>
              </w:rPr>
              <w:t>《云南省长江经济带发展负面清单指南实施细则（试行</w:t>
            </w:r>
            <w:r>
              <w:rPr>
                <w:rFonts w:hint="default" w:ascii="Times New Roman" w:hAnsi="Times New Roman" w:eastAsia="宋体" w:cs="Times New Roman"/>
                <w:b/>
                <w:color w:val="auto"/>
                <w:szCs w:val="21"/>
                <w:highlight w:val="none"/>
                <w:lang w:eastAsia="zh-CN"/>
              </w:rPr>
              <w:t>，</w:t>
            </w:r>
            <w:r>
              <w:rPr>
                <w:rFonts w:hint="default" w:ascii="Times New Roman" w:hAnsi="Times New Roman" w:eastAsia="宋体" w:cs="Times New Roman"/>
                <w:b/>
                <w:color w:val="auto"/>
                <w:szCs w:val="21"/>
                <w:highlight w:val="none"/>
                <w:lang w:val="en-US" w:eastAsia="zh-CN"/>
              </w:rPr>
              <w:t>2022年版</w:t>
            </w:r>
            <w:r>
              <w:rPr>
                <w:rFonts w:hint="default" w:ascii="Times New Roman" w:hAnsi="Times New Roman" w:eastAsia="宋体" w:cs="Times New Roman"/>
                <w:b/>
                <w:color w:val="auto"/>
                <w:szCs w:val="21"/>
                <w:highlight w:val="none"/>
              </w:rPr>
              <w:t>）》符合性分析</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7"/>
              <w:gridCol w:w="2371"/>
              <w:gridCol w:w="562"/>
            </w:tblGrid>
            <w:tr w14:paraId="77C27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1CB54B5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493" w:type="pct"/>
                  <w:noWrap w:val="0"/>
                  <w:vAlign w:val="center"/>
                </w:tcPr>
                <w:p w14:paraId="400796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353" w:type="pct"/>
                  <w:noWrap w:val="0"/>
                  <w:vAlign w:val="center"/>
                </w:tcPr>
                <w:p w14:paraId="3568869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14:paraId="003A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5FB7B6EC">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9"/>
                      <w:sz w:val="20"/>
                      <w:szCs w:val="20"/>
                    </w:rPr>
                    <w:t>禁止建设不符合全国和省级港口布局规划以</w:t>
                  </w:r>
                  <w:r>
                    <w:rPr>
                      <w:rFonts w:hint="default" w:ascii="Times New Roman" w:hAnsi="Times New Roman" w:eastAsia="宋体" w:cs="Times New Roman"/>
                      <w:color w:val="auto"/>
                      <w:spacing w:val="8"/>
                      <w:sz w:val="20"/>
                      <w:szCs w:val="20"/>
                    </w:rPr>
                    <w:t>及港口总体规划的码头项目。</w:t>
                  </w:r>
                </w:p>
              </w:tc>
              <w:tc>
                <w:tcPr>
                  <w:tcW w:w="1493" w:type="pct"/>
                  <w:noWrap w:val="0"/>
                  <w:vAlign w:val="center"/>
                </w:tcPr>
                <w:p w14:paraId="387E2853">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项目不属于码头项目</w:t>
                  </w:r>
                  <w:r>
                    <w:rPr>
                      <w:rFonts w:hint="default" w:ascii="Times New Roman" w:hAnsi="Times New Roman" w:eastAsia="宋体" w:cs="Times New Roman"/>
                      <w:color w:val="auto"/>
                      <w:spacing w:val="8"/>
                      <w:sz w:val="20"/>
                      <w:szCs w:val="20"/>
                      <w:lang w:eastAsia="zh-CN"/>
                    </w:rPr>
                    <w:t>。</w:t>
                  </w:r>
                </w:p>
              </w:tc>
              <w:tc>
                <w:tcPr>
                  <w:tcW w:w="353" w:type="pct"/>
                  <w:noWrap w:val="0"/>
                  <w:vAlign w:val="center"/>
                </w:tcPr>
                <w:p w14:paraId="331A92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4001E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0CECF005">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pacing w:val="10"/>
                      <w:sz w:val="20"/>
                      <w:szCs w:val="20"/>
                    </w:rPr>
                    <w:t>禁止在生态保护红线范围内投资建设项目，</w:t>
                  </w:r>
                  <w:r>
                    <w:rPr>
                      <w:rFonts w:hint="default" w:ascii="Times New Roman" w:hAnsi="Times New Roman" w:eastAsia="宋体" w:cs="Times New Roman"/>
                      <w:color w:val="auto"/>
                      <w:spacing w:val="8"/>
                      <w:sz w:val="20"/>
                      <w:szCs w:val="20"/>
                    </w:rPr>
                    <w:t>生态保护红线内、</w:t>
                  </w:r>
                  <w:r>
                    <w:rPr>
                      <w:rFonts w:hint="default" w:ascii="Times New Roman" w:hAnsi="Times New Roman" w:eastAsia="宋体" w:cs="Times New Roman"/>
                      <w:color w:val="auto"/>
                      <w:spacing w:val="-38"/>
                      <w:sz w:val="20"/>
                      <w:szCs w:val="20"/>
                    </w:rPr>
                    <w:t xml:space="preserve"> </w:t>
                  </w:r>
                  <w:r>
                    <w:rPr>
                      <w:rFonts w:hint="default" w:ascii="Times New Roman" w:hAnsi="Times New Roman" w:eastAsia="宋体" w:cs="Times New Roman"/>
                      <w:color w:val="auto"/>
                      <w:spacing w:val="8"/>
                      <w:sz w:val="20"/>
                      <w:szCs w:val="20"/>
                    </w:rPr>
                    <w:t>自然保护地核心保护区原</w:t>
                  </w:r>
                  <w:r>
                    <w:rPr>
                      <w:rFonts w:hint="default" w:ascii="Times New Roman" w:hAnsi="Times New Roman" w:eastAsia="宋体" w:cs="Times New Roman"/>
                      <w:color w:val="auto"/>
                      <w:spacing w:val="11"/>
                      <w:sz w:val="20"/>
                      <w:szCs w:val="20"/>
                    </w:rPr>
                    <w:t>则上禁止人为活动；其他区域严格禁止开发性、生产性建设活动。除国家重大战略资源</w:t>
                  </w:r>
                  <w:r>
                    <w:rPr>
                      <w:rFonts w:hint="default" w:ascii="Times New Roman" w:hAnsi="Times New Roman" w:eastAsia="宋体" w:cs="Times New Roman"/>
                      <w:color w:val="auto"/>
                      <w:spacing w:val="12"/>
                      <w:sz w:val="20"/>
                      <w:szCs w:val="20"/>
                    </w:rPr>
                    <w:t>勘查项目、生态保护修复和环境治理项目、</w:t>
                  </w:r>
                  <w:r>
                    <w:rPr>
                      <w:rFonts w:hint="default" w:ascii="Times New Roman" w:hAnsi="Times New Roman" w:eastAsia="宋体" w:cs="Times New Roman"/>
                      <w:color w:val="auto"/>
                      <w:spacing w:val="7"/>
                      <w:sz w:val="20"/>
                      <w:szCs w:val="20"/>
                    </w:rPr>
                    <w:t>重大基础设施项目、军事国防项目以及农牧</w:t>
                  </w:r>
                  <w:r>
                    <w:rPr>
                      <w:rFonts w:hint="default" w:ascii="Times New Roman" w:hAnsi="Times New Roman" w:eastAsia="宋体" w:cs="Times New Roman"/>
                      <w:color w:val="auto"/>
                      <w:spacing w:val="11"/>
                      <w:sz w:val="20"/>
                      <w:szCs w:val="20"/>
                    </w:rPr>
                    <w:t>民基本生产生活等必要的民生项目以外的项目。生态保护红线原则上按禁止开发区域的要求进行管理外，仅允许对生态功能不造成</w:t>
                  </w:r>
                  <w:r>
                    <w:rPr>
                      <w:rFonts w:hint="default" w:ascii="Times New Roman" w:hAnsi="Times New Roman" w:eastAsia="宋体" w:cs="Times New Roman"/>
                      <w:color w:val="auto"/>
                      <w:spacing w:val="8"/>
                      <w:sz w:val="20"/>
                      <w:szCs w:val="20"/>
                    </w:rPr>
                    <w:t>破坏的有限人为活动。</w:t>
                  </w:r>
                </w:p>
              </w:tc>
              <w:tc>
                <w:tcPr>
                  <w:tcW w:w="1493" w:type="pct"/>
                  <w:noWrap w:val="0"/>
                  <w:vAlign w:val="center"/>
                </w:tcPr>
                <w:p w14:paraId="3BFC63B5">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8"/>
                      <w:sz w:val="20"/>
                      <w:szCs w:val="20"/>
                    </w:rPr>
                    <w:t>项目不在云南省生态红</w:t>
                  </w:r>
                  <w:r>
                    <w:rPr>
                      <w:rFonts w:hint="default" w:ascii="Times New Roman" w:hAnsi="Times New Roman" w:eastAsia="宋体" w:cs="Times New Roman"/>
                      <w:color w:val="auto"/>
                      <w:spacing w:val="7"/>
                      <w:sz w:val="20"/>
                      <w:szCs w:val="20"/>
                    </w:rPr>
                    <w:t>线范围内</w:t>
                  </w:r>
                  <w:r>
                    <w:rPr>
                      <w:rFonts w:hint="default" w:ascii="Times New Roman" w:hAnsi="Times New Roman" w:eastAsia="宋体" w:cs="Times New Roman"/>
                      <w:color w:val="auto"/>
                      <w:spacing w:val="7"/>
                      <w:sz w:val="20"/>
                      <w:szCs w:val="20"/>
                      <w:lang w:eastAsia="zh-CN"/>
                    </w:rPr>
                    <w:t>。</w:t>
                  </w:r>
                </w:p>
              </w:tc>
              <w:tc>
                <w:tcPr>
                  <w:tcW w:w="353" w:type="pct"/>
                  <w:noWrap w:val="0"/>
                  <w:vAlign w:val="center"/>
                </w:tcPr>
                <w:p w14:paraId="61EC24C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14:paraId="3ADAA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5009C22B">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pacing w:val="6"/>
                      <w:sz w:val="20"/>
                      <w:szCs w:val="20"/>
                    </w:rPr>
                    <w:t>禁止在自然保护区内进行砍伐、放牧、狩猎、</w:t>
                  </w:r>
                  <w:r>
                    <w:rPr>
                      <w:rFonts w:hint="default" w:ascii="Times New Roman" w:hAnsi="Times New Roman" w:eastAsia="宋体" w:cs="Times New Roman"/>
                      <w:color w:val="auto"/>
                      <w:spacing w:val="9"/>
                      <w:sz w:val="20"/>
                      <w:szCs w:val="20"/>
                    </w:rPr>
                    <w:t>捕捞、采药、开垦、烧荒、开矿、采石、挖沙等活动；禁止任何人进入自然保护区的核心区；禁止在自然保护区的缓冲区开展旅游和生产经营活动；严禁开设与自然保护区保护方向不一致的参观、旅游项目；在自然保护区的实验区内，不得建设污染环境、破坏</w:t>
                  </w:r>
                  <w:r>
                    <w:rPr>
                      <w:rFonts w:hint="default" w:ascii="Times New Roman" w:hAnsi="Times New Roman" w:eastAsia="宋体" w:cs="Times New Roman"/>
                      <w:color w:val="auto"/>
                      <w:spacing w:val="6"/>
                      <w:sz w:val="20"/>
                      <w:szCs w:val="20"/>
                    </w:rPr>
                    <w:t>资源或者景观的生产设施；自然保护区核心</w:t>
                  </w:r>
                  <w:r>
                    <w:rPr>
                      <w:rFonts w:hint="default" w:ascii="Times New Roman" w:hAnsi="Times New Roman" w:eastAsia="宋体" w:cs="Times New Roman"/>
                      <w:color w:val="auto"/>
                      <w:spacing w:val="9"/>
                      <w:sz w:val="20"/>
                      <w:szCs w:val="20"/>
                    </w:rPr>
                    <w:t>区，严禁任何生产经营活动；新建公路、铁路和其他基础设施不得穿越自然保护区核心区，尽量避免穿越缓冲区；禁止在自然保护区的核心区和缓冲区内建设畜禽养殖场、养</w:t>
                  </w:r>
                  <w:r>
                    <w:rPr>
                      <w:rFonts w:hint="default" w:ascii="Times New Roman" w:hAnsi="Times New Roman" w:eastAsia="宋体" w:cs="Times New Roman"/>
                      <w:color w:val="auto"/>
                      <w:spacing w:val="4"/>
                      <w:sz w:val="20"/>
                      <w:szCs w:val="20"/>
                    </w:rPr>
                    <w:t>殖小区。</w:t>
                  </w:r>
                </w:p>
              </w:tc>
              <w:tc>
                <w:tcPr>
                  <w:tcW w:w="1493" w:type="pct"/>
                  <w:noWrap w:val="0"/>
                  <w:vAlign w:val="center"/>
                </w:tcPr>
                <w:p w14:paraId="3E376591">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8"/>
                      <w:sz w:val="20"/>
                      <w:szCs w:val="20"/>
                    </w:rPr>
                    <w:t>项目不涉及自然保护区</w:t>
                  </w:r>
                  <w:r>
                    <w:rPr>
                      <w:rFonts w:hint="default" w:ascii="Times New Roman" w:hAnsi="Times New Roman" w:eastAsia="宋体" w:cs="Times New Roman"/>
                      <w:color w:val="auto"/>
                      <w:spacing w:val="8"/>
                      <w:sz w:val="20"/>
                      <w:szCs w:val="20"/>
                      <w:lang w:eastAsia="zh-CN"/>
                    </w:rPr>
                    <w:t>。</w:t>
                  </w:r>
                </w:p>
              </w:tc>
              <w:tc>
                <w:tcPr>
                  <w:tcW w:w="353" w:type="pct"/>
                  <w:noWrap w:val="0"/>
                  <w:vAlign w:val="center"/>
                </w:tcPr>
                <w:p w14:paraId="711175F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相符</w:t>
                  </w:r>
                </w:p>
              </w:tc>
            </w:tr>
            <w:tr w14:paraId="75F8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631475CE">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7"/>
                      <w:sz w:val="20"/>
                      <w:szCs w:val="20"/>
                    </w:rPr>
                    <w:t>禁止在风景名胜区内进行开山、采石、开矿、</w:t>
                  </w:r>
                  <w:r>
                    <w:rPr>
                      <w:rFonts w:hint="default" w:ascii="Times New Roman" w:hAnsi="Times New Roman" w:eastAsia="宋体" w:cs="Times New Roman"/>
                      <w:color w:val="auto"/>
                      <w:spacing w:val="9"/>
                      <w:sz w:val="20"/>
                      <w:szCs w:val="20"/>
                    </w:rPr>
                    <w:t>开荒、修坟立碑等破坏景观、植被和地形地貌的活动以及修建储存爆炸性、易燃性、放射性、毒害性、腐蚀性物品的设施；禁止违反风景名胜区规划，在风景名胜区内设立各</w:t>
                  </w:r>
                  <w:r>
                    <w:rPr>
                      <w:rFonts w:hint="default" w:ascii="Times New Roman" w:hAnsi="Times New Roman" w:eastAsia="宋体" w:cs="Times New Roman"/>
                      <w:color w:val="auto"/>
                      <w:spacing w:val="7"/>
                      <w:sz w:val="20"/>
                      <w:szCs w:val="20"/>
                    </w:rPr>
                    <w:t>类开发区和在核心景区内建设宾馆、招待所、</w:t>
                  </w:r>
                  <w:r>
                    <w:rPr>
                      <w:rFonts w:hint="default" w:ascii="Times New Roman" w:hAnsi="Times New Roman" w:eastAsia="宋体" w:cs="Times New Roman"/>
                      <w:color w:val="auto"/>
                      <w:spacing w:val="9"/>
                      <w:sz w:val="20"/>
                      <w:szCs w:val="20"/>
                    </w:rPr>
                    <w:t>培训中心、疗养院以及与风景名胜资源保护无关的其他建筑物；禁止在风景名胜区从事与风景名胜资源无关的生产建设活动；风景名胜区内的水源、水体应当严加保护，禁止污染水源、水体，禁止擅自围、填、堵塞水面和围湖造田等；禁止在风景名胜区内建设</w:t>
                  </w:r>
                  <w:r>
                    <w:rPr>
                      <w:rFonts w:hint="default" w:ascii="Times New Roman" w:hAnsi="Times New Roman" w:eastAsia="宋体" w:cs="Times New Roman"/>
                      <w:color w:val="auto"/>
                      <w:spacing w:val="6"/>
                      <w:sz w:val="20"/>
                      <w:szCs w:val="20"/>
                    </w:rPr>
                    <w:t>畜禽养殖场、养殖小区。</w:t>
                  </w:r>
                </w:p>
              </w:tc>
              <w:tc>
                <w:tcPr>
                  <w:tcW w:w="1493" w:type="pct"/>
                  <w:noWrap w:val="0"/>
                  <w:vAlign w:val="center"/>
                </w:tcPr>
                <w:p w14:paraId="631E2865">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项目不涉及风景名胜区</w:t>
                  </w:r>
                </w:p>
              </w:tc>
              <w:tc>
                <w:tcPr>
                  <w:tcW w:w="353" w:type="pct"/>
                  <w:noWrap w:val="0"/>
                  <w:vAlign w:val="center"/>
                </w:tcPr>
                <w:p w14:paraId="294BE0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5826E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1064DD7A">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6"/>
                      <w:sz w:val="20"/>
                      <w:szCs w:val="20"/>
                    </w:rPr>
                    <w:t>禁止擅自征收、占用国家湿地公园的土地。</w:t>
                  </w:r>
                  <w:r>
                    <w:rPr>
                      <w:rFonts w:hint="default" w:ascii="Times New Roman" w:hAnsi="Times New Roman" w:eastAsia="宋体" w:cs="Times New Roman"/>
                      <w:color w:val="auto"/>
                      <w:spacing w:val="9"/>
                      <w:sz w:val="20"/>
                      <w:szCs w:val="20"/>
                    </w:rPr>
                    <w:t>除国家另有规定外，禁止在国家湿地公园内开（围）垦、填埋或者排干湿地；截断湿地水源；挖沙、采矿，倾倒有毒有害物质、废弃物、垃圾；从事房地产、度假村、高尔夫球场、风力发电、光伏发电等任何不符合主体功能定位的建设项目和开发活动；破坏野</w:t>
                  </w:r>
                  <w:r>
                    <w:rPr>
                      <w:rFonts w:hint="default" w:ascii="Times New Roman" w:hAnsi="Times New Roman" w:eastAsia="宋体" w:cs="Times New Roman"/>
                      <w:color w:val="auto"/>
                      <w:spacing w:val="8"/>
                      <w:sz w:val="20"/>
                      <w:szCs w:val="20"/>
                    </w:rPr>
                    <w:t>生动物栖息地和迁徙通道、鱼类洄游通道；</w:t>
                  </w:r>
                  <w:r>
                    <w:rPr>
                      <w:rFonts w:hint="default" w:ascii="Times New Roman" w:hAnsi="Times New Roman" w:eastAsia="宋体" w:cs="Times New Roman"/>
                      <w:color w:val="auto"/>
                      <w:spacing w:val="9"/>
                      <w:sz w:val="20"/>
                      <w:szCs w:val="20"/>
                    </w:rPr>
                    <w:t>滥采滥捕野生动植物，引入外来物种；擅自放牧、捕捞、取土、取水、排污、放生等破坏湿地及其生态功能的活动。国家湿地公园保育区除开展保护、监测、科学研究等必需</w:t>
                  </w:r>
                  <w:r>
                    <w:rPr>
                      <w:rFonts w:hint="default" w:ascii="Times New Roman" w:hAnsi="Times New Roman" w:eastAsia="宋体" w:cs="Times New Roman"/>
                      <w:color w:val="auto"/>
                      <w:spacing w:val="8"/>
                      <w:sz w:val="20"/>
                      <w:szCs w:val="20"/>
                    </w:rPr>
                    <w:t>的保护管理活动外，不得进行任何与湿地生态系统保护和管理无关的其他活动。</w:t>
                  </w:r>
                </w:p>
              </w:tc>
              <w:tc>
                <w:tcPr>
                  <w:tcW w:w="1493" w:type="pct"/>
                  <w:noWrap w:val="0"/>
                  <w:vAlign w:val="center"/>
                </w:tcPr>
                <w:p w14:paraId="4B1165FC">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7"/>
                      <w:sz w:val="20"/>
                      <w:szCs w:val="20"/>
                    </w:rPr>
                    <w:t>项目不涉及擅自征收、</w:t>
                  </w:r>
                  <w:r>
                    <w:rPr>
                      <w:rFonts w:hint="default" w:ascii="Times New Roman" w:hAnsi="Times New Roman" w:eastAsia="宋体" w:cs="Times New Roman"/>
                      <w:color w:val="auto"/>
                      <w:spacing w:val="5"/>
                      <w:sz w:val="20"/>
                      <w:szCs w:val="20"/>
                    </w:rPr>
                    <w:t>占用国家湿地公园的土</w:t>
                  </w:r>
                  <w:r>
                    <w:rPr>
                      <w:rFonts w:hint="default" w:ascii="Times New Roman" w:hAnsi="Times New Roman" w:eastAsia="宋体" w:cs="Times New Roman"/>
                      <w:color w:val="auto"/>
                      <w:sz w:val="20"/>
                      <w:szCs w:val="20"/>
                    </w:rPr>
                    <w:t>地。</w:t>
                  </w:r>
                </w:p>
              </w:tc>
              <w:tc>
                <w:tcPr>
                  <w:tcW w:w="353" w:type="pct"/>
                  <w:noWrap w:val="0"/>
                  <w:vAlign w:val="center"/>
                </w:tcPr>
                <w:p w14:paraId="0C4164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2392F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06097C72">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6"/>
                      <w:sz w:val="20"/>
                      <w:szCs w:val="20"/>
                    </w:rPr>
                    <w:t>禁止在饮用水水源一级保护区内新建、改建、</w:t>
                  </w:r>
                  <w:r>
                    <w:rPr>
                      <w:rFonts w:hint="default" w:ascii="Times New Roman" w:hAnsi="Times New Roman" w:eastAsia="宋体" w:cs="Times New Roman"/>
                      <w:color w:val="auto"/>
                      <w:spacing w:val="9"/>
                      <w:sz w:val="20"/>
                      <w:szCs w:val="20"/>
                    </w:rPr>
                    <w:t>扩建与供水设施和保护水源无关的</w:t>
                  </w:r>
                  <w:r>
                    <w:rPr>
                      <w:rFonts w:hint="eastAsia" w:cs="Times New Roman"/>
                      <w:color w:val="auto"/>
                      <w:spacing w:val="9"/>
                      <w:sz w:val="20"/>
                      <w:szCs w:val="20"/>
                      <w:lang w:eastAsia="zh-CN"/>
                    </w:rPr>
                    <w:t>建筑</w:t>
                  </w:r>
                </w:p>
              </w:tc>
              <w:tc>
                <w:tcPr>
                  <w:tcW w:w="1493" w:type="pct"/>
                  <w:noWrap w:val="0"/>
                  <w:vAlign w:val="center"/>
                </w:tcPr>
                <w:p w14:paraId="17836C33">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项目不涉及饮用水水源</w:t>
                  </w:r>
                  <w:r>
                    <w:rPr>
                      <w:rFonts w:hint="default" w:ascii="Times New Roman" w:hAnsi="Times New Roman" w:eastAsia="宋体" w:cs="Times New Roman"/>
                      <w:color w:val="auto"/>
                      <w:spacing w:val="4"/>
                      <w:sz w:val="20"/>
                      <w:szCs w:val="20"/>
                    </w:rPr>
                    <w:t>保护区。</w:t>
                  </w:r>
                </w:p>
              </w:tc>
              <w:tc>
                <w:tcPr>
                  <w:tcW w:w="353" w:type="pct"/>
                  <w:noWrap w:val="0"/>
                  <w:vAlign w:val="center"/>
                </w:tcPr>
                <w:p w14:paraId="2D181F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616E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47B60F82">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6"/>
                      <w:sz w:val="20"/>
                      <w:szCs w:val="20"/>
                    </w:rPr>
                    <w:t>禁止违法利用、</w:t>
                  </w:r>
                  <w:r>
                    <w:rPr>
                      <w:rFonts w:hint="default" w:ascii="Times New Roman" w:hAnsi="Times New Roman" w:eastAsia="宋体" w:cs="Times New Roman"/>
                      <w:color w:val="auto"/>
                      <w:spacing w:val="-35"/>
                      <w:sz w:val="20"/>
                      <w:szCs w:val="20"/>
                    </w:rPr>
                    <w:t xml:space="preserve"> </w:t>
                  </w:r>
                  <w:r>
                    <w:rPr>
                      <w:rFonts w:hint="default" w:ascii="Times New Roman" w:hAnsi="Times New Roman" w:eastAsia="宋体" w:cs="Times New Roman"/>
                      <w:color w:val="auto"/>
                      <w:spacing w:val="6"/>
                      <w:sz w:val="20"/>
                      <w:szCs w:val="20"/>
                    </w:rPr>
                    <w:t>占用长江流域河湖岸线。禁</w:t>
                  </w:r>
                  <w:r>
                    <w:rPr>
                      <w:rFonts w:hint="default" w:ascii="Times New Roman" w:hAnsi="Times New Roman" w:eastAsia="宋体" w:cs="Times New Roman"/>
                      <w:color w:val="auto"/>
                      <w:spacing w:val="10"/>
                      <w:sz w:val="20"/>
                      <w:szCs w:val="20"/>
                    </w:rPr>
                    <w:t>止在《长江岸线保护和开发利用总体规划》</w:t>
                  </w:r>
                  <w:r>
                    <w:rPr>
                      <w:rFonts w:hint="default" w:ascii="Times New Roman" w:hAnsi="Times New Roman" w:eastAsia="宋体" w:cs="Times New Roman"/>
                      <w:color w:val="auto"/>
                      <w:spacing w:val="11"/>
                      <w:sz w:val="20"/>
                      <w:szCs w:val="20"/>
                    </w:rPr>
                    <w:t>划定的岸线保护区和保留区内投资建设除事关公共安全及公众利益的防洪护岸、河道治理、供水、生态环境保护、航道整治、国家重要基础设施以外的项目。除国家明确支持的重大建设项目、军事国防类项目、交通类项目、能源类项目、水利类项目、国务院投资主管部门或国务院投资主管部门会同有关部门支持和认可的交通、能源、水</w:t>
                  </w:r>
                  <w:r>
                    <w:rPr>
                      <w:rFonts w:hint="eastAsia" w:cs="Times New Roman"/>
                      <w:color w:val="auto"/>
                      <w:spacing w:val="11"/>
                      <w:sz w:val="20"/>
                      <w:szCs w:val="20"/>
                      <w:lang w:eastAsia="zh-CN"/>
                    </w:rPr>
                    <w:t>利等</w:t>
                  </w:r>
                  <w:r>
                    <w:rPr>
                      <w:rFonts w:hint="default" w:ascii="Times New Roman" w:hAnsi="Times New Roman" w:eastAsia="宋体" w:cs="Times New Roman"/>
                      <w:color w:val="auto"/>
                      <w:spacing w:val="11"/>
                      <w:sz w:val="20"/>
                      <w:szCs w:val="20"/>
                    </w:rPr>
                    <w:t>基础设施项目外，禁止在永久基本农田范围内投资建设项目。重大建设项目选址确实难以避让永久基本农田的，需在可行性研究阶段，对占用的必要性、合理性和补划方案的可行性</w:t>
                  </w:r>
                  <w:r>
                    <w:rPr>
                      <w:rFonts w:hint="default" w:ascii="Times New Roman" w:hAnsi="Times New Roman" w:eastAsia="宋体" w:cs="Times New Roman"/>
                      <w:color w:val="auto"/>
                      <w:spacing w:val="8"/>
                      <w:sz w:val="20"/>
                      <w:szCs w:val="20"/>
                    </w:rPr>
                    <w:t>进行严格论证，按照“数量不减、质量不降、</w:t>
                  </w:r>
                  <w:r>
                    <w:rPr>
                      <w:rFonts w:hint="default" w:ascii="Times New Roman" w:hAnsi="Times New Roman" w:eastAsia="宋体" w:cs="Times New Roman"/>
                      <w:color w:val="auto"/>
                      <w:spacing w:val="6"/>
                      <w:sz w:val="20"/>
                      <w:szCs w:val="20"/>
                    </w:rPr>
                    <w:t>布局稳定”</w:t>
                  </w:r>
                  <w:r>
                    <w:rPr>
                      <w:rFonts w:hint="default" w:ascii="Times New Roman" w:hAnsi="Times New Roman" w:eastAsia="宋体" w:cs="Times New Roman"/>
                      <w:color w:val="auto"/>
                      <w:spacing w:val="-6"/>
                      <w:sz w:val="20"/>
                      <w:szCs w:val="20"/>
                    </w:rPr>
                    <w:t xml:space="preserve"> </w:t>
                  </w:r>
                  <w:r>
                    <w:rPr>
                      <w:rFonts w:hint="default" w:ascii="Times New Roman" w:hAnsi="Times New Roman" w:eastAsia="宋体" w:cs="Times New Roman"/>
                      <w:color w:val="auto"/>
                      <w:spacing w:val="6"/>
                      <w:sz w:val="20"/>
                      <w:szCs w:val="20"/>
                    </w:rPr>
                    <w:t>的要求进行补划，报自然资源部用</w:t>
                  </w:r>
                  <w:r>
                    <w:rPr>
                      <w:rFonts w:hint="default" w:ascii="Times New Roman" w:hAnsi="Times New Roman" w:eastAsia="宋体" w:cs="Times New Roman"/>
                      <w:color w:val="auto"/>
                      <w:spacing w:val="11"/>
                      <w:sz w:val="20"/>
                      <w:szCs w:val="20"/>
                    </w:rPr>
                    <w:t>地预审，依法依规办理农用地转用和土地征收，</w:t>
                  </w:r>
                  <w:r>
                    <w:rPr>
                      <w:rFonts w:hint="eastAsia" w:cs="Times New Roman"/>
                      <w:color w:val="auto"/>
                      <w:spacing w:val="11"/>
                      <w:sz w:val="20"/>
                      <w:szCs w:val="20"/>
                      <w:lang w:eastAsia="zh-CN"/>
                    </w:rPr>
                    <w:t>按</w:t>
                  </w:r>
                  <w:r>
                    <w:rPr>
                      <w:rFonts w:hint="default" w:ascii="Times New Roman" w:hAnsi="Times New Roman" w:eastAsia="宋体" w:cs="Times New Roman"/>
                      <w:color w:val="auto"/>
                      <w:spacing w:val="11"/>
                      <w:sz w:val="20"/>
                      <w:szCs w:val="20"/>
                    </w:rPr>
                    <w:t>法定程序修改相应的国土空间规划用</w:t>
                  </w:r>
                  <w:r>
                    <w:rPr>
                      <w:rFonts w:hint="default" w:ascii="Times New Roman" w:hAnsi="Times New Roman" w:eastAsia="宋体" w:cs="Times New Roman"/>
                      <w:color w:val="auto"/>
                      <w:sz w:val="20"/>
                      <w:szCs w:val="20"/>
                    </w:rPr>
                    <w:t>途。</w:t>
                  </w:r>
                </w:p>
              </w:tc>
              <w:tc>
                <w:tcPr>
                  <w:tcW w:w="1493" w:type="pct"/>
                  <w:noWrap w:val="0"/>
                  <w:vAlign w:val="center"/>
                </w:tcPr>
                <w:p w14:paraId="75D1D52A">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项目不在《长江岸线保护和开发利用总体规</w:t>
                  </w:r>
                  <w:r>
                    <w:rPr>
                      <w:rFonts w:hint="default" w:ascii="Times New Roman" w:hAnsi="Times New Roman" w:eastAsia="宋体" w:cs="Times New Roman"/>
                      <w:color w:val="auto"/>
                      <w:spacing w:val="9"/>
                      <w:sz w:val="20"/>
                      <w:szCs w:val="20"/>
                    </w:rPr>
                    <w:t>划》划定的岸线保护区</w:t>
                  </w:r>
                  <w:r>
                    <w:rPr>
                      <w:rFonts w:hint="default" w:ascii="Times New Roman" w:hAnsi="Times New Roman" w:eastAsia="宋体" w:cs="Times New Roman"/>
                      <w:color w:val="auto"/>
                      <w:spacing w:val="-13"/>
                      <w:sz w:val="20"/>
                      <w:szCs w:val="20"/>
                    </w:rPr>
                    <w:t>内。</w:t>
                  </w:r>
                </w:p>
              </w:tc>
              <w:tc>
                <w:tcPr>
                  <w:tcW w:w="353" w:type="pct"/>
                  <w:noWrap w:val="0"/>
                  <w:vAlign w:val="center"/>
                </w:tcPr>
                <w:p w14:paraId="7523D8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1EAB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45DEC060">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9"/>
                      <w:sz w:val="20"/>
                      <w:szCs w:val="20"/>
                    </w:rPr>
                    <w:t>禁止在《全国重要江河湖泊水功能区划》划</w:t>
                  </w:r>
                  <w:r>
                    <w:rPr>
                      <w:rFonts w:hint="default" w:ascii="Times New Roman" w:hAnsi="Times New Roman" w:eastAsia="宋体" w:cs="Times New Roman"/>
                      <w:color w:val="auto"/>
                      <w:spacing w:val="11"/>
                      <w:sz w:val="20"/>
                      <w:szCs w:val="20"/>
                    </w:rPr>
                    <w:t>定的河段及湖泊保护区、保留区内投资建设不利于水资源及自然生态保护的项目。禁止在金沙江、长江一级支流建设除党中央、国务院、国家投资主管部门、省级有关部门批复同意以外的过江基础设施项目；禁止未经</w:t>
                  </w:r>
                  <w:r>
                    <w:rPr>
                      <w:rFonts w:hint="default" w:ascii="Times New Roman" w:hAnsi="Times New Roman" w:eastAsia="宋体" w:cs="Times New Roman"/>
                      <w:color w:val="auto"/>
                      <w:spacing w:val="12"/>
                      <w:sz w:val="20"/>
                      <w:szCs w:val="20"/>
                    </w:rPr>
                    <w:t>许可在长江流域、九大高原湖泊流域新设、</w:t>
                  </w:r>
                  <w:r>
                    <w:rPr>
                      <w:rFonts w:hint="default" w:ascii="Times New Roman" w:hAnsi="Times New Roman" w:eastAsia="宋体" w:cs="Times New Roman"/>
                      <w:color w:val="auto"/>
                      <w:spacing w:val="5"/>
                      <w:sz w:val="20"/>
                      <w:szCs w:val="20"/>
                    </w:rPr>
                    <w:t>改设或扩大排污口，除入河</w:t>
                  </w:r>
                  <w:r>
                    <w:rPr>
                      <w:rFonts w:hint="eastAsia" w:cs="Times New Roman"/>
                      <w:color w:val="auto"/>
                      <w:spacing w:val="5"/>
                      <w:sz w:val="20"/>
                      <w:szCs w:val="20"/>
                      <w:lang w:eastAsia="zh-CN"/>
                    </w:rPr>
                    <w:t>（</w:t>
                  </w:r>
                  <w:r>
                    <w:rPr>
                      <w:rFonts w:hint="default" w:ascii="Times New Roman" w:hAnsi="Times New Roman" w:eastAsia="宋体" w:cs="Times New Roman"/>
                      <w:color w:val="auto"/>
                      <w:spacing w:val="5"/>
                      <w:sz w:val="20"/>
                      <w:szCs w:val="20"/>
                    </w:rPr>
                    <w:t>海</w:t>
                  </w:r>
                  <w:r>
                    <w:rPr>
                      <w:rFonts w:hint="eastAsia" w:cs="Times New Roman"/>
                      <w:color w:val="auto"/>
                      <w:spacing w:val="5"/>
                      <w:sz w:val="20"/>
                      <w:szCs w:val="20"/>
                      <w:lang w:eastAsia="zh-CN"/>
                    </w:rPr>
                    <w:t>）</w:t>
                  </w:r>
                  <w:r>
                    <w:rPr>
                      <w:rFonts w:hint="default" w:ascii="Times New Roman" w:hAnsi="Times New Roman" w:eastAsia="宋体" w:cs="Times New Roman"/>
                      <w:color w:val="auto"/>
                      <w:spacing w:val="5"/>
                      <w:sz w:val="20"/>
                      <w:szCs w:val="20"/>
                    </w:rPr>
                    <w:t>排污口命名与</w:t>
                  </w:r>
                  <w:r>
                    <w:rPr>
                      <w:rFonts w:hint="default" w:ascii="Times New Roman" w:hAnsi="Times New Roman" w:eastAsia="宋体" w:cs="Times New Roman"/>
                      <w:color w:val="auto"/>
                      <w:spacing w:val="10"/>
                      <w:sz w:val="20"/>
                      <w:szCs w:val="20"/>
                    </w:rPr>
                    <w:t>编码规则</w:t>
                  </w:r>
                  <w:r>
                    <w:rPr>
                      <w:rFonts w:hint="eastAsia" w:cs="Times New Roman"/>
                      <w:color w:val="auto"/>
                      <w:spacing w:val="10"/>
                      <w:sz w:val="20"/>
                      <w:szCs w:val="20"/>
                      <w:lang w:eastAsia="zh-CN"/>
                    </w:rPr>
                    <w:t>（</w:t>
                  </w:r>
                  <w:r>
                    <w:rPr>
                      <w:rFonts w:hint="default" w:ascii="Times New Roman" w:hAnsi="Times New Roman" w:eastAsia="宋体" w:cs="Times New Roman"/>
                      <w:color w:val="auto"/>
                      <w:sz w:val="20"/>
                      <w:szCs w:val="20"/>
                    </w:rPr>
                    <w:t>HJ</w:t>
                  </w:r>
                  <w:r>
                    <w:rPr>
                      <w:rFonts w:hint="default" w:ascii="Times New Roman" w:hAnsi="Times New Roman" w:eastAsia="宋体" w:cs="Times New Roman"/>
                      <w:color w:val="auto"/>
                      <w:spacing w:val="10"/>
                      <w:sz w:val="20"/>
                      <w:szCs w:val="20"/>
                    </w:rPr>
                    <w:t>1235-2021</w:t>
                  </w:r>
                  <w:r>
                    <w:rPr>
                      <w:rFonts w:hint="eastAsia" w:cs="Times New Roman"/>
                      <w:color w:val="auto"/>
                      <w:spacing w:val="10"/>
                      <w:sz w:val="20"/>
                      <w:szCs w:val="20"/>
                      <w:lang w:eastAsia="zh-CN"/>
                    </w:rPr>
                    <w:t>）</w:t>
                  </w:r>
                  <w:r>
                    <w:rPr>
                      <w:rFonts w:hint="default" w:ascii="Times New Roman" w:hAnsi="Times New Roman" w:eastAsia="宋体" w:cs="Times New Roman"/>
                      <w:color w:val="auto"/>
                      <w:spacing w:val="10"/>
                      <w:sz w:val="20"/>
                      <w:szCs w:val="20"/>
                    </w:rPr>
                    <w:t>规定的第四类“其他</w:t>
                  </w:r>
                  <w:r>
                    <w:rPr>
                      <w:rFonts w:hint="default" w:ascii="Times New Roman" w:hAnsi="Times New Roman" w:eastAsia="宋体" w:cs="Times New Roman"/>
                      <w:color w:val="auto"/>
                      <w:spacing w:val="7"/>
                      <w:sz w:val="20"/>
                      <w:szCs w:val="20"/>
                    </w:rPr>
                    <w:t>排口”</w:t>
                  </w:r>
                  <w:r>
                    <w:rPr>
                      <w:rFonts w:hint="eastAsia" w:cs="Times New Roman"/>
                      <w:color w:val="auto"/>
                      <w:spacing w:val="7"/>
                      <w:sz w:val="20"/>
                      <w:szCs w:val="20"/>
                      <w:lang w:eastAsia="zh-CN"/>
                    </w:rPr>
                    <w:t>外</w:t>
                  </w:r>
                  <w:r>
                    <w:rPr>
                      <w:rFonts w:hint="default" w:ascii="Times New Roman" w:hAnsi="Times New Roman" w:eastAsia="宋体" w:cs="Times New Roman"/>
                      <w:color w:val="auto"/>
                      <w:spacing w:val="7"/>
                      <w:sz w:val="20"/>
                      <w:szCs w:val="20"/>
                    </w:rPr>
                    <w:t>。禁止在水产种质资源保护区内新</w:t>
                  </w:r>
                  <w:r>
                    <w:rPr>
                      <w:rFonts w:hint="default" w:ascii="Times New Roman" w:hAnsi="Times New Roman" w:eastAsia="宋体" w:cs="Times New Roman"/>
                      <w:color w:val="auto"/>
                      <w:spacing w:val="11"/>
                      <w:sz w:val="20"/>
                      <w:szCs w:val="20"/>
                    </w:rPr>
                    <w:t>建排污口，以及从事围湖造田、围湖造地或</w:t>
                  </w:r>
                  <w:r>
                    <w:rPr>
                      <w:rFonts w:hint="default" w:ascii="Times New Roman" w:hAnsi="Times New Roman" w:eastAsia="宋体" w:cs="Times New Roman"/>
                      <w:color w:val="auto"/>
                      <w:spacing w:val="3"/>
                      <w:sz w:val="20"/>
                      <w:szCs w:val="20"/>
                    </w:rPr>
                    <w:t>围填海工程。</w:t>
                  </w:r>
                </w:p>
              </w:tc>
              <w:tc>
                <w:tcPr>
                  <w:tcW w:w="1493" w:type="pct"/>
                  <w:noWrap w:val="0"/>
                  <w:vAlign w:val="center"/>
                </w:tcPr>
                <w:p w14:paraId="488F0C98">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不涉及在《全国重要江</w:t>
                  </w:r>
                  <w:r>
                    <w:rPr>
                      <w:rFonts w:hint="default" w:ascii="Times New Roman" w:hAnsi="Times New Roman" w:eastAsia="宋体" w:cs="Times New Roman"/>
                      <w:color w:val="auto"/>
                      <w:spacing w:val="9"/>
                      <w:sz w:val="20"/>
                      <w:szCs w:val="20"/>
                    </w:rPr>
                    <w:t>河湖泊水功能区划》划</w:t>
                  </w:r>
                  <w:r>
                    <w:rPr>
                      <w:rFonts w:hint="default" w:ascii="Times New Roman" w:hAnsi="Times New Roman" w:eastAsia="宋体" w:cs="Times New Roman"/>
                      <w:color w:val="auto"/>
                      <w:spacing w:val="8"/>
                      <w:sz w:val="20"/>
                      <w:szCs w:val="20"/>
                    </w:rPr>
                    <w:t>定的河段及湖泊保护</w:t>
                  </w:r>
                  <w:r>
                    <w:rPr>
                      <w:rFonts w:hint="default" w:ascii="Times New Roman" w:hAnsi="Times New Roman" w:eastAsia="宋体" w:cs="Times New Roman"/>
                      <w:color w:val="auto"/>
                      <w:spacing w:val="7"/>
                      <w:sz w:val="20"/>
                      <w:szCs w:val="20"/>
                    </w:rPr>
                    <w:t>区、保留区内投资建设</w:t>
                  </w:r>
                  <w:r>
                    <w:rPr>
                      <w:rFonts w:hint="default" w:ascii="Times New Roman" w:hAnsi="Times New Roman" w:eastAsia="宋体" w:cs="Times New Roman"/>
                      <w:color w:val="auto"/>
                      <w:spacing w:val="8"/>
                      <w:sz w:val="20"/>
                      <w:szCs w:val="20"/>
                    </w:rPr>
                    <w:t>不利于水资源及自然生态保护的项目；不属于</w:t>
                  </w:r>
                  <w:r>
                    <w:rPr>
                      <w:rFonts w:hint="default" w:ascii="Times New Roman" w:hAnsi="Times New Roman" w:eastAsia="宋体" w:cs="Times New Roman"/>
                      <w:color w:val="auto"/>
                      <w:spacing w:val="9"/>
                      <w:sz w:val="20"/>
                      <w:szCs w:val="20"/>
                    </w:rPr>
                    <w:t>过江基础设施项目；不</w:t>
                  </w:r>
                  <w:r>
                    <w:rPr>
                      <w:rFonts w:hint="default" w:ascii="Times New Roman" w:hAnsi="Times New Roman" w:eastAsia="宋体" w:cs="Times New Roman"/>
                      <w:color w:val="auto"/>
                      <w:spacing w:val="8"/>
                      <w:sz w:val="20"/>
                      <w:szCs w:val="20"/>
                    </w:rPr>
                    <w:t>涉及设置排污口；不属于从事围湖造田、围湖</w:t>
                  </w:r>
                  <w:r>
                    <w:rPr>
                      <w:rFonts w:hint="default" w:ascii="Times New Roman" w:hAnsi="Times New Roman" w:eastAsia="宋体" w:cs="Times New Roman"/>
                      <w:color w:val="auto"/>
                      <w:spacing w:val="19"/>
                      <w:sz w:val="20"/>
                      <w:szCs w:val="20"/>
                    </w:rPr>
                    <w:t>造地或围填海工程。</w:t>
                  </w:r>
                </w:p>
              </w:tc>
              <w:tc>
                <w:tcPr>
                  <w:tcW w:w="353" w:type="pct"/>
                  <w:noWrap w:val="0"/>
                  <w:vAlign w:val="center"/>
                </w:tcPr>
                <w:p w14:paraId="2409EF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186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4813BD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禁止在金沙江、赤水河、乌江</w:t>
                  </w:r>
                  <w:r>
                    <w:rPr>
                      <w:rFonts w:hint="eastAsia" w:cs="Times New Roman"/>
                      <w:color w:val="auto"/>
                      <w:sz w:val="21"/>
                      <w:szCs w:val="21"/>
                      <w:highlight w:val="none"/>
                      <w:lang w:val="en-US" w:eastAsia="zh-CN"/>
                    </w:rPr>
                    <w:t>河</w:t>
                  </w:r>
                  <w:r>
                    <w:rPr>
                      <w:rFonts w:hint="default" w:ascii="Times New Roman" w:hAnsi="Times New Roman" w:eastAsia="宋体" w:cs="Times New Roman"/>
                      <w:color w:val="auto"/>
                      <w:sz w:val="21"/>
                      <w:szCs w:val="21"/>
                      <w:highlight w:val="none"/>
                      <w:lang w:val="en-US" w:eastAsia="zh-CN"/>
                    </w:rPr>
                    <w:t>等水生动植物自然保护区、水产种质资源保护区长江流域禁捕水域开展天然渔业资源生产性捕捞。禁止开（围）垦、填埋或者排干湿地；禁止截断湿地水源、挖沙、采矿、引入外来物种；禁止擅自放牧、捕捞、取土、取水、排污、放生；禁止其他破坏湿地及其生态功能的活动。</w:t>
                  </w:r>
                </w:p>
              </w:tc>
              <w:tc>
                <w:tcPr>
                  <w:tcW w:w="1493" w:type="pct"/>
                  <w:noWrap w:val="0"/>
                  <w:vAlign w:val="center"/>
                </w:tcPr>
                <w:p w14:paraId="26393F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不涉及在金沙江、赤水</w:t>
                  </w:r>
                  <w:r>
                    <w:rPr>
                      <w:rFonts w:hint="default" w:ascii="Times New Roman" w:hAnsi="Times New Roman" w:eastAsia="宋体" w:cs="Times New Roman"/>
                      <w:color w:val="auto"/>
                      <w:spacing w:val="9"/>
                      <w:sz w:val="20"/>
                      <w:szCs w:val="20"/>
                    </w:rPr>
                    <w:t>河、乌江</w:t>
                  </w:r>
                  <w:r>
                    <w:rPr>
                      <w:rFonts w:hint="eastAsia" w:cs="Times New Roman"/>
                      <w:color w:val="auto"/>
                      <w:spacing w:val="9"/>
                      <w:sz w:val="20"/>
                      <w:szCs w:val="20"/>
                      <w:lang w:eastAsia="zh-CN"/>
                    </w:rPr>
                    <w:t>河</w:t>
                  </w:r>
                  <w:r>
                    <w:rPr>
                      <w:rFonts w:hint="default" w:ascii="Times New Roman" w:hAnsi="Times New Roman" w:eastAsia="宋体" w:cs="Times New Roman"/>
                      <w:color w:val="auto"/>
                      <w:spacing w:val="9"/>
                      <w:sz w:val="20"/>
                      <w:szCs w:val="20"/>
                    </w:rPr>
                    <w:t>等水生动植物自然保护区、水产种质资源保护区长江流域禁捕水域开展天然渔业资源生产性捕捞。不涉及开（围）垦、填埋或者排干湿地；不涉及截断湿地水源、挖沙、采矿、引入外来物种；不涉及擅自放牧、捕捞、取土、取水、排污、放生；不涉及其他破坏湿</w:t>
                  </w:r>
                  <w:r>
                    <w:rPr>
                      <w:rFonts w:hint="default" w:ascii="Times New Roman" w:hAnsi="Times New Roman" w:eastAsia="宋体" w:cs="Times New Roman"/>
                      <w:color w:val="auto"/>
                      <w:spacing w:val="8"/>
                      <w:sz w:val="20"/>
                      <w:szCs w:val="20"/>
                    </w:rPr>
                    <w:t>地及其生态功能的活</w:t>
                  </w:r>
                  <w:r>
                    <w:rPr>
                      <w:rFonts w:hint="default" w:ascii="Times New Roman" w:hAnsi="Times New Roman" w:eastAsia="宋体" w:cs="Times New Roman"/>
                      <w:color w:val="auto"/>
                      <w:sz w:val="20"/>
                      <w:szCs w:val="20"/>
                    </w:rPr>
                    <w:t>动。</w:t>
                  </w:r>
                </w:p>
              </w:tc>
              <w:tc>
                <w:tcPr>
                  <w:tcW w:w="353" w:type="pct"/>
                  <w:noWrap w:val="0"/>
                  <w:vAlign w:val="center"/>
                </w:tcPr>
                <w:p w14:paraId="0AADA81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03BF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7993F7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default" w:ascii="Times New Roman" w:hAnsi="Times New Roman" w:eastAsia="宋体" w:cs="Times New Roman"/>
                      <w:color w:val="auto"/>
                      <w:sz w:val="21"/>
                      <w:szCs w:val="21"/>
                      <w:shd w:val="clear" w:color="auto" w:fill="FFFFFF"/>
                      <w:lang w:val="en-US" w:eastAsia="zh-CN"/>
                    </w:rPr>
                    <w:t>禁止在金沙江、长江一级支流岸线边界一公里范围内新建、扩建化工园区和化工项目。新建化工园区充分留足与周边城镇未来扩张</w:t>
                  </w:r>
                  <w:r>
                    <w:rPr>
                      <w:rFonts w:hint="eastAsia" w:cs="Times New Roman"/>
                      <w:color w:val="auto"/>
                      <w:sz w:val="21"/>
                      <w:szCs w:val="21"/>
                      <w:shd w:val="clear" w:color="auto" w:fill="FFFFFF"/>
                      <w:lang w:val="en-US" w:eastAsia="zh-CN"/>
                    </w:rPr>
                    <w:t>发展要安全</w:t>
                  </w:r>
                  <w:r>
                    <w:rPr>
                      <w:rFonts w:hint="default" w:ascii="Times New Roman" w:hAnsi="Times New Roman" w:eastAsia="宋体" w:cs="Times New Roman"/>
                      <w:color w:val="auto"/>
                      <w:sz w:val="21"/>
                      <w:szCs w:val="21"/>
                      <w:shd w:val="clear" w:color="auto" w:fill="FFFFFF"/>
                      <w:lang w:val="en-US" w:eastAsia="zh-CN"/>
                    </w:rPr>
                    <w:t>距离，立足于生态工业园区建设方向，推广绿色化学和绿色化工发展模式。化工园区设立及园区产业发展规划由省级业务主管部门牵头组织专家论证后审定。</w:t>
                  </w:r>
                </w:p>
              </w:tc>
              <w:tc>
                <w:tcPr>
                  <w:tcW w:w="1493" w:type="pct"/>
                  <w:noWrap w:val="0"/>
                  <w:vAlign w:val="center"/>
                </w:tcPr>
                <w:p w14:paraId="609A0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default" w:ascii="Times New Roman" w:hAnsi="Times New Roman" w:eastAsia="宋体" w:cs="Times New Roman"/>
                      <w:color w:val="auto"/>
                      <w:sz w:val="21"/>
                      <w:szCs w:val="21"/>
                      <w:shd w:val="clear" w:color="auto" w:fill="FFFFFF"/>
                      <w:lang w:val="en-US" w:eastAsia="zh-CN"/>
                    </w:rPr>
                    <w:t>不涉及在金沙江、长江一级支流岸线边界一公里范围内新建、扩建化工园区和化工项目。</w:t>
                  </w:r>
                </w:p>
              </w:tc>
              <w:tc>
                <w:tcPr>
                  <w:tcW w:w="353" w:type="pct"/>
                  <w:noWrap w:val="0"/>
                  <w:vAlign w:val="center"/>
                </w:tcPr>
                <w:p w14:paraId="05DA745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79CF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52AE4643">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7"/>
                      <w:sz w:val="20"/>
                      <w:szCs w:val="20"/>
                    </w:rPr>
                    <w:t>禁止在金沙江干流岸线3公里、长江（金沙</w:t>
                  </w:r>
                  <w:r>
                    <w:rPr>
                      <w:rFonts w:hint="default" w:ascii="Times New Roman" w:hAnsi="Times New Roman" w:eastAsia="宋体" w:cs="Times New Roman"/>
                      <w:color w:val="auto"/>
                      <w:spacing w:val="3"/>
                      <w:sz w:val="20"/>
                      <w:szCs w:val="20"/>
                    </w:rPr>
                    <w:t>江）一级支流岸线1公里范围内新建、改建、</w:t>
                  </w:r>
                  <w:r>
                    <w:rPr>
                      <w:rFonts w:hint="default" w:ascii="Times New Roman" w:hAnsi="Times New Roman" w:eastAsia="宋体" w:cs="Times New Roman"/>
                      <w:color w:val="auto"/>
                      <w:spacing w:val="9"/>
                      <w:sz w:val="20"/>
                      <w:szCs w:val="20"/>
                    </w:rPr>
                    <w:t>扩建尾矿库、冶炼渣库和磷石膏库，以提升</w:t>
                  </w:r>
                  <w:r>
                    <w:rPr>
                      <w:rFonts w:hint="default" w:ascii="Times New Roman" w:hAnsi="Times New Roman" w:eastAsia="宋体" w:cs="Times New Roman"/>
                      <w:color w:val="auto"/>
                      <w:spacing w:val="6"/>
                      <w:sz w:val="20"/>
                      <w:szCs w:val="20"/>
                    </w:rPr>
                    <w:t>安全、生态环境保护水平为目的的改建除外。</w:t>
                  </w:r>
                </w:p>
              </w:tc>
              <w:tc>
                <w:tcPr>
                  <w:tcW w:w="1493" w:type="pct"/>
                  <w:noWrap w:val="0"/>
                  <w:vAlign w:val="center"/>
                </w:tcPr>
                <w:p w14:paraId="25B14779">
                  <w:pPr>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0"/>
                      <w:szCs w:val="20"/>
                    </w:rPr>
                    <w:t>不涉及在金沙江干流岸</w:t>
                  </w:r>
                  <w:r>
                    <w:rPr>
                      <w:rFonts w:hint="default" w:ascii="Times New Roman" w:hAnsi="Times New Roman" w:eastAsia="宋体" w:cs="Times New Roman"/>
                      <w:color w:val="auto"/>
                      <w:spacing w:val="4"/>
                      <w:sz w:val="20"/>
                      <w:szCs w:val="20"/>
                    </w:rPr>
                    <w:t>线3公里、长江</w:t>
                  </w:r>
                  <w:r>
                    <w:rPr>
                      <w:rFonts w:hint="default" w:ascii="Times New Roman" w:hAnsi="Times New Roman" w:eastAsia="宋体" w:cs="Times New Roman"/>
                      <w:color w:val="auto"/>
                      <w:spacing w:val="7"/>
                      <w:sz w:val="20"/>
                      <w:szCs w:val="20"/>
                    </w:rPr>
                    <w:t>（金沙江）一级支流岸</w:t>
                  </w:r>
                  <w:r>
                    <w:rPr>
                      <w:rFonts w:hint="default" w:ascii="Times New Roman" w:hAnsi="Times New Roman" w:eastAsia="宋体" w:cs="Times New Roman"/>
                      <w:color w:val="auto"/>
                      <w:spacing w:val="3"/>
                      <w:sz w:val="20"/>
                      <w:szCs w:val="20"/>
                    </w:rPr>
                    <w:t>线1公里范围内新建、</w:t>
                  </w:r>
                  <w:r>
                    <w:rPr>
                      <w:rFonts w:hint="default" w:ascii="Times New Roman" w:hAnsi="Times New Roman" w:eastAsia="宋体" w:cs="Times New Roman"/>
                      <w:color w:val="auto"/>
                      <w:spacing w:val="8"/>
                      <w:sz w:val="20"/>
                      <w:szCs w:val="20"/>
                    </w:rPr>
                    <w:t>改建、扩建尾矿库、冶</w:t>
                  </w:r>
                  <w:r>
                    <w:rPr>
                      <w:rFonts w:hint="default" w:ascii="Times New Roman" w:hAnsi="Times New Roman" w:eastAsia="宋体" w:cs="Times New Roman"/>
                      <w:color w:val="auto"/>
                      <w:spacing w:val="7"/>
                      <w:sz w:val="20"/>
                      <w:szCs w:val="20"/>
                    </w:rPr>
                    <w:t>炼渣库和磷石膏库。</w:t>
                  </w:r>
                </w:p>
              </w:tc>
              <w:tc>
                <w:tcPr>
                  <w:tcW w:w="353" w:type="pct"/>
                  <w:noWrap w:val="0"/>
                  <w:vAlign w:val="center"/>
                </w:tcPr>
                <w:p w14:paraId="520BDC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0B0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5871B7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禁止在合规园区外新建、扩建钢铁、石化、化工、焦化、建材、有色、制浆造纸等高污染项目。禁止新增钢铁、水泥、平板玻璃等行业建设产能，确有必要建设的，应按规定实施产能等量或减量置换。</w:t>
                  </w:r>
                </w:p>
              </w:tc>
              <w:tc>
                <w:tcPr>
                  <w:tcW w:w="1493" w:type="pct"/>
                  <w:noWrap w:val="0"/>
                  <w:vAlign w:val="center"/>
                </w:tcPr>
                <w:p w14:paraId="62BAFD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不涉及在合规园区外新建、扩建钢铁、石化、化工、焦化、建材、有色、制浆造纸等高污染项目；不涉及新增钢铁、水泥、平板玻璃等行业建设产能。</w:t>
                  </w:r>
                </w:p>
              </w:tc>
              <w:tc>
                <w:tcPr>
                  <w:tcW w:w="353" w:type="pct"/>
                  <w:noWrap w:val="0"/>
                  <w:vAlign w:val="center"/>
                </w:tcPr>
                <w:p w14:paraId="260B222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5224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419A3A5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lang w:val="en-US" w:eastAsia="zh-CN"/>
                    </w:rPr>
                    <w:t>禁止新建、扩建不符合国家石化、现代煤化工等产业布局规划的项目。禁止列入《云南 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493" w:type="pct"/>
                  <w:noWrap w:val="0"/>
                  <w:vAlign w:val="center"/>
                </w:tcPr>
                <w:p w14:paraId="5ED054E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不涉及新建、扩建不符合国家石化、现代煤化工等产业布局规划的项目；不涉及列入《云南省城镇人口密集区危险化学品生产企业搬迁改造名单》的搬迁改造企业在原址新建、扩建危险化学品生产项目。</w:t>
                  </w:r>
                </w:p>
              </w:tc>
              <w:tc>
                <w:tcPr>
                  <w:tcW w:w="353" w:type="pct"/>
                  <w:noWrap w:val="0"/>
                  <w:vAlign w:val="center"/>
                </w:tcPr>
                <w:p w14:paraId="7D0A182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D143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3" w:type="pct"/>
                  <w:noWrap w:val="0"/>
                  <w:vAlign w:val="center"/>
                </w:tcPr>
                <w:p w14:paraId="403219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lang w:val="en-US" w:eastAsia="zh-CN"/>
                    </w:rPr>
                    <w:t>禁止新建、扩建法律法规和相关政策明令禁止的落后产能项目，依法依规淘汰不符合要求的电石炉及开放式电石炉、无化产回收的单一炼焦生产设施，依法依规淘汰不符合要求的硫铁矿制酸、</w:t>
                  </w:r>
                  <w:r>
                    <w:rPr>
                      <w:rFonts w:hint="eastAsia" w:cs="Times New Roman"/>
                      <w:color w:val="auto"/>
                      <w:sz w:val="21"/>
                      <w:szCs w:val="21"/>
                      <w:shd w:val="clear" w:color="auto" w:fill="FFFFFF"/>
                      <w:lang w:val="en-US" w:eastAsia="zh-CN"/>
                    </w:rPr>
                    <w:t>硫黄</w:t>
                  </w:r>
                  <w:r>
                    <w:rPr>
                      <w:rFonts w:hint="default" w:ascii="Times New Roman" w:hAnsi="Times New Roman" w:eastAsia="宋体" w:cs="Times New Roman"/>
                      <w:color w:val="auto"/>
                      <w:sz w:val="21"/>
                      <w:szCs w:val="21"/>
                      <w:shd w:val="clear" w:color="auto" w:fill="FFFFFF"/>
                      <w:lang w:val="en-US" w:eastAsia="zh-CN"/>
                    </w:rPr>
                    <w:t>制酸、黄磷生产、有钙</w:t>
                  </w:r>
                  <w:r>
                    <w:rPr>
                      <w:rFonts w:hint="eastAsia" w:cs="Times New Roman"/>
                      <w:color w:val="auto"/>
                      <w:sz w:val="21"/>
                      <w:szCs w:val="21"/>
                      <w:shd w:val="clear" w:color="auto" w:fill="FFFFFF"/>
                      <w:lang w:val="en-US" w:eastAsia="zh-CN"/>
                    </w:rPr>
                    <w:t>焙烧</w:t>
                  </w:r>
                  <w:r>
                    <w:rPr>
                      <w:rFonts w:hint="default" w:ascii="Times New Roman" w:hAnsi="Times New Roman" w:eastAsia="宋体" w:cs="Times New Roman"/>
                      <w:color w:val="auto"/>
                      <w:sz w:val="21"/>
                      <w:szCs w:val="21"/>
                      <w:shd w:val="clear" w:color="auto" w:fill="FFFFFF"/>
                      <w:lang w:val="en-US" w:eastAsia="zh-CN"/>
                    </w:rPr>
                    <w:t>化合物生产装置和有机一无机复混肥料、过磷酸钙和钙镁磷肥生产线。禁止新建、扩建不符合国家产能置换要求的严重过剩产能行业的项目。禁止新建、扩建不符合要求的高耗能高排放项目。禁止建设高毒高残留以及对环境影响大的农药原药生产装置，严格控制尿素、磷铵、 电石、焦炭、黄磷、烧碱、纯碱、聚氯乙烯等行业新增产能。</w:t>
                  </w:r>
                </w:p>
              </w:tc>
              <w:tc>
                <w:tcPr>
                  <w:tcW w:w="1493" w:type="pct"/>
                  <w:noWrap w:val="0"/>
                  <w:vAlign w:val="center"/>
                </w:tcPr>
                <w:p w14:paraId="44B6A9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lang w:val="en-US" w:eastAsia="zh-CN"/>
                    </w:rPr>
                    <w:t>不涉及新建、扩建法律法规和相关政策明令禁止的落后产能项目；不涉及电石炉及开放式电石炉、无化产回收的单一炼焦生产设施和不符合要求的硫铁矿制酸、</w:t>
                  </w:r>
                  <w:r>
                    <w:rPr>
                      <w:rFonts w:hint="eastAsia" w:cs="Times New Roman"/>
                      <w:color w:val="auto"/>
                      <w:sz w:val="21"/>
                      <w:szCs w:val="21"/>
                      <w:shd w:val="clear" w:color="auto" w:fill="FFFFFF"/>
                      <w:lang w:val="en-US" w:eastAsia="zh-CN"/>
                    </w:rPr>
                    <w:t>硫黄</w:t>
                  </w:r>
                  <w:r>
                    <w:rPr>
                      <w:rFonts w:hint="default" w:ascii="Times New Roman" w:hAnsi="Times New Roman" w:eastAsia="宋体" w:cs="Times New Roman"/>
                      <w:color w:val="auto"/>
                      <w:sz w:val="21"/>
                      <w:szCs w:val="21"/>
                      <w:shd w:val="clear" w:color="auto" w:fill="FFFFFF"/>
                      <w:lang w:val="en-US" w:eastAsia="zh-CN"/>
                    </w:rPr>
                    <w:t>制酸、黄磷生产、有钙</w:t>
                  </w:r>
                  <w:r>
                    <w:rPr>
                      <w:rFonts w:hint="eastAsia" w:cs="Times New Roman"/>
                      <w:color w:val="auto"/>
                      <w:sz w:val="21"/>
                      <w:szCs w:val="21"/>
                      <w:shd w:val="clear" w:color="auto" w:fill="FFFFFF"/>
                      <w:lang w:val="en-US" w:eastAsia="zh-CN"/>
                    </w:rPr>
                    <w:t>焙烧</w:t>
                  </w:r>
                  <w:r>
                    <w:rPr>
                      <w:rFonts w:hint="default" w:ascii="Times New Roman" w:hAnsi="Times New Roman" w:eastAsia="宋体" w:cs="Times New Roman"/>
                      <w:color w:val="auto"/>
                      <w:sz w:val="21"/>
                      <w:szCs w:val="21"/>
                      <w:shd w:val="clear" w:color="auto" w:fill="FFFFFF"/>
                      <w:lang w:val="en-US" w:eastAsia="zh-CN"/>
                    </w:rPr>
                    <w:t>化合物生产装置和有机一无机复混肥料、过磷酸钙和钙镁磷肥生产线；不涉及新建、扩建不符合国家产能置换要求的严重过剩产能行业的项目；不涉及新建、扩建不符合要求的高耗能高排</w:t>
                  </w:r>
                  <w:r>
                    <w:rPr>
                      <w:rFonts w:hint="eastAsia" w:cs="Times New Roman"/>
                      <w:color w:val="auto"/>
                      <w:sz w:val="21"/>
                      <w:szCs w:val="21"/>
                      <w:shd w:val="clear" w:color="auto" w:fill="FFFFFF"/>
                      <w:lang w:val="en-US" w:eastAsia="zh-CN"/>
                    </w:rPr>
                    <w:t>放项</w:t>
                  </w:r>
                  <w:r>
                    <w:rPr>
                      <w:rFonts w:hint="default" w:ascii="Times New Roman" w:hAnsi="Times New Roman" w:eastAsia="宋体" w:cs="Times New Roman"/>
                      <w:color w:val="auto"/>
                      <w:sz w:val="21"/>
                      <w:szCs w:val="21"/>
                      <w:shd w:val="clear" w:color="auto" w:fill="FFFFFF"/>
                      <w:lang w:val="en-US" w:eastAsia="zh-CN"/>
                    </w:rPr>
                    <w:t>目；不涉及建设高毒高残留以及对环境影响大的农药原药生产装置。</w:t>
                  </w:r>
                </w:p>
              </w:tc>
              <w:tc>
                <w:tcPr>
                  <w:tcW w:w="353" w:type="pct"/>
                  <w:noWrap w:val="0"/>
                  <w:vAlign w:val="center"/>
                </w:tcPr>
                <w:p w14:paraId="357A2F5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14:paraId="058CCC99">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2022年版</w:t>
            </w:r>
            <w:r>
              <w:rPr>
                <w:rFonts w:hint="default" w:ascii="Times New Roman" w:hAnsi="Times New Roman" w:eastAsia="宋体" w:cs="Times New Roman"/>
                <w:color w:val="auto"/>
                <w:sz w:val="24"/>
                <w:highlight w:val="none"/>
              </w:rPr>
              <w:t>）》规定的内容相符合。</w:t>
            </w:r>
          </w:p>
          <w:p w14:paraId="36643BAC">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kern w:val="0"/>
                <w:sz w:val="24"/>
                <w:lang w:val="en-US" w:eastAsia="zh-CN"/>
              </w:rPr>
            </w:pPr>
            <w:bookmarkStart w:id="7" w:name="_Toc26297"/>
            <w:r>
              <w:rPr>
                <w:rFonts w:hint="default" w:ascii="Times New Roman" w:hAnsi="Times New Roman" w:cs="Times New Roman"/>
                <w:b/>
                <w:bCs/>
                <w:color w:val="auto"/>
                <w:kern w:val="0"/>
                <w:sz w:val="24"/>
                <w:lang w:val="en-US" w:eastAsia="zh-CN"/>
              </w:rPr>
              <w:t>9、</w:t>
            </w:r>
            <w:bookmarkEnd w:id="7"/>
            <w:r>
              <w:rPr>
                <w:rFonts w:hint="default" w:ascii="Times New Roman" w:hAnsi="Times New Roman" w:cs="Times New Roman"/>
                <w:b/>
                <w:bCs/>
                <w:color w:val="auto"/>
                <w:kern w:val="0"/>
                <w:sz w:val="24"/>
                <w:lang w:val="en-US" w:eastAsia="zh-CN"/>
              </w:rPr>
              <w:t>与《昆明市大气污染防治条例》的符合性分析</w:t>
            </w:r>
          </w:p>
          <w:p w14:paraId="5A61C3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color w:val="auto"/>
                <w:kern w:val="2"/>
                <w:sz w:val="24"/>
                <w:szCs w:val="24"/>
                <w:highlight w:val="none"/>
                <w:lang w:val="en-US" w:eastAsia="zh-CN" w:bidi="ar-SA"/>
              </w:rPr>
              <w:t>《昆明市大气污染防治条例》于2020年10月30日昆明市第十四届人民代表大会常务委员会第三十二次会议通过，2020年11月25日云南省第十三届人民代表大会常务委员会第二十一次会议批准。项目与《昆明市大气污染防治条例》符合性分析见下表所示。</w:t>
            </w:r>
          </w:p>
          <w:p w14:paraId="3A3A2824">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default" w:ascii="Times New Roman" w:hAnsi="Times New Roman" w:eastAsia="宋体" w:cs="Times New Roman"/>
                <w:b/>
                <w:color w:val="auto"/>
                <w:spacing w:val="4"/>
                <w:kern w:val="24"/>
                <w:szCs w:val="21"/>
                <w:highlight w:val="none"/>
                <w:lang w:val="en-US" w:eastAsia="zh-CN" w:bidi="ar"/>
              </w:rPr>
              <w:t>1</w:t>
            </w:r>
            <w:r>
              <w:rPr>
                <w:rFonts w:hint="default" w:ascii="Times New Roman" w:hAnsi="Times New Roman" w:cs="Times New Roman"/>
                <w:b/>
                <w:color w:val="auto"/>
                <w:spacing w:val="4"/>
                <w:kern w:val="24"/>
                <w:szCs w:val="21"/>
                <w:highlight w:val="none"/>
                <w:lang w:val="en-US" w:eastAsia="zh-CN" w:bidi="ar"/>
              </w:rPr>
              <w:t>0</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37"/>
              <w:tblW w:w="79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8"/>
              <w:gridCol w:w="3721"/>
              <w:gridCol w:w="3350"/>
              <w:gridCol w:w="472"/>
            </w:tblGrid>
            <w:tr w14:paraId="4EA31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8" w:type="dxa"/>
                  <w:vAlign w:val="center"/>
                </w:tcPr>
                <w:p w14:paraId="584D30C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序号</w:t>
                  </w:r>
                </w:p>
              </w:tc>
              <w:tc>
                <w:tcPr>
                  <w:tcW w:w="3721" w:type="dxa"/>
                  <w:vAlign w:val="center"/>
                </w:tcPr>
                <w:p w14:paraId="02720B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7"/>
                      <w:sz w:val="20"/>
                      <w:szCs w:val="20"/>
                    </w:rPr>
                    <w:t>文件相关要求</w:t>
                  </w:r>
                </w:p>
              </w:tc>
              <w:tc>
                <w:tcPr>
                  <w:tcW w:w="3350" w:type="dxa"/>
                  <w:vAlign w:val="center"/>
                </w:tcPr>
                <w:p w14:paraId="512E44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6"/>
                      <w:sz w:val="20"/>
                      <w:szCs w:val="20"/>
                    </w:rPr>
                    <w:t>本项目</w:t>
                  </w:r>
                </w:p>
              </w:tc>
              <w:tc>
                <w:tcPr>
                  <w:tcW w:w="472" w:type="dxa"/>
                  <w:vAlign w:val="center"/>
                </w:tcPr>
                <w:p w14:paraId="6950545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6"/>
                      <w:sz w:val="20"/>
                      <w:szCs w:val="20"/>
                    </w:rPr>
                    <w:t>符合性</w:t>
                  </w:r>
                </w:p>
              </w:tc>
            </w:tr>
            <w:tr w14:paraId="01426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408" w:type="dxa"/>
                  <w:vAlign w:val="center"/>
                </w:tcPr>
                <w:p w14:paraId="05A5AD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1</w:t>
                  </w:r>
                </w:p>
              </w:tc>
              <w:tc>
                <w:tcPr>
                  <w:tcW w:w="3721" w:type="dxa"/>
                  <w:vAlign w:val="center"/>
                </w:tcPr>
                <w:p w14:paraId="228CA7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企事业单位和其他生产经营者应当采取有效措施，防止、减少大气污</w:t>
                  </w:r>
                  <w:r>
                    <w:rPr>
                      <w:rFonts w:hint="default" w:ascii="Times New Roman" w:hAnsi="Times New Roman" w:eastAsia="宋体" w:cs="Times New Roman"/>
                      <w:color w:val="auto"/>
                      <w:sz w:val="20"/>
                      <w:szCs w:val="20"/>
                    </w:rPr>
                    <w:t>染，对所造成的损害依法承担责任。</w:t>
                  </w:r>
                </w:p>
              </w:tc>
              <w:tc>
                <w:tcPr>
                  <w:tcW w:w="3350" w:type="dxa"/>
                  <w:vAlign w:val="center"/>
                </w:tcPr>
                <w:p w14:paraId="6214C9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本次环评提出废气污染</w:t>
                  </w:r>
                  <w:r>
                    <w:rPr>
                      <w:rFonts w:hint="default" w:ascii="Times New Roman" w:hAnsi="Times New Roman" w:eastAsia="宋体" w:cs="Times New Roman"/>
                      <w:color w:val="auto"/>
                      <w:spacing w:val="7"/>
                      <w:sz w:val="20"/>
                      <w:szCs w:val="20"/>
                    </w:rPr>
                    <w:t>防治措施，</w:t>
                  </w:r>
                  <w:r>
                    <w:rPr>
                      <w:rFonts w:hint="default" w:ascii="Times New Roman" w:hAnsi="Times New Roman" w:cs="Times New Roman"/>
                      <w:color w:val="auto"/>
                      <w:spacing w:val="7"/>
                      <w:sz w:val="20"/>
                      <w:szCs w:val="20"/>
                      <w:lang w:val="en-US" w:eastAsia="zh-CN"/>
                    </w:rPr>
                    <w:t>项目</w:t>
                  </w:r>
                  <w:r>
                    <w:rPr>
                      <w:rFonts w:hint="default" w:ascii="Times New Roman" w:hAnsi="Times New Roman" w:eastAsia="宋体" w:cs="Times New Roman"/>
                      <w:color w:val="auto"/>
                      <w:spacing w:val="7"/>
                      <w:sz w:val="20"/>
                      <w:szCs w:val="20"/>
                    </w:rPr>
                    <w:t>水泥</w:t>
                  </w:r>
                  <w:r>
                    <w:rPr>
                      <w:rFonts w:hint="default" w:ascii="Times New Roman" w:hAnsi="Times New Roman" w:cs="Times New Roman"/>
                      <w:color w:val="auto"/>
                      <w:spacing w:val="7"/>
                      <w:sz w:val="20"/>
                      <w:szCs w:val="20"/>
                      <w:lang w:eastAsia="zh-CN"/>
                    </w:rPr>
                    <w:t>、</w:t>
                  </w:r>
                  <w:r>
                    <w:rPr>
                      <w:rFonts w:hint="default" w:ascii="Times New Roman" w:hAnsi="Times New Roman" w:cs="Times New Roman"/>
                      <w:color w:val="auto"/>
                      <w:spacing w:val="7"/>
                      <w:sz w:val="20"/>
                      <w:szCs w:val="20"/>
                      <w:lang w:val="en-US" w:eastAsia="zh-CN"/>
                    </w:rPr>
                    <w:t>粉煤灰、矿粉</w:t>
                  </w:r>
                  <w:r>
                    <w:rPr>
                      <w:rFonts w:hint="default" w:ascii="Times New Roman" w:hAnsi="Times New Roman" w:eastAsia="宋体" w:cs="Times New Roman"/>
                      <w:color w:val="auto"/>
                      <w:spacing w:val="7"/>
                      <w:sz w:val="20"/>
                      <w:szCs w:val="20"/>
                    </w:rPr>
                    <w:t>筒仓粉尘经仓顶除尘器处理后由排气口排放，搅拌机搅拌粉尘经布袋除尘器处理后由排气口排放。无组织废气采取</w:t>
                  </w:r>
                  <w:r>
                    <w:rPr>
                      <w:rFonts w:hint="default" w:ascii="Times New Roman" w:hAnsi="Times New Roman" w:eastAsia="宋体" w:cs="Times New Roman"/>
                      <w:color w:val="auto"/>
                      <w:spacing w:val="7"/>
                      <w:sz w:val="20"/>
                      <w:szCs w:val="20"/>
                      <w:lang w:val="en-US" w:eastAsia="zh-CN"/>
                    </w:rPr>
                    <w:t>人工洒水，及时打扫场地</w:t>
                  </w:r>
                  <w:r>
                    <w:rPr>
                      <w:rFonts w:hint="default" w:ascii="Times New Roman" w:hAnsi="Times New Roman" w:eastAsia="宋体" w:cs="Times New Roman"/>
                      <w:color w:val="auto"/>
                      <w:spacing w:val="7"/>
                      <w:sz w:val="20"/>
                      <w:szCs w:val="20"/>
                    </w:rPr>
                    <w:t>控制扩散影响，建设</w:t>
                  </w:r>
                  <w:r>
                    <w:rPr>
                      <w:rFonts w:hint="default" w:ascii="Times New Roman" w:hAnsi="Times New Roman" w:eastAsia="宋体" w:cs="Times New Roman"/>
                      <w:color w:val="auto"/>
                      <w:spacing w:val="18"/>
                      <w:sz w:val="20"/>
                      <w:szCs w:val="20"/>
                    </w:rPr>
                    <w:t>单位在建设中严格按照</w:t>
                  </w:r>
                  <w:r>
                    <w:rPr>
                      <w:rFonts w:hint="default" w:ascii="Times New Roman" w:hAnsi="Times New Roman" w:eastAsia="宋体" w:cs="Times New Roman"/>
                      <w:color w:val="auto"/>
                      <w:spacing w:val="7"/>
                      <w:sz w:val="20"/>
                      <w:szCs w:val="20"/>
                    </w:rPr>
                    <w:t>环评提出措施进行建设，</w:t>
                  </w:r>
                  <w:r>
                    <w:rPr>
                      <w:rFonts w:hint="default" w:ascii="Times New Roman" w:hAnsi="Times New Roman" w:eastAsia="宋体" w:cs="Times New Roman"/>
                      <w:color w:val="auto"/>
                      <w:spacing w:val="18"/>
                      <w:sz w:val="20"/>
                      <w:szCs w:val="20"/>
                    </w:rPr>
                    <w:t>在运行中对项目废气排</w:t>
                  </w:r>
                  <w:r>
                    <w:rPr>
                      <w:rFonts w:hint="default" w:ascii="Times New Roman" w:hAnsi="Times New Roman" w:eastAsia="宋体" w:cs="Times New Roman"/>
                      <w:color w:val="auto"/>
                      <w:spacing w:val="6"/>
                      <w:sz w:val="20"/>
                      <w:szCs w:val="20"/>
                    </w:rPr>
                    <w:t>放情况负责。</w:t>
                  </w:r>
                </w:p>
              </w:tc>
              <w:tc>
                <w:tcPr>
                  <w:tcW w:w="472" w:type="dxa"/>
                  <w:vAlign w:val="center"/>
                </w:tcPr>
                <w:p w14:paraId="5BDCE62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1A6CA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408" w:type="dxa"/>
                  <w:vAlign w:val="center"/>
                </w:tcPr>
                <w:p w14:paraId="50C0D1F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2</w:t>
                  </w:r>
                </w:p>
              </w:tc>
              <w:tc>
                <w:tcPr>
                  <w:tcW w:w="3721" w:type="dxa"/>
                  <w:vAlign w:val="center"/>
                </w:tcPr>
                <w:p w14:paraId="18A171F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9"/>
                      <w:sz w:val="20"/>
                      <w:szCs w:val="20"/>
                    </w:rPr>
                    <w:t>按照国家有关规定依法实行排污许可管理的单位，应当依法取得排污许可证，并按照排污许可证的规定排放大气污染物，禁止无排污许可证或者不按照排污许可证的规定排</w:t>
                  </w:r>
                  <w:r>
                    <w:rPr>
                      <w:rFonts w:hint="default" w:ascii="Times New Roman" w:hAnsi="Times New Roman" w:eastAsia="宋体" w:cs="Times New Roman"/>
                      <w:color w:val="auto"/>
                      <w:spacing w:val="6"/>
                      <w:sz w:val="20"/>
                      <w:szCs w:val="20"/>
                    </w:rPr>
                    <w:t>放大气污染。</w:t>
                  </w:r>
                </w:p>
              </w:tc>
              <w:tc>
                <w:tcPr>
                  <w:tcW w:w="3350" w:type="dxa"/>
                  <w:vAlign w:val="center"/>
                </w:tcPr>
                <w:p w14:paraId="38B61A2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7"/>
                      <w:sz w:val="20"/>
                      <w:szCs w:val="20"/>
                    </w:rPr>
                    <w:t>项目属</w:t>
                  </w:r>
                  <w:r>
                    <w:rPr>
                      <w:rFonts w:hint="default" w:ascii="Times New Roman" w:hAnsi="Times New Roman" w:eastAsia="宋体" w:cs="Times New Roman"/>
                      <w:color w:val="auto"/>
                      <w:spacing w:val="7"/>
                      <w:sz w:val="20"/>
                      <w:szCs w:val="20"/>
                      <w:lang w:val="en-US" w:eastAsia="zh-CN"/>
                    </w:rPr>
                    <w:t>扩</w:t>
                  </w:r>
                  <w:r>
                    <w:rPr>
                      <w:rFonts w:hint="default" w:ascii="Times New Roman" w:hAnsi="Times New Roman" w:eastAsia="宋体" w:cs="Times New Roman"/>
                      <w:color w:val="auto"/>
                      <w:spacing w:val="7"/>
                      <w:sz w:val="20"/>
                      <w:szCs w:val="20"/>
                    </w:rPr>
                    <w:t>建项目，</w:t>
                  </w:r>
                  <w:r>
                    <w:rPr>
                      <w:rFonts w:hint="default" w:ascii="Times New Roman" w:hAnsi="Times New Roman" w:eastAsia="宋体" w:cs="Times New Roman"/>
                      <w:color w:val="auto"/>
                      <w:spacing w:val="7"/>
                      <w:sz w:val="20"/>
                      <w:szCs w:val="20"/>
                      <w:lang w:val="en-US" w:eastAsia="zh-CN"/>
                    </w:rPr>
                    <w:t>但还需完善</w:t>
                  </w:r>
                  <w:r>
                    <w:rPr>
                      <w:rFonts w:hint="default" w:ascii="Times New Roman" w:hAnsi="Times New Roman" w:eastAsia="宋体" w:cs="Times New Roman"/>
                      <w:color w:val="auto"/>
                      <w:spacing w:val="8"/>
                      <w:sz w:val="20"/>
                      <w:szCs w:val="20"/>
                    </w:rPr>
                    <w:t>排污许可相关工作，</w:t>
                  </w:r>
                  <w:r>
                    <w:rPr>
                      <w:rFonts w:hint="default" w:ascii="Times New Roman" w:hAnsi="Times New Roman" w:eastAsia="宋体" w:cs="Times New Roman"/>
                      <w:color w:val="auto"/>
                      <w:spacing w:val="5"/>
                      <w:sz w:val="20"/>
                      <w:szCs w:val="20"/>
                    </w:rPr>
                    <w:t>持证排污。</w:t>
                  </w:r>
                </w:p>
              </w:tc>
              <w:tc>
                <w:tcPr>
                  <w:tcW w:w="472" w:type="dxa"/>
                  <w:vAlign w:val="center"/>
                </w:tcPr>
                <w:p w14:paraId="646E77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27D1B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408" w:type="dxa"/>
                  <w:vAlign w:val="center"/>
                </w:tcPr>
                <w:p w14:paraId="06FD0E6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3</w:t>
                  </w:r>
                </w:p>
              </w:tc>
              <w:tc>
                <w:tcPr>
                  <w:tcW w:w="3721" w:type="dxa"/>
                  <w:vAlign w:val="center"/>
                </w:tcPr>
                <w:p w14:paraId="0339F8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9"/>
                      <w:sz w:val="20"/>
                      <w:szCs w:val="20"/>
                    </w:rPr>
                    <w:t>禁止排放超过排放标准或者超过重</w:t>
                  </w:r>
                  <w:r>
                    <w:rPr>
                      <w:rFonts w:hint="default" w:ascii="Times New Roman" w:hAnsi="Times New Roman" w:eastAsia="宋体" w:cs="Times New Roman"/>
                      <w:color w:val="auto"/>
                      <w:spacing w:val="8"/>
                      <w:sz w:val="20"/>
                      <w:szCs w:val="20"/>
                    </w:rPr>
                    <w:t>点大气污染物排放总量控制指标的</w:t>
                  </w:r>
                  <w:r>
                    <w:rPr>
                      <w:rFonts w:hint="default" w:ascii="Times New Roman" w:hAnsi="Times New Roman" w:eastAsia="宋体" w:cs="Times New Roman"/>
                      <w:color w:val="auto"/>
                      <w:spacing w:val="6"/>
                      <w:sz w:val="20"/>
                      <w:szCs w:val="20"/>
                    </w:rPr>
                    <w:t>大气污染物。</w:t>
                  </w:r>
                </w:p>
              </w:tc>
              <w:tc>
                <w:tcPr>
                  <w:tcW w:w="3350" w:type="dxa"/>
                  <w:vAlign w:val="center"/>
                </w:tcPr>
                <w:p w14:paraId="0D1B1C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项目在运营过程中禁止</w:t>
                  </w:r>
                  <w:r>
                    <w:rPr>
                      <w:rFonts w:hint="default" w:ascii="Times New Roman" w:hAnsi="Times New Roman" w:eastAsia="宋体" w:cs="Times New Roman"/>
                      <w:color w:val="auto"/>
                      <w:spacing w:val="9"/>
                      <w:sz w:val="20"/>
                      <w:szCs w:val="20"/>
                    </w:rPr>
                    <w:t>排放超过排放标准或者超过重点大气污染物排放总量控制指标的大气</w:t>
                  </w:r>
                  <w:r>
                    <w:rPr>
                      <w:rFonts w:hint="default" w:ascii="Times New Roman" w:hAnsi="Times New Roman" w:eastAsia="宋体" w:cs="Times New Roman"/>
                      <w:color w:val="auto"/>
                      <w:spacing w:val="4"/>
                      <w:sz w:val="20"/>
                      <w:szCs w:val="20"/>
                    </w:rPr>
                    <w:t>污染物。</w:t>
                  </w:r>
                </w:p>
              </w:tc>
              <w:tc>
                <w:tcPr>
                  <w:tcW w:w="472" w:type="dxa"/>
                  <w:vAlign w:val="center"/>
                </w:tcPr>
                <w:p w14:paraId="41D0C60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5CF1C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408" w:type="dxa"/>
                  <w:vAlign w:val="center"/>
                </w:tcPr>
                <w:p w14:paraId="276705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pacing w:val="1"/>
                      <w:sz w:val="20"/>
                      <w:szCs w:val="20"/>
                    </w:rPr>
                    <w:t>4</w:t>
                  </w:r>
                </w:p>
              </w:tc>
              <w:tc>
                <w:tcPr>
                  <w:tcW w:w="3721" w:type="dxa"/>
                  <w:vAlign w:val="center"/>
                </w:tcPr>
                <w:p w14:paraId="7F91B5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排放大气污染物的企业事业单位和其他生产经营者应当加强精细化管</w:t>
                  </w:r>
                  <w:r>
                    <w:rPr>
                      <w:rFonts w:hint="default" w:ascii="Times New Roman" w:hAnsi="Times New Roman" w:eastAsia="宋体" w:cs="Times New Roman"/>
                      <w:color w:val="auto"/>
                      <w:sz w:val="20"/>
                      <w:szCs w:val="20"/>
                    </w:rPr>
                    <w:t>理，严格按照有关规定，配套建设、</w:t>
                  </w:r>
                  <w:r>
                    <w:rPr>
                      <w:rFonts w:hint="default" w:ascii="Times New Roman" w:hAnsi="Times New Roman" w:eastAsia="宋体" w:cs="Times New Roman"/>
                      <w:color w:val="auto"/>
                      <w:spacing w:val="8"/>
                      <w:sz w:val="20"/>
                      <w:szCs w:val="20"/>
                    </w:rPr>
                    <w:t>使用和维护大气污染防治装备。</w:t>
                  </w:r>
                </w:p>
              </w:tc>
              <w:tc>
                <w:tcPr>
                  <w:tcW w:w="3350" w:type="dxa"/>
                  <w:vAlign w:val="center"/>
                </w:tcPr>
                <w:p w14:paraId="6936D6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本次评价提出了项目主</w:t>
                  </w:r>
                  <w:r>
                    <w:rPr>
                      <w:rFonts w:hint="default" w:ascii="Times New Roman" w:hAnsi="Times New Roman" w:eastAsia="宋体" w:cs="Times New Roman"/>
                      <w:color w:val="auto"/>
                      <w:spacing w:val="7"/>
                      <w:sz w:val="20"/>
                      <w:szCs w:val="20"/>
                    </w:rPr>
                    <w:t>要污染防治措施，建设单</w:t>
                  </w:r>
                  <w:r>
                    <w:rPr>
                      <w:rFonts w:hint="default" w:ascii="Times New Roman" w:hAnsi="Times New Roman" w:eastAsia="宋体" w:cs="Times New Roman"/>
                      <w:color w:val="auto"/>
                      <w:spacing w:val="18"/>
                      <w:sz w:val="20"/>
                      <w:szCs w:val="20"/>
                    </w:rPr>
                    <w:t>位在建设和运行中对污染防治措施及设备进行</w:t>
                  </w:r>
                  <w:r>
                    <w:rPr>
                      <w:rFonts w:hint="default" w:ascii="Times New Roman" w:hAnsi="Times New Roman" w:eastAsia="宋体" w:cs="Times New Roman"/>
                      <w:color w:val="auto"/>
                      <w:spacing w:val="7"/>
                      <w:sz w:val="20"/>
                      <w:szCs w:val="20"/>
                    </w:rPr>
                    <w:t>精细化管理，配套建设、</w:t>
                  </w:r>
                  <w:r>
                    <w:rPr>
                      <w:rFonts w:hint="default" w:ascii="Times New Roman" w:hAnsi="Times New Roman" w:eastAsia="宋体" w:cs="Times New Roman"/>
                      <w:color w:val="auto"/>
                      <w:spacing w:val="18"/>
                      <w:sz w:val="20"/>
                      <w:szCs w:val="20"/>
                    </w:rPr>
                    <w:t>使用和维护大气污染防</w:t>
                  </w:r>
                  <w:r>
                    <w:rPr>
                      <w:rFonts w:hint="default" w:ascii="Times New Roman" w:hAnsi="Times New Roman" w:eastAsia="宋体" w:cs="Times New Roman"/>
                      <w:color w:val="auto"/>
                      <w:spacing w:val="3"/>
                      <w:sz w:val="20"/>
                      <w:szCs w:val="20"/>
                    </w:rPr>
                    <w:t>治设备。</w:t>
                  </w:r>
                </w:p>
              </w:tc>
              <w:tc>
                <w:tcPr>
                  <w:tcW w:w="472" w:type="dxa"/>
                  <w:vAlign w:val="center"/>
                </w:tcPr>
                <w:p w14:paraId="30D02B8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1A3A1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408" w:type="dxa"/>
                  <w:vAlign w:val="center"/>
                </w:tcPr>
                <w:p w14:paraId="73AAF24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5</w:t>
                  </w:r>
                </w:p>
              </w:tc>
              <w:tc>
                <w:tcPr>
                  <w:tcW w:w="3721" w:type="dxa"/>
                  <w:vAlign w:val="center"/>
                </w:tcPr>
                <w:p w14:paraId="35A3AF7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7"/>
                      <w:sz w:val="20"/>
                      <w:szCs w:val="20"/>
                    </w:rPr>
                    <w:t>向大气排放污染物的企业事业单位</w:t>
                  </w:r>
                  <w:r>
                    <w:rPr>
                      <w:rFonts w:hint="default" w:ascii="Times New Roman" w:hAnsi="Times New Roman" w:eastAsia="宋体" w:cs="Times New Roman"/>
                      <w:color w:val="auto"/>
                      <w:spacing w:val="9"/>
                      <w:sz w:val="20"/>
                      <w:szCs w:val="20"/>
                    </w:rPr>
                    <w:t>和其他生产经营者，应当按照有关规定设置大气污染排放口。禁止通</w:t>
                  </w:r>
                  <w:r>
                    <w:rPr>
                      <w:rFonts w:hint="default" w:ascii="Times New Roman" w:hAnsi="Times New Roman" w:eastAsia="宋体" w:cs="Times New Roman"/>
                      <w:color w:val="auto"/>
                      <w:spacing w:val="8"/>
                      <w:sz w:val="20"/>
                      <w:szCs w:val="20"/>
                    </w:rPr>
                    <w:t>过偷排、篡改或者伪造监测数据、</w:t>
                  </w:r>
                  <w:r>
                    <w:rPr>
                      <w:rFonts w:hint="default" w:ascii="Times New Roman" w:hAnsi="Times New Roman" w:eastAsia="宋体" w:cs="Times New Roman"/>
                      <w:color w:val="auto"/>
                      <w:spacing w:val="7"/>
                      <w:sz w:val="20"/>
                      <w:szCs w:val="20"/>
                    </w:rPr>
                    <w:t>以逃避现场检查为目的的临时停</w:t>
                  </w:r>
                  <w:r>
                    <w:rPr>
                      <w:rFonts w:hint="default" w:ascii="Times New Roman" w:hAnsi="Times New Roman" w:eastAsia="宋体" w:cs="Times New Roman"/>
                      <w:color w:val="auto"/>
                      <w:spacing w:val="9"/>
                      <w:sz w:val="20"/>
                      <w:szCs w:val="20"/>
                    </w:rPr>
                    <w:t>产、非紧急情况下开启应急排放通道、擅自拆除或者不正常运行大气污染防治设施等逃避监管的方式排</w:t>
                  </w:r>
                  <w:r>
                    <w:rPr>
                      <w:rFonts w:hint="default" w:ascii="Times New Roman" w:hAnsi="Times New Roman" w:eastAsia="宋体" w:cs="Times New Roman"/>
                      <w:color w:val="auto"/>
                      <w:spacing w:val="7"/>
                      <w:sz w:val="20"/>
                      <w:szCs w:val="20"/>
                    </w:rPr>
                    <w:t>放大气污染物。</w:t>
                  </w:r>
                </w:p>
              </w:tc>
              <w:tc>
                <w:tcPr>
                  <w:tcW w:w="3350" w:type="dxa"/>
                  <w:vAlign w:val="center"/>
                </w:tcPr>
                <w:p w14:paraId="1824A77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项目设置了多根高于</w:t>
                  </w:r>
                  <w:r>
                    <w:rPr>
                      <w:rFonts w:hint="default" w:ascii="Times New Roman" w:hAnsi="Times New Roman" w:cs="Times New Roman"/>
                      <w:color w:val="auto"/>
                      <w:spacing w:val="5"/>
                      <w:sz w:val="20"/>
                      <w:szCs w:val="20"/>
                      <w:lang w:val="en-US" w:eastAsia="zh-CN"/>
                    </w:rPr>
                    <w:t>15</w:t>
                  </w:r>
                  <w:r>
                    <w:rPr>
                      <w:rFonts w:hint="default" w:ascii="Times New Roman" w:hAnsi="Times New Roman" w:eastAsia="Times New Roman" w:cs="Times New Roman"/>
                      <w:color w:val="auto"/>
                      <w:spacing w:val="5"/>
                      <w:sz w:val="20"/>
                      <w:szCs w:val="20"/>
                    </w:rPr>
                    <w:t>m</w:t>
                  </w:r>
                  <w:r>
                    <w:rPr>
                      <w:rFonts w:hint="default" w:ascii="Times New Roman" w:hAnsi="Times New Roman" w:eastAsia="宋体" w:cs="Times New Roman"/>
                      <w:color w:val="auto"/>
                      <w:spacing w:val="8"/>
                      <w:sz w:val="20"/>
                      <w:szCs w:val="20"/>
                    </w:rPr>
                    <w:t>高的排气筒对项目处理</w:t>
                  </w:r>
                  <w:r>
                    <w:rPr>
                      <w:rFonts w:hint="default" w:ascii="Times New Roman" w:hAnsi="Times New Roman" w:eastAsia="宋体" w:cs="Times New Roman"/>
                      <w:color w:val="auto"/>
                      <w:spacing w:val="7"/>
                      <w:sz w:val="20"/>
                      <w:szCs w:val="20"/>
                    </w:rPr>
                    <w:t>达标的废气进行排放。建</w:t>
                  </w:r>
                  <w:r>
                    <w:rPr>
                      <w:rFonts w:hint="default" w:ascii="Times New Roman" w:hAnsi="Times New Roman" w:eastAsia="宋体" w:cs="Times New Roman"/>
                      <w:color w:val="auto"/>
                      <w:spacing w:val="18"/>
                      <w:sz w:val="20"/>
                      <w:szCs w:val="20"/>
                    </w:rPr>
                    <w:t>设单位在运行中应保持污染防治措施与生产设</w:t>
                  </w:r>
                  <w:r>
                    <w:rPr>
                      <w:rFonts w:hint="default" w:ascii="Times New Roman" w:hAnsi="Times New Roman" w:eastAsia="宋体" w:cs="Times New Roman"/>
                      <w:color w:val="auto"/>
                      <w:spacing w:val="7"/>
                      <w:sz w:val="20"/>
                      <w:szCs w:val="20"/>
                    </w:rPr>
                    <w:t>备同步运行，保证不进行偷排、篡改监测数据等违法行为，加强污染防治设备运行维护工作，确保大气污染物达标排放。</w:t>
                  </w:r>
                </w:p>
              </w:tc>
              <w:tc>
                <w:tcPr>
                  <w:tcW w:w="472" w:type="dxa"/>
                  <w:vAlign w:val="center"/>
                </w:tcPr>
                <w:p w14:paraId="6CB9FF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6B0B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1" w:hRule="atLeast"/>
              </w:trPr>
              <w:tc>
                <w:tcPr>
                  <w:tcW w:w="408" w:type="dxa"/>
                  <w:vAlign w:val="center"/>
                </w:tcPr>
                <w:p w14:paraId="14C56F6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6</w:t>
                  </w:r>
                </w:p>
              </w:tc>
              <w:tc>
                <w:tcPr>
                  <w:tcW w:w="3721" w:type="dxa"/>
                  <w:vAlign w:val="center"/>
                </w:tcPr>
                <w:p w14:paraId="18EE4C8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7"/>
                      <w:sz w:val="20"/>
                      <w:szCs w:val="20"/>
                    </w:rPr>
                    <w:t>下列产生含挥发性有机物废气的生</w:t>
                  </w:r>
                  <w:r>
                    <w:rPr>
                      <w:rFonts w:hint="default" w:ascii="Times New Roman" w:hAnsi="Times New Roman" w:eastAsia="宋体" w:cs="Times New Roman"/>
                      <w:color w:val="auto"/>
                      <w:spacing w:val="8"/>
                      <w:sz w:val="20"/>
                      <w:szCs w:val="20"/>
                    </w:rPr>
                    <w:t>产和服务活动，应当在密闭空间或</w:t>
                  </w:r>
                  <w:r>
                    <w:rPr>
                      <w:rFonts w:hint="default" w:ascii="Times New Roman" w:hAnsi="Times New Roman" w:eastAsia="宋体" w:cs="Times New Roman"/>
                      <w:color w:val="auto"/>
                      <w:spacing w:val="10"/>
                      <w:sz w:val="20"/>
                      <w:szCs w:val="20"/>
                    </w:rPr>
                    <w:t>者装置中进行，并按照规定安装、使用污染防治设施；无法密闭的，</w:t>
                  </w:r>
                  <w:r>
                    <w:rPr>
                      <w:rFonts w:hint="default" w:ascii="Times New Roman" w:hAnsi="Times New Roman" w:eastAsia="宋体" w:cs="Times New Roman"/>
                      <w:color w:val="auto"/>
                      <w:spacing w:val="8"/>
                      <w:sz w:val="20"/>
                      <w:szCs w:val="20"/>
                    </w:rPr>
                    <w:t>应当采取高效处理措施减少废气排放：石油炼制及有机化学品、合成</w:t>
                  </w:r>
                  <w:r>
                    <w:rPr>
                      <w:rFonts w:hint="default" w:ascii="Times New Roman" w:hAnsi="Times New Roman" w:eastAsia="宋体" w:cs="Times New Roman"/>
                      <w:color w:val="auto"/>
                      <w:spacing w:val="1"/>
                      <w:sz w:val="20"/>
                      <w:szCs w:val="20"/>
                    </w:rPr>
                    <w:t>树脂、合成纤维、合成橡胶等行业；制药、农药、涂料、油墨、</w:t>
                  </w:r>
                  <w:r>
                    <w:rPr>
                      <w:rFonts w:hint="eastAsia" w:cs="Times New Roman"/>
                      <w:color w:val="auto"/>
                      <w:spacing w:val="1"/>
                      <w:sz w:val="20"/>
                      <w:szCs w:val="20"/>
                      <w:lang w:eastAsia="zh-CN"/>
                    </w:rPr>
                    <w:t>胶黏剂</w:t>
                  </w:r>
                  <w:r>
                    <w:rPr>
                      <w:rFonts w:hint="default" w:ascii="Times New Roman" w:hAnsi="Times New Roman" w:eastAsia="宋体" w:cs="Times New Roman"/>
                      <w:color w:val="auto"/>
                      <w:spacing w:val="1"/>
                      <w:sz w:val="20"/>
                      <w:szCs w:val="20"/>
                    </w:rPr>
                    <w:t>、</w:t>
                  </w:r>
                  <w:r>
                    <w:rPr>
                      <w:rFonts w:hint="default" w:ascii="Times New Roman" w:hAnsi="Times New Roman" w:eastAsia="宋体" w:cs="Times New Roman"/>
                      <w:color w:val="auto"/>
                      <w:spacing w:val="9"/>
                      <w:sz w:val="20"/>
                      <w:szCs w:val="20"/>
                    </w:rPr>
                    <w:t>橡胶和塑料加工等行业；汽车、家</w:t>
                  </w:r>
                  <w:r>
                    <w:rPr>
                      <w:rFonts w:hint="default" w:ascii="Times New Roman" w:hAnsi="Times New Roman" w:eastAsia="宋体" w:cs="Times New Roman"/>
                      <w:color w:val="auto"/>
                      <w:spacing w:val="6"/>
                      <w:sz w:val="20"/>
                      <w:szCs w:val="20"/>
                    </w:rPr>
                    <w:t>具、集装箱、</w:t>
                  </w:r>
                  <w:r>
                    <w:rPr>
                      <w:rFonts w:hint="default" w:ascii="Times New Roman" w:hAnsi="Times New Roman" w:eastAsia="宋体" w:cs="Times New Roman"/>
                      <w:color w:val="auto"/>
                      <w:spacing w:val="7"/>
                      <w:sz w:val="20"/>
                      <w:szCs w:val="20"/>
                    </w:rPr>
                    <w:t>电子产品、工程机械等行业；塑料</w:t>
                  </w:r>
                  <w:r>
                    <w:rPr>
                      <w:rFonts w:hint="default" w:ascii="Times New Roman" w:hAnsi="Times New Roman" w:eastAsia="宋体" w:cs="Times New Roman"/>
                      <w:color w:val="auto"/>
                      <w:spacing w:val="9"/>
                      <w:sz w:val="20"/>
                      <w:szCs w:val="20"/>
                    </w:rPr>
                    <w:t>软包装印刷、印铁制罐等行业；其他产生挥发性有机物的生产和服务</w:t>
                  </w:r>
                  <w:r>
                    <w:rPr>
                      <w:rFonts w:hint="default" w:ascii="Times New Roman" w:hAnsi="Times New Roman" w:eastAsia="宋体" w:cs="Times New Roman"/>
                      <w:color w:val="auto"/>
                      <w:spacing w:val="2"/>
                      <w:sz w:val="20"/>
                      <w:szCs w:val="20"/>
                    </w:rPr>
                    <w:t>活动。</w:t>
                  </w:r>
                </w:p>
              </w:tc>
              <w:tc>
                <w:tcPr>
                  <w:tcW w:w="3350" w:type="dxa"/>
                  <w:vAlign w:val="center"/>
                </w:tcPr>
                <w:p w14:paraId="05AB964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本项目主要废气污染物</w:t>
                  </w:r>
                </w:p>
                <w:p w14:paraId="14FF789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为</w:t>
                  </w:r>
                  <w:r>
                    <w:rPr>
                      <w:rFonts w:hint="default" w:ascii="Times New Roman" w:hAnsi="Times New Roman" w:cs="Times New Roman"/>
                      <w:color w:val="auto"/>
                      <w:spacing w:val="5"/>
                      <w:sz w:val="20"/>
                      <w:szCs w:val="20"/>
                      <w:lang w:val="en-US" w:eastAsia="zh-CN"/>
                    </w:rPr>
                    <w:t>颗粒物</w:t>
                  </w:r>
                  <w:r>
                    <w:rPr>
                      <w:rFonts w:hint="default" w:ascii="Times New Roman" w:hAnsi="Times New Roman" w:eastAsia="宋体" w:cs="Times New Roman"/>
                      <w:color w:val="auto"/>
                      <w:spacing w:val="5"/>
                      <w:sz w:val="20"/>
                      <w:szCs w:val="20"/>
                    </w:rPr>
                    <w:t>，不产生挥发性有</w:t>
                  </w:r>
                  <w:r>
                    <w:rPr>
                      <w:rFonts w:hint="default" w:ascii="Times New Roman" w:hAnsi="Times New Roman" w:eastAsia="宋体" w:cs="Times New Roman"/>
                      <w:color w:val="auto"/>
                      <w:spacing w:val="3"/>
                      <w:sz w:val="20"/>
                      <w:szCs w:val="20"/>
                    </w:rPr>
                    <w:t>机物。</w:t>
                  </w:r>
                </w:p>
              </w:tc>
              <w:tc>
                <w:tcPr>
                  <w:tcW w:w="472" w:type="dxa"/>
                  <w:vAlign w:val="center"/>
                </w:tcPr>
                <w:p w14:paraId="686286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08AC4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08" w:type="dxa"/>
                  <w:vAlign w:val="center"/>
                </w:tcPr>
                <w:p w14:paraId="4C81885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7</w:t>
                  </w:r>
                </w:p>
              </w:tc>
              <w:tc>
                <w:tcPr>
                  <w:tcW w:w="3721" w:type="dxa"/>
                  <w:vAlign w:val="center"/>
                </w:tcPr>
                <w:p w14:paraId="46B64E6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9"/>
                      <w:sz w:val="20"/>
                      <w:szCs w:val="20"/>
                    </w:rPr>
                    <w:t>生产、进口、销售和使用含挥发性有机物原材料和产品的，其挥发性有机物含量应当符合质量标准或者</w:t>
                  </w:r>
                  <w:r>
                    <w:rPr>
                      <w:rFonts w:hint="default" w:ascii="Times New Roman" w:hAnsi="Times New Roman" w:eastAsia="宋体" w:cs="Times New Roman"/>
                      <w:color w:val="auto"/>
                      <w:spacing w:val="2"/>
                      <w:sz w:val="20"/>
                      <w:szCs w:val="20"/>
                    </w:rPr>
                    <w:t>要求。</w:t>
                  </w:r>
                </w:p>
              </w:tc>
              <w:tc>
                <w:tcPr>
                  <w:tcW w:w="3350" w:type="dxa"/>
                  <w:vAlign w:val="center"/>
                </w:tcPr>
                <w:p w14:paraId="6FCB06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本项目主要废气污染物</w:t>
                  </w:r>
                  <w:r>
                    <w:rPr>
                      <w:rFonts w:hint="default" w:ascii="Times New Roman" w:hAnsi="Times New Roman" w:eastAsia="宋体" w:cs="Times New Roman"/>
                      <w:color w:val="auto"/>
                      <w:spacing w:val="8"/>
                      <w:sz w:val="20"/>
                      <w:szCs w:val="20"/>
                      <w:lang w:val="en-US" w:eastAsia="zh-CN"/>
                    </w:rPr>
                    <w:t>为</w:t>
                  </w:r>
                  <w:r>
                    <w:rPr>
                      <w:rFonts w:hint="default" w:ascii="Times New Roman" w:hAnsi="Times New Roman" w:cs="Times New Roman"/>
                      <w:color w:val="auto"/>
                      <w:spacing w:val="5"/>
                      <w:sz w:val="20"/>
                      <w:szCs w:val="20"/>
                      <w:lang w:val="en-US" w:eastAsia="zh-CN"/>
                    </w:rPr>
                    <w:t>颗粒物</w:t>
                  </w:r>
                  <w:r>
                    <w:rPr>
                      <w:rFonts w:hint="default" w:ascii="Times New Roman" w:hAnsi="Times New Roman" w:eastAsia="宋体" w:cs="Times New Roman"/>
                      <w:color w:val="auto"/>
                      <w:spacing w:val="5"/>
                      <w:sz w:val="20"/>
                      <w:szCs w:val="20"/>
                    </w:rPr>
                    <w:t>，不产生挥发性有</w:t>
                  </w:r>
                  <w:r>
                    <w:rPr>
                      <w:rFonts w:hint="default" w:ascii="Times New Roman" w:hAnsi="Times New Roman" w:eastAsia="宋体" w:cs="Times New Roman"/>
                      <w:color w:val="auto"/>
                      <w:spacing w:val="3"/>
                      <w:sz w:val="20"/>
                      <w:szCs w:val="20"/>
                    </w:rPr>
                    <w:t>机物。</w:t>
                  </w:r>
                </w:p>
              </w:tc>
              <w:tc>
                <w:tcPr>
                  <w:tcW w:w="472" w:type="dxa"/>
                  <w:vAlign w:val="center"/>
                </w:tcPr>
                <w:p w14:paraId="7EBE13B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4DDD7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408" w:type="dxa"/>
                  <w:vAlign w:val="center"/>
                </w:tcPr>
                <w:p w14:paraId="21F6757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Times New Roman" w:cs="Times New Roman"/>
                      <w:color w:val="auto"/>
                      <w:sz w:val="20"/>
                      <w:szCs w:val="20"/>
                    </w:rPr>
                  </w:pPr>
                  <w:r>
                    <w:rPr>
                      <w:rFonts w:hint="default" w:ascii="Times New Roman" w:hAnsi="Times New Roman" w:eastAsia="Times New Roman" w:cs="Times New Roman"/>
                      <w:color w:val="auto"/>
                      <w:sz w:val="20"/>
                      <w:szCs w:val="20"/>
                    </w:rPr>
                    <w:t>8</w:t>
                  </w:r>
                </w:p>
              </w:tc>
              <w:tc>
                <w:tcPr>
                  <w:tcW w:w="3721" w:type="dxa"/>
                  <w:vAlign w:val="center"/>
                </w:tcPr>
                <w:p w14:paraId="6D4E537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9"/>
                      <w:sz w:val="20"/>
                      <w:szCs w:val="20"/>
                    </w:rPr>
                    <w:t>建设单位应当将防治扬尘污染的费用纳入工程造价，并在施工承包合同中明确施工单位扬尘污染防治</w:t>
                  </w:r>
                  <w:r>
                    <w:rPr>
                      <w:rFonts w:hint="eastAsia" w:cs="Times New Roman"/>
                      <w:color w:val="auto"/>
                      <w:spacing w:val="9"/>
                      <w:sz w:val="20"/>
                      <w:szCs w:val="20"/>
                      <w:lang w:eastAsia="zh-CN"/>
                    </w:rPr>
                    <w:t>责任。</w:t>
                  </w:r>
                </w:p>
              </w:tc>
              <w:tc>
                <w:tcPr>
                  <w:tcW w:w="3350" w:type="dxa"/>
                  <w:vAlign w:val="center"/>
                </w:tcPr>
                <w:p w14:paraId="4DF2169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项目施工扬尘主要是</w:t>
                  </w:r>
                  <w:r>
                    <w:rPr>
                      <w:rFonts w:hint="default" w:ascii="Times New Roman" w:hAnsi="Times New Roman" w:eastAsia="宋体" w:cs="Times New Roman"/>
                      <w:color w:val="auto"/>
                      <w:spacing w:val="7"/>
                      <w:sz w:val="20"/>
                      <w:szCs w:val="20"/>
                    </w:rPr>
                    <w:t>简单的建构筑物建设及设备安装中产生，项目施工期短，施工期间</w:t>
                  </w:r>
                  <w:r>
                    <w:rPr>
                      <w:rFonts w:hint="default" w:ascii="Times New Roman" w:hAnsi="Times New Roman" w:eastAsia="宋体" w:cs="Times New Roman"/>
                      <w:color w:val="auto"/>
                      <w:spacing w:val="8"/>
                      <w:sz w:val="20"/>
                      <w:szCs w:val="20"/>
                    </w:rPr>
                    <w:t>须采取</w:t>
                  </w:r>
                  <w:r>
                    <w:rPr>
                      <w:rFonts w:hint="default" w:ascii="Times New Roman" w:hAnsi="Times New Roman" w:eastAsia="宋体" w:cs="Times New Roman"/>
                      <w:color w:val="auto"/>
                      <w:spacing w:val="8"/>
                      <w:sz w:val="20"/>
                      <w:szCs w:val="20"/>
                      <w:lang w:val="en-US" w:eastAsia="zh-CN"/>
                    </w:rPr>
                    <w:t>人工</w:t>
                  </w:r>
                  <w:r>
                    <w:rPr>
                      <w:rFonts w:hint="default" w:ascii="Times New Roman" w:hAnsi="Times New Roman" w:eastAsia="宋体" w:cs="Times New Roman"/>
                      <w:color w:val="auto"/>
                      <w:spacing w:val="8"/>
                      <w:sz w:val="20"/>
                      <w:szCs w:val="20"/>
                    </w:rPr>
                    <w:t>洒水降尘措施减</w:t>
                  </w:r>
                  <w:r>
                    <w:rPr>
                      <w:rFonts w:hint="default" w:ascii="Times New Roman" w:hAnsi="Times New Roman" w:eastAsia="宋体" w:cs="Times New Roman"/>
                      <w:color w:val="auto"/>
                      <w:spacing w:val="7"/>
                      <w:sz w:val="20"/>
                      <w:szCs w:val="20"/>
                    </w:rPr>
                    <w:t>少扬尘污染，项目施工扬</w:t>
                  </w:r>
                  <w:r>
                    <w:rPr>
                      <w:rFonts w:hint="default" w:ascii="Times New Roman" w:hAnsi="Times New Roman" w:eastAsia="宋体" w:cs="Times New Roman"/>
                      <w:color w:val="auto"/>
                      <w:spacing w:val="8"/>
                      <w:sz w:val="20"/>
                      <w:szCs w:val="20"/>
                    </w:rPr>
                    <w:t>尘污染防治责任由施工</w:t>
                  </w:r>
                  <w:r>
                    <w:rPr>
                      <w:rFonts w:hint="default" w:ascii="Times New Roman" w:hAnsi="Times New Roman" w:eastAsia="宋体" w:cs="Times New Roman"/>
                      <w:color w:val="auto"/>
                      <w:spacing w:val="5"/>
                      <w:sz w:val="20"/>
                      <w:szCs w:val="20"/>
                    </w:rPr>
                    <w:t>单位承担。</w:t>
                  </w:r>
                </w:p>
              </w:tc>
              <w:tc>
                <w:tcPr>
                  <w:tcW w:w="472" w:type="dxa"/>
                  <w:vAlign w:val="center"/>
                </w:tcPr>
                <w:p w14:paraId="7027769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符合</w:t>
                  </w:r>
                </w:p>
              </w:tc>
            </w:tr>
            <w:tr w14:paraId="06312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408" w:type="dxa"/>
                  <w:vAlign w:val="center"/>
                </w:tcPr>
                <w:p w14:paraId="5DE87EB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0"/>
                      <w:szCs w:val="20"/>
                      <w:lang w:val="en-US" w:eastAsia="zh-CN"/>
                    </w:rPr>
                  </w:pPr>
                  <w:r>
                    <w:rPr>
                      <w:rFonts w:hint="eastAsia" w:eastAsia="宋体" w:cs="Times New Roman"/>
                      <w:color w:val="auto"/>
                      <w:sz w:val="20"/>
                      <w:szCs w:val="20"/>
                      <w:lang w:val="en-US" w:eastAsia="zh-CN"/>
                    </w:rPr>
                    <w:t>9</w:t>
                  </w:r>
                </w:p>
              </w:tc>
              <w:tc>
                <w:tcPr>
                  <w:tcW w:w="3721" w:type="dxa"/>
                  <w:vAlign w:val="center"/>
                </w:tcPr>
                <w:p w14:paraId="09A3C81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矿产资源开采、露天物料堆场等应当采用防风抑尘工艺、技术和设备，采取有效措施防治扬尘污染。</w:t>
                  </w:r>
                </w:p>
              </w:tc>
              <w:tc>
                <w:tcPr>
                  <w:tcW w:w="3350" w:type="dxa"/>
                  <w:vAlign w:val="center"/>
                </w:tcPr>
                <w:p w14:paraId="039A3AB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8"/>
                      <w:sz w:val="20"/>
                      <w:szCs w:val="20"/>
                    </w:rPr>
                  </w:pPr>
                  <w:r>
                    <w:rPr>
                      <w:rFonts w:hint="default" w:ascii="Times New Roman" w:hAnsi="Times New Roman" w:eastAsia="宋体" w:cs="Times New Roman"/>
                      <w:color w:val="auto"/>
                      <w:spacing w:val="8"/>
                      <w:sz w:val="20"/>
                      <w:szCs w:val="20"/>
                    </w:rPr>
                    <w:t>骨料料仓采用彩钢瓦进行整体封闭，仅将进出物料口设置为敞开式。</w:t>
                  </w:r>
                </w:p>
              </w:tc>
              <w:tc>
                <w:tcPr>
                  <w:tcW w:w="472" w:type="dxa"/>
                  <w:vAlign w:val="center"/>
                </w:tcPr>
                <w:p w14:paraId="2942162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3"/>
                      <w:sz w:val="20"/>
                      <w:szCs w:val="20"/>
                    </w:rPr>
                  </w:pPr>
                  <w:r>
                    <w:rPr>
                      <w:rFonts w:hint="default" w:ascii="Times New Roman" w:hAnsi="Times New Roman" w:eastAsia="宋体" w:cs="Times New Roman"/>
                      <w:color w:val="auto"/>
                      <w:spacing w:val="3"/>
                      <w:sz w:val="20"/>
                      <w:szCs w:val="20"/>
                    </w:rPr>
                    <w:t>符合</w:t>
                  </w:r>
                </w:p>
              </w:tc>
            </w:tr>
          </w:tbl>
          <w:p w14:paraId="4DC17970">
            <w:pPr>
              <w:pStyle w:val="20"/>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pacing w:val="-1"/>
                <w:sz w:val="24"/>
                <w:szCs w:val="24"/>
              </w:rPr>
              <w:t>综上，本项目建设与《昆明市大气污染防治条例》相符。</w:t>
            </w:r>
          </w:p>
          <w:p w14:paraId="102276A2">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color w:val="auto"/>
                <w:kern w:val="0"/>
                <w:sz w:val="24"/>
                <w:lang w:val="en-US" w:eastAsia="zh-CN"/>
              </w:rPr>
              <w:t>9</w:t>
            </w:r>
            <w:r>
              <w:rPr>
                <w:rFonts w:hint="default" w:ascii="Times New Roman" w:hAnsi="Times New Roman" w:eastAsia="宋体" w:cs="Times New Roman"/>
                <w:b/>
                <w:bCs/>
                <w:color w:val="auto"/>
                <w:kern w:val="0"/>
                <w:sz w:val="24"/>
              </w:rPr>
              <w:t>、</w:t>
            </w:r>
            <w:r>
              <w:rPr>
                <w:rFonts w:hint="default" w:ascii="Times New Roman" w:hAnsi="Times New Roman" w:eastAsia="宋体" w:cs="Times New Roman"/>
                <w:b/>
                <w:bCs w:val="0"/>
                <w:color w:val="auto"/>
                <w:sz w:val="24"/>
                <w:szCs w:val="24"/>
                <w:highlight w:val="none"/>
                <w:lang w:val="en-US" w:eastAsia="zh-CN"/>
              </w:rPr>
              <w:t>选址合理性分析</w:t>
            </w:r>
          </w:p>
          <w:p w14:paraId="3F7C53F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w:t>
            </w:r>
            <w:r>
              <w:rPr>
                <w:rFonts w:hint="default" w:ascii="Times New Roman" w:hAnsi="Times New Roman" w:cs="Times New Roman"/>
                <w:b w:val="0"/>
                <w:bCs w:val="0"/>
                <w:color w:val="auto"/>
                <w:kern w:val="0"/>
                <w:sz w:val="24"/>
                <w:szCs w:val="24"/>
                <w:highlight w:val="none"/>
                <w:lang w:val="en-US" w:eastAsia="zh-CN" w:bidi="ar"/>
              </w:rPr>
              <w:t>商品混</w:t>
            </w:r>
            <w:r>
              <w:rPr>
                <w:rFonts w:hint="eastAsia" w:cs="Times New Roman"/>
                <w:b w:val="0"/>
                <w:bCs w:val="0"/>
                <w:color w:val="auto"/>
                <w:kern w:val="0"/>
                <w:sz w:val="24"/>
                <w:szCs w:val="24"/>
                <w:highlight w:val="none"/>
                <w:lang w:val="en-US" w:eastAsia="zh-CN" w:bidi="ar"/>
              </w:rPr>
              <w:t>凝</w:t>
            </w:r>
            <w:r>
              <w:rPr>
                <w:rFonts w:hint="default" w:ascii="Times New Roman" w:hAnsi="Times New Roman" w:cs="Times New Roman"/>
                <w:b w:val="0"/>
                <w:bCs w:val="0"/>
                <w:color w:val="auto"/>
                <w:kern w:val="0"/>
                <w:sz w:val="24"/>
                <w:szCs w:val="24"/>
                <w:highlight w:val="none"/>
                <w:lang w:val="en-US" w:eastAsia="zh-CN" w:bidi="ar"/>
              </w:rPr>
              <w:t>土</w:t>
            </w:r>
            <w:r>
              <w:rPr>
                <w:rFonts w:hint="default" w:ascii="Times New Roman" w:hAnsi="Times New Roman" w:eastAsia="宋体" w:cs="Times New Roman"/>
                <w:b w:val="0"/>
                <w:bCs w:val="0"/>
                <w:color w:val="auto"/>
                <w:kern w:val="0"/>
                <w:sz w:val="24"/>
                <w:szCs w:val="24"/>
                <w:highlight w:val="none"/>
                <w:lang w:val="en-US" w:eastAsia="zh-CN" w:bidi="ar"/>
              </w:rPr>
              <w:t>制造项目，位于</w:t>
            </w:r>
            <w:r>
              <w:rPr>
                <w:rFonts w:hint="default" w:ascii="Times New Roman" w:hAnsi="Times New Roman" w:eastAsia="宋体" w:cs="Times New Roman"/>
                <w:color w:val="auto"/>
                <w:sz w:val="24"/>
                <w:szCs w:val="24"/>
                <w:highlight w:val="none"/>
                <w:u w:val="none"/>
                <w:lang w:val="en-US" w:eastAsia="zh-CN"/>
              </w:rPr>
              <w:t>云南省昆明市寻甸金所</w:t>
            </w:r>
            <w:r>
              <w:rPr>
                <w:rFonts w:hint="default" w:ascii="Times New Roman" w:hAnsi="Times New Roman" w:cs="Times New Roman"/>
                <w:color w:val="auto"/>
                <w:sz w:val="24"/>
                <w:szCs w:val="24"/>
                <w:highlight w:val="none"/>
                <w:u w:val="none"/>
                <w:lang w:val="en-US" w:eastAsia="zh-CN"/>
              </w:rPr>
              <w:t>乡哨上大村内</w:t>
            </w:r>
            <w:r>
              <w:rPr>
                <w:rFonts w:hint="default" w:ascii="Times New Roman" w:hAnsi="Times New Roman" w:eastAsia="宋体" w:cs="Times New Roman"/>
                <w:b w:val="0"/>
                <w:bCs w:val="0"/>
                <w:color w:val="auto"/>
                <w:kern w:val="0"/>
                <w:sz w:val="24"/>
                <w:szCs w:val="24"/>
                <w:highlight w:val="none"/>
                <w:lang w:val="en-US" w:eastAsia="zh-CN" w:bidi="ar"/>
              </w:rPr>
              <w:t>，用地性质属工业用地。</w:t>
            </w:r>
            <w:r>
              <w:rPr>
                <w:rFonts w:hint="eastAsia" w:cs="Times New Roman"/>
                <w:b w:val="0"/>
                <w:bCs w:val="0"/>
                <w:color w:val="auto"/>
                <w:kern w:val="0"/>
                <w:sz w:val="24"/>
                <w:szCs w:val="24"/>
                <w:highlight w:val="none"/>
                <w:lang w:val="en-US" w:eastAsia="zh-CN" w:bidi="ar"/>
              </w:rPr>
              <w:t>距离本项目最近的敏感目标为西南的47m处的哨上大村，位于本项目所在区域常年主导风向（西南风）的上风向，</w:t>
            </w:r>
            <w:r>
              <w:rPr>
                <w:rFonts w:hint="default" w:ascii="Times New Roman" w:hAnsi="Times New Roman" w:eastAsia="宋体" w:cs="Times New Roman"/>
                <w:b w:val="0"/>
                <w:bCs w:val="0"/>
                <w:color w:val="auto"/>
                <w:kern w:val="0"/>
                <w:sz w:val="24"/>
                <w:szCs w:val="24"/>
                <w:highlight w:val="none"/>
                <w:lang w:val="en-US" w:eastAsia="zh-CN" w:bidi="ar"/>
              </w:rPr>
              <w:t>所选</w:t>
            </w:r>
            <w:r>
              <w:rPr>
                <w:rFonts w:hint="eastAsia" w:cs="Times New Roman"/>
                <w:b w:val="0"/>
                <w:bCs w:val="0"/>
                <w:color w:val="auto"/>
                <w:kern w:val="0"/>
                <w:sz w:val="24"/>
                <w:szCs w:val="24"/>
                <w:highlight w:val="none"/>
                <w:lang w:val="en-US" w:eastAsia="zh-CN" w:bidi="ar"/>
              </w:rPr>
              <w:t>场地</w:t>
            </w:r>
            <w:r>
              <w:rPr>
                <w:rFonts w:hint="default" w:ascii="Times New Roman" w:hAnsi="Times New Roman" w:eastAsia="宋体" w:cs="Times New Roman"/>
                <w:b w:val="0"/>
                <w:bCs w:val="0"/>
                <w:color w:val="auto"/>
                <w:kern w:val="0"/>
                <w:sz w:val="24"/>
                <w:szCs w:val="24"/>
                <w:highlight w:val="none"/>
                <w:lang w:val="en-US" w:eastAsia="zh-CN" w:bidi="ar"/>
              </w:rPr>
              <w:t>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14:paraId="7567F30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14:paraId="77277DC9">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default" w:ascii="Times New Roman" w:hAnsi="Times New Roman" w:cs="Times New Roman"/>
                <w:b/>
                <w:bCs w:val="0"/>
                <w:color w:val="auto"/>
                <w:sz w:val="24"/>
                <w:szCs w:val="24"/>
                <w:highlight w:val="none"/>
                <w:lang w:val="en-US" w:eastAsia="zh-CN"/>
              </w:rPr>
              <w:t>0</w:t>
            </w:r>
            <w:r>
              <w:rPr>
                <w:rFonts w:hint="default" w:ascii="Times New Roman" w:hAnsi="Times New Roman" w:eastAsia="宋体" w:cs="Times New Roman"/>
                <w:b/>
                <w:bCs w:val="0"/>
                <w:color w:val="auto"/>
                <w:sz w:val="24"/>
                <w:szCs w:val="24"/>
                <w:highlight w:val="none"/>
                <w:lang w:val="en-US" w:eastAsia="zh-CN"/>
              </w:rPr>
              <w:t>、项目平面布置合理性分析</w:t>
            </w:r>
          </w:p>
          <w:p w14:paraId="1771A53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本项目位于云南省昆明市</w:t>
            </w:r>
            <w:r>
              <w:rPr>
                <w:rFonts w:hint="default" w:ascii="Times New Roman" w:hAnsi="Times New Roman" w:eastAsia="宋体" w:cs="Times New Roman"/>
                <w:color w:val="auto"/>
                <w:sz w:val="24"/>
                <w:szCs w:val="24"/>
                <w:highlight w:val="none"/>
                <w:u w:val="none"/>
                <w:lang w:val="en-US" w:eastAsia="zh-CN"/>
              </w:rPr>
              <w:t>寻甸金所</w:t>
            </w:r>
            <w:r>
              <w:rPr>
                <w:rFonts w:hint="default" w:ascii="Times New Roman" w:hAnsi="Times New Roman" w:cs="Times New Roman"/>
                <w:color w:val="auto"/>
                <w:sz w:val="24"/>
                <w:szCs w:val="24"/>
                <w:highlight w:val="none"/>
                <w:u w:val="none"/>
                <w:lang w:val="en-US" w:eastAsia="zh-CN"/>
              </w:rPr>
              <w:t>乡哨上大村内</w:t>
            </w:r>
            <w:r>
              <w:rPr>
                <w:rFonts w:hint="default" w:ascii="Times New Roman" w:hAnsi="Times New Roman" w:eastAsia="宋体" w:cs="Times New Roman"/>
                <w:b w:val="0"/>
                <w:bCs w:val="0"/>
                <w:color w:val="auto"/>
                <w:kern w:val="0"/>
                <w:sz w:val="24"/>
                <w:szCs w:val="24"/>
                <w:highlight w:val="none"/>
                <w:lang w:val="en-US" w:eastAsia="zh-CN" w:bidi="ar"/>
              </w:rPr>
              <w:t>，项目周边主要为各生产加工型企业；厂区总</w:t>
            </w:r>
            <w:r>
              <w:rPr>
                <w:rFonts w:hint="eastAsia" w:cs="Times New Roman"/>
                <w:b w:val="0"/>
                <w:bCs w:val="0"/>
                <w:color w:val="auto"/>
                <w:kern w:val="0"/>
                <w:sz w:val="24"/>
                <w:szCs w:val="24"/>
                <w:highlight w:val="none"/>
                <w:lang w:val="en-US" w:eastAsia="zh-CN" w:bidi="ar"/>
              </w:rPr>
              <w:t>体</w:t>
            </w:r>
            <w:r>
              <w:rPr>
                <w:rFonts w:hint="default" w:ascii="Times New Roman" w:hAnsi="Times New Roman" w:eastAsia="宋体" w:cs="Times New Roman"/>
                <w:b w:val="0"/>
                <w:bCs w:val="0"/>
                <w:color w:val="auto"/>
                <w:kern w:val="0"/>
                <w:sz w:val="24"/>
                <w:szCs w:val="24"/>
                <w:highlight w:val="none"/>
                <w:lang w:val="en-US" w:eastAsia="zh-CN" w:bidi="ar"/>
              </w:rPr>
              <w:t>方案功能分区明确，总体划分为两个主要区域，即办公生活区及生产加工区。项目区场地呈</w:t>
            </w:r>
            <w:r>
              <w:rPr>
                <w:rFonts w:hint="default" w:ascii="Times New Roman" w:hAnsi="Times New Roman" w:cs="Times New Roman"/>
                <w:b w:val="0"/>
                <w:bCs w:val="0"/>
                <w:color w:val="auto"/>
                <w:kern w:val="0"/>
                <w:sz w:val="24"/>
                <w:szCs w:val="24"/>
                <w:highlight w:val="none"/>
                <w:lang w:val="en-US" w:eastAsia="zh-CN" w:bidi="ar"/>
              </w:rPr>
              <w:t>南</w:t>
            </w:r>
            <w:r>
              <w:rPr>
                <w:rFonts w:hint="default" w:ascii="Times New Roman" w:hAnsi="Times New Roman" w:eastAsia="宋体" w:cs="Times New Roman"/>
                <w:b w:val="0"/>
                <w:bCs w:val="0"/>
                <w:color w:val="auto"/>
                <w:kern w:val="0"/>
                <w:sz w:val="24"/>
                <w:szCs w:val="24"/>
                <w:highlight w:val="none"/>
                <w:lang w:val="en-US" w:eastAsia="zh-CN" w:bidi="ar"/>
              </w:rPr>
              <w:t>向</w:t>
            </w:r>
            <w:r>
              <w:rPr>
                <w:rFonts w:hint="default" w:ascii="Times New Roman" w:hAnsi="Times New Roman" w:cs="Times New Roman"/>
                <w:b w:val="0"/>
                <w:bCs w:val="0"/>
                <w:color w:val="auto"/>
                <w:kern w:val="0"/>
                <w:sz w:val="24"/>
                <w:szCs w:val="24"/>
                <w:highlight w:val="none"/>
                <w:lang w:val="en-US" w:eastAsia="zh-CN" w:bidi="ar"/>
              </w:rPr>
              <w:t>北</w:t>
            </w:r>
            <w:r>
              <w:rPr>
                <w:rFonts w:hint="default" w:ascii="Times New Roman" w:hAnsi="Times New Roman" w:eastAsia="宋体" w:cs="Times New Roman"/>
                <w:b w:val="0"/>
                <w:bCs w:val="0"/>
                <w:color w:val="auto"/>
                <w:kern w:val="0"/>
                <w:sz w:val="24"/>
                <w:szCs w:val="24"/>
                <w:highlight w:val="none"/>
                <w:lang w:val="en-US" w:eastAsia="zh-CN" w:bidi="ar"/>
              </w:rPr>
              <w:t>，根据项目区地形特点及生产生活的需求，在项目区靠近道路厂界一侧设置1个总出入口，方便物料运进和产品运出；一条年产10万吨商品混凝土生产线（搅拌线筒库4个，其中水泥仓2个、粉煤灰仓1个、矿粉1个），</w:t>
            </w:r>
            <w:r>
              <w:rPr>
                <w:rFonts w:hint="default" w:ascii="Times New Roman" w:hAnsi="Times New Roman" w:cs="Times New Roman"/>
                <w:b w:val="0"/>
                <w:bCs w:val="0"/>
                <w:color w:val="auto"/>
                <w:kern w:val="0"/>
                <w:sz w:val="24"/>
                <w:szCs w:val="24"/>
                <w:highlight w:val="none"/>
                <w:lang w:val="en-US" w:eastAsia="zh-CN" w:bidi="ar"/>
              </w:rPr>
              <w:t>场地中部</w:t>
            </w:r>
            <w:r>
              <w:rPr>
                <w:rFonts w:hint="default" w:ascii="Times New Roman" w:hAnsi="Times New Roman" w:eastAsia="宋体" w:cs="Times New Roman"/>
                <w:b w:val="0"/>
                <w:bCs w:val="0"/>
                <w:color w:val="auto"/>
                <w:kern w:val="0"/>
                <w:sz w:val="24"/>
                <w:szCs w:val="24"/>
                <w:highlight w:val="none"/>
                <w:lang w:val="en-US" w:eastAsia="zh-CN" w:bidi="ar"/>
              </w:rPr>
              <w:t>自西向东为原辅料堆存区、</w:t>
            </w:r>
            <w:r>
              <w:rPr>
                <w:rFonts w:hint="default" w:ascii="Times New Roman" w:hAnsi="Times New Roman" w:cs="Times New Roman"/>
                <w:b w:val="0"/>
                <w:bCs w:val="0"/>
                <w:color w:val="auto"/>
                <w:kern w:val="0"/>
                <w:sz w:val="24"/>
                <w:szCs w:val="24"/>
                <w:highlight w:val="none"/>
                <w:lang w:val="en-US" w:eastAsia="zh-CN" w:bidi="ar"/>
              </w:rPr>
              <w:t>运输机</w:t>
            </w:r>
            <w:r>
              <w:rPr>
                <w:rFonts w:hint="default"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cs="Times New Roman"/>
                <w:b w:val="0"/>
                <w:bCs w:val="0"/>
                <w:color w:val="auto"/>
                <w:kern w:val="0"/>
                <w:sz w:val="24"/>
                <w:szCs w:val="24"/>
                <w:highlight w:val="none"/>
                <w:lang w:val="en-US" w:eastAsia="zh-CN" w:bidi="ar"/>
              </w:rPr>
              <w:t>装载车</w:t>
            </w:r>
            <w:r>
              <w:rPr>
                <w:rFonts w:hint="default"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cs="Times New Roman"/>
                <w:b w:val="0"/>
                <w:bCs w:val="0"/>
                <w:color w:val="auto"/>
                <w:kern w:val="0"/>
                <w:sz w:val="24"/>
                <w:szCs w:val="24"/>
                <w:highlight w:val="none"/>
                <w:lang w:val="en-US" w:eastAsia="zh-CN" w:bidi="ar"/>
              </w:rPr>
              <w:t>运输皮带、洗车休息用地、搅拌料仓储、制砂车间</w:t>
            </w:r>
            <w:r>
              <w:rPr>
                <w:rFonts w:hint="default" w:ascii="Times New Roman" w:hAnsi="Times New Roman" w:eastAsia="宋体" w:cs="Times New Roman"/>
                <w:b w:val="0"/>
                <w:bCs w:val="0"/>
                <w:color w:val="auto"/>
                <w:kern w:val="0"/>
                <w:sz w:val="24"/>
                <w:szCs w:val="24"/>
                <w:highlight w:val="none"/>
                <w:lang w:val="en-US" w:eastAsia="zh-CN" w:bidi="ar"/>
              </w:rPr>
              <w:t>，原项目已建的办公生活区位于生产车间外东侧，生产区及办公区有一定的距离，方便厂区管理又不影响工作人员的办公及生活。项目建、构筑物的布置紧凑合理，人货流通畅顺捷，减少交叉。可满足生产系统的加工和储、装、运等主要生产环节的要求。总体布置分区明确，布置合理。</w:t>
            </w:r>
          </w:p>
          <w:p w14:paraId="5A5785B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综上所述，从环保角度考虑，项目布局合理。</w:t>
            </w:r>
          </w:p>
          <w:p w14:paraId="23041B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245815F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71354D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5199D5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7A4BFE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59D0F1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5667AB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669749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1C0B2CF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2CC213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4B8A51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3B088A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3B6190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color w:val="auto"/>
                <w:szCs w:val="21"/>
                <w:highlight w:val="none"/>
              </w:rPr>
            </w:pPr>
          </w:p>
          <w:p w14:paraId="11243315">
            <w:pPr>
              <w:pStyle w:val="3"/>
              <w:ind w:left="0" w:leftChars="0" w:firstLine="0" w:firstLineChars="0"/>
              <w:rPr>
                <w:rFonts w:hint="default" w:ascii="Times New Roman" w:hAnsi="Times New Roman" w:cs="Times New Roman"/>
                <w:color w:val="auto"/>
              </w:rPr>
            </w:pPr>
          </w:p>
        </w:tc>
      </w:tr>
    </w:tbl>
    <w:p w14:paraId="54AB55B2">
      <w:pPr>
        <w:spacing w:line="360" w:lineRule="auto"/>
        <w:outlineLvl w:val="9"/>
        <w:rPr>
          <w:rFonts w:hint="default" w:ascii="Times New Roman" w:hAnsi="Times New Roman" w:eastAsia="宋体" w:cs="Times New Roman"/>
          <w:color w:val="auto"/>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43A299EF">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8" w:name="_Toc22458"/>
      <w:bookmarkStart w:id="9" w:name="_Toc1587"/>
      <w:r>
        <w:rPr>
          <w:rFonts w:hint="default" w:ascii="Times New Roman" w:hAnsi="Times New Roman" w:eastAsia="宋体" w:cs="Times New Roman"/>
          <w:b/>
          <w:bCs/>
          <w:snapToGrid w:val="0"/>
          <w:color w:val="auto"/>
          <w:sz w:val="30"/>
          <w:szCs w:val="30"/>
          <w:highlight w:val="none"/>
        </w:rPr>
        <w:t>二、建设项目工程分析</w:t>
      </w:r>
      <w:bookmarkEnd w:id="8"/>
      <w:bookmarkEnd w:id="9"/>
    </w:p>
    <w:tbl>
      <w:tblPr>
        <w:tblStyle w:val="28"/>
        <w:tblW w:w="90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061"/>
      </w:tblGrid>
      <w:tr w14:paraId="260E1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00" w:hRule="atLeast"/>
          <w:jc w:val="center"/>
        </w:trPr>
        <w:tc>
          <w:tcPr>
            <w:tcW w:w="876" w:type="dxa"/>
            <w:vAlign w:val="center"/>
          </w:tcPr>
          <w:p w14:paraId="70403D76">
            <w:pPr>
              <w:pStyle w:val="25"/>
              <w:keepNext w:val="0"/>
              <w:keepLines w:val="0"/>
              <w:pageBreakBefore w:val="0"/>
              <w:widowControl/>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201" w:type="dxa"/>
            <w:vAlign w:val="top"/>
          </w:tcPr>
          <w:p w14:paraId="6DB04939">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14:paraId="65929E91">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寻甸科宏建筑材料有限公司是一家从事建筑材料销售</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装饰材料销售等业务的公司，成立于2009年06月11日，企业的经营范围为</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预拌商品混凝土生产销售；建筑材料、装饰材料销售</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现</w:t>
            </w:r>
            <w:r>
              <w:rPr>
                <w:rFonts w:hint="default" w:ascii="Times New Roman" w:hAnsi="Times New Roman" w:eastAsia="宋体" w:cs="Times New Roman"/>
                <w:color w:val="auto"/>
                <w:sz w:val="24"/>
                <w:szCs w:val="24"/>
                <w:highlight w:val="none"/>
              </w:rPr>
              <w:t>寻甸科宏建筑材料有限公司</w:t>
            </w:r>
            <w:r>
              <w:rPr>
                <w:rFonts w:hint="default" w:ascii="Times New Roman" w:hAnsi="Times New Roman" w:eastAsia="宋体" w:cs="Times New Roman"/>
                <w:color w:val="auto"/>
                <w:sz w:val="24"/>
                <w:szCs w:val="24"/>
                <w:highlight w:val="none"/>
                <w:lang w:val="zh-CN"/>
              </w:rPr>
              <w:t>（以下简称“建设单位”）拟投资</w:t>
            </w:r>
            <w:r>
              <w:rPr>
                <w:rFonts w:hint="default"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zh-CN"/>
              </w:rPr>
              <w:t>万元在</w:t>
            </w:r>
            <w:r>
              <w:rPr>
                <w:rFonts w:hint="default" w:ascii="Times New Roman" w:hAnsi="Times New Roman" w:eastAsia="宋体" w:cs="Times New Roman"/>
                <w:color w:val="auto"/>
                <w:sz w:val="24"/>
                <w:szCs w:val="24"/>
                <w:highlight w:val="none"/>
                <w:lang w:val="zh-CN" w:eastAsia="zh-CN"/>
              </w:rPr>
              <w:t>云南省昆明市寻甸</w:t>
            </w:r>
            <w:r>
              <w:rPr>
                <w:rFonts w:hint="default" w:ascii="Times New Roman" w:hAnsi="Times New Roman" w:cs="Times New Roman" w:eastAsiaTheme="majorEastAsia"/>
                <w:color w:val="auto"/>
                <w:sz w:val="24"/>
                <w:szCs w:val="24"/>
                <w:lang w:eastAsia="zh-CN"/>
              </w:rPr>
              <w:t>寻甸县金所乡哨上大村</w:t>
            </w:r>
            <w:r>
              <w:rPr>
                <w:rFonts w:hint="default" w:ascii="Times New Roman" w:hAnsi="Times New Roman" w:eastAsia="宋体" w:cs="Times New Roman"/>
                <w:color w:val="auto"/>
                <w:sz w:val="24"/>
                <w:szCs w:val="24"/>
                <w:highlight w:val="none"/>
              </w:rPr>
              <w:t>内建设“</w:t>
            </w:r>
            <w:r>
              <w:rPr>
                <w:rFonts w:hint="default" w:ascii="Times New Roman" w:hAnsi="Times New Roman" w:cs="Times New Roman"/>
                <w:color w:val="auto"/>
                <w:sz w:val="24"/>
                <w:szCs w:val="24"/>
                <w:highlight w:val="none"/>
                <w:lang w:val="en-US" w:eastAsia="zh-CN"/>
              </w:rPr>
              <w:t>商品</w:t>
            </w:r>
            <w:r>
              <w:rPr>
                <w:rFonts w:hint="eastAsia" w:cs="Times New Roman"/>
                <w:color w:val="auto"/>
                <w:sz w:val="24"/>
                <w:szCs w:val="24"/>
                <w:highlight w:val="none"/>
                <w:lang w:val="en-US" w:eastAsia="zh-CN"/>
              </w:rPr>
              <w:t>混凝土</w:t>
            </w:r>
            <w:r>
              <w:rPr>
                <w:rFonts w:hint="default" w:ascii="Times New Roman" w:hAnsi="Times New Roman" w:eastAsia="宋体" w:cs="Times New Roman"/>
                <w:color w:val="auto"/>
                <w:sz w:val="24"/>
                <w:szCs w:val="24"/>
                <w:highlight w:val="none"/>
                <w:lang w:val="en-US" w:eastAsia="zh-CN"/>
              </w:rPr>
              <w:t>制品生产扩建项目</w:t>
            </w:r>
            <w:r>
              <w:rPr>
                <w:rFonts w:hint="default" w:ascii="Times New Roman" w:hAnsi="Times New Roman" w:eastAsia="宋体" w:cs="Times New Roman"/>
                <w:color w:val="auto"/>
                <w:sz w:val="24"/>
                <w:szCs w:val="24"/>
                <w:highlight w:val="none"/>
              </w:rPr>
              <w:t>”。</w:t>
            </w:r>
          </w:p>
          <w:p w14:paraId="3F7CE122">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default"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月</w:t>
            </w:r>
            <w:r>
              <w:rPr>
                <w:rFonts w:hint="default" w:ascii="Times New Roman" w:hAnsi="Times New Roman"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，寻甸科宏建筑材料有限公司取得了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401</w:t>
            </w:r>
            <w:r>
              <w:rPr>
                <w:rFonts w:hint="default" w:ascii="Times New Roman" w:hAnsi="Times New Roman" w:eastAsia="宋体" w:cs="Times New Roman"/>
                <w:color w:val="auto"/>
                <w:sz w:val="24"/>
                <w:szCs w:val="24"/>
                <w:highlight w:val="none"/>
                <w:lang w:val="en-US" w:eastAsia="zh-CN"/>
              </w:rPr>
              <w:t>-530129-04-01-</w:t>
            </w:r>
            <w:r>
              <w:rPr>
                <w:rFonts w:hint="default" w:ascii="Times New Roman" w:hAnsi="Times New Roman" w:cs="Times New Roman"/>
                <w:color w:val="auto"/>
                <w:sz w:val="24"/>
                <w:szCs w:val="24"/>
                <w:highlight w:val="none"/>
                <w:lang w:val="en-US" w:eastAsia="zh-CN"/>
              </w:rPr>
              <w:t>498518</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本次扩建</w:t>
            </w:r>
            <w:r>
              <w:rPr>
                <w:rFonts w:hint="default" w:ascii="Times New Roman" w:hAnsi="Times New Roman" w:cs="Times New Roman"/>
                <w:bCs w:val="0"/>
                <w:color w:val="auto"/>
                <w:sz w:val="24"/>
                <w:szCs w:val="24"/>
                <w:lang w:val="en-US" w:eastAsia="zh-CN"/>
              </w:rPr>
              <w:t>计划扩建年产10万吨商品混凝土，扩建后公司计划达到年总产35万吨商品混凝土。</w:t>
            </w:r>
          </w:p>
          <w:p w14:paraId="79A0F94B">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根据《中华人民共和国环境保护法</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中华人民共和国环境影响评价法</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建设项目环境保护管理条例》和《云南省建设项目环境保护管理规定》的规定，建设项目必须履行环境影响评价制度。根据《建设项目环境影响评价分类管理名录》（2021年版）等有关</w:t>
            </w:r>
            <w:r>
              <w:rPr>
                <w:rFonts w:hint="eastAsia" w:cs="Times New Roman"/>
                <w:color w:val="auto"/>
                <w:kern w:val="0"/>
                <w:sz w:val="24"/>
                <w:szCs w:val="24"/>
                <w:highlight w:val="none"/>
                <w:lang w:val="en-US" w:eastAsia="zh-CN" w:bidi="ar"/>
              </w:rPr>
              <w:t>法律法规</w:t>
            </w:r>
            <w:r>
              <w:rPr>
                <w:rFonts w:hint="default" w:ascii="Times New Roman" w:hAnsi="Times New Roman" w:eastAsia="宋体" w:cs="Times New Roman"/>
                <w:color w:val="auto"/>
                <w:kern w:val="0"/>
                <w:sz w:val="24"/>
                <w:szCs w:val="24"/>
                <w:highlight w:val="none"/>
                <w:lang w:val="en-US" w:eastAsia="zh-CN" w:bidi="ar"/>
              </w:rPr>
              <w:t>的要求，项目属于</w:t>
            </w:r>
            <w:r>
              <w:rPr>
                <w:rFonts w:hint="default" w:ascii="Times New Roman" w:hAnsi="Times New Roman" w:eastAsia="宋体" w:cs="Times New Roman"/>
                <w:color w:val="auto"/>
                <w:sz w:val="24"/>
                <w:szCs w:val="24"/>
                <w:highlight w:val="none"/>
                <w:lang w:val="en-US" w:eastAsia="zh-CN"/>
              </w:rPr>
              <w:t>第二十七项“非金属矿物制品业”第55条“石膏、水泥制品及类似制品制造302”中的“商品混凝土”</w:t>
            </w:r>
            <w:r>
              <w:rPr>
                <w:rFonts w:hint="default" w:ascii="Times New Roman" w:hAnsi="Times New Roman" w:eastAsia="宋体" w:cs="Times New Roman"/>
                <w:color w:val="auto"/>
                <w:kern w:val="0"/>
                <w:sz w:val="24"/>
                <w:szCs w:val="24"/>
                <w:highlight w:val="none"/>
                <w:lang w:val="en-US" w:eastAsia="zh-CN" w:bidi="ar"/>
              </w:rPr>
              <w:t>，需编制环境影响评价报告表。为此，</w:t>
            </w:r>
            <w:r>
              <w:rPr>
                <w:rFonts w:hint="default" w:ascii="Times New Roman" w:hAnsi="Times New Roman" w:eastAsia="宋体" w:cs="Times New Roman"/>
                <w:color w:val="auto"/>
                <w:sz w:val="24"/>
                <w:szCs w:val="24"/>
                <w:highlight w:val="none"/>
              </w:rPr>
              <w:t>寻甸科宏建筑材料有限公司</w:t>
            </w:r>
            <w:r>
              <w:rPr>
                <w:rFonts w:hint="default" w:ascii="Times New Roman" w:hAnsi="Times New Roman" w:eastAsia="宋体" w:cs="Times New Roman"/>
                <w:color w:val="auto"/>
                <w:kern w:val="0"/>
                <w:sz w:val="24"/>
                <w:szCs w:val="24"/>
                <w:highlight w:val="none"/>
                <w:lang w:val="en-US" w:eastAsia="zh-CN" w:bidi="ar"/>
              </w:rPr>
              <w:t>委托</w:t>
            </w:r>
            <w:r>
              <w:rPr>
                <w:rFonts w:hint="default" w:ascii="Times New Roman" w:hAnsi="Times New Roman" w:cs="Times New Roman"/>
                <w:color w:val="auto"/>
                <w:kern w:val="0"/>
                <w:sz w:val="24"/>
                <w:szCs w:val="24"/>
                <w:highlight w:val="none"/>
                <w:lang w:val="en-US" w:eastAsia="zh-CN" w:bidi="ar"/>
              </w:rPr>
              <w:t>沣达环保科技（云南）</w:t>
            </w:r>
            <w:r>
              <w:rPr>
                <w:rFonts w:hint="default" w:ascii="Times New Roman" w:hAnsi="Times New Roman" w:eastAsia="宋体" w:cs="Times New Roman"/>
                <w:color w:val="auto"/>
                <w:kern w:val="0"/>
                <w:sz w:val="24"/>
                <w:szCs w:val="24"/>
                <w:highlight w:val="none"/>
                <w:lang w:val="en-US" w:eastAsia="zh-CN" w:bidi="ar"/>
              </w:rPr>
              <w:t>有限公司承担该项目的环境影响报告表编制工作（委托书见附件1）。我单位接受委托后，根据国家建设项目环境管理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年产10万吨商品混凝土生产线扩建项目环境影响报告表》，供建设单位上报审批</w:t>
            </w:r>
            <w:r>
              <w:rPr>
                <w:rFonts w:hint="default" w:ascii="Times New Roman" w:hAnsi="Times New Roman" w:eastAsia="宋体" w:cs="Times New Roman"/>
                <w:color w:val="auto"/>
                <w:sz w:val="24"/>
                <w:szCs w:val="24"/>
                <w:highlight w:val="none"/>
                <w:lang w:eastAsia="zh-CN"/>
              </w:rPr>
              <w:t>。</w:t>
            </w:r>
          </w:p>
          <w:p w14:paraId="285281F5">
            <w:pPr>
              <w:pStyle w:val="13"/>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14:paraId="20365001">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改扩建</w:t>
            </w:r>
            <w:r>
              <w:rPr>
                <w:rFonts w:hint="default" w:ascii="Times New Roman" w:hAnsi="Times New Roman" w:eastAsia="宋体" w:cs="Times New Roman"/>
                <w:b/>
                <w:bCs w:val="0"/>
                <w:color w:val="auto"/>
                <w:sz w:val="24"/>
                <w:szCs w:val="24"/>
                <w:highlight w:val="none"/>
                <w:lang w:val="en-US" w:eastAsia="zh-CN"/>
              </w:rPr>
              <w:t>项目建设内容及规模</w:t>
            </w:r>
          </w:p>
          <w:p w14:paraId="0FD92DBB">
            <w:pPr>
              <w:spacing w:line="360" w:lineRule="auto"/>
              <w:ind w:firstLine="48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本次扩建项目在原项目已建生产车间内闲置区域划定部分进行使用。原项目</w:t>
            </w:r>
            <w:r>
              <w:rPr>
                <w:rFonts w:hint="default" w:ascii="Times New Roman" w:hAnsi="Times New Roman" w:cs="Times New Roman"/>
                <w:color w:val="auto"/>
                <w:sz w:val="24"/>
                <w:szCs w:val="24"/>
                <w:highlight w:val="none"/>
                <w:lang w:val="en-US" w:eastAsia="zh-CN"/>
              </w:rPr>
              <w:t>占地10005平方米，</w:t>
            </w:r>
            <w:r>
              <w:rPr>
                <w:rFonts w:hint="default" w:ascii="Times New Roman" w:hAnsi="Times New Roman" w:eastAsia="宋体" w:cs="Times New Roman"/>
                <w:color w:val="auto"/>
                <w:sz w:val="24"/>
                <w:szCs w:val="24"/>
                <w:highlight w:val="none"/>
                <w:lang w:val="en-US" w:eastAsia="zh-CN"/>
              </w:rPr>
              <w:t>共建有</w:t>
            </w:r>
            <w:r>
              <w:rPr>
                <w:rFonts w:hint="default" w:ascii="Times New Roman" w:hAnsi="Times New Roman" w:cs="Times New Roman" w:eastAsiaTheme="majorEastAsia"/>
                <w:color w:val="auto"/>
                <w:sz w:val="24"/>
                <w:szCs w:val="24"/>
                <w:lang w:val="en-US" w:eastAsia="zh-CN"/>
              </w:rPr>
              <w:t>搅拌线筒库数量为4个，其中水泥仓3个，粉煤灰仓1个、砂石料仓、洗车场、职工宿舍、食堂及办公用房</w:t>
            </w:r>
            <w:r>
              <w:rPr>
                <w:rFonts w:hint="default" w:ascii="Times New Roman" w:hAnsi="Times New Roman" w:eastAsia="宋体" w:cs="Times New Roman"/>
                <w:color w:val="auto"/>
                <w:sz w:val="24"/>
                <w:szCs w:val="24"/>
                <w:highlight w:val="none"/>
                <w:lang w:val="en-US" w:eastAsia="zh-CN"/>
              </w:rPr>
              <w:t>，配套建设公用工程及部分环保工程（隔油池、化粪池、</w:t>
            </w:r>
            <w:r>
              <w:rPr>
                <w:rFonts w:hint="default" w:ascii="Times New Roman" w:hAnsi="Times New Roman" w:cs="Times New Roman"/>
                <w:color w:val="auto"/>
                <w:sz w:val="24"/>
                <w:lang w:val="en-US" w:eastAsia="zh-CN"/>
              </w:rPr>
              <w:t>废水收集沟、沉淀池</w:t>
            </w:r>
            <w:r>
              <w:rPr>
                <w:rFonts w:hint="default" w:ascii="Times New Roman" w:hAnsi="Times New Roman" w:eastAsia="宋体" w:cs="Times New Roman"/>
                <w:color w:val="auto"/>
                <w:sz w:val="24"/>
                <w:szCs w:val="24"/>
                <w:highlight w:val="none"/>
                <w:lang w:val="en-US" w:eastAsia="zh-CN"/>
              </w:rPr>
              <w:t>）。</w:t>
            </w:r>
          </w:p>
          <w:p w14:paraId="2009D686">
            <w:pPr>
              <w:widowControl/>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本次扩建生产线位于</w:t>
            </w:r>
            <w:r>
              <w:rPr>
                <w:rFonts w:hint="default" w:ascii="Times New Roman" w:hAnsi="Times New Roman" w:cs="Times New Roman"/>
                <w:color w:val="auto"/>
                <w:sz w:val="24"/>
                <w:szCs w:val="24"/>
                <w:highlight w:val="none"/>
                <w:lang w:val="en-US" w:eastAsia="zh-CN"/>
              </w:rPr>
              <w:t>现有厂房后方</w:t>
            </w:r>
            <w:r>
              <w:rPr>
                <w:rFonts w:hint="default" w:ascii="Times New Roman" w:hAnsi="Times New Roman" w:eastAsia="宋体" w:cs="Times New Roman"/>
                <w:color w:val="auto"/>
                <w:sz w:val="24"/>
                <w:szCs w:val="24"/>
                <w:highlight w:val="none"/>
                <w:lang w:val="en-US" w:eastAsia="zh-CN"/>
              </w:rPr>
              <w:t>，项目总投资</w:t>
            </w:r>
            <w:r>
              <w:rPr>
                <w:rFonts w:hint="default"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00万元，</w:t>
            </w:r>
            <w:r>
              <w:rPr>
                <w:rFonts w:hint="default" w:ascii="Times New Roman" w:hAnsi="Times New Roman" w:cs="Times New Roman"/>
                <w:color w:val="auto"/>
                <w:sz w:val="24"/>
                <w:szCs w:val="24"/>
                <w:highlight w:val="none"/>
                <w:lang w:val="en-US" w:eastAsia="zh-CN"/>
              </w:rPr>
              <w:t>除原厂房面积外扩建面积为</w:t>
            </w:r>
            <w:r>
              <w:rPr>
                <w:rFonts w:hint="eastAsia" w:cs="Times New Roman"/>
                <w:color w:val="auto"/>
                <w:sz w:val="24"/>
                <w:szCs w:val="24"/>
                <w:lang w:val="en-US" w:eastAsia="zh-CN"/>
              </w:rPr>
              <w:t>800</w:t>
            </w:r>
            <w:r>
              <w:rPr>
                <w:rFonts w:hint="default" w:ascii="Times New Roman" w:hAnsi="Times New Roman" w:eastAsia="宋体" w:cs="Times New Roman"/>
                <w:color w:val="auto"/>
                <w:sz w:val="24"/>
                <w:szCs w:val="24"/>
              </w:rPr>
              <w:t>平方米</w:t>
            </w:r>
            <w:r>
              <w:rPr>
                <w:rFonts w:hint="default" w:ascii="Times New Roman" w:hAnsi="Times New Roman" w:eastAsia="宋体" w:cs="Times New Roman"/>
                <w:color w:val="auto"/>
                <w:sz w:val="24"/>
                <w:szCs w:val="24"/>
                <w:highlight w:val="none"/>
                <w:lang w:val="en-US" w:eastAsia="zh-CN"/>
              </w:rPr>
              <w:t>，扩建一条年产10万吨商品混凝土生产线（搅拌线筒库4个，其中水泥仓2个、粉煤灰仓1个、矿粉1个），新增600平方米堆料仓、200平方米制砂车间。本项目主要建设内容见表2-1。</w:t>
            </w:r>
          </w:p>
          <w:p w14:paraId="5C0FCF43">
            <w:pPr>
              <w:widowControl/>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截至目前</w:t>
            </w:r>
            <w:r>
              <w:rPr>
                <w:rFonts w:hint="eastAsia" w:ascii="Times New Roman" w:hAnsi="Times New Roman" w:eastAsia="宋体" w:cs="Times New Roman"/>
                <w:b/>
                <w:bCs/>
                <w:color w:val="auto"/>
                <w:sz w:val="24"/>
                <w:szCs w:val="24"/>
                <w:highlight w:val="none"/>
                <w:lang w:val="en-US" w:eastAsia="zh-CN"/>
              </w:rPr>
              <w:t>，本扩建项目原料仓三面围挡、</w:t>
            </w:r>
            <w:r>
              <w:rPr>
                <w:rFonts w:hint="default" w:ascii="Times New Roman" w:hAnsi="Times New Roman" w:eastAsia="宋体" w:cs="Times New Roman"/>
                <w:b/>
                <w:bCs/>
                <w:color w:val="auto"/>
                <w:sz w:val="24"/>
                <w:szCs w:val="24"/>
                <w:highlight w:val="none"/>
                <w:lang w:val="en-US" w:eastAsia="zh-CN"/>
              </w:rPr>
              <w:t>水泥筒仓</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粉煤灰筒仓</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矿粉筒仓</w:t>
            </w:r>
            <w:r>
              <w:rPr>
                <w:rFonts w:hint="eastAsia" w:ascii="Times New Roman" w:hAnsi="Times New Roman" w:eastAsia="宋体" w:cs="Times New Roman"/>
                <w:b/>
                <w:bCs/>
                <w:color w:val="auto"/>
                <w:sz w:val="24"/>
                <w:szCs w:val="24"/>
                <w:highlight w:val="none"/>
                <w:lang w:val="en-US" w:eastAsia="zh-CN"/>
              </w:rPr>
              <w:t>及</w:t>
            </w:r>
            <w:r>
              <w:rPr>
                <w:rFonts w:hint="default" w:ascii="Times New Roman" w:hAnsi="Times New Roman" w:eastAsia="宋体" w:cs="Times New Roman"/>
                <w:b/>
                <w:bCs/>
                <w:color w:val="auto"/>
                <w:sz w:val="24"/>
                <w:szCs w:val="24"/>
                <w:highlight w:val="none"/>
                <w:lang w:val="en-US" w:eastAsia="zh-CN"/>
              </w:rPr>
              <w:t>破碎制砂车间</w:t>
            </w:r>
            <w:r>
              <w:rPr>
                <w:rFonts w:hint="eastAsia" w:ascii="Times New Roman" w:hAnsi="Times New Roman" w:eastAsia="宋体" w:cs="Times New Roman"/>
                <w:b/>
                <w:bCs/>
                <w:color w:val="auto"/>
                <w:sz w:val="24"/>
                <w:szCs w:val="24"/>
                <w:highlight w:val="none"/>
                <w:lang w:val="en-US" w:eastAsia="zh-CN"/>
              </w:rPr>
              <w:t>均已安装完成，扩建项目暂未开始设备调试及投入运营，等环评手续及竣工环境保护验收工作结束后将投入运营。</w:t>
            </w:r>
          </w:p>
          <w:p w14:paraId="201A255D">
            <w:pPr>
              <w:adjustRightInd w:val="0"/>
              <w:snapToGrid w:val="0"/>
              <w:jc w:val="center"/>
              <w:rPr>
                <w:rFonts w:hint="default" w:ascii="Times New Roman" w:hAnsi="Times New Roman" w:cs="Times New Roman"/>
                <w:color w:val="auto"/>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项目组成一览表</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101"/>
              <w:gridCol w:w="28"/>
              <w:gridCol w:w="1093"/>
              <w:gridCol w:w="4805"/>
              <w:gridCol w:w="1403"/>
            </w:tblGrid>
            <w:tr w14:paraId="007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pct"/>
                  <w:gridSpan w:val="4"/>
                  <w:vAlign w:val="center"/>
                </w:tcPr>
                <w:p w14:paraId="0F72116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cs="Times New Roman"/>
                      <w:b/>
                      <w:bCs/>
                      <w:color w:val="auto"/>
                      <w:highlight w:val="none"/>
                    </w:rPr>
                    <w:t>项目</w:t>
                  </w:r>
                </w:p>
              </w:tc>
              <w:tc>
                <w:tcPr>
                  <w:tcW w:w="2445" w:type="pct"/>
                  <w:vAlign w:val="center"/>
                </w:tcPr>
                <w:p w14:paraId="3B62D92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建设内容及规模</w:t>
                  </w:r>
                </w:p>
              </w:tc>
              <w:tc>
                <w:tcPr>
                  <w:tcW w:w="714" w:type="pct"/>
                  <w:vAlign w:val="center"/>
                </w:tcPr>
                <w:p w14:paraId="179D3B7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备注</w:t>
                  </w:r>
                </w:p>
              </w:tc>
            </w:tr>
            <w:tr w14:paraId="7C62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restart"/>
                  <w:vAlign w:val="center"/>
                </w:tcPr>
                <w:p w14:paraId="76F2F33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cs="Times New Roman"/>
                      <w:color w:val="auto"/>
                      <w:highlight w:val="none"/>
                    </w:rPr>
                    <w:t>主体工程</w:t>
                  </w:r>
                </w:p>
              </w:tc>
              <w:tc>
                <w:tcPr>
                  <w:tcW w:w="574" w:type="pct"/>
                  <w:gridSpan w:val="2"/>
                  <w:vMerge w:val="restart"/>
                  <w:vAlign w:val="center"/>
                </w:tcPr>
                <w:p w14:paraId="7C6958D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10万t</w:t>
                  </w:r>
                  <w:r>
                    <w:rPr>
                      <w:rFonts w:hint="default" w:ascii="Times New Roman" w:hAnsi="Times New Roman" w:eastAsia="Times New Roman" w:cs="Times New Roman"/>
                      <w:color w:val="auto"/>
                      <w:kern w:val="2"/>
                      <w:sz w:val="21"/>
                      <w:szCs w:val="21"/>
                      <w:highlight w:val="none"/>
                      <w:lang w:val="en-US" w:eastAsia="zh-CN" w:bidi="ar-SA"/>
                    </w:rPr>
                    <w:t>商品混凝土生产线（搅拌筒库4个）</w:t>
                  </w:r>
                </w:p>
              </w:tc>
              <w:tc>
                <w:tcPr>
                  <w:tcW w:w="555" w:type="pct"/>
                  <w:vAlign w:val="center"/>
                </w:tcPr>
                <w:p w14:paraId="56590E4D">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拌合站</w:t>
                  </w:r>
                </w:p>
              </w:tc>
              <w:tc>
                <w:tcPr>
                  <w:tcW w:w="2445" w:type="pct"/>
                  <w:vAlign w:val="center"/>
                </w:tcPr>
                <w:p w14:paraId="2F33C906">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拌合站</w:t>
                  </w:r>
                  <w:r>
                    <w:rPr>
                      <w:rFonts w:hint="default" w:ascii="Times New Roman" w:hAnsi="Times New Roman" w:eastAsia="Times New Roman" w:cs="Times New Roman"/>
                      <w:color w:val="auto"/>
                      <w:kern w:val="2"/>
                      <w:sz w:val="21"/>
                      <w:szCs w:val="21"/>
                      <w:highlight w:val="none"/>
                      <w:lang w:val="en-US" w:eastAsia="zh-CN" w:bidi="ar-SA"/>
                    </w:rPr>
                    <w:t>建筑面积142.8m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，配套品控楼建筑面积114m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，设置1条HZS180型生产线，生产率180m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/h。</w:t>
                  </w:r>
                </w:p>
              </w:tc>
              <w:tc>
                <w:tcPr>
                  <w:tcW w:w="714" w:type="pct"/>
                  <w:vAlign w:val="center"/>
                </w:tcPr>
                <w:p w14:paraId="7FF4056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依托现有项目已建设施</w:t>
                  </w:r>
                </w:p>
              </w:tc>
            </w:tr>
            <w:tr w14:paraId="6E74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70667F4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574" w:type="pct"/>
                  <w:gridSpan w:val="2"/>
                  <w:vMerge w:val="continue"/>
                  <w:vAlign w:val="center"/>
                </w:tcPr>
                <w:p w14:paraId="0879238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c>
                <w:tcPr>
                  <w:tcW w:w="555" w:type="pct"/>
                  <w:vAlign w:val="center"/>
                </w:tcPr>
                <w:p w14:paraId="25369DB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水泥筒仓2个</w:t>
                  </w:r>
                </w:p>
              </w:tc>
              <w:tc>
                <w:tcPr>
                  <w:tcW w:w="2445" w:type="pct"/>
                  <w:vAlign w:val="center"/>
                </w:tcPr>
                <w:p w14:paraId="2479625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5</w:t>
                  </w:r>
                  <w:r>
                    <w:rPr>
                      <w:rFonts w:hint="default" w:ascii="Times New Roman" w:hAnsi="Times New Roman" w:eastAsia="Times New Roman" w:cs="Times New Roman"/>
                      <w:color w:val="auto"/>
                      <w:kern w:val="2"/>
                      <w:sz w:val="21"/>
                      <w:szCs w:val="21"/>
                      <w:highlight w:val="none"/>
                      <w:lang w:val="en-US" w:eastAsia="zh-CN" w:bidi="ar-SA"/>
                    </w:rPr>
                    <w:t>#、</w:t>
                  </w:r>
                  <w:r>
                    <w:rPr>
                      <w:rFonts w:hint="eastAsia" w:ascii="Times New Roman" w:hAnsi="Times New Roman" w:eastAsia="Times New Roman" w:cs="Times New Roman"/>
                      <w:color w:val="auto"/>
                      <w:kern w:val="2"/>
                      <w:sz w:val="21"/>
                      <w:szCs w:val="21"/>
                      <w:highlight w:val="none"/>
                      <w:lang w:val="en-US" w:eastAsia="zh-CN" w:bidi="ar-SA"/>
                    </w:rPr>
                    <w:t>6</w:t>
                  </w:r>
                  <w:r>
                    <w:rPr>
                      <w:rFonts w:hint="default" w:ascii="Times New Roman" w:hAnsi="Times New Roman" w:eastAsia="Times New Roman" w:cs="Times New Roman"/>
                      <w:color w:val="auto"/>
                      <w:kern w:val="2"/>
                      <w:sz w:val="21"/>
                      <w:szCs w:val="21"/>
                      <w:highlight w:val="none"/>
                      <w:lang w:val="en-US" w:eastAsia="zh-CN" w:bidi="ar-SA"/>
                    </w:rPr>
                    <w:t>#筒仓为水泥筒仓，紧邻</w:t>
                  </w:r>
                  <w:r>
                    <w:rPr>
                      <w:rFonts w:hint="eastAsia" w:ascii="Times New Roman" w:hAnsi="Times New Roman" w:eastAsia="Times New Roman" w:cs="Times New Roman"/>
                      <w:color w:val="auto"/>
                      <w:kern w:val="2"/>
                      <w:sz w:val="21"/>
                      <w:szCs w:val="21"/>
                      <w:highlight w:val="none"/>
                      <w:lang w:val="en-US" w:eastAsia="zh-CN" w:bidi="ar-SA"/>
                    </w:rPr>
                    <w:t>25万t</w:t>
                  </w:r>
                  <w:r>
                    <w:rPr>
                      <w:rFonts w:hint="default" w:ascii="Times New Roman" w:hAnsi="Times New Roman" w:eastAsia="Times New Roman" w:cs="Times New Roman"/>
                      <w:color w:val="auto"/>
                      <w:kern w:val="2"/>
                      <w:sz w:val="21"/>
                      <w:szCs w:val="21"/>
                      <w:highlight w:val="none"/>
                      <w:lang w:val="en-US" w:eastAsia="zh-CN" w:bidi="ar-SA"/>
                    </w:rPr>
                    <w:t>商品混凝土生产线，每个容量为200t，高度均为15米。</w:t>
                  </w:r>
                </w:p>
              </w:tc>
              <w:tc>
                <w:tcPr>
                  <w:tcW w:w="714" w:type="pct"/>
                  <w:vAlign w:val="center"/>
                </w:tcPr>
                <w:p w14:paraId="1694F2B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66E0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474003C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574" w:type="pct"/>
                  <w:gridSpan w:val="2"/>
                  <w:vMerge w:val="continue"/>
                  <w:vAlign w:val="center"/>
                </w:tcPr>
                <w:p w14:paraId="21302D3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c>
                <w:tcPr>
                  <w:tcW w:w="555" w:type="pct"/>
                  <w:vAlign w:val="center"/>
                </w:tcPr>
                <w:p w14:paraId="100A7F8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粉煤灰筒仓1个</w:t>
                  </w:r>
                </w:p>
              </w:tc>
              <w:tc>
                <w:tcPr>
                  <w:tcW w:w="2445" w:type="pct"/>
                  <w:vAlign w:val="center"/>
                </w:tcPr>
                <w:p w14:paraId="4F82666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7</w:t>
                  </w:r>
                  <w:r>
                    <w:rPr>
                      <w:rFonts w:hint="default" w:ascii="Times New Roman" w:hAnsi="Times New Roman" w:eastAsia="Times New Roman" w:cs="Times New Roman"/>
                      <w:color w:val="auto"/>
                      <w:kern w:val="2"/>
                      <w:sz w:val="21"/>
                      <w:szCs w:val="21"/>
                      <w:highlight w:val="none"/>
                      <w:lang w:val="en-US" w:eastAsia="zh-CN" w:bidi="ar-SA"/>
                    </w:rPr>
                    <w:t>#筒仓为粉煤灰筒仓，紧邻</w:t>
                  </w:r>
                  <w:r>
                    <w:rPr>
                      <w:rFonts w:hint="eastAsia" w:ascii="Times New Roman" w:hAnsi="Times New Roman" w:eastAsia="Times New Roman" w:cs="Times New Roman"/>
                      <w:color w:val="auto"/>
                      <w:kern w:val="2"/>
                      <w:sz w:val="21"/>
                      <w:szCs w:val="21"/>
                      <w:highlight w:val="none"/>
                      <w:lang w:val="en-US" w:eastAsia="zh-CN" w:bidi="ar-SA"/>
                    </w:rPr>
                    <w:t>25万t</w:t>
                  </w:r>
                  <w:r>
                    <w:rPr>
                      <w:rFonts w:hint="default" w:ascii="Times New Roman" w:hAnsi="Times New Roman" w:eastAsia="Times New Roman" w:cs="Times New Roman"/>
                      <w:color w:val="auto"/>
                      <w:kern w:val="2"/>
                      <w:sz w:val="21"/>
                      <w:szCs w:val="21"/>
                      <w:highlight w:val="none"/>
                      <w:lang w:val="en-US" w:eastAsia="zh-CN" w:bidi="ar-SA"/>
                    </w:rPr>
                    <w:t>商品混凝土生产线东北侧，容量为200t，高度15米。</w:t>
                  </w:r>
                </w:p>
              </w:tc>
              <w:tc>
                <w:tcPr>
                  <w:tcW w:w="714" w:type="pct"/>
                  <w:vAlign w:val="center"/>
                </w:tcPr>
                <w:p w14:paraId="6A0BB69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44CE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47EAD49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574" w:type="pct"/>
                  <w:gridSpan w:val="2"/>
                  <w:vMerge w:val="continue"/>
                  <w:vAlign w:val="center"/>
                </w:tcPr>
                <w:p w14:paraId="7E311AE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c>
                <w:tcPr>
                  <w:tcW w:w="555" w:type="pct"/>
                  <w:vAlign w:val="center"/>
                </w:tcPr>
                <w:p w14:paraId="6988972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矿粉筒仓1个</w:t>
                  </w:r>
                </w:p>
              </w:tc>
              <w:tc>
                <w:tcPr>
                  <w:tcW w:w="2445" w:type="pct"/>
                  <w:vAlign w:val="center"/>
                </w:tcPr>
                <w:p w14:paraId="4FFF7B8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8</w:t>
                  </w:r>
                  <w:r>
                    <w:rPr>
                      <w:rFonts w:hint="default" w:ascii="Times New Roman" w:hAnsi="Times New Roman" w:eastAsia="Times New Roman" w:cs="Times New Roman"/>
                      <w:color w:val="auto"/>
                      <w:kern w:val="2"/>
                      <w:sz w:val="21"/>
                      <w:szCs w:val="21"/>
                      <w:highlight w:val="none"/>
                      <w:lang w:val="en-US" w:eastAsia="zh-CN" w:bidi="ar-SA"/>
                    </w:rPr>
                    <w:t>#筒仓为矿粉筒仓，紧邻</w:t>
                  </w:r>
                  <w:r>
                    <w:rPr>
                      <w:rFonts w:hint="eastAsia" w:ascii="Times New Roman" w:hAnsi="Times New Roman" w:eastAsia="Times New Roman" w:cs="Times New Roman"/>
                      <w:color w:val="auto"/>
                      <w:kern w:val="2"/>
                      <w:sz w:val="21"/>
                      <w:szCs w:val="21"/>
                      <w:highlight w:val="none"/>
                      <w:lang w:val="en-US" w:eastAsia="zh-CN" w:bidi="ar-SA"/>
                    </w:rPr>
                    <w:t>25万t</w:t>
                  </w:r>
                  <w:r>
                    <w:rPr>
                      <w:rFonts w:hint="default" w:ascii="Times New Roman" w:hAnsi="Times New Roman" w:eastAsia="Times New Roman" w:cs="Times New Roman"/>
                      <w:color w:val="auto"/>
                      <w:kern w:val="2"/>
                      <w:sz w:val="21"/>
                      <w:szCs w:val="21"/>
                      <w:highlight w:val="none"/>
                      <w:lang w:val="en-US" w:eastAsia="zh-CN" w:bidi="ar-SA"/>
                    </w:rPr>
                    <w:t>商品混凝土生产线东侧，容量为200t，高度15米。</w:t>
                  </w:r>
                </w:p>
              </w:tc>
              <w:tc>
                <w:tcPr>
                  <w:tcW w:w="714" w:type="pct"/>
                  <w:vAlign w:val="center"/>
                </w:tcPr>
                <w:p w14:paraId="6270A55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4274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0E4E06F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574" w:type="pct"/>
                  <w:gridSpan w:val="2"/>
                  <w:vAlign w:val="center"/>
                </w:tcPr>
                <w:p w14:paraId="184B8D8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25万吨混</w:t>
                  </w:r>
                  <w:r>
                    <w:rPr>
                      <w:rFonts w:hint="eastAsia" w:ascii="Times New Roman" w:hAnsi="Times New Roman" w:eastAsia="Times New Roman" w:cs="Times New Roman"/>
                      <w:color w:val="auto"/>
                      <w:kern w:val="2"/>
                      <w:sz w:val="21"/>
                      <w:szCs w:val="21"/>
                      <w:highlight w:val="none"/>
                      <w:lang w:val="en-US" w:eastAsia="zh-CN" w:bidi="ar-SA"/>
                    </w:rPr>
                    <w:t>凝</w:t>
                  </w:r>
                  <w:r>
                    <w:rPr>
                      <w:rFonts w:hint="default" w:ascii="Times New Roman" w:hAnsi="Times New Roman" w:eastAsia="Times New Roman" w:cs="Times New Roman"/>
                      <w:color w:val="auto"/>
                      <w:kern w:val="2"/>
                      <w:sz w:val="21"/>
                      <w:szCs w:val="21"/>
                      <w:highlight w:val="none"/>
                      <w:lang w:val="en-US" w:eastAsia="zh-CN" w:bidi="ar-SA"/>
                    </w:rPr>
                    <w:t>土生产线</w:t>
                  </w:r>
                </w:p>
              </w:tc>
              <w:tc>
                <w:tcPr>
                  <w:tcW w:w="555" w:type="pct"/>
                  <w:vAlign w:val="center"/>
                </w:tcPr>
                <w:p w14:paraId="5E82448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筒仓</w:t>
                  </w:r>
                </w:p>
              </w:tc>
              <w:tc>
                <w:tcPr>
                  <w:tcW w:w="2445" w:type="pct"/>
                  <w:vAlign w:val="center"/>
                </w:tcPr>
                <w:p w14:paraId="2A0A3E8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1</w:t>
                  </w:r>
                  <w:r>
                    <w:rPr>
                      <w:rFonts w:hint="default" w:ascii="Times New Roman" w:hAnsi="Times New Roman" w:eastAsia="Times New Roman" w:cs="Times New Roman"/>
                      <w:color w:val="auto"/>
                      <w:kern w:val="2"/>
                      <w:sz w:val="21"/>
                      <w:szCs w:val="21"/>
                      <w:highlight w:val="none"/>
                      <w:lang w:val="en-US" w:eastAsia="zh-CN" w:bidi="ar-SA"/>
                    </w:rPr>
                    <w:t>#、</w:t>
                  </w:r>
                  <w:r>
                    <w:rPr>
                      <w:rFonts w:hint="eastAsia" w:ascii="Times New Roman" w:hAnsi="Times New Roman" w:eastAsia="Times New Roman" w:cs="Times New Roman"/>
                      <w:color w:val="auto"/>
                      <w:kern w:val="2"/>
                      <w:sz w:val="21"/>
                      <w:szCs w:val="21"/>
                      <w:highlight w:val="none"/>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#筒仓为水泥筒仓，</w:t>
                  </w:r>
                  <w:r>
                    <w:rPr>
                      <w:rFonts w:hint="eastAsia" w:ascii="Times New Roman" w:hAnsi="Times New Roman" w:eastAsia="Times New Roman" w:cs="Times New Roman"/>
                      <w:color w:val="auto"/>
                      <w:kern w:val="2"/>
                      <w:sz w:val="21"/>
                      <w:szCs w:val="21"/>
                      <w:highlight w:val="none"/>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#筒仓为粉煤灰筒仓</w:t>
                  </w:r>
                  <w:r>
                    <w:rPr>
                      <w:rFonts w:hint="eastAsia" w:ascii="Times New Roman" w:hAnsi="Times New Roman" w:eastAsia="Times New Roman" w:cs="Times New Roman"/>
                      <w:color w:val="auto"/>
                      <w:kern w:val="2"/>
                      <w:sz w:val="21"/>
                      <w:szCs w:val="21"/>
                      <w:highlight w:val="none"/>
                      <w:lang w:val="en-US" w:eastAsia="zh-CN" w:bidi="ar-SA"/>
                    </w:rPr>
                    <w:t>，4</w:t>
                  </w:r>
                  <w:r>
                    <w:rPr>
                      <w:rFonts w:hint="default" w:ascii="Times New Roman" w:hAnsi="Times New Roman" w:eastAsia="Times New Roman" w:cs="Times New Roman"/>
                      <w:color w:val="auto"/>
                      <w:kern w:val="2"/>
                      <w:sz w:val="21"/>
                      <w:szCs w:val="21"/>
                      <w:highlight w:val="none"/>
                      <w:lang w:val="en-US" w:eastAsia="zh-CN" w:bidi="ar-SA"/>
                    </w:rPr>
                    <w:t>#筒仓为矿粉筒仓。</w:t>
                  </w:r>
                </w:p>
              </w:tc>
              <w:tc>
                <w:tcPr>
                  <w:tcW w:w="714" w:type="pct"/>
                  <w:vAlign w:val="center"/>
                </w:tcPr>
                <w:p w14:paraId="0514217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现有已建项目</w:t>
                  </w:r>
                </w:p>
              </w:tc>
            </w:tr>
            <w:tr w14:paraId="24D4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3B0D411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1129" w:type="pct"/>
                  <w:gridSpan w:val="3"/>
                  <w:vAlign w:val="center"/>
                </w:tcPr>
                <w:p w14:paraId="6F698E4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堆料仓库</w:t>
                  </w:r>
                </w:p>
              </w:tc>
              <w:tc>
                <w:tcPr>
                  <w:tcW w:w="2445" w:type="pct"/>
                  <w:vAlign w:val="center"/>
                </w:tcPr>
                <w:p w14:paraId="0FD53C7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场地东北部为堆料仓库用彩钢瓦进行整体封闭，仅将进出物料口设置为敞开式，占地面积800m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w:t>
                  </w:r>
                </w:p>
              </w:tc>
              <w:tc>
                <w:tcPr>
                  <w:tcW w:w="714" w:type="pct"/>
                  <w:vAlign w:val="center"/>
                </w:tcPr>
                <w:p w14:paraId="1CC2D00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vertAlign w:val="superscript"/>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其中200m</w:t>
                  </w:r>
                  <w:r>
                    <w:rPr>
                      <w:rFonts w:hint="eastAsia" w:ascii="Times New Roman" w:hAnsi="Times New Roman" w:eastAsia="Times New Roman" w:cs="Times New Roman"/>
                      <w:color w:val="auto"/>
                      <w:kern w:val="2"/>
                      <w:sz w:val="21"/>
                      <w:szCs w:val="21"/>
                      <w:highlight w:val="none"/>
                      <w:vertAlign w:val="superscript"/>
                      <w:lang w:val="en-US" w:eastAsia="zh-CN" w:bidi="ar-SA"/>
                    </w:rPr>
                    <w:t>2</w:t>
                  </w:r>
                  <w:r>
                    <w:rPr>
                      <w:rFonts w:hint="eastAsia" w:ascii="Times New Roman" w:hAnsi="Times New Roman" w:eastAsia="Times New Roman" w:cs="Times New Roman"/>
                      <w:color w:val="auto"/>
                      <w:kern w:val="2"/>
                      <w:sz w:val="21"/>
                      <w:szCs w:val="21"/>
                      <w:highlight w:val="none"/>
                      <w:lang w:val="en-US" w:eastAsia="zh-CN" w:bidi="ar-SA"/>
                    </w:rPr>
                    <w:t>为现有项目已建堆料仓库，600m</w:t>
                  </w:r>
                  <w:r>
                    <w:rPr>
                      <w:rFonts w:hint="eastAsia" w:ascii="Times New Roman" w:hAnsi="Times New Roman" w:eastAsia="Times New Roman" w:cs="Times New Roman"/>
                      <w:color w:val="auto"/>
                      <w:kern w:val="2"/>
                      <w:sz w:val="21"/>
                      <w:szCs w:val="21"/>
                      <w:highlight w:val="none"/>
                      <w:vertAlign w:val="superscript"/>
                      <w:lang w:val="en-US" w:eastAsia="zh-CN" w:bidi="ar-SA"/>
                    </w:rPr>
                    <w:t>2</w:t>
                  </w:r>
                  <w:r>
                    <w:rPr>
                      <w:rFonts w:hint="eastAsia" w:ascii="Times New Roman" w:hAnsi="Times New Roman" w:eastAsia="Times New Roman" w:cs="Times New Roman"/>
                      <w:color w:val="auto"/>
                      <w:kern w:val="2"/>
                      <w:sz w:val="21"/>
                      <w:szCs w:val="21"/>
                      <w:highlight w:val="none"/>
                      <w:lang w:val="en-US" w:eastAsia="zh-CN" w:bidi="ar-SA"/>
                    </w:rPr>
                    <w:t>为新建堆料仓库。</w:t>
                  </w:r>
                </w:p>
              </w:tc>
            </w:tr>
            <w:tr w14:paraId="1FB0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A6BA92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1129" w:type="pct"/>
                  <w:gridSpan w:val="3"/>
                  <w:vAlign w:val="center"/>
                </w:tcPr>
                <w:p w14:paraId="379FB22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破碎制砂车间</w:t>
                  </w:r>
                </w:p>
              </w:tc>
              <w:tc>
                <w:tcPr>
                  <w:tcW w:w="2445" w:type="pct"/>
                  <w:vAlign w:val="center"/>
                </w:tcPr>
                <w:p w14:paraId="2B55F49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场地东北部为破碎制砂车间用彩钢瓦进行整体封闭，占地面积200m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w:t>
                  </w:r>
                  <w:r>
                    <w:rPr>
                      <w:rFonts w:hint="eastAsia" w:ascii="Times New Roman" w:hAnsi="Times New Roman" w:eastAsia="Times New Roman" w:cs="Times New Roman"/>
                      <w:color w:val="auto"/>
                      <w:kern w:val="2"/>
                      <w:sz w:val="21"/>
                      <w:szCs w:val="21"/>
                      <w:highlight w:val="none"/>
                      <w:lang w:val="en-US" w:eastAsia="zh-CN" w:bidi="ar-SA"/>
                    </w:rPr>
                    <w:t>设置打砂机1台、振动筛1台。</w:t>
                  </w:r>
                </w:p>
              </w:tc>
              <w:tc>
                <w:tcPr>
                  <w:tcW w:w="714" w:type="pct"/>
                  <w:vAlign w:val="center"/>
                </w:tcPr>
                <w:p w14:paraId="0F25980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656B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restart"/>
                  <w:vAlign w:val="center"/>
                </w:tcPr>
                <w:p w14:paraId="4108920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辅助工程</w:t>
                  </w:r>
                </w:p>
              </w:tc>
              <w:tc>
                <w:tcPr>
                  <w:tcW w:w="1129" w:type="pct"/>
                  <w:gridSpan w:val="3"/>
                  <w:vAlign w:val="center"/>
                </w:tcPr>
                <w:p w14:paraId="1326CE1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综合住房楼</w:t>
                  </w:r>
                </w:p>
              </w:tc>
              <w:tc>
                <w:tcPr>
                  <w:tcW w:w="2445" w:type="pct"/>
                  <w:vAlign w:val="center"/>
                </w:tcPr>
                <w:p w14:paraId="5530F74F">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原项目已建1栋2层的砖混结构综合楼和1栋2层的彩钢瓦结构住宿楼位于项目地块西部，总建筑面积为2000m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，高度为12.1m；综合楼主要为办公室，住宿楼包含宿舍、食堂。</w:t>
                  </w:r>
                </w:p>
              </w:tc>
              <w:tc>
                <w:tcPr>
                  <w:tcW w:w="714" w:type="pct"/>
                  <w:vMerge w:val="restart"/>
                  <w:vAlign w:val="center"/>
                </w:tcPr>
                <w:p w14:paraId="56383AF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项目已建综合楼和住宿楼内部分建筑</w:t>
                  </w:r>
                </w:p>
              </w:tc>
            </w:tr>
            <w:tr w14:paraId="3B6A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0" w:type="pct"/>
                  <w:vMerge w:val="continue"/>
                  <w:vAlign w:val="center"/>
                </w:tcPr>
                <w:p w14:paraId="2DA8A0A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0097462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办公楼</w:t>
                  </w:r>
                </w:p>
              </w:tc>
              <w:tc>
                <w:tcPr>
                  <w:tcW w:w="2445" w:type="pct"/>
                  <w:vAlign w:val="center"/>
                </w:tcPr>
                <w:p w14:paraId="70E675D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位于综合楼的1F，主要作为办公及会议使用。</w:t>
                  </w:r>
                </w:p>
              </w:tc>
              <w:tc>
                <w:tcPr>
                  <w:tcW w:w="714" w:type="pct"/>
                  <w:vMerge w:val="continue"/>
                  <w:vAlign w:val="center"/>
                </w:tcPr>
                <w:p w14:paraId="244A8B2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5D30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1D6BA2B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15D8E66F">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宿舍</w:t>
                  </w:r>
                </w:p>
              </w:tc>
              <w:tc>
                <w:tcPr>
                  <w:tcW w:w="2445" w:type="pct"/>
                  <w:vAlign w:val="center"/>
                </w:tcPr>
                <w:p w14:paraId="5BE7AB22">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位于综合楼1楼、住宿楼2层，用于员工日常生活。</w:t>
                  </w:r>
                </w:p>
              </w:tc>
              <w:tc>
                <w:tcPr>
                  <w:tcW w:w="714" w:type="pct"/>
                  <w:vMerge w:val="continue"/>
                  <w:vAlign w:val="center"/>
                </w:tcPr>
                <w:p w14:paraId="646A1C5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55EA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2499968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105A0D47">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食堂</w:t>
                  </w:r>
                </w:p>
              </w:tc>
              <w:tc>
                <w:tcPr>
                  <w:tcW w:w="2445" w:type="pct"/>
                  <w:vAlign w:val="center"/>
                </w:tcPr>
                <w:p w14:paraId="46415DF0">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位于住宿楼1层</w:t>
                  </w:r>
                </w:p>
              </w:tc>
              <w:tc>
                <w:tcPr>
                  <w:tcW w:w="714" w:type="pct"/>
                  <w:vMerge w:val="continue"/>
                  <w:vAlign w:val="center"/>
                </w:tcPr>
                <w:p w14:paraId="479D08E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5353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5314098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28CCBC35">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门卫室</w:t>
                  </w:r>
                </w:p>
              </w:tc>
              <w:tc>
                <w:tcPr>
                  <w:tcW w:w="2445" w:type="pct"/>
                  <w:vAlign w:val="center"/>
                </w:tcPr>
                <w:p w14:paraId="3D11977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项目区出入口旁设置1栋门卫室</w:t>
                  </w:r>
                </w:p>
              </w:tc>
              <w:tc>
                <w:tcPr>
                  <w:tcW w:w="714" w:type="pct"/>
                  <w:vMerge w:val="continue"/>
                  <w:vAlign w:val="center"/>
                </w:tcPr>
                <w:p w14:paraId="6838AC9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6BDC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4F4F867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798E021F">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物资仓库</w:t>
                  </w:r>
                </w:p>
              </w:tc>
              <w:tc>
                <w:tcPr>
                  <w:tcW w:w="2445" w:type="pct"/>
                  <w:vAlign w:val="center"/>
                </w:tcPr>
                <w:p w14:paraId="586D0BBE">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设置1间物资仓库，位于项目区西北部，储存机油、润滑油等。</w:t>
                  </w:r>
                </w:p>
              </w:tc>
              <w:tc>
                <w:tcPr>
                  <w:tcW w:w="714" w:type="pct"/>
                  <w:vMerge w:val="continue"/>
                  <w:vAlign w:val="center"/>
                </w:tcPr>
                <w:p w14:paraId="0ACF3B6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6630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3C2440B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3C6C565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厂区运输道路</w:t>
                  </w:r>
                </w:p>
              </w:tc>
              <w:tc>
                <w:tcPr>
                  <w:tcW w:w="2445" w:type="pct"/>
                  <w:vAlign w:val="center"/>
                </w:tcPr>
                <w:p w14:paraId="0EE55A0A">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用于厂区内运输道路。</w:t>
                  </w:r>
                </w:p>
              </w:tc>
              <w:tc>
                <w:tcPr>
                  <w:tcW w:w="714" w:type="pct"/>
                  <w:vMerge w:val="continue"/>
                  <w:vAlign w:val="center"/>
                </w:tcPr>
                <w:p w14:paraId="3C8B7C1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308E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79F148E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6E4A51C6">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停车区</w:t>
                  </w:r>
                </w:p>
              </w:tc>
              <w:tc>
                <w:tcPr>
                  <w:tcW w:w="2445" w:type="pct"/>
                  <w:vAlign w:val="center"/>
                </w:tcPr>
                <w:p w14:paraId="081B60F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停放运输车辆及员工车辆。</w:t>
                  </w:r>
                </w:p>
              </w:tc>
              <w:tc>
                <w:tcPr>
                  <w:tcW w:w="714" w:type="pct"/>
                  <w:vMerge w:val="continue"/>
                  <w:vAlign w:val="center"/>
                </w:tcPr>
                <w:p w14:paraId="53FAA39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4D8D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40C5C23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34EFE446">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输送皮带</w:t>
                  </w:r>
                </w:p>
              </w:tc>
              <w:tc>
                <w:tcPr>
                  <w:tcW w:w="2445" w:type="pct"/>
                  <w:vAlign w:val="center"/>
                </w:tcPr>
                <w:p w14:paraId="314248C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生产过程物料输送使用密闭皮带运输</w:t>
                  </w:r>
                  <w:r>
                    <w:rPr>
                      <w:rFonts w:hint="eastAsia" w:ascii="Times New Roman" w:eastAsia="Times New Roman" w:cs="Times New Roman"/>
                      <w:color w:val="auto"/>
                      <w:kern w:val="2"/>
                      <w:sz w:val="21"/>
                      <w:szCs w:val="21"/>
                      <w:highlight w:val="none"/>
                      <w:lang w:val="en-US" w:eastAsia="zh-CN" w:bidi="ar-SA"/>
                    </w:rPr>
                    <w:t>，现有皮带长约50m，新增皮带长约20m。</w:t>
                  </w:r>
                </w:p>
              </w:tc>
              <w:tc>
                <w:tcPr>
                  <w:tcW w:w="714" w:type="pct"/>
                  <w:vAlign w:val="center"/>
                </w:tcPr>
                <w:p w14:paraId="2708551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其中</w:t>
                  </w:r>
                  <w:r>
                    <w:rPr>
                      <w:rFonts w:hint="eastAsia" w:ascii="Times New Roman" w:eastAsia="Times New Roman" w:cs="Times New Roman"/>
                      <w:color w:val="auto"/>
                      <w:kern w:val="2"/>
                      <w:sz w:val="21"/>
                      <w:szCs w:val="21"/>
                      <w:highlight w:val="none"/>
                      <w:lang w:val="en-US" w:eastAsia="zh-CN" w:bidi="ar-SA"/>
                    </w:rPr>
                    <w:t>50m</w:t>
                  </w:r>
                  <w:r>
                    <w:rPr>
                      <w:rFonts w:hint="eastAsia" w:ascii="Times New Roman" w:hAnsi="Times New Roman" w:eastAsia="Times New Roman" w:cs="Times New Roman"/>
                      <w:color w:val="auto"/>
                      <w:kern w:val="2"/>
                      <w:sz w:val="21"/>
                      <w:szCs w:val="21"/>
                      <w:highlight w:val="none"/>
                      <w:lang w:val="en-US" w:eastAsia="zh-CN" w:bidi="ar-SA"/>
                    </w:rPr>
                    <w:t>为现有项目已建</w:t>
                  </w:r>
                  <w:r>
                    <w:rPr>
                      <w:rFonts w:hint="default" w:ascii="Times New Roman" w:hAnsi="Times New Roman" w:eastAsia="Times New Roman" w:cs="Times New Roman"/>
                      <w:color w:val="auto"/>
                      <w:kern w:val="2"/>
                      <w:sz w:val="21"/>
                      <w:szCs w:val="21"/>
                      <w:highlight w:val="none"/>
                      <w:lang w:val="en-US" w:eastAsia="zh-CN" w:bidi="ar-SA"/>
                    </w:rPr>
                    <w:t>密闭皮带</w:t>
                  </w:r>
                  <w:r>
                    <w:rPr>
                      <w:rFonts w:hint="eastAsia" w:ascii="Times New Roman" w:hAnsi="Times New Roman" w:eastAsia="Times New Roman" w:cs="Times New Roman"/>
                      <w:color w:val="auto"/>
                      <w:kern w:val="2"/>
                      <w:sz w:val="21"/>
                      <w:szCs w:val="21"/>
                      <w:highlight w:val="none"/>
                      <w:lang w:val="en-US" w:eastAsia="zh-CN" w:bidi="ar-SA"/>
                    </w:rPr>
                    <w:t>，20m为新增</w:t>
                  </w:r>
                  <w:r>
                    <w:rPr>
                      <w:rFonts w:hint="default" w:ascii="Times New Roman" w:hAnsi="Times New Roman" w:eastAsia="Times New Roman" w:cs="Times New Roman"/>
                      <w:color w:val="auto"/>
                      <w:kern w:val="2"/>
                      <w:sz w:val="21"/>
                      <w:szCs w:val="21"/>
                      <w:highlight w:val="none"/>
                      <w:lang w:val="en-US" w:eastAsia="zh-CN" w:bidi="ar-SA"/>
                    </w:rPr>
                    <w:t>密闭皮带</w:t>
                  </w:r>
                  <w:r>
                    <w:rPr>
                      <w:rFonts w:hint="eastAsia" w:ascii="Times New Roman" w:hAnsi="Times New Roman" w:eastAsia="Times New Roman" w:cs="Times New Roman"/>
                      <w:color w:val="auto"/>
                      <w:kern w:val="2"/>
                      <w:sz w:val="21"/>
                      <w:szCs w:val="21"/>
                      <w:highlight w:val="none"/>
                      <w:lang w:val="en-US" w:eastAsia="zh-CN" w:bidi="ar-SA"/>
                    </w:rPr>
                    <w:t>。</w:t>
                  </w:r>
                </w:p>
              </w:tc>
            </w:tr>
            <w:tr w14:paraId="7FC4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restart"/>
                  <w:vAlign w:val="center"/>
                </w:tcPr>
                <w:p w14:paraId="5FA56BD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公用工程</w:t>
                  </w:r>
                </w:p>
              </w:tc>
              <w:tc>
                <w:tcPr>
                  <w:tcW w:w="1129" w:type="pct"/>
                  <w:gridSpan w:val="3"/>
                  <w:vAlign w:val="center"/>
                </w:tcPr>
                <w:p w14:paraId="404BDD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供水</w:t>
                  </w:r>
                </w:p>
              </w:tc>
              <w:tc>
                <w:tcPr>
                  <w:tcW w:w="2445" w:type="pct"/>
                  <w:vAlign w:val="center"/>
                </w:tcPr>
                <w:p w14:paraId="68BEFC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由哨上大村供水管网供给。</w:t>
                  </w:r>
                </w:p>
              </w:tc>
              <w:tc>
                <w:tcPr>
                  <w:tcW w:w="714" w:type="pct"/>
                  <w:vMerge w:val="restart"/>
                  <w:vAlign w:val="center"/>
                </w:tcPr>
                <w:p w14:paraId="31E078E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项目已建公用工程系统设施</w:t>
                  </w:r>
                </w:p>
              </w:tc>
            </w:tr>
            <w:tr w14:paraId="5B01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DF8F4A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6E7B152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排水</w:t>
                  </w:r>
                </w:p>
              </w:tc>
              <w:tc>
                <w:tcPr>
                  <w:tcW w:w="2445" w:type="pct"/>
                  <w:vAlign w:val="center"/>
                </w:tcPr>
                <w:p w14:paraId="14BDD893">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采取雨污分流系统</w:t>
                  </w:r>
                </w:p>
                <w:p w14:paraId="12043E4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①雨水：厂区硬化地上雨水经地势北高南低汇入“沉淀池”系统处理后回用于项目生产过程，厂区周边设有雨水沟，厂区周边降雨经过雨水沟直接外排，不参与生产使用。</w:t>
                  </w:r>
                </w:p>
                <w:p w14:paraId="4F5A1FAB">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②污水：项目食堂废水先经隔油池处理后，再同生活污水排入化粪池处理后，用于农田堆肥；项目搅拌机清洗废水混凝土运输车辆罐体内部及罐车外部清洗废水、厂区硬化地面冲洗废水经沉淀池处理后回用于项目生产过程，不外排。</w:t>
                  </w:r>
                </w:p>
              </w:tc>
              <w:tc>
                <w:tcPr>
                  <w:tcW w:w="714" w:type="pct"/>
                  <w:vMerge w:val="continue"/>
                  <w:vAlign w:val="center"/>
                </w:tcPr>
                <w:p w14:paraId="437DE3A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385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2F21221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490B61DB">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道路、地面硬化区</w:t>
                  </w:r>
                </w:p>
              </w:tc>
              <w:tc>
                <w:tcPr>
                  <w:tcW w:w="2445" w:type="pct"/>
                  <w:vAlign w:val="center"/>
                </w:tcPr>
                <w:p w14:paraId="7C1A6FD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占地面积3800m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w:t>
                  </w:r>
                </w:p>
              </w:tc>
              <w:tc>
                <w:tcPr>
                  <w:tcW w:w="714" w:type="pct"/>
                  <w:vMerge w:val="continue"/>
                  <w:vAlign w:val="center"/>
                </w:tcPr>
                <w:p w14:paraId="7FA1EE0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18BC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292AA46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3D306F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供电</w:t>
                  </w:r>
                </w:p>
              </w:tc>
              <w:tc>
                <w:tcPr>
                  <w:tcW w:w="2445" w:type="pct"/>
                  <w:vAlign w:val="center"/>
                </w:tcPr>
                <w:p w14:paraId="706310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从</w:t>
                  </w:r>
                  <w:r>
                    <w:rPr>
                      <w:rFonts w:hint="default" w:ascii="Times New Roman" w:hAnsi="Times New Roman" w:cs="Times New Roman"/>
                      <w:color w:val="auto"/>
                      <w:lang w:val="en-US" w:eastAsia="zh-CN"/>
                    </w:rPr>
                    <w:t>金所乡哨上大村</w:t>
                  </w:r>
                  <w:r>
                    <w:rPr>
                      <w:rFonts w:hint="default" w:ascii="Times New Roman" w:hAnsi="Times New Roman" w:cs="Times New Roman"/>
                      <w:color w:val="auto"/>
                    </w:rPr>
                    <w:t>输电线路，</w:t>
                  </w:r>
                  <w:r>
                    <w:rPr>
                      <w:rFonts w:hint="default" w:ascii="Times New Roman" w:hAnsi="Times New Roman" w:cs="Times New Roman"/>
                      <w:color w:val="auto"/>
                      <w:lang w:val="en-US" w:eastAsia="zh-CN"/>
                    </w:rPr>
                    <w:t>输电线</w:t>
                  </w:r>
                  <w:r>
                    <w:rPr>
                      <w:rFonts w:hint="default" w:ascii="Times New Roman" w:hAnsi="Times New Roman" w:cs="Times New Roman"/>
                      <w:color w:val="auto"/>
                    </w:rPr>
                    <w:t>缆引入电力变压器，再经电力变压器降压后为380/220V供项目用电</w:t>
                  </w:r>
                  <w:r>
                    <w:rPr>
                      <w:rFonts w:hint="default" w:ascii="Times New Roman" w:hAnsi="Times New Roman" w:cs="Times New Roman"/>
                      <w:color w:val="auto"/>
                      <w:lang w:eastAsia="zh-CN"/>
                    </w:rPr>
                    <w:t>。</w:t>
                  </w:r>
                </w:p>
              </w:tc>
              <w:tc>
                <w:tcPr>
                  <w:tcW w:w="714" w:type="pct"/>
                  <w:vMerge w:val="continue"/>
                  <w:vAlign w:val="center"/>
                </w:tcPr>
                <w:p w14:paraId="2345A81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52A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B296F5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35C1A1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2445" w:type="pct"/>
                  <w:vAlign w:val="center"/>
                </w:tcPr>
                <w:p w14:paraId="314C35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cs="Times New Roman"/>
                      <w:color w:val="auto"/>
                      <w:kern w:val="0"/>
                      <w:sz w:val="21"/>
                      <w:szCs w:val="21"/>
                      <w:highlight w:val="none"/>
                      <w:lang w:eastAsia="zh-CN"/>
                    </w:rPr>
                    <w:t>配有</w:t>
                  </w:r>
                  <w:r>
                    <w:rPr>
                      <w:rFonts w:hint="default" w:ascii="Times New Roman" w:hAnsi="Times New Roman" w:eastAsia="宋体" w:cs="Times New Roman"/>
                      <w:color w:val="auto"/>
                      <w:kern w:val="0"/>
                      <w:sz w:val="21"/>
                      <w:szCs w:val="21"/>
                      <w:highlight w:val="none"/>
                    </w:rPr>
                    <w:t>灭火器</w:t>
                  </w:r>
                </w:p>
              </w:tc>
              <w:tc>
                <w:tcPr>
                  <w:tcW w:w="714" w:type="pct"/>
                  <w:vMerge w:val="continue"/>
                  <w:vAlign w:val="center"/>
                </w:tcPr>
                <w:p w14:paraId="466D65D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5AF0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restart"/>
                  <w:vAlign w:val="center"/>
                </w:tcPr>
                <w:p w14:paraId="1BE319F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环保工程</w:t>
                  </w:r>
                </w:p>
              </w:tc>
              <w:tc>
                <w:tcPr>
                  <w:tcW w:w="560" w:type="pct"/>
                  <w:vAlign w:val="center"/>
                </w:tcPr>
                <w:p w14:paraId="20B3C45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生活污水处理设施</w:t>
                  </w:r>
                </w:p>
              </w:tc>
              <w:tc>
                <w:tcPr>
                  <w:tcW w:w="569" w:type="pct"/>
                  <w:gridSpan w:val="2"/>
                  <w:vAlign w:val="center"/>
                </w:tcPr>
                <w:p w14:paraId="3F6C6F7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隔油池</w:t>
                  </w:r>
                </w:p>
              </w:tc>
              <w:tc>
                <w:tcPr>
                  <w:tcW w:w="2445" w:type="pct"/>
                  <w:vAlign w:val="center"/>
                </w:tcPr>
                <w:p w14:paraId="46C139DE">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容积2m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的三级隔油池1座，用于含油废水隔油预处理。</w:t>
                  </w:r>
                </w:p>
              </w:tc>
              <w:tc>
                <w:tcPr>
                  <w:tcW w:w="714" w:type="pct"/>
                  <w:vAlign w:val="center"/>
                </w:tcPr>
                <w:p w14:paraId="5A2375D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项目已建隔油池</w:t>
                  </w:r>
                </w:p>
              </w:tc>
            </w:tr>
            <w:tr w14:paraId="41EB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85F7E7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Align w:val="center"/>
                </w:tcPr>
                <w:p w14:paraId="5C5581B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生产废水处理设施</w:t>
                  </w:r>
                </w:p>
              </w:tc>
              <w:tc>
                <w:tcPr>
                  <w:tcW w:w="569" w:type="pct"/>
                  <w:gridSpan w:val="2"/>
                  <w:vAlign w:val="center"/>
                </w:tcPr>
                <w:p w14:paraId="6E2C1FC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沉淀池</w:t>
                  </w:r>
                </w:p>
              </w:tc>
              <w:tc>
                <w:tcPr>
                  <w:tcW w:w="2445" w:type="pct"/>
                  <w:vAlign w:val="center"/>
                </w:tcPr>
                <w:p w14:paraId="1F4F5B92">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设置1个三级沉淀池：容积150m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w:t>
                  </w:r>
                </w:p>
              </w:tc>
              <w:tc>
                <w:tcPr>
                  <w:tcW w:w="714" w:type="pct"/>
                  <w:vAlign w:val="center"/>
                </w:tcPr>
                <w:p w14:paraId="1F09444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项目已建生产废水处理设施</w:t>
                  </w:r>
                </w:p>
              </w:tc>
            </w:tr>
            <w:tr w14:paraId="7F5D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2CA04A1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Align w:val="center"/>
                </w:tcPr>
                <w:p w14:paraId="77B7EE4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化粪池</w:t>
                  </w:r>
                </w:p>
              </w:tc>
              <w:tc>
                <w:tcPr>
                  <w:tcW w:w="569" w:type="pct"/>
                  <w:gridSpan w:val="2"/>
                  <w:vAlign w:val="center"/>
                </w:tcPr>
                <w:p w14:paraId="2EBAFE40">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卫生间</w:t>
                  </w:r>
                </w:p>
              </w:tc>
              <w:tc>
                <w:tcPr>
                  <w:tcW w:w="2445" w:type="pct"/>
                  <w:vAlign w:val="center"/>
                </w:tcPr>
                <w:p w14:paraId="228ADEE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在项目地块南侧，用于处理排泄污染物</w:t>
                  </w:r>
                  <w:r>
                    <w:rPr>
                      <w:rFonts w:hint="eastAsia" w:ascii="Times New Roman" w:eastAsia="Times New Roman" w:cs="Times New Roman"/>
                      <w:color w:val="auto"/>
                      <w:kern w:val="2"/>
                      <w:sz w:val="21"/>
                      <w:szCs w:val="21"/>
                      <w:highlight w:val="none"/>
                      <w:lang w:val="en-US" w:eastAsia="zh-CN" w:bidi="ar-SA"/>
                    </w:rPr>
                    <w:t>，化粪池容积</w:t>
                  </w:r>
                  <w:r>
                    <w:rPr>
                      <w:rFonts w:hint="eastAsia" w:ascii="Times New Roman" w:hAnsi="Times New Roman" w:eastAsia="Times New Roman" w:cs="Times New Roman"/>
                      <w:color w:val="auto"/>
                      <w:kern w:val="2"/>
                      <w:sz w:val="21"/>
                      <w:szCs w:val="21"/>
                      <w:highlight w:val="none"/>
                      <w:lang w:val="en-US" w:eastAsia="zh-CN" w:bidi="ar-SA"/>
                    </w:rPr>
                    <w:t>5</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w:t>
                  </w:r>
                </w:p>
              </w:tc>
              <w:tc>
                <w:tcPr>
                  <w:tcW w:w="714" w:type="pct"/>
                  <w:vAlign w:val="center"/>
                </w:tcPr>
                <w:p w14:paraId="5C3689C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项目已建化粪池</w:t>
                  </w:r>
                </w:p>
              </w:tc>
            </w:tr>
            <w:tr w14:paraId="0DDD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53AEBFF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restart"/>
                  <w:vAlign w:val="center"/>
                </w:tcPr>
                <w:p w14:paraId="1B2C8A45">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有组织</w:t>
                  </w:r>
                </w:p>
                <w:p w14:paraId="4AF55AEC">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粉尘治理设施</w:t>
                  </w:r>
                </w:p>
              </w:tc>
              <w:tc>
                <w:tcPr>
                  <w:tcW w:w="569" w:type="pct"/>
                  <w:gridSpan w:val="2"/>
                  <w:vMerge w:val="restart"/>
                  <w:vAlign w:val="center"/>
                </w:tcPr>
                <w:p w14:paraId="03F5D45B">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25万吨混</w:t>
                  </w:r>
                  <w:r>
                    <w:rPr>
                      <w:rFonts w:hint="eastAsia" w:cs="Times New Roman"/>
                      <w:color w:val="auto"/>
                      <w:kern w:val="2"/>
                      <w:sz w:val="21"/>
                      <w:szCs w:val="21"/>
                      <w:highlight w:val="none"/>
                      <w:lang w:val="en-US" w:eastAsia="zh-CN" w:bidi="ar-SA"/>
                    </w:rPr>
                    <w:t>凝</w:t>
                  </w:r>
                  <w:r>
                    <w:rPr>
                      <w:rFonts w:hint="default" w:ascii="Times New Roman" w:hAnsi="Times New Roman" w:eastAsia="Times New Roman" w:cs="Times New Roman"/>
                      <w:color w:val="auto"/>
                      <w:kern w:val="2"/>
                      <w:sz w:val="21"/>
                      <w:szCs w:val="21"/>
                      <w:highlight w:val="none"/>
                      <w:lang w:val="en-US" w:eastAsia="zh-CN" w:bidi="ar-SA"/>
                    </w:rPr>
                    <w:t>土生产线</w:t>
                  </w:r>
                  <w:r>
                    <w:rPr>
                      <w:rFonts w:hint="eastAsia" w:ascii="Times New Roman" w:hAnsi="Times New Roman" w:eastAsia="Times New Roman" w:cs="Times New Roman"/>
                      <w:color w:val="auto"/>
                      <w:kern w:val="2"/>
                      <w:sz w:val="21"/>
                      <w:szCs w:val="21"/>
                      <w:highlight w:val="none"/>
                      <w:lang w:val="en-US" w:eastAsia="zh-CN" w:bidi="ar-SA"/>
                    </w:rPr>
                    <w:t>筒仓</w:t>
                  </w:r>
                </w:p>
              </w:tc>
              <w:tc>
                <w:tcPr>
                  <w:tcW w:w="2445" w:type="pct"/>
                  <w:vAlign w:val="center"/>
                </w:tcPr>
                <w:p w14:paraId="554A67CE">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asci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1#</w:t>
                  </w:r>
                  <w:r>
                    <w:rPr>
                      <w:rFonts w:hint="default" w:ascii="Times New Roman" w:hAnsi="Times New Roman" w:eastAsia="Times New Roman" w:cs="Times New Roman"/>
                      <w:color w:val="auto"/>
                      <w:kern w:val="2"/>
                      <w:sz w:val="21"/>
                      <w:szCs w:val="21"/>
                      <w:highlight w:val="none"/>
                      <w:lang w:val="en-US" w:eastAsia="zh-CN" w:bidi="ar-SA"/>
                    </w:rPr>
                    <w:t>水泥筒仓顶部设置脉冲布袋除尘器</w:t>
                  </w:r>
                  <w:r>
                    <w:rPr>
                      <w:rFonts w:hint="eastAsia" w:ascii="Times New Roman" w:eastAsia="Times New Roman" w:cs="Times New Roman"/>
                      <w:color w:val="auto"/>
                      <w:kern w:val="2"/>
                      <w:sz w:val="21"/>
                      <w:szCs w:val="21"/>
                      <w:highlight w:val="none"/>
                      <w:lang w:val="en-US" w:eastAsia="zh-CN" w:bidi="ar-SA"/>
                    </w:rPr>
                    <w:t>（1#），处理后的废气经仓顶呼吸口（DA001）排放。</w:t>
                  </w:r>
                </w:p>
              </w:tc>
              <w:tc>
                <w:tcPr>
                  <w:tcW w:w="714" w:type="pct"/>
                  <w:vMerge w:val="restart"/>
                  <w:vAlign w:val="center"/>
                </w:tcPr>
                <w:p w14:paraId="0D971042">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现有已建项目</w:t>
                  </w:r>
                </w:p>
              </w:tc>
            </w:tr>
            <w:tr w14:paraId="4118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33EFBB1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4FA5E7E4">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569" w:type="pct"/>
                  <w:gridSpan w:val="2"/>
                  <w:vMerge w:val="continue"/>
                  <w:vAlign w:val="center"/>
                </w:tcPr>
                <w:p w14:paraId="22FFD041">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Times New Roman" w:cs="Times New Roman"/>
                      <w:color w:val="auto"/>
                      <w:kern w:val="2"/>
                      <w:sz w:val="21"/>
                      <w:szCs w:val="21"/>
                      <w:highlight w:val="none"/>
                      <w:lang w:val="en-US" w:eastAsia="zh-CN" w:bidi="ar-SA"/>
                    </w:rPr>
                  </w:pPr>
                </w:p>
              </w:tc>
              <w:tc>
                <w:tcPr>
                  <w:tcW w:w="2445" w:type="pct"/>
                  <w:vAlign w:val="center"/>
                </w:tcPr>
                <w:p w14:paraId="1CC57A9B">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asci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水泥筒仓顶部设置脉冲布袋除尘器</w:t>
                  </w:r>
                  <w:r>
                    <w:rPr>
                      <w:rFonts w:hint="eastAsia" w:ascii="Times New Roman" w:eastAsia="Times New Roman" w:cs="Times New Roman"/>
                      <w:color w:val="auto"/>
                      <w:kern w:val="2"/>
                      <w:sz w:val="21"/>
                      <w:szCs w:val="21"/>
                      <w:highlight w:val="none"/>
                      <w:lang w:val="en-US" w:eastAsia="zh-CN" w:bidi="ar-SA"/>
                    </w:rPr>
                    <w:t>（2#），处理后的废气经仓顶呼吸口（DA003）排放。</w:t>
                  </w:r>
                </w:p>
              </w:tc>
              <w:tc>
                <w:tcPr>
                  <w:tcW w:w="714" w:type="pct"/>
                  <w:vMerge w:val="continue"/>
                  <w:vAlign w:val="center"/>
                </w:tcPr>
                <w:p w14:paraId="510F7433">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43E4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03E5F21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433AA8E7">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569" w:type="pct"/>
                  <w:gridSpan w:val="2"/>
                  <w:vMerge w:val="continue"/>
                  <w:vAlign w:val="center"/>
                </w:tcPr>
                <w:p w14:paraId="7E7D4CCC">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Times New Roman" w:cs="Times New Roman"/>
                      <w:color w:val="auto"/>
                      <w:kern w:val="2"/>
                      <w:sz w:val="21"/>
                      <w:szCs w:val="21"/>
                      <w:highlight w:val="none"/>
                      <w:lang w:val="en-US" w:eastAsia="zh-CN" w:bidi="ar-SA"/>
                    </w:rPr>
                  </w:pPr>
                </w:p>
              </w:tc>
              <w:tc>
                <w:tcPr>
                  <w:tcW w:w="2445" w:type="pct"/>
                  <w:vAlign w:val="center"/>
                </w:tcPr>
                <w:p w14:paraId="2E194090">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asci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3#粉煤灰</w:t>
                  </w:r>
                  <w:r>
                    <w:rPr>
                      <w:rFonts w:hint="default" w:ascii="Times New Roman" w:hAnsi="Times New Roman" w:eastAsia="Times New Roman" w:cs="Times New Roman"/>
                      <w:color w:val="auto"/>
                      <w:kern w:val="2"/>
                      <w:sz w:val="21"/>
                      <w:szCs w:val="21"/>
                      <w:highlight w:val="none"/>
                      <w:lang w:val="en-US" w:eastAsia="zh-CN" w:bidi="ar-SA"/>
                    </w:rPr>
                    <w:t>筒仓顶部设置脉冲布袋除尘器</w:t>
                  </w:r>
                  <w:r>
                    <w:rPr>
                      <w:rFonts w:hint="eastAsia" w:ascii="Times New Roman" w:eastAsia="Times New Roman" w:cs="Times New Roman"/>
                      <w:color w:val="auto"/>
                      <w:kern w:val="2"/>
                      <w:sz w:val="21"/>
                      <w:szCs w:val="21"/>
                      <w:highlight w:val="none"/>
                      <w:lang w:val="en-US" w:eastAsia="zh-CN" w:bidi="ar-SA"/>
                    </w:rPr>
                    <w:t>（3#），处理后的废气经仓顶呼吸口（DA003）排放。</w:t>
                  </w:r>
                </w:p>
              </w:tc>
              <w:tc>
                <w:tcPr>
                  <w:tcW w:w="714" w:type="pct"/>
                  <w:vMerge w:val="continue"/>
                  <w:vAlign w:val="center"/>
                </w:tcPr>
                <w:p w14:paraId="69EFE26A">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2CA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14DCCD9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2CA50545">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569" w:type="pct"/>
                  <w:gridSpan w:val="2"/>
                  <w:vMerge w:val="continue"/>
                  <w:vAlign w:val="center"/>
                </w:tcPr>
                <w:p w14:paraId="712FBDDA">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Times New Roman" w:cs="Times New Roman"/>
                      <w:color w:val="auto"/>
                      <w:kern w:val="2"/>
                      <w:sz w:val="21"/>
                      <w:szCs w:val="21"/>
                      <w:highlight w:val="none"/>
                      <w:lang w:val="en-US" w:eastAsia="zh-CN" w:bidi="ar-SA"/>
                    </w:rPr>
                  </w:pPr>
                </w:p>
              </w:tc>
              <w:tc>
                <w:tcPr>
                  <w:tcW w:w="2445" w:type="pct"/>
                  <w:vAlign w:val="center"/>
                </w:tcPr>
                <w:p w14:paraId="7CA3E743">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asci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4#</w:t>
                  </w:r>
                  <w:r>
                    <w:rPr>
                      <w:rFonts w:hint="eastAsia"/>
                      <w:color w:val="auto"/>
                      <w:sz w:val="21"/>
                      <w:szCs w:val="21"/>
                      <w:lang w:val="en-US" w:eastAsia="zh-CN"/>
                    </w:rPr>
                    <w:t>矿粉</w:t>
                  </w:r>
                  <w:r>
                    <w:rPr>
                      <w:rFonts w:hint="default" w:ascii="Times New Roman" w:hAnsi="Times New Roman" w:eastAsia="Times New Roman" w:cs="Times New Roman"/>
                      <w:color w:val="auto"/>
                      <w:kern w:val="2"/>
                      <w:sz w:val="21"/>
                      <w:szCs w:val="21"/>
                      <w:highlight w:val="none"/>
                      <w:lang w:val="en-US" w:eastAsia="zh-CN" w:bidi="ar-SA"/>
                    </w:rPr>
                    <w:t>筒仓顶部设置脉冲布袋除尘器</w:t>
                  </w:r>
                  <w:r>
                    <w:rPr>
                      <w:rFonts w:hint="eastAsia" w:ascii="Times New Roman" w:eastAsia="Times New Roman" w:cs="Times New Roman"/>
                      <w:color w:val="auto"/>
                      <w:kern w:val="2"/>
                      <w:sz w:val="21"/>
                      <w:szCs w:val="21"/>
                      <w:highlight w:val="none"/>
                      <w:lang w:val="en-US" w:eastAsia="zh-CN" w:bidi="ar-SA"/>
                    </w:rPr>
                    <w:t>（4#），处理后的废气经仓顶呼吸口（DA004）排放。</w:t>
                  </w:r>
                </w:p>
              </w:tc>
              <w:tc>
                <w:tcPr>
                  <w:tcW w:w="714" w:type="pct"/>
                  <w:vMerge w:val="continue"/>
                  <w:vAlign w:val="center"/>
                </w:tcPr>
                <w:p w14:paraId="3A9019CD">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145C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0AD1998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52E1EDAF">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Merge w:val="restart"/>
                  <w:vAlign w:val="center"/>
                </w:tcPr>
                <w:p w14:paraId="7B05A664">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10万t</w:t>
                  </w:r>
                  <w:r>
                    <w:rPr>
                      <w:rFonts w:hint="default" w:ascii="Times New Roman" w:hAnsi="Times New Roman" w:eastAsia="Times New Roman" w:cs="Times New Roman"/>
                      <w:color w:val="auto"/>
                      <w:kern w:val="2"/>
                      <w:sz w:val="21"/>
                      <w:szCs w:val="21"/>
                      <w:highlight w:val="none"/>
                      <w:lang w:val="en-US" w:eastAsia="zh-CN" w:bidi="ar-SA"/>
                    </w:rPr>
                    <w:t>商品混凝土生产线</w:t>
                  </w:r>
                  <w:r>
                    <w:rPr>
                      <w:rFonts w:hint="default" w:ascii="Times New Roman" w:hAnsi="Times New Roman" w:eastAsia="宋体" w:cs="Times New Roman"/>
                      <w:color w:val="auto"/>
                      <w:kern w:val="0"/>
                      <w:sz w:val="21"/>
                      <w:szCs w:val="21"/>
                      <w:highlight w:val="none"/>
                      <w:lang w:val="en-US" w:eastAsia="zh-CN" w:bidi="ar-SA"/>
                    </w:rPr>
                    <w:t>筒仓</w:t>
                  </w:r>
                </w:p>
              </w:tc>
              <w:tc>
                <w:tcPr>
                  <w:tcW w:w="2445" w:type="pct"/>
                  <w:vAlign w:val="center"/>
                </w:tcPr>
                <w:p w14:paraId="54965D3A">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eastAsia="Times New Roman" w:cs="Times New Roman"/>
                      <w:color w:val="auto"/>
                      <w:kern w:val="2"/>
                      <w:sz w:val="21"/>
                      <w:szCs w:val="21"/>
                      <w:highlight w:val="none"/>
                      <w:lang w:val="en-US" w:eastAsia="zh-CN" w:bidi="ar-SA"/>
                    </w:rPr>
                    <w:t>5#</w:t>
                  </w:r>
                  <w:r>
                    <w:rPr>
                      <w:rFonts w:hint="default" w:ascii="Times New Roman" w:hAnsi="Times New Roman" w:eastAsia="Times New Roman" w:cs="Times New Roman"/>
                      <w:color w:val="auto"/>
                      <w:kern w:val="2"/>
                      <w:sz w:val="21"/>
                      <w:szCs w:val="21"/>
                      <w:highlight w:val="none"/>
                      <w:lang w:val="en-US" w:eastAsia="zh-CN" w:bidi="ar-SA"/>
                    </w:rPr>
                    <w:t>水泥筒仓顶部设置脉冲布袋除尘器</w:t>
                  </w:r>
                  <w:r>
                    <w:rPr>
                      <w:rFonts w:hint="eastAsia" w:ascii="Times New Roman" w:eastAsia="Times New Roman" w:cs="Times New Roman"/>
                      <w:color w:val="auto"/>
                      <w:kern w:val="2"/>
                      <w:sz w:val="21"/>
                      <w:szCs w:val="21"/>
                      <w:highlight w:val="none"/>
                      <w:lang w:val="en-US" w:eastAsia="zh-CN" w:bidi="ar-SA"/>
                    </w:rPr>
                    <w:t>（5#），处理后的废气经仓顶呼吸口（DA005）排放。</w:t>
                  </w:r>
                </w:p>
              </w:tc>
              <w:tc>
                <w:tcPr>
                  <w:tcW w:w="714" w:type="pct"/>
                  <w:vAlign w:val="center"/>
                </w:tcPr>
                <w:p w14:paraId="773ED89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024E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2294921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6F14CF60">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569" w:type="pct"/>
                  <w:gridSpan w:val="2"/>
                  <w:vMerge w:val="continue"/>
                  <w:vAlign w:val="center"/>
                </w:tcPr>
                <w:p w14:paraId="0A404543">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2445" w:type="pct"/>
                  <w:vAlign w:val="center"/>
                </w:tcPr>
                <w:p w14:paraId="06434D79">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6#</w:t>
                  </w:r>
                  <w:r>
                    <w:rPr>
                      <w:rFonts w:hint="default" w:ascii="Times New Roman" w:hAnsi="Times New Roman" w:eastAsia="Times New Roman" w:cs="Times New Roman"/>
                      <w:color w:val="auto"/>
                      <w:kern w:val="2"/>
                      <w:sz w:val="21"/>
                      <w:szCs w:val="21"/>
                      <w:highlight w:val="none"/>
                      <w:lang w:val="en-US" w:eastAsia="zh-CN" w:bidi="ar-SA"/>
                    </w:rPr>
                    <w:t>水泥筒仓顶部设置脉冲布袋除尘器</w:t>
                  </w:r>
                  <w:r>
                    <w:rPr>
                      <w:rFonts w:hint="eastAsia" w:ascii="Times New Roman" w:eastAsia="Times New Roman" w:cs="Times New Roman"/>
                      <w:color w:val="auto"/>
                      <w:kern w:val="2"/>
                      <w:sz w:val="21"/>
                      <w:szCs w:val="21"/>
                      <w:highlight w:val="none"/>
                      <w:lang w:val="en-US" w:eastAsia="zh-CN" w:bidi="ar-SA"/>
                    </w:rPr>
                    <w:t>（6#），处理后的废气经仓顶呼吸口（DA006）排放。</w:t>
                  </w:r>
                </w:p>
              </w:tc>
              <w:tc>
                <w:tcPr>
                  <w:tcW w:w="714" w:type="pct"/>
                  <w:vAlign w:val="center"/>
                </w:tcPr>
                <w:p w14:paraId="094731D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2B2A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675522D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05AF645D">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569" w:type="pct"/>
                  <w:gridSpan w:val="2"/>
                  <w:vMerge w:val="continue"/>
                  <w:vAlign w:val="center"/>
                </w:tcPr>
                <w:p w14:paraId="5859D14E">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2445" w:type="pct"/>
                  <w:vAlign w:val="center"/>
                </w:tcPr>
                <w:p w14:paraId="7F140724">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7#粉煤灰</w:t>
                  </w:r>
                  <w:r>
                    <w:rPr>
                      <w:rFonts w:hint="default" w:ascii="Times New Roman" w:hAnsi="Times New Roman" w:eastAsia="Times New Roman" w:cs="Times New Roman"/>
                      <w:color w:val="auto"/>
                      <w:kern w:val="2"/>
                      <w:sz w:val="21"/>
                      <w:szCs w:val="21"/>
                      <w:highlight w:val="none"/>
                      <w:lang w:val="en-US" w:eastAsia="zh-CN" w:bidi="ar-SA"/>
                    </w:rPr>
                    <w:t>筒仓顶部设置脉冲布袋除尘器</w:t>
                  </w:r>
                  <w:r>
                    <w:rPr>
                      <w:rFonts w:hint="eastAsia" w:ascii="Times New Roman" w:eastAsia="Times New Roman" w:cs="Times New Roman"/>
                      <w:color w:val="auto"/>
                      <w:kern w:val="2"/>
                      <w:sz w:val="21"/>
                      <w:szCs w:val="21"/>
                      <w:highlight w:val="none"/>
                      <w:lang w:val="en-US" w:eastAsia="zh-CN" w:bidi="ar-SA"/>
                    </w:rPr>
                    <w:t>（7#），处理后的废气经仓顶呼吸口（DA007）排放。</w:t>
                  </w:r>
                </w:p>
              </w:tc>
              <w:tc>
                <w:tcPr>
                  <w:tcW w:w="714" w:type="pct"/>
                  <w:vAlign w:val="center"/>
                </w:tcPr>
                <w:p w14:paraId="07CA7A6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5859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10" w:type="pct"/>
                  <w:vMerge w:val="continue"/>
                  <w:vAlign w:val="center"/>
                </w:tcPr>
                <w:p w14:paraId="5B80408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33060FF9">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569" w:type="pct"/>
                  <w:gridSpan w:val="2"/>
                  <w:vMerge w:val="continue"/>
                  <w:vAlign w:val="center"/>
                </w:tcPr>
                <w:p w14:paraId="15CCC91C">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2445" w:type="pct"/>
                  <w:vAlign w:val="center"/>
                </w:tcPr>
                <w:p w14:paraId="71D36D73">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8#</w:t>
                  </w:r>
                  <w:r>
                    <w:rPr>
                      <w:rFonts w:hint="eastAsia"/>
                      <w:color w:val="auto"/>
                      <w:sz w:val="21"/>
                      <w:szCs w:val="21"/>
                      <w:lang w:val="en-US" w:eastAsia="zh-CN"/>
                    </w:rPr>
                    <w:t>矿粉</w:t>
                  </w:r>
                  <w:r>
                    <w:rPr>
                      <w:rFonts w:hint="default" w:ascii="Times New Roman" w:hAnsi="Times New Roman" w:eastAsia="Times New Roman" w:cs="Times New Roman"/>
                      <w:color w:val="auto"/>
                      <w:kern w:val="2"/>
                      <w:sz w:val="21"/>
                      <w:szCs w:val="21"/>
                      <w:highlight w:val="none"/>
                      <w:lang w:val="en-US" w:eastAsia="zh-CN" w:bidi="ar-SA"/>
                    </w:rPr>
                    <w:t>筒仓顶部设置脉冲布袋除尘器</w:t>
                  </w:r>
                  <w:r>
                    <w:rPr>
                      <w:rFonts w:hint="eastAsia" w:ascii="Times New Roman" w:eastAsia="Times New Roman" w:cs="Times New Roman"/>
                      <w:color w:val="auto"/>
                      <w:kern w:val="2"/>
                      <w:sz w:val="21"/>
                      <w:szCs w:val="21"/>
                      <w:highlight w:val="none"/>
                      <w:lang w:val="en-US" w:eastAsia="zh-CN" w:bidi="ar-SA"/>
                    </w:rPr>
                    <w:t>（8#），处理后的废气经仓顶呼吸口（DA008）排放。</w:t>
                  </w:r>
                </w:p>
              </w:tc>
              <w:tc>
                <w:tcPr>
                  <w:tcW w:w="714" w:type="pct"/>
                  <w:vAlign w:val="center"/>
                </w:tcPr>
                <w:p w14:paraId="5C34A15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1965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27E9D09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restart"/>
                  <w:vAlign w:val="center"/>
                </w:tcPr>
                <w:p w14:paraId="23FAB1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无组织</w:t>
                  </w:r>
                </w:p>
                <w:p w14:paraId="7FAD4F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粉尘治理</w:t>
                  </w:r>
                </w:p>
              </w:tc>
              <w:tc>
                <w:tcPr>
                  <w:tcW w:w="569" w:type="pct"/>
                  <w:gridSpan w:val="2"/>
                  <w:vAlign w:val="center"/>
                </w:tcPr>
                <w:p w14:paraId="6159EAF1">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Cs w:val="21"/>
                      <w:highlight w:val="none"/>
                      <w:lang w:bidi="ar"/>
                    </w:rPr>
                  </w:pPr>
                  <w:r>
                    <w:rPr>
                      <w:rFonts w:hint="eastAsia" w:eastAsia="宋体" w:cs="Times New Roman"/>
                      <w:color w:val="auto"/>
                      <w:kern w:val="0"/>
                      <w:sz w:val="21"/>
                      <w:szCs w:val="21"/>
                      <w:highlight w:val="none"/>
                      <w:lang w:val="en-US" w:eastAsia="zh-CN" w:bidi="ar-SA"/>
                    </w:rPr>
                    <w:t>拌合站</w:t>
                  </w:r>
                </w:p>
              </w:tc>
              <w:tc>
                <w:tcPr>
                  <w:tcW w:w="2445" w:type="pct"/>
                  <w:vAlign w:val="center"/>
                </w:tcPr>
                <w:p w14:paraId="484D9D1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cs="Times New Roman"/>
                      <w:color w:val="auto"/>
                      <w:kern w:val="0"/>
                      <w:szCs w:val="21"/>
                      <w:highlight w:val="none"/>
                      <w:lang w:eastAsia="zh-CN" w:bidi="ar"/>
                    </w:rPr>
                  </w:pPr>
                  <w:r>
                    <w:rPr>
                      <w:rFonts w:hint="eastAsia" w:cs="Times New Roman"/>
                      <w:color w:val="auto"/>
                      <w:kern w:val="0"/>
                      <w:szCs w:val="21"/>
                      <w:highlight w:val="none"/>
                      <w:lang w:val="en-US" w:eastAsia="zh-CN" w:bidi="ar"/>
                    </w:rPr>
                    <w:t>拌合站投料口设置1个集气罩收集，经脉冲布袋除尘器（9#）处理后的粉尘车间无组织排放</w:t>
                  </w:r>
                  <w:r>
                    <w:rPr>
                      <w:rFonts w:hint="default" w:cs="Times New Roman"/>
                      <w:color w:val="auto"/>
                      <w:kern w:val="0"/>
                      <w:szCs w:val="21"/>
                      <w:highlight w:val="none"/>
                      <w:lang w:val="en-US" w:eastAsia="zh-CN" w:bidi="ar"/>
                    </w:rPr>
                    <w:t>。</w:t>
                  </w:r>
                </w:p>
              </w:tc>
              <w:tc>
                <w:tcPr>
                  <w:tcW w:w="714" w:type="pct"/>
                  <w:vAlign w:val="center"/>
                </w:tcPr>
                <w:p w14:paraId="7708BE3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Times New Roman" w:cs="Times New Roman"/>
                      <w:color w:val="auto"/>
                      <w:kern w:val="2"/>
                      <w:sz w:val="21"/>
                      <w:szCs w:val="21"/>
                      <w:highlight w:val="none"/>
                      <w:lang w:val="en-US" w:eastAsia="zh-CN" w:bidi="ar-SA"/>
                    </w:rPr>
                  </w:pPr>
                  <w:r>
                    <w:rPr>
                      <w:rFonts w:hint="eastAsia" w:cs="Times New Roman"/>
                      <w:color w:val="auto"/>
                      <w:kern w:val="0"/>
                      <w:szCs w:val="21"/>
                      <w:highlight w:val="none"/>
                      <w:lang w:val="en-US" w:eastAsia="zh-CN" w:bidi="ar"/>
                    </w:rPr>
                    <w:t>新建</w:t>
                  </w:r>
                </w:p>
              </w:tc>
            </w:tr>
            <w:tr w14:paraId="4FC0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7A0C213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62F888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5E9FA24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混凝土</w:t>
                  </w:r>
                  <w:r>
                    <w:rPr>
                      <w:rFonts w:hint="eastAsia" w:cs="Times New Roman"/>
                      <w:color w:val="auto"/>
                      <w:kern w:val="0"/>
                      <w:szCs w:val="21"/>
                      <w:highlight w:val="none"/>
                      <w:lang w:eastAsia="zh-CN" w:bidi="ar"/>
                    </w:rPr>
                    <w:t>拌合站</w:t>
                  </w:r>
                  <w:r>
                    <w:rPr>
                      <w:rFonts w:hint="default" w:ascii="Times New Roman" w:hAnsi="Times New Roman" w:cs="Times New Roman"/>
                      <w:color w:val="auto"/>
                      <w:kern w:val="0"/>
                      <w:szCs w:val="21"/>
                      <w:highlight w:val="none"/>
                      <w:lang w:bidi="ar"/>
                    </w:rPr>
                    <w:t>封闭措施</w:t>
                  </w:r>
                </w:p>
              </w:tc>
              <w:tc>
                <w:tcPr>
                  <w:tcW w:w="2445" w:type="pct"/>
                  <w:vAlign w:val="center"/>
                </w:tcPr>
                <w:p w14:paraId="5949DDD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Cs w:val="21"/>
                      <w:highlight w:val="none"/>
                      <w:lang w:eastAsia="zh-CN" w:bidi="ar"/>
                    </w:rPr>
                    <w:t>拌合站</w:t>
                  </w:r>
                  <w:r>
                    <w:rPr>
                      <w:rFonts w:hint="default" w:ascii="Times New Roman" w:hAnsi="Times New Roman" w:cs="Times New Roman"/>
                      <w:color w:val="auto"/>
                      <w:kern w:val="0"/>
                      <w:szCs w:val="21"/>
                      <w:highlight w:val="none"/>
                      <w:lang w:bidi="ar"/>
                    </w:rPr>
                    <w:t>主体二层及以上部分、原材料上料、配料、搅拌等设施、设备均进行封闭处理。</w:t>
                  </w:r>
                </w:p>
              </w:tc>
              <w:tc>
                <w:tcPr>
                  <w:tcW w:w="714" w:type="pct"/>
                  <w:vAlign w:val="center"/>
                </w:tcPr>
                <w:p w14:paraId="263A90A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依托现有项目已建拌合站密闭措施</w:t>
                  </w:r>
                </w:p>
              </w:tc>
            </w:tr>
            <w:tr w14:paraId="77FD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EEBAEE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45AEC15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7A13997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lang w:val="en-US" w:eastAsia="zh-CN"/>
                    </w:rPr>
                    <w:t>制砂车间</w:t>
                  </w:r>
                  <w:r>
                    <w:rPr>
                      <w:rFonts w:hint="default" w:ascii="Times New Roman" w:hAnsi="Times New Roman" w:cs="Times New Roman"/>
                      <w:color w:val="auto"/>
                      <w:kern w:val="0"/>
                      <w:szCs w:val="21"/>
                      <w:highlight w:val="none"/>
                      <w:lang w:bidi="ar"/>
                    </w:rPr>
                    <w:t>封闭措施及物料加湿措施</w:t>
                  </w:r>
                </w:p>
              </w:tc>
              <w:tc>
                <w:tcPr>
                  <w:tcW w:w="2445" w:type="pct"/>
                  <w:vAlign w:val="center"/>
                </w:tcPr>
                <w:p w14:paraId="31649C9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lang w:val="en-US" w:eastAsia="zh-CN"/>
                    </w:rPr>
                    <w:t>对制砂车间</w:t>
                  </w:r>
                  <w:r>
                    <w:rPr>
                      <w:rFonts w:hint="default" w:ascii="Times New Roman" w:hAnsi="Times New Roman" w:cs="Times New Roman"/>
                      <w:color w:val="auto"/>
                      <w:kern w:val="0"/>
                      <w:szCs w:val="21"/>
                      <w:highlight w:val="none"/>
                      <w:lang w:bidi="ar"/>
                    </w:rPr>
                    <w:t>进行</w:t>
                  </w:r>
                  <w:r>
                    <w:rPr>
                      <w:rFonts w:hint="eastAsia" w:cs="Times New Roman"/>
                      <w:color w:val="auto"/>
                      <w:kern w:val="0"/>
                      <w:szCs w:val="21"/>
                      <w:highlight w:val="none"/>
                      <w:lang w:eastAsia="zh-CN" w:bidi="ar"/>
                    </w:rPr>
                    <w:t>彩钢瓦</w:t>
                  </w:r>
                  <w:r>
                    <w:rPr>
                      <w:rFonts w:hint="default" w:ascii="Times New Roman" w:hAnsi="Times New Roman" w:cs="Times New Roman"/>
                      <w:color w:val="auto"/>
                      <w:kern w:val="0"/>
                      <w:szCs w:val="21"/>
                      <w:highlight w:val="none"/>
                      <w:lang w:bidi="ar"/>
                    </w:rPr>
                    <w:t>封闭</w:t>
                  </w:r>
                  <w:r>
                    <w:rPr>
                      <w:rFonts w:hint="default" w:ascii="Times New Roman" w:hAnsi="Times New Roman" w:cs="Times New Roman"/>
                      <w:color w:val="auto"/>
                      <w:kern w:val="0"/>
                      <w:szCs w:val="21"/>
                      <w:highlight w:val="none"/>
                      <w:lang w:val="en-US" w:eastAsia="zh-CN" w:bidi="ar"/>
                    </w:rPr>
                    <w:t>处理</w:t>
                  </w:r>
                  <w:r>
                    <w:rPr>
                      <w:rFonts w:hint="eastAsia" w:ascii="Times New Roman" w:hAnsi="Times New Roman" w:cs="Times New Roman"/>
                      <w:color w:val="auto"/>
                      <w:kern w:val="0"/>
                      <w:szCs w:val="21"/>
                      <w:highlight w:val="none"/>
                      <w:lang w:val="en-US" w:eastAsia="zh-CN" w:bidi="ar"/>
                    </w:rPr>
                    <w:t>，并设置车间喷雾降尘措施</w:t>
                  </w:r>
                  <w:r>
                    <w:rPr>
                      <w:rFonts w:hint="default" w:ascii="Times New Roman" w:hAnsi="Times New Roman" w:cs="Times New Roman"/>
                      <w:color w:val="auto"/>
                      <w:kern w:val="0"/>
                      <w:szCs w:val="21"/>
                      <w:highlight w:val="none"/>
                      <w:lang w:val="en-US" w:eastAsia="zh-CN" w:bidi="ar"/>
                    </w:rPr>
                    <w:t>。</w:t>
                  </w:r>
                </w:p>
              </w:tc>
              <w:tc>
                <w:tcPr>
                  <w:tcW w:w="714" w:type="pct"/>
                  <w:vAlign w:val="center"/>
                </w:tcPr>
                <w:p w14:paraId="1824A62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48E6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B57CEF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20F4FA6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0F4A082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骨料皮带输送机抑尘措施</w:t>
                  </w:r>
                </w:p>
              </w:tc>
              <w:tc>
                <w:tcPr>
                  <w:tcW w:w="2445" w:type="pct"/>
                  <w:vAlign w:val="center"/>
                </w:tcPr>
                <w:p w14:paraId="0E5EE9F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皮带输送机廊道</w:t>
                  </w:r>
                  <w:r>
                    <w:rPr>
                      <w:rFonts w:hint="default" w:ascii="Times New Roman" w:hAnsi="Times New Roman" w:cs="Times New Roman"/>
                      <w:color w:val="auto"/>
                      <w:kern w:val="0"/>
                      <w:szCs w:val="21"/>
                      <w:highlight w:val="none"/>
                      <w:lang w:val="en-US" w:eastAsia="zh-CN" w:bidi="ar"/>
                    </w:rPr>
                    <w:t>设置全封闭皮带输送系统</w:t>
                  </w:r>
                  <w:r>
                    <w:rPr>
                      <w:rFonts w:hint="default" w:ascii="Times New Roman" w:hAnsi="Times New Roman" w:cs="Times New Roman"/>
                      <w:color w:val="auto"/>
                      <w:kern w:val="0"/>
                      <w:szCs w:val="21"/>
                      <w:highlight w:val="none"/>
                      <w:lang w:bidi="ar"/>
                    </w:rPr>
                    <w:t>。</w:t>
                  </w:r>
                </w:p>
              </w:tc>
              <w:tc>
                <w:tcPr>
                  <w:tcW w:w="714" w:type="pct"/>
                  <w:vAlign w:val="center"/>
                </w:tcPr>
                <w:p w14:paraId="6F87D08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7D94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22B6EDC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21B95C5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4407C387">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骨料料仓抑尘措施</w:t>
                  </w:r>
                </w:p>
              </w:tc>
              <w:tc>
                <w:tcPr>
                  <w:tcW w:w="2445" w:type="pct"/>
                  <w:vAlign w:val="center"/>
                </w:tcPr>
                <w:p w14:paraId="2A7C070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骨料料仓采用彩钢瓦进行整体封闭，仅将进出物料口设置为敞开式</w:t>
                  </w:r>
                  <w:r>
                    <w:rPr>
                      <w:rFonts w:hint="eastAsia" w:ascii="Times New Roman" w:hAnsi="Times New Roman" w:cs="Times New Roman"/>
                      <w:color w:val="auto"/>
                      <w:kern w:val="0"/>
                      <w:szCs w:val="21"/>
                      <w:highlight w:val="none"/>
                      <w:lang w:eastAsia="zh-CN" w:bidi="ar"/>
                    </w:rPr>
                    <w:t>，</w:t>
                  </w:r>
                  <w:r>
                    <w:rPr>
                      <w:rFonts w:hint="eastAsia" w:ascii="Times New Roman" w:hAnsi="Times New Roman" w:cs="Times New Roman"/>
                      <w:color w:val="auto"/>
                      <w:kern w:val="0"/>
                      <w:szCs w:val="21"/>
                      <w:highlight w:val="none"/>
                      <w:lang w:val="en-US" w:eastAsia="zh-CN" w:bidi="ar"/>
                    </w:rPr>
                    <w:t>并设置车间喷雾降尘措施</w:t>
                  </w:r>
                  <w:r>
                    <w:rPr>
                      <w:rFonts w:hint="default" w:ascii="Times New Roman" w:hAnsi="Times New Roman" w:cs="Times New Roman"/>
                      <w:color w:val="auto"/>
                      <w:kern w:val="0"/>
                      <w:szCs w:val="21"/>
                      <w:highlight w:val="none"/>
                      <w:lang w:bidi="ar"/>
                    </w:rPr>
                    <w:t>。</w:t>
                  </w:r>
                </w:p>
              </w:tc>
              <w:tc>
                <w:tcPr>
                  <w:tcW w:w="714" w:type="pct"/>
                  <w:vAlign w:val="center"/>
                </w:tcPr>
                <w:p w14:paraId="47F86A6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2B09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5E088B5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1671702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2E2A7D1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车辆清洗设施</w:t>
                  </w:r>
                </w:p>
              </w:tc>
              <w:tc>
                <w:tcPr>
                  <w:tcW w:w="2445" w:type="pct"/>
                  <w:vAlign w:val="center"/>
                </w:tcPr>
                <w:p w14:paraId="73CB9A4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在搅拌机主楼前方设1个车辆清洗设施，配套2个高压水枪，对运输罐车外部进行清洗。</w:t>
                  </w:r>
                </w:p>
              </w:tc>
              <w:tc>
                <w:tcPr>
                  <w:tcW w:w="714" w:type="pct"/>
                  <w:vAlign w:val="center"/>
                </w:tcPr>
                <w:p w14:paraId="6AB5729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项目已建车辆清洗设施</w:t>
                  </w:r>
                </w:p>
              </w:tc>
            </w:tr>
            <w:tr w14:paraId="7127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4F73D35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55C381C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7828025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厂区粉尘、运输粉尘</w:t>
                  </w:r>
                  <w:r>
                    <w:rPr>
                      <w:rFonts w:hint="default" w:ascii="Times New Roman" w:hAnsi="Times New Roman" w:cs="Times New Roman"/>
                      <w:color w:val="auto"/>
                      <w:kern w:val="0"/>
                      <w:szCs w:val="21"/>
                      <w:highlight w:val="none"/>
                      <w:lang w:bidi="ar"/>
                    </w:rPr>
                    <w:t>抑尘措施</w:t>
                  </w:r>
                </w:p>
              </w:tc>
              <w:tc>
                <w:tcPr>
                  <w:tcW w:w="2445" w:type="pct"/>
                  <w:vAlign w:val="center"/>
                </w:tcPr>
                <w:p w14:paraId="3C11B7D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文明装卸，物料输送采用封闭式输送带，加强绿化，加强厂区内的清扫工作，定时洒水，建立健全科学的操作规章和制度，加强管理。</w:t>
                  </w:r>
                </w:p>
              </w:tc>
              <w:tc>
                <w:tcPr>
                  <w:tcW w:w="714" w:type="pct"/>
                  <w:vAlign w:val="center"/>
                </w:tcPr>
                <w:p w14:paraId="7B71FE0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项目已建设施</w:t>
                  </w:r>
                </w:p>
              </w:tc>
            </w:tr>
            <w:tr w14:paraId="3CB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F2866E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Align w:val="center"/>
                </w:tcPr>
                <w:p w14:paraId="09F87FB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食堂油烟治理</w:t>
                  </w:r>
                </w:p>
              </w:tc>
              <w:tc>
                <w:tcPr>
                  <w:tcW w:w="569" w:type="pct"/>
                  <w:gridSpan w:val="2"/>
                  <w:vAlign w:val="center"/>
                </w:tcPr>
                <w:p w14:paraId="0534B22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油烟净化器</w:t>
                  </w:r>
                </w:p>
              </w:tc>
              <w:tc>
                <w:tcPr>
                  <w:tcW w:w="2445" w:type="pct"/>
                  <w:vAlign w:val="center"/>
                </w:tcPr>
                <w:p w14:paraId="2F7FD21A">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配备了一台型号为FNT-JD-6A，风量为6000</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sz w:val="21"/>
                      <w:szCs w:val="21"/>
                      <w:highlight w:val="none"/>
                      <w:lang w:val="en-US" w:eastAsia="zh-CN"/>
                    </w:rPr>
                    <w:t>/h的静点式饮食业油烟净化器</w:t>
                  </w:r>
                  <w:r>
                    <w:rPr>
                      <w:rFonts w:hint="default" w:ascii="Times New Roman" w:hAnsi="Times New Roman" w:cs="Times New Roman"/>
                      <w:color w:val="auto"/>
                      <w:sz w:val="21"/>
                      <w:szCs w:val="21"/>
                      <w:highlight w:val="none"/>
                      <w:lang w:val="en-US" w:eastAsia="zh-CN"/>
                    </w:rPr>
                    <w:t>，则油烟排放浓度能够达到《饮食业油烟排放标准》（GB18483-2001）中≤2.0mg/</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cs="Times New Roman"/>
                      <w:color w:val="auto"/>
                      <w:sz w:val="21"/>
                      <w:szCs w:val="21"/>
                      <w:highlight w:val="none"/>
                      <w:lang w:val="en-US" w:eastAsia="zh-CN"/>
                    </w:rPr>
                    <w:t>的要求后排放。</w:t>
                  </w:r>
                </w:p>
              </w:tc>
              <w:tc>
                <w:tcPr>
                  <w:tcW w:w="714" w:type="pct"/>
                  <w:vAlign w:val="center"/>
                </w:tcPr>
                <w:p w14:paraId="5A17EB8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项目已建烟治理油烟净化器</w:t>
                  </w:r>
                </w:p>
              </w:tc>
            </w:tr>
            <w:tr w14:paraId="15BB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EEC932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129" w:type="pct"/>
                  <w:gridSpan w:val="3"/>
                  <w:vAlign w:val="center"/>
                </w:tcPr>
                <w:p w14:paraId="41CBE2A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设备噪声</w:t>
                  </w:r>
                </w:p>
              </w:tc>
              <w:tc>
                <w:tcPr>
                  <w:tcW w:w="2445" w:type="pct"/>
                  <w:vAlign w:val="center"/>
                </w:tcPr>
                <w:p w14:paraId="0E14273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设置减震垫、隔声设施。</w:t>
                  </w:r>
                </w:p>
              </w:tc>
              <w:tc>
                <w:tcPr>
                  <w:tcW w:w="714" w:type="pct"/>
                  <w:vAlign w:val="center"/>
                </w:tcPr>
                <w:p w14:paraId="3E65C1E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r w14:paraId="5F34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4C3CB7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restart"/>
                  <w:vAlign w:val="center"/>
                </w:tcPr>
                <w:p w14:paraId="545E263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固废处置</w:t>
                  </w:r>
                </w:p>
              </w:tc>
              <w:tc>
                <w:tcPr>
                  <w:tcW w:w="569" w:type="pct"/>
                  <w:gridSpan w:val="2"/>
                  <w:vAlign w:val="center"/>
                </w:tcPr>
                <w:p w14:paraId="3146F09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生活垃圾</w:t>
                  </w:r>
                  <w:r>
                    <w:rPr>
                      <w:rFonts w:hint="default" w:ascii="Times New Roman" w:hAnsi="Times New Roman" w:cs="Times New Roman"/>
                      <w:color w:val="auto"/>
                      <w:kern w:val="0"/>
                      <w:szCs w:val="21"/>
                      <w:highlight w:val="none"/>
                      <w:lang w:val="en-US" w:eastAsia="zh-CN" w:bidi="ar"/>
                    </w:rPr>
                    <w:t>箱</w:t>
                  </w:r>
                </w:p>
              </w:tc>
              <w:tc>
                <w:tcPr>
                  <w:tcW w:w="2445" w:type="pct"/>
                  <w:vAlign w:val="center"/>
                </w:tcPr>
                <w:p w14:paraId="40385DE2">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若干，分布设置于办公生活区。</w:t>
                  </w:r>
                </w:p>
              </w:tc>
              <w:tc>
                <w:tcPr>
                  <w:tcW w:w="714" w:type="pct"/>
                  <w:vMerge w:val="restart"/>
                  <w:vAlign w:val="center"/>
                </w:tcPr>
                <w:p w14:paraId="7E83026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依托</w:t>
                  </w:r>
                  <w:r>
                    <w:rPr>
                      <w:rFonts w:hint="eastAsia" w:ascii="Times New Roman" w:hAnsi="Times New Roman" w:eastAsia="Times New Roman" w:cs="Times New Roman"/>
                      <w:color w:val="auto"/>
                      <w:kern w:val="2"/>
                      <w:sz w:val="21"/>
                      <w:szCs w:val="21"/>
                      <w:highlight w:val="none"/>
                      <w:lang w:val="en-US" w:eastAsia="zh-CN" w:bidi="ar-SA"/>
                    </w:rPr>
                    <w:t>现有</w:t>
                  </w:r>
                  <w:r>
                    <w:rPr>
                      <w:rFonts w:hint="default" w:ascii="Times New Roman" w:hAnsi="Times New Roman" w:eastAsia="Times New Roman" w:cs="Times New Roman"/>
                      <w:color w:val="auto"/>
                      <w:kern w:val="2"/>
                      <w:sz w:val="21"/>
                      <w:szCs w:val="21"/>
                      <w:highlight w:val="none"/>
                      <w:lang w:val="en-US" w:eastAsia="zh-CN" w:bidi="ar-SA"/>
                    </w:rPr>
                    <w:t>项目已建固废处置设施</w:t>
                  </w:r>
                </w:p>
              </w:tc>
            </w:tr>
            <w:tr w14:paraId="7295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2CE8D9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23F97C3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482C13A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生产固废</w:t>
                  </w:r>
                </w:p>
              </w:tc>
              <w:tc>
                <w:tcPr>
                  <w:tcW w:w="2445" w:type="pct"/>
                  <w:vAlign w:val="center"/>
                </w:tcPr>
                <w:p w14:paraId="4741F7F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不合格的砂石料、剩余的混凝土、沉淀池沉淀渣等。沉淀池的沉渣晾干后可作为填方材料，可用于铺设次要道路等。</w:t>
                  </w:r>
                </w:p>
              </w:tc>
              <w:tc>
                <w:tcPr>
                  <w:tcW w:w="714" w:type="pct"/>
                  <w:vMerge w:val="continue"/>
                  <w:vAlign w:val="center"/>
                </w:tcPr>
                <w:p w14:paraId="6FBC604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r>
            <w:tr w14:paraId="3185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33B9C58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0" w:type="pct"/>
                  <w:vMerge w:val="continue"/>
                  <w:vAlign w:val="center"/>
                </w:tcPr>
                <w:p w14:paraId="29708C3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569" w:type="pct"/>
                  <w:gridSpan w:val="2"/>
                  <w:vAlign w:val="center"/>
                </w:tcPr>
                <w:p w14:paraId="06E7A943">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危废暂存间</w:t>
                  </w:r>
                </w:p>
              </w:tc>
              <w:tc>
                <w:tcPr>
                  <w:tcW w:w="2445" w:type="pct"/>
                  <w:vAlign w:val="center"/>
                </w:tcPr>
                <w:p w14:paraId="060B338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r>
                    <w:rPr>
                      <w:rFonts w:hint="default" w:ascii="Times New Roman" w:hAnsi="Times New Roman"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lang w:val="en-US" w:eastAsia="zh-CN"/>
                    </w:rPr>
                    <w:t>经收集后分类暂存于危险废物暂存间，定期委托有处置资质的单位处置</w:t>
                  </w:r>
                </w:p>
              </w:tc>
              <w:tc>
                <w:tcPr>
                  <w:tcW w:w="714" w:type="pct"/>
                  <w:vAlign w:val="center"/>
                </w:tcPr>
                <w:p w14:paraId="7FCB496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新建</w:t>
                  </w:r>
                </w:p>
              </w:tc>
            </w:tr>
          </w:tbl>
          <w:p w14:paraId="5307902C">
            <w:pPr>
              <w:pStyle w:val="20"/>
              <w:rPr>
                <w:rFonts w:hint="default" w:ascii="Times New Roman" w:hAnsi="Times New Roman" w:eastAsia="宋体" w:cs="Times New Roman"/>
                <w:color w:val="auto"/>
                <w:sz w:val="24"/>
                <w:highlight w:val="none"/>
              </w:rPr>
            </w:pPr>
          </w:p>
          <w:p w14:paraId="1A920F02">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10" w:name="_Toc5921"/>
            <w:r>
              <w:rPr>
                <w:rFonts w:hint="default" w:ascii="Times New Roman" w:hAnsi="Times New Roman" w:eastAsia="宋体" w:cs="Times New Roman"/>
                <w:b/>
                <w:bCs w:val="0"/>
                <w:color w:val="auto"/>
                <w:sz w:val="24"/>
                <w:szCs w:val="24"/>
                <w:highlight w:val="none"/>
                <w:lang w:val="en-US" w:eastAsia="zh-CN"/>
              </w:rPr>
              <w:t>2、产品方案及规模</w:t>
            </w:r>
          </w:p>
          <w:p w14:paraId="5DE0D732">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本项目扩建一条年产10万吨商品混凝土生产线（搅拌线筒库4个，其中水泥仓2个、粉煤灰仓1个、矿粉1个），新增600平方米堆料仓、200平方米制砂车间，主要产品见表2-2。</w:t>
            </w:r>
          </w:p>
          <w:p w14:paraId="12DFFDE1">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-2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8"/>
              <w:tblW w:w="4987" w:type="pct"/>
              <w:jc w:val="center"/>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Layout w:type="autofit"/>
              <w:tblCellMar>
                <w:top w:w="0" w:type="dxa"/>
                <w:left w:w="108" w:type="dxa"/>
                <w:bottom w:w="0" w:type="dxa"/>
                <w:right w:w="108" w:type="dxa"/>
              </w:tblCellMar>
            </w:tblPr>
            <w:tblGrid>
              <w:gridCol w:w="1024"/>
              <w:gridCol w:w="1843"/>
              <w:gridCol w:w="2300"/>
              <w:gridCol w:w="2313"/>
              <w:gridCol w:w="2331"/>
            </w:tblGrid>
            <w:tr w14:paraId="289E3525">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PrEx>
              <w:trPr>
                <w:trHeight w:val="90" w:hRule="atLeast"/>
                <w:jc w:val="center"/>
              </w:trPr>
              <w:tc>
                <w:tcPr>
                  <w:tcW w:w="522" w:type="pct"/>
                  <w:tcBorders>
                    <w:tl2br w:val="nil"/>
                    <w:tr2bl w:val="nil"/>
                  </w:tcBorders>
                  <w:vAlign w:val="center"/>
                </w:tcPr>
                <w:p w14:paraId="55A76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39" w:type="pct"/>
                  <w:tcBorders>
                    <w:tl2br w:val="nil"/>
                    <w:tr2bl w:val="nil"/>
                  </w:tcBorders>
                  <w:vAlign w:val="center"/>
                </w:tcPr>
                <w:p w14:paraId="26631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产品</w:t>
                  </w:r>
                  <w:r>
                    <w:rPr>
                      <w:rFonts w:hint="default" w:ascii="Times New Roman" w:hAnsi="Times New Roman" w:eastAsia="宋体" w:cs="Times New Roman"/>
                      <w:b/>
                      <w:bCs/>
                      <w:color w:val="auto"/>
                      <w:sz w:val="21"/>
                      <w:szCs w:val="21"/>
                      <w:highlight w:val="none"/>
                    </w:rPr>
                    <w:t>名称</w:t>
                  </w:r>
                </w:p>
              </w:tc>
              <w:tc>
                <w:tcPr>
                  <w:tcW w:w="1172" w:type="pct"/>
                  <w:tcBorders>
                    <w:tl2br w:val="nil"/>
                    <w:tr2bl w:val="nil"/>
                  </w:tcBorders>
                  <w:vAlign w:val="center"/>
                </w:tcPr>
                <w:p w14:paraId="06037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color w:val="auto"/>
                      <w:sz w:val="24"/>
                      <w:szCs w:val="24"/>
                    </w:rPr>
                    <w:t>单位</w:t>
                  </w:r>
                </w:p>
              </w:tc>
              <w:tc>
                <w:tcPr>
                  <w:tcW w:w="1179" w:type="pct"/>
                  <w:tcBorders>
                    <w:tl2br w:val="nil"/>
                    <w:tr2bl w:val="nil"/>
                  </w:tcBorders>
                  <w:vAlign w:val="center"/>
                </w:tcPr>
                <w:p w14:paraId="00DA2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产量</w:t>
                  </w:r>
                </w:p>
              </w:tc>
              <w:tc>
                <w:tcPr>
                  <w:tcW w:w="1185" w:type="pct"/>
                  <w:tcBorders>
                    <w:tl2br w:val="nil"/>
                    <w:tr2bl w:val="nil"/>
                  </w:tcBorders>
                  <w:vAlign w:val="center"/>
                </w:tcPr>
                <w:p w14:paraId="1520E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备注</w:t>
                  </w:r>
                </w:p>
              </w:tc>
            </w:tr>
            <w:tr w14:paraId="0B4FDFBB">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vAlign w:val="center"/>
                </w:tcPr>
                <w:p w14:paraId="1657C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本次扩建项目产品方案</w:t>
                  </w:r>
                </w:p>
              </w:tc>
            </w:tr>
            <w:tr w14:paraId="19DBE97A">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22" w:type="pct"/>
                  <w:tcBorders>
                    <w:tl2br w:val="nil"/>
                    <w:tr2bl w:val="nil"/>
                  </w:tcBorders>
                  <w:vAlign w:val="center"/>
                </w:tcPr>
                <w:p w14:paraId="102D52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39" w:type="pct"/>
                  <w:tcBorders>
                    <w:tl2br w:val="nil"/>
                    <w:tr2bl w:val="nil"/>
                  </w:tcBorders>
                  <w:vAlign w:val="center"/>
                </w:tcPr>
                <w:p w14:paraId="59D1B7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商品混凝土</w:t>
                  </w:r>
                </w:p>
              </w:tc>
              <w:tc>
                <w:tcPr>
                  <w:tcW w:w="1172" w:type="pct"/>
                  <w:tcBorders>
                    <w:tl2br w:val="nil"/>
                    <w:tr2bl w:val="nil"/>
                  </w:tcBorders>
                  <w:vAlign w:val="center"/>
                </w:tcPr>
                <w:p w14:paraId="75E9C4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吨/年</w:t>
                  </w:r>
                </w:p>
              </w:tc>
              <w:tc>
                <w:tcPr>
                  <w:tcW w:w="1179" w:type="pct"/>
                  <w:tcBorders>
                    <w:tl2br w:val="nil"/>
                    <w:tr2bl w:val="nil"/>
                  </w:tcBorders>
                  <w:vAlign w:val="center"/>
                </w:tcPr>
                <w:p w14:paraId="1D5F1C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10万</w:t>
                  </w:r>
                </w:p>
              </w:tc>
              <w:tc>
                <w:tcPr>
                  <w:tcW w:w="1185" w:type="pct"/>
                  <w:tcBorders>
                    <w:tl2br w:val="nil"/>
                    <w:tr2bl w:val="nil"/>
                  </w:tcBorders>
                  <w:vAlign w:val="center"/>
                </w:tcPr>
                <w:p w14:paraId="4FD6CA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highlight w:val="none"/>
                    </w:rPr>
                    <w:t>每种规格混凝土根据需求情况配比生产</w:t>
                  </w:r>
                </w:p>
              </w:tc>
            </w:tr>
            <w:tr w14:paraId="59D50C4B">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22" w:type="pct"/>
                  <w:tcBorders>
                    <w:tl2br w:val="nil"/>
                    <w:tr2bl w:val="nil"/>
                  </w:tcBorders>
                  <w:vAlign w:val="center"/>
                </w:tcPr>
                <w:p w14:paraId="1451E9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w:t>
                  </w:r>
                </w:p>
              </w:tc>
              <w:tc>
                <w:tcPr>
                  <w:tcW w:w="939" w:type="pct"/>
                  <w:tcBorders>
                    <w:tl2br w:val="nil"/>
                    <w:tr2bl w:val="nil"/>
                  </w:tcBorders>
                  <w:vAlign w:val="center"/>
                </w:tcPr>
                <w:p w14:paraId="64E2A6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机制砂</w:t>
                  </w:r>
                </w:p>
              </w:tc>
              <w:tc>
                <w:tcPr>
                  <w:tcW w:w="1172" w:type="pct"/>
                  <w:tcBorders>
                    <w:tl2br w:val="nil"/>
                    <w:tr2bl w:val="nil"/>
                  </w:tcBorders>
                  <w:vAlign w:val="center"/>
                </w:tcPr>
                <w:p w14:paraId="7052FD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吨/年</w:t>
                  </w:r>
                </w:p>
              </w:tc>
              <w:tc>
                <w:tcPr>
                  <w:tcW w:w="1179" w:type="pct"/>
                  <w:tcBorders>
                    <w:tl2br w:val="nil"/>
                    <w:tr2bl w:val="nil"/>
                  </w:tcBorders>
                  <w:vAlign w:val="center"/>
                </w:tcPr>
                <w:p w14:paraId="159831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3.32万</w:t>
                  </w:r>
                </w:p>
              </w:tc>
              <w:tc>
                <w:tcPr>
                  <w:tcW w:w="1185" w:type="pct"/>
                  <w:tcBorders>
                    <w:tl2br w:val="nil"/>
                    <w:tr2bl w:val="nil"/>
                  </w:tcBorders>
                  <w:vAlign w:val="center"/>
                </w:tcPr>
                <w:p w14:paraId="07BEE7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中间产品，全部用作本项目商品混凝土的原料。</w:t>
                  </w:r>
                </w:p>
              </w:tc>
            </w:tr>
            <w:tr w14:paraId="4620218F">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vAlign w:val="center"/>
                </w:tcPr>
                <w:p w14:paraId="40960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原项目实际产品方案</w:t>
                  </w:r>
                </w:p>
              </w:tc>
            </w:tr>
            <w:tr w14:paraId="10833F7C">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22" w:type="pct"/>
                  <w:tcBorders>
                    <w:tl2br w:val="nil"/>
                    <w:tr2bl w:val="nil"/>
                  </w:tcBorders>
                  <w:vAlign w:val="center"/>
                </w:tcPr>
                <w:p w14:paraId="6F3C19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w:t>
                  </w:r>
                </w:p>
              </w:tc>
              <w:tc>
                <w:tcPr>
                  <w:tcW w:w="939" w:type="pct"/>
                  <w:tcBorders>
                    <w:tl2br w:val="nil"/>
                    <w:tr2bl w:val="nil"/>
                  </w:tcBorders>
                  <w:vAlign w:val="center"/>
                </w:tcPr>
                <w:p w14:paraId="127CB8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商品混凝土</w:t>
                  </w:r>
                </w:p>
              </w:tc>
              <w:tc>
                <w:tcPr>
                  <w:tcW w:w="1172" w:type="pct"/>
                  <w:tcBorders>
                    <w:tl2br w:val="nil"/>
                    <w:tr2bl w:val="nil"/>
                  </w:tcBorders>
                  <w:vAlign w:val="center"/>
                </w:tcPr>
                <w:p w14:paraId="25B5AA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吨/年</w:t>
                  </w:r>
                </w:p>
              </w:tc>
              <w:tc>
                <w:tcPr>
                  <w:tcW w:w="1179" w:type="pct"/>
                  <w:tcBorders>
                    <w:tl2br w:val="nil"/>
                    <w:tr2bl w:val="nil"/>
                  </w:tcBorders>
                  <w:vAlign w:val="center"/>
                </w:tcPr>
                <w:p w14:paraId="7B0BFD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25万</w:t>
                  </w:r>
                </w:p>
              </w:tc>
              <w:tc>
                <w:tcPr>
                  <w:tcW w:w="1185" w:type="pct"/>
                  <w:tcBorders>
                    <w:tl2br w:val="nil"/>
                    <w:tr2bl w:val="nil"/>
                  </w:tcBorders>
                  <w:vAlign w:val="center"/>
                </w:tcPr>
                <w:p w14:paraId="77042B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highlight w:val="none"/>
                    </w:rPr>
                    <w:t>每种规格混凝土根据需求情况配比生产</w:t>
                  </w:r>
                </w:p>
              </w:tc>
            </w:tr>
            <w:tr w14:paraId="4D182232">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vAlign w:val="center"/>
                </w:tcPr>
                <w:p w14:paraId="2310B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扩建完成后全厂产品方案</w:t>
                  </w:r>
                </w:p>
              </w:tc>
            </w:tr>
            <w:tr w14:paraId="3515135C">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314" w:hRule="atLeast"/>
                <w:jc w:val="center"/>
              </w:trPr>
              <w:tc>
                <w:tcPr>
                  <w:tcW w:w="522" w:type="pct"/>
                  <w:tcBorders>
                    <w:tl2br w:val="nil"/>
                    <w:tr2bl w:val="nil"/>
                  </w:tcBorders>
                  <w:vAlign w:val="center"/>
                </w:tcPr>
                <w:p w14:paraId="2A6E3C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w:t>
                  </w:r>
                </w:p>
              </w:tc>
              <w:tc>
                <w:tcPr>
                  <w:tcW w:w="939" w:type="pct"/>
                  <w:tcBorders>
                    <w:tl2br w:val="nil"/>
                    <w:tr2bl w:val="nil"/>
                  </w:tcBorders>
                  <w:vAlign w:val="center"/>
                </w:tcPr>
                <w:p w14:paraId="72038D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商品混凝土</w:t>
                  </w:r>
                </w:p>
              </w:tc>
              <w:tc>
                <w:tcPr>
                  <w:tcW w:w="1172" w:type="pct"/>
                  <w:tcBorders>
                    <w:tl2br w:val="nil"/>
                    <w:tr2bl w:val="nil"/>
                  </w:tcBorders>
                  <w:vAlign w:val="center"/>
                </w:tcPr>
                <w:p w14:paraId="52E0A7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吨/年</w:t>
                  </w:r>
                </w:p>
              </w:tc>
              <w:tc>
                <w:tcPr>
                  <w:tcW w:w="1179" w:type="pct"/>
                  <w:tcBorders>
                    <w:tl2br w:val="nil"/>
                    <w:tr2bl w:val="nil"/>
                  </w:tcBorders>
                  <w:vAlign w:val="center"/>
                </w:tcPr>
                <w:p w14:paraId="0B37F3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35万</w:t>
                  </w:r>
                </w:p>
              </w:tc>
              <w:tc>
                <w:tcPr>
                  <w:tcW w:w="1185" w:type="pct"/>
                  <w:tcBorders>
                    <w:tl2br w:val="nil"/>
                    <w:tr2bl w:val="nil"/>
                  </w:tcBorders>
                  <w:vAlign w:val="center"/>
                </w:tcPr>
                <w:p w14:paraId="2C8AFE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highlight w:val="none"/>
                    </w:rPr>
                    <w:t>每种规格混凝土根据需求情况配比生产</w:t>
                  </w:r>
                </w:p>
              </w:tc>
            </w:tr>
            <w:tr w14:paraId="7094699B">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314" w:hRule="atLeast"/>
                <w:jc w:val="center"/>
              </w:trPr>
              <w:tc>
                <w:tcPr>
                  <w:tcW w:w="522" w:type="pct"/>
                  <w:tcBorders>
                    <w:tl2br w:val="nil"/>
                    <w:tr2bl w:val="nil"/>
                  </w:tcBorders>
                  <w:vAlign w:val="center"/>
                </w:tcPr>
                <w:p w14:paraId="613E26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1843" w:type="dxa"/>
                  <w:tcBorders>
                    <w:tl2br w:val="nil"/>
                    <w:tr2bl w:val="nil"/>
                  </w:tcBorders>
                  <w:vAlign w:val="center"/>
                </w:tcPr>
                <w:p w14:paraId="1AA5FD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机制砂</w:t>
                  </w:r>
                </w:p>
              </w:tc>
              <w:tc>
                <w:tcPr>
                  <w:tcW w:w="2300" w:type="dxa"/>
                  <w:tcBorders>
                    <w:tl2br w:val="nil"/>
                    <w:tr2bl w:val="nil"/>
                  </w:tcBorders>
                  <w:vAlign w:val="center"/>
                </w:tcPr>
                <w:p w14:paraId="6052CF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吨/年</w:t>
                  </w:r>
                </w:p>
              </w:tc>
              <w:tc>
                <w:tcPr>
                  <w:tcW w:w="2313" w:type="dxa"/>
                  <w:tcBorders>
                    <w:tl2br w:val="nil"/>
                    <w:tr2bl w:val="nil"/>
                  </w:tcBorders>
                  <w:vAlign w:val="center"/>
                </w:tcPr>
                <w:p w14:paraId="6F64E9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3.32万</w:t>
                  </w:r>
                </w:p>
              </w:tc>
              <w:tc>
                <w:tcPr>
                  <w:tcW w:w="2331" w:type="dxa"/>
                  <w:tcBorders>
                    <w:tl2br w:val="nil"/>
                    <w:tr2bl w:val="nil"/>
                  </w:tcBorders>
                  <w:vAlign w:val="center"/>
                </w:tcPr>
                <w:p w14:paraId="499B3F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highlight w:val="none"/>
                    </w:rPr>
                  </w:pPr>
                  <w:r>
                    <w:rPr>
                      <w:rFonts w:hint="eastAsia" w:cs="Times New Roman"/>
                      <w:color w:val="auto"/>
                      <w:highlight w:val="none"/>
                      <w:lang w:val="en-US" w:eastAsia="zh-CN"/>
                    </w:rPr>
                    <w:t>中间产品，全部用作本项目商品混凝土的原料。</w:t>
                  </w:r>
                </w:p>
              </w:tc>
            </w:tr>
          </w:tbl>
          <w:p w14:paraId="5C45F928">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3、主要原辅料及用量</w:t>
            </w:r>
          </w:p>
          <w:p w14:paraId="3E4A4741">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原辅料用量</w:t>
            </w:r>
          </w:p>
          <w:p w14:paraId="5FC422CC">
            <w:pPr>
              <w:adjustRightInd w:val="0"/>
              <w:snapToGrid w:val="0"/>
              <w:spacing w:line="360" w:lineRule="auto"/>
              <w:ind w:firstLine="480" w:firstLineChars="200"/>
              <w:rPr>
                <w:rFonts w:hint="default" w:ascii="Times New Roman" w:hAnsi="Times New Roman" w:eastAsia="宋体" w:cs="Times New Roman"/>
                <w:b/>
                <w:bCs/>
                <w:color w:val="auto"/>
                <w:szCs w:val="21"/>
                <w:highlight w:val="none"/>
              </w:rPr>
            </w:pPr>
            <w:r>
              <w:rPr>
                <w:rFonts w:hint="eastAsia" w:cs="Times New Roman"/>
                <w:color w:val="auto"/>
                <w:sz w:val="24"/>
                <w:highlight w:val="none"/>
                <w:lang w:val="en-US" w:eastAsia="zh-CN"/>
              </w:rPr>
              <w:t>扩建完成后项目</w:t>
            </w:r>
            <w:r>
              <w:rPr>
                <w:rFonts w:hint="default" w:ascii="Times New Roman" w:hAnsi="Times New Roman" w:eastAsia="宋体" w:cs="Times New Roman"/>
                <w:color w:val="auto"/>
                <w:sz w:val="24"/>
                <w:highlight w:val="none"/>
                <w:lang w:val="en-US" w:eastAsia="zh-CN"/>
              </w:rPr>
              <w:t>主要原辅料</w:t>
            </w:r>
            <w:r>
              <w:rPr>
                <w:rFonts w:hint="default" w:ascii="Times New Roman" w:hAnsi="Times New Roman" w:eastAsia="宋体" w:cs="Times New Roman"/>
                <w:color w:val="auto"/>
                <w:sz w:val="24"/>
                <w:highlight w:val="none"/>
              </w:rPr>
              <w:t>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14:paraId="52800174">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lang w:val="en-US" w:eastAsia="zh-CN"/>
              </w:rPr>
              <w:t>扩建完成后</w:t>
            </w:r>
            <w:r>
              <w:rPr>
                <w:rFonts w:hint="default" w:ascii="Times New Roman" w:hAnsi="Times New Roman" w:eastAsia="宋体" w:cs="Times New Roman"/>
                <w:b/>
                <w:bCs/>
                <w:color w:val="auto"/>
                <w:szCs w:val="21"/>
                <w:highlight w:val="none"/>
                <w:lang w:val="en-US" w:eastAsia="zh-CN"/>
              </w:rPr>
              <w:t>主要原辅材料一览表</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095"/>
              <w:gridCol w:w="1280"/>
              <w:gridCol w:w="784"/>
              <w:gridCol w:w="3348"/>
              <w:gridCol w:w="1396"/>
              <w:gridCol w:w="1396"/>
            </w:tblGrid>
            <w:tr w14:paraId="6100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3AFF44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557" w:type="pct"/>
                  <w:tcBorders>
                    <w:tl2br w:val="nil"/>
                    <w:tr2bl w:val="nil"/>
                  </w:tcBorders>
                  <w:vAlign w:val="center"/>
                </w:tcPr>
                <w:p w14:paraId="4E7D63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材料</w:t>
                  </w:r>
                  <w:r>
                    <w:rPr>
                      <w:rFonts w:hint="default" w:ascii="Times New Roman" w:hAnsi="Times New Roman" w:eastAsia="宋体" w:cs="Times New Roman"/>
                      <w:b/>
                      <w:bCs/>
                      <w:color w:val="auto"/>
                      <w:sz w:val="21"/>
                      <w:szCs w:val="21"/>
                      <w:highlight w:val="none"/>
                    </w:rPr>
                    <w:t>名称</w:t>
                  </w:r>
                </w:p>
              </w:tc>
              <w:tc>
                <w:tcPr>
                  <w:tcW w:w="651" w:type="pct"/>
                  <w:tcBorders>
                    <w:tl2br w:val="nil"/>
                    <w:tr2bl w:val="nil"/>
                  </w:tcBorders>
                  <w:vAlign w:val="center"/>
                </w:tcPr>
                <w:p w14:paraId="5C4A94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w:t>
                  </w:r>
                  <w:r>
                    <w:rPr>
                      <w:rFonts w:hint="default" w:ascii="Times New Roman" w:hAnsi="Times New Roman" w:eastAsia="宋体" w:cs="Times New Roman"/>
                      <w:b/>
                      <w:bCs/>
                      <w:color w:val="auto"/>
                      <w:sz w:val="21"/>
                      <w:szCs w:val="21"/>
                      <w:highlight w:val="none"/>
                      <w:lang w:val="en-US" w:eastAsia="zh-CN"/>
                    </w:rPr>
                    <w:t>（t/a）</w:t>
                  </w:r>
                </w:p>
              </w:tc>
              <w:tc>
                <w:tcPr>
                  <w:tcW w:w="399" w:type="pct"/>
                  <w:tcBorders>
                    <w:tl2br w:val="nil"/>
                    <w:tr2bl w:val="nil"/>
                  </w:tcBorders>
                  <w:vAlign w:val="center"/>
                </w:tcPr>
                <w:p w14:paraId="19F9BBE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val="en-US" w:eastAsia="zh-CN"/>
                    </w:rPr>
                    <w:t>来源</w:t>
                  </w:r>
                </w:p>
              </w:tc>
              <w:tc>
                <w:tcPr>
                  <w:tcW w:w="1703" w:type="pct"/>
                  <w:tcBorders>
                    <w:tl2br w:val="nil"/>
                    <w:tr2bl w:val="nil"/>
                  </w:tcBorders>
                  <w:vAlign w:val="center"/>
                </w:tcPr>
                <w:p w14:paraId="06B2BF9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原料质量控制标准</w:t>
                  </w:r>
                </w:p>
              </w:tc>
              <w:tc>
                <w:tcPr>
                  <w:tcW w:w="710" w:type="pct"/>
                  <w:tcBorders>
                    <w:tl2br w:val="nil"/>
                    <w:tr2bl w:val="nil"/>
                  </w:tcBorders>
                  <w:vAlign w:val="center"/>
                </w:tcPr>
                <w:p w14:paraId="428C24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储存方式</w:t>
                  </w:r>
                </w:p>
              </w:tc>
              <w:tc>
                <w:tcPr>
                  <w:tcW w:w="707" w:type="pct"/>
                  <w:tcBorders>
                    <w:tl2br w:val="nil"/>
                    <w:tr2bl w:val="nil"/>
                  </w:tcBorders>
                  <w:vAlign w:val="center"/>
                </w:tcPr>
                <w:p w14:paraId="307C52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备注</w:t>
                  </w:r>
                </w:p>
              </w:tc>
            </w:tr>
            <w:tr w14:paraId="4E49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tcBorders>
                    <w:tl2br w:val="nil"/>
                    <w:tr2bl w:val="nil"/>
                  </w:tcBorders>
                  <w:vAlign w:val="center"/>
                </w:tcPr>
                <w:p w14:paraId="33B5802F">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本次扩建项目</w:t>
                  </w:r>
                  <w:r>
                    <w:rPr>
                      <w:rFonts w:hint="default" w:ascii="Times New Roman" w:hAnsi="Times New Roman" w:eastAsia="宋体" w:cs="Times New Roman"/>
                      <w:b/>
                      <w:bCs/>
                      <w:color w:val="auto"/>
                      <w:sz w:val="21"/>
                      <w:szCs w:val="21"/>
                      <w:highlight w:val="none"/>
                      <w:lang w:val="en-US" w:eastAsia="zh-CN"/>
                    </w:rPr>
                    <w:t>原辅材料</w:t>
                  </w:r>
                </w:p>
              </w:tc>
            </w:tr>
            <w:tr w14:paraId="1527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vMerge w:val="restart"/>
                  <w:tcBorders>
                    <w:tl2br w:val="nil"/>
                    <w:tr2bl w:val="nil"/>
                  </w:tcBorders>
                  <w:vAlign w:val="center"/>
                </w:tcPr>
                <w:p w14:paraId="315F0226">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557" w:type="pct"/>
                  <w:vMerge w:val="restart"/>
                  <w:tcBorders>
                    <w:tl2br w:val="nil"/>
                    <w:tr2bl w:val="nil"/>
                  </w:tcBorders>
                  <w:vAlign w:val="center"/>
                </w:tcPr>
                <w:p w14:paraId="742C3DB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碎石</w:t>
                  </w:r>
                </w:p>
              </w:tc>
              <w:tc>
                <w:tcPr>
                  <w:tcW w:w="651" w:type="pct"/>
                  <w:tcBorders>
                    <w:tl2br w:val="nil"/>
                    <w:tr2bl w:val="nil"/>
                  </w:tcBorders>
                  <w:vAlign w:val="center"/>
                </w:tcPr>
                <w:p w14:paraId="61FAA11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50000</w:t>
                  </w:r>
                </w:p>
              </w:tc>
              <w:tc>
                <w:tcPr>
                  <w:tcW w:w="399" w:type="pct"/>
                  <w:tcBorders>
                    <w:tl2br w:val="nil"/>
                    <w:tr2bl w:val="nil"/>
                  </w:tcBorders>
                  <w:vAlign w:val="center"/>
                </w:tcPr>
                <w:p w14:paraId="33722B7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2C1F25B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JGJ52-2006《普通混凝土用砂、石质量及检验方法标准》</w:t>
                  </w:r>
                </w:p>
              </w:tc>
              <w:tc>
                <w:tcPr>
                  <w:tcW w:w="710" w:type="pct"/>
                  <w:tcBorders>
                    <w:tl2br w:val="nil"/>
                    <w:tr2bl w:val="nil"/>
                  </w:tcBorders>
                  <w:vAlign w:val="center"/>
                </w:tcPr>
                <w:p w14:paraId="269BD5C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原料堆场</w:t>
                  </w:r>
                </w:p>
              </w:tc>
              <w:tc>
                <w:tcPr>
                  <w:tcW w:w="707" w:type="pct"/>
                  <w:tcBorders>
                    <w:tl2br w:val="nil"/>
                    <w:tr2bl w:val="nil"/>
                  </w:tcBorders>
                  <w:vAlign w:val="center"/>
                </w:tcPr>
                <w:p w14:paraId="16EA4E0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该部分直接当作商品混凝土原料使用</w:t>
                  </w:r>
                </w:p>
              </w:tc>
            </w:tr>
            <w:tr w14:paraId="4F38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vMerge w:val="continue"/>
                  <w:tcBorders>
                    <w:tl2br w:val="nil"/>
                    <w:tr2bl w:val="nil"/>
                  </w:tcBorders>
                  <w:vAlign w:val="center"/>
                </w:tcPr>
                <w:p w14:paraId="55C07DA3">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sz w:val="21"/>
                      <w:szCs w:val="21"/>
                      <w:highlight w:val="none"/>
                    </w:rPr>
                  </w:pPr>
                </w:p>
              </w:tc>
              <w:tc>
                <w:tcPr>
                  <w:tcW w:w="557" w:type="pct"/>
                  <w:vMerge w:val="continue"/>
                  <w:tcBorders>
                    <w:tl2br w:val="nil"/>
                    <w:tr2bl w:val="nil"/>
                  </w:tcBorders>
                  <w:vAlign w:val="center"/>
                </w:tcPr>
                <w:p w14:paraId="0261D1F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p>
              </w:tc>
              <w:tc>
                <w:tcPr>
                  <w:tcW w:w="651" w:type="pct"/>
                  <w:tcBorders>
                    <w:tl2br w:val="nil"/>
                    <w:tr2bl w:val="nil"/>
                  </w:tcBorders>
                  <w:vAlign w:val="center"/>
                </w:tcPr>
                <w:p w14:paraId="238F715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33262.748</w:t>
                  </w:r>
                </w:p>
              </w:tc>
              <w:tc>
                <w:tcPr>
                  <w:tcW w:w="399" w:type="pct"/>
                  <w:tcBorders>
                    <w:tl2br w:val="nil"/>
                    <w:tr2bl w:val="nil"/>
                  </w:tcBorders>
                  <w:vAlign w:val="center"/>
                </w:tcPr>
                <w:p w14:paraId="7F4DE48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外购</w:t>
                  </w:r>
                </w:p>
              </w:tc>
              <w:tc>
                <w:tcPr>
                  <w:tcW w:w="1703" w:type="pct"/>
                  <w:tcBorders>
                    <w:tl2br w:val="nil"/>
                    <w:tr2bl w:val="nil"/>
                  </w:tcBorders>
                  <w:vAlign w:val="center"/>
                </w:tcPr>
                <w:p w14:paraId="5CF48F4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JGJ52-2006《普通混凝土用砂、石质量及检验方法标准》</w:t>
                  </w:r>
                </w:p>
              </w:tc>
              <w:tc>
                <w:tcPr>
                  <w:tcW w:w="710" w:type="pct"/>
                  <w:tcBorders>
                    <w:tl2br w:val="nil"/>
                    <w:tr2bl w:val="nil"/>
                  </w:tcBorders>
                  <w:vAlign w:val="center"/>
                </w:tcPr>
                <w:p w14:paraId="675B72C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原料堆场</w:t>
                  </w:r>
                </w:p>
              </w:tc>
              <w:tc>
                <w:tcPr>
                  <w:tcW w:w="707" w:type="pct"/>
                  <w:tcBorders>
                    <w:tl2br w:val="nil"/>
                    <w:tr2bl w:val="nil"/>
                  </w:tcBorders>
                  <w:vAlign w:val="center"/>
                </w:tcPr>
                <w:p w14:paraId="21948F6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该部分用于破碎成0～5mm的机制砂</w:t>
                  </w:r>
                </w:p>
              </w:tc>
            </w:tr>
            <w:tr w14:paraId="4A28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15B8F14B">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2</w:t>
                  </w:r>
                </w:p>
              </w:tc>
              <w:tc>
                <w:tcPr>
                  <w:tcW w:w="557" w:type="pct"/>
                  <w:tcBorders>
                    <w:tl2br w:val="nil"/>
                    <w:tr2bl w:val="nil"/>
                  </w:tcBorders>
                  <w:vAlign w:val="center"/>
                </w:tcPr>
                <w:p w14:paraId="30DE72B2">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机制砂</w:t>
                  </w:r>
                </w:p>
              </w:tc>
              <w:tc>
                <w:tcPr>
                  <w:tcW w:w="651" w:type="pct"/>
                  <w:tcBorders>
                    <w:tl2br w:val="nil"/>
                    <w:tr2bl w:val="nil"/>
                  </w:tcBorders>
                  <w:vAlign w:val="center"/>
                </w:tcPr>
                <w:p w14:paraId="66F012E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33200</w:t>
                  </w:r>
                </w:p>
              </w:tc>
              <w:tc>
                <w:tcPr>
                  <w:tcW w:w="399" w:type="pct"/>
                  <w:tcBorders>
                    <w:tl2br w:val="nil"/>
                    <w:tr2bl w:val="nil"/>
                  </w:tcBorders>
                  <w:vAlign w:val="center"/>
                </w:tcPr>
                <w:p w14:paraId="2D09108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自产</w:t>
                  </w:r>
                </w:p>
              </w:tc>
              <w:tc>
                <w:tcPr>
                  <w:tcW w:w="1703" w:type="pct"/>
                  <w:tcBorders>
                    <w:tl2br w:val="nil"/>
                    <w:tr2bl w:val="nil"/>
                  </w:tcBorders>
                  <w:vAlign w:val="center"/>
                </w:tcPr>
                <w:p w14:paraId="0F671D8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JGJ52-2006《普通混凝土用砂、石质量及检验方法标准》</w:t>
                  </w:r>
                </w:p>
              </w:tc>
              <w:tc>
                <w:tcPr>
                  <w:tcW w:w="710" w:type="pct"/>
                  <w:tcBorders>
                    <w:tl2br w:val="nil"/>
                    <w:tr2bl w:val="nil"/>
                  </w:tcBorders>
                  <w:vAlign w:val="center"/>
                </w:tcPr>
                <w:p w14:paraId="4E048CD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原料堆场</w:t>
                  </w:r>
                </w:p>
              </w:tc>
              <w:tc>
                <w:tcPr>
                  <w:tcW w:w="707" w:type="pct"/>
                  <w:tcBorders>
                    <w:tl2br w:val="nil"/>
                    <w:tr2bl w:val="nil"/>
                  </w:tcBorders>
                  <w:vAlign w:val="center"/>
                </w:tcPr>
                <w:p w14:paraId="6E28637B">
                  <w:pPr>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中间产品，全部用作本项目商品混凝土的原料</w:t>
                  </w:r>
                </w:p>
              </w:tc>
            </w:tr>
            <w:tr w14:paraId="41A6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64E2FA97">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bidi="ar"/>
                    </w:rPr>
                    <w:t>3</w:t>
                  </w:r>
                </w:p>
              </w:tc>
              <w:tc>
                <w:tcPr>
                  <w:tcW w:w="557" w:type="pct"/>
                  <w:tcBorders>
                    <w:tl2br w:val="nil"/>
                    <w:tr2bl w:val="nil"/>
                  </w:tcBorders>
                  <w:vAlign w:val="center"/>
                </w:tcPr>
                <w:p w14:paraId="7CE65DC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水泥</w:t>
                  </w:r>
                </w:p>
              </w:tc>
              <w:tc>
                <w:tcPr>
                  <w:tcW w:w="651" w:type="pct"/>
                  <w:tcBorders>
                    <w:tl2br w:val="nil"/>
                    <w:tr2bl w:val="nil"/>
                  </w:tcBorders>
                  <w:vAlign w:val="center"/>
                </w:tcPr>
                <w:p w14:paraId="3C088DC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12400</w:t>
                  </w:r>
                </w:p>
              </w:tc>
              <w:tc>
                <w:tcPr>
                  <w:tcW w:w="399" w:type="pct"/>
                  <w:tcBorders>
                    <w:tl2br w:val="nil"/>
                    <w:tr2bl w:val="nil"/>
                  </w:tcBorders>
                  <w:vAlign w:val="center"/>
                </w:tcPr>
                <w:p w14:paraId="32A12CD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700791F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GB175-2007《通用硅酸盐水泥》、GB200-2017《中热硅酸盐水泥低热硅酸盐水泥》</w:t>
                  </w:r>
                </w:p>
              </w:tc>
              <w:tc>
                <w:tcPr>
                  <w:tcW w:w="710" w:type="pct"/>
                  <w:tcBorders>
                    <w:tl2br w:val="nil"/>
                    <w:tr2bl w:val="nil"/>
                  </w:tcBorders>
                  <w:vAlign w:val="center"/>
                </w:tcPr>
                <w:p w14:paraId="5AC87B3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水泥筒仓</w:t>
                  </w:r>
                </w:p>
              </w:tc>
              <w:tc>
                <w:tcPr>
                  <w:tcW w:w="707" w:type="pct"/>
                  <w:tcBorders>
                    <w:tl2br w:val="nil"/>
                    <w:tr2bl w:val="nil"/>
                  </w:tcBorders>
                  <w:vAlign w:val="center"/>
                </w:tcPr>
                <w:p w14:paraId="02457361">
                  <w:pPr>
                    <w:keepNext w:val="0"/>
                    <w:keepLines w:val="0"/>
                    <w:pageBreakBefore w:val="0"/>
                    <w:kinsoku/>
                    <w:wordWrap/>
                    <w:overflowPunct/>
                    <w:topLinePunct w:val="0"/>
                    <w:autoSpaceDE/>
                    <w:autoSpaceDN/>
                    <w:bidi w:val="0"/>
                    <w:spacing w:beforeLines="0" w:afterLines="0" w:line="240" w:lineRule="auto"/>
                    <w:ind w:firstLine="420" w:firstLine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73D3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7D15143E">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w:t>
                  </w:r>
                </w:p>
              </w:tc>
              <w:tc>
                <w:tcPr>
                  <w:tcW w:w="557" w:type="pct"/>
                  <w:tcBorders>
                    <w:tl2br w:val="nil"/>
                    <w:tr2bl w:val="nil"/>
                  </w:tcBorders>
                  <w:vAlign w:val="center"/>
                </w:tcPr>
                <w:p w14:paraId="5EA4F2F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粉煤灰</w:t>
                  </w:r>
                </w:p>
              </w:tc>
              <w:tc>
                <w:tcPr>
                  <w:tcW w:w="651" w:type="pct"/>
                  <w:tcBorders>
                    <w:tl2br w:val="nil"/>
                    <w:tr2bl w:val="nil"/>
                  </w:tcBorders>
                  <w:vAlign w:val="center"/>
                </w:tcPr>
                <w:p w14:paraId="298E615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3300</w:t>
                  </w:r>
                </w:p>
              </w:tc>
              <w:tc>
                <w:tcPr>
                  <w:tcW w:w="399" w:type="pct"/>
                  <w:tcBorders>
                    <w:tl2br w:val="nil"/>
                    <w:tr2bl w:val="nil"/>
                  </w:tcBorders>
                  <w:vAlign w:val="center"/>
                </w:tcPr>
                <w:p w14:paraId="69E4894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34EED1F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highlight w:val="none"/>
                    </w:rPr>
                    <w:t>GB/T1596-2017《用于水泥和混凝土中的粉煤灰》</w:t>
                  </w:r>
                </w:p>
              </w:tc>
              <w:tc>
                <w:tcPr>
                  <w:tcW w:w="710" w:type="pct"/>
                  <w:tcBorders>
                    <w:tl2br w:val="nil"/>
                    <w:tr2bl w:val="nil"/>
                  </w:tcBorders>
                  <w:vAlign w:val="center"/>
                </w:tcPr>
                <w:p w14:paraId="6FE4252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粉煤灰筒仓</w:t>
                  </w:r>
                </w:p>
              </w:tc>
              <w:tc>
                <w:tcPr>
                  <w:tcW w:w="707" w:type="pct"/>
                  <w:tcBorders>
                    <w:tl2br w:val="nil"/>
                    <w:tr2bl w:val="nil"/>
                  </w:tcBorders>
                  <w:vAlign w:val="center"/>
                </w:tcPr>
                <w:p w14:paraId="313B65E9">
                  <w:pPr>
                    <w:keepNext w:val="0"/>
                    <w:keepLines w:val="0"/>
                    <w:pageBreakBefore w:val="0"/>
                    <w:kinsoku/>
                    <w:wordWrap/>
                    <w:overflowPunct/>
                    <w:topLinePunct w:val="0"/>
                    <w:autoSpaceDE/>
                    <w:autoSpaceDN/>
                    <w:bidi w:val="0"/>
                    <w:spacing w:beforeLines="0" w:afterLines="0" w:line="240" w:lineRule="auto"/>
                    <w:ind w:firstLine="420" w:firstLine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39D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271578D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p>
              </w:tc>
              <w:tc>
                <w:tcPr>
                  <w:tcW w:w="557" w:type="pct"/>
                  <w:tcBorders>
                    <w:tl2br w:val="nil"/>
                    <w:tr2bl w:val="nil"/>
                  </w:tcBorders>
                  <w:vAlign w:val="center"/>
                </w:tcPr>
                <w:p w14:paraId="0A8509A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矿粉</w:t>
                  </w:r>
                </w:p>
              </w:tc>
              <w:tc>
                <w:tcPr>
                  <w:tcW w:w="651" w:type="pct"/>
                  <w:tcBorders>
                    <w:tl2br w:val="nil"/>
                    <w:tr2bl w:val="nil"/>
                  </w:tcBorders>
                  <w:vAlign w:val="center"/>
                </w:tcPr>
                <w:p w14:paraId="3B85551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1100</w:t>
                  </w:r>
                </w:p>
              </w:tc>
              <w:tc>
                <w:tcPr>
                  <w:tcW w:w="399" w:type="pct"/>
                  <w:tcBorders>
                    <w:tl2br w:val="nil"/>
                    <w:tr2bl w:val="nil"/>
                  </w:tcBorders>
                  <w:vAlign w:val="center"/>
                </w:tcPr>
                <w:p w14:paraId="6BEF4EE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014AC15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highlight w:val="none"/>
                    </w:rPr>
                    <w:t>GB/T18046-2000《用于水泥和混凝土中的粒化高炉矿渣粉》</w:t>
                  </w:r>
                </w:p>
              </w:tc>
              <w:tc>
                <w:tcPr>
                  <w:tcW w:w="710" w:type="pct"/>
                  <w:tcBorders>
                    <w:tl2br w:val="nil"/>
                    <w:tr2bl w:val="nil"/>
                  </w:tcBorders>
                  <w:vAlign w:val="center"/>
                </w:tcPr>
                <w:p w14:paraId="7DE6B9E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矿粉筒仓</w:t>
                  </w:r>
                </w:p>
              </w:tc>
              <w:tc>
                <w:tcPr>
                  <w:tcW w:w="707" w:type="pct"/>
                  <w:tcBorders>
                    <w:tl2br w:val="nil"/>
                    <w:tr2bl w:val="nil"/>
                  </w:tcBorders>
                  <w:vAlign w:val="center"/>
                </w:tcPr>
                <w:p w14:paraId="5BAD839F">
                  <w:pPr>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4E23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 w:type="pct"/>
                  <w:tcBorders>
                    <w:tl2br w:val="nil"/>
                    <w:tr2bl w:val="nil"/>
                  </w:tcBorders>
                  <w:vAlign w:val="center"/>
                </w:tcPr>
                <w:p w14:paraId="50E53A3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w:t>
                  </w:r>
                </w:p>
              </w:tc>
              <w:tc>
                <w:tcPr>
                  <w:tcW w:w="557" w:type="pct"/>
                  <w:tcBorders>
                    <w:tl2br w:val="nil"/>
                    <w:tr2bl w:val="nil"/>
                  </w:tcBorders>
                  <w:vAlign w:val="center"/>
                </w:tcPr>
                <w:p w14:paraId="3C674F5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w:t>
                  </w:r>
                </w:p>
              </w:tc>
              <w:tc>
                <w:tcPr>
                  <w:tcW w:w="651" w:type="pct"/>
                  <w:tcBorders>
                    <w:tl2br w:val="nil"/>
                    <w:tr2bl w:val="nil"/>
                  </w:tcBorders>
                  <w:vAlign w:val="center"/>
                </w:tcPr>
                <w:p w14:paraId="3A3CC4C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15</w:t>
                  </w:r>
                </w:p>
              </w:tc>
              <w:tc>
                <w:tcPr>
                  <w:tcW w:w="399" w:type="pct"/>
                  <w:tcBorders>
                    <w:tl2br w:val="nil"/>
                    <w:tr2bl w:val="nil"/>
                  </w:tcBorders>
                  <w:vAlign w:val="center"/>
                </w:tcPr>
                <w:p w14:paraId="46DC313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0EE61B6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w:t>
                  </w:r>
                </w:p>
              </w:tc>
              <w:tc>
                <w:tcPr>
                  <w:tcW w:w="710" w:type="pct"/>
                  <w:tcBorders>
                    <w:tl2br w:val="nil"/>
                    <w:tr2bl w:val="nil"/>
                  </w:tcBorders>
                  <w:vAlign w:val="center"/>
                </w:tcPr>
                <w:p w14:paraId="1233DB4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外加剂存放桶</w:t>
                  </w:r>
                </w:p>
              </w:tc>
              <w:tc>
                <w:tcPr>
                  <w:tcW w:w="707" w:type="pct"/>
                  <w:tcBorders>
                    <w:tl2br w:val="nil"/>
                    <w:tr2bl w:val="nil"/>
                  </w:tcBorders>
                  <w:vAlign w:val="center"/>
                </w:tcPr>
                <w:p w14:paraId="5319066C">
                  <w:pPr>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10t塑料桶装</w:t>
                  </w:r>
                </w:p>
              </w:tc>
            </w:tr>
            <w:tr w14:paraId="7EF2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tcBorders>
                    <w:tl2br w:val="nil"/>
                    <w:tr2bl w:val="nil"/>
                  </w:tcBorders>
                  <w:vAlign w:val="center"/>
                </w:tcPr>
                <w:p w14:paraId="43764D2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原项目</w:t>
                  </w:r>
                  <w:r>
                    <w:rPr>
                      <w:rFonts w:hint="default" w:ascii="Times New Roman" w:hAnsi="Times New Roman" w:eastAsia="宋体" w:cs="Times New Roman"/>
                      <w:b/>
                      <w:bCs/>
                      <w:color w:val="auto"/>
                      <w:sz w:val="21"/>
                      <w:szCs w:val="21"/>
                      <w:highlight w:val="none"/>
                      <w:lang w:val="en-US" w:eastAsia="zh-CN"/>
                    </w:rPr>
                    <w:t>原辅材料</w:t>
                  </w:r>
                </w:p>
              </w:tc>
            </w:tr>
            <w:tr w14:paraId="11BE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6654EF3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557" w:type="pct"/>
                  <w:tcBorders>
                    <w:tl2br w:val="nil"/>
                    <w:tr2bl w:val="nil"/>
                  </w:tcBorders>
                  <w:vAlign w:val="center"/>
                </w:tcPr>
                <w:p w14:paraId="0B3D8C3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碎石</w:t>
                  </w:r>
                </w:p>
              </w:tc>
              <w:tc>
                <w:tcPr>
                  <w:tcW w:w="651" w:type="pct"/>
                  <w:tcBorders>
                    <w:tl2br w:val="nil"/>
                    <w:tr2bl w:val="nil"/>
                  </w:tcBorders>
                  <w:vAlign w:val="center"/>
                </w:tcPr>
                <w:p w14:paraId="62DEFE5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125000</w:t>
                  </w:r>
                </w:p>
              </w:tc>
              <w:tc>
                <w:tcPr>
                  <w:tcW w:w="399" w:type="pct"/>
                  <w:tcBorders>
                    <w:tl2br w:val="nil"/>
                    <w:tr2bl w:val="nil"/>
                  </w:tcBorders>
                  <w:vAlign w:val="center"/>
                </w:tcPr>
                <w:p w14:paraId="45D465E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010F89E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p>
                <w:p w14:paraId="1045238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JGJ52-2006《普通混凝土用砂、石质量及检验方法标准》</w:t>
                  </w:r>
                </w:p>
              </w:tc>
              <w:tc>
                <w:tcPr>
                  <w:tcW w:w="710" w:type="pct"/>
                  <w:tcBorders>
                    <w:tl2br w:val="nil"/>
                    <w:tr2bl w:val="nil"/>
                  </w:tcBorders>
                  <w:vAlign w:val="center"/>
                </w:tcPr>
                <w:p w14:paraId="0767E74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原料堆场</w:t>
                  </w:r>
                </w:p>
              </w:tc>
              <w:tc>
                <w:tcPr>
                  <w:tcW w:w="707" w:type="pct"/>
                  <w:tcBorders>
                    <w:tl2br w:val="nil"/>
                    <w:tr2bl w:val="nil"/>
                  </w:tcBorders>
                  <w:vAlign w:val="center"/>
                </w:tcPr>
                <w:p w14:paraId="41DFECA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p>
              </w:tc>
            </w:tr>
            <w:tr w14:paraId="20D2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5452F5D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557" w:type="pct"/>
                  <w:tcBorders>
                    <w:tl2br w:val="nil"/>
                    <w:tr2bl w:val="nil"/>
                  </w:tcBorders>
                  <w:vAlign w:val="center"/>
                </w:tcPr>
                <w:p w14:paraId="3B4E5C0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机制砂</w:t>
                  </w:r>
                </w:p>
              </w:tc>
              <w:tc>
                <w:tcPr>
                  <w:tcW w:w="651" w:type="pct"/>
                  <w:tcBorders>
                    <w:tl2br w:val="nil"/>
                    <w:tr2bl w:val="nil"/>
                  </w:tcBorders>
                  <w:vAlign w:val="center"/>
                </w:tcPr>
                <w:p w14:paraId="5E62367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83000</w:t>
                  </w:r>
                </w:p>
              </w:tc>
              <w:tc>
                <w:tcPr>
                  <w:tcW w:w="399" w:type="pct"/>
                  <w:tcBorders>
                    <w:tl2br w:val="nil"/>
                    <w:tr2bl w:val="nil"/>
                  </w:tcBorders>
                  <w:vAlign w:val="center"/>
                </w:tcPr>
                <w:p w14:paraId="5685CC0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6E0FB97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10" w:type="pct"/>
                  <w:tcBorders>
                    <w:tl2br w:val="nil"/>
                    <w:tr2bl w:val="nil"/>
                  </w:tcBorders>
                  <w:vAlign w:val="center"/>
                </w:tcPr>
                <w:p w14:paraId="0F50D15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原料堆场</w:t>
                  </w:r>
                </w:p>
              </w:tc>
              <w:tc>
                <w:tcPr>
                  <w:tcW w:w="707" w:type="pct"/>
                  <w:tcBorders>
                    <w:tl2br w:val="nil"/>
                    <w:tr2bl w:val="nil"/>
                  </w:tcBorders>
                  <w:vAlign w:val="center"/>
                </w:tcPr>
                <w:p w14:paraId="49F9A7B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3455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7F7687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557" w:type="pct"/>
                  <w:tcBorders>
                    <w:tl2br w:val="nil"/>
                    <w:tr2bl w:val="nil"/>
                  </w:tcBorders>
                  <w:vAlign w:val="center"/>
                </w:tcPr>
                <w:p w14:paraId="4DA0CE3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水泥</w:t>
                  </w:r>
                </w:p>
              </w:tc>
              <w:tc>
                <w:tcPr>
                  <w:tcW w:w="651" w:type="pct"/>
                  <w:tcBorders>
                    <w:tl2br w:val="nil"/>
                    <w:tr2bl w:val="nil"/>
                  </w:tcBorders>
                  <w:vAlign w:val="center"/>
                </w:tcPr>
                <w:p w14:paraId="7AE885F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31000</w:t>
                  </w:r>
                </w:p>
              </w:tc>
              <w:tc>
                <w:tcPr>
                  <w:tcW w:w="399" w:type="pct"/>
                  <w:tcBorders>
                    <w:tl2br w:val="nil"/>
                    <w:tr2bl w:val="nil"/>
                  </w:tcBorders>
                  <w:vAlign w:val="center"/>
                </w:tcPr>
                <w:p w14:paraId="325CD49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24CA78B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GB175-2007《通用硅酸盐水泥》、GB200-2017《中热硅酸盐水泥低热硅酸盐水泥》</w:t>
                  </w:r>
                </w:p>
              </w:tc>
              <w:tc>
                <w:tcPr>
                  <w:tcW w:w="710" w:type="pct"/>
                  <w:tcBorders>
                    <w:tl2br w:val="nil"/>
                    <w:tr2bl w:val="nil"/>
                  </w:tcBorders>
                  <w:vAlign w:val="center"/>
                </w:tcPr>
                <w:p w14:paraId="3053437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水泥筒仓</w:t>
                  </w:r>
                </w:p>
              </w:tc>
              <w:tc>
                <w:tcPr>
                  <w:tcW w:w="707" w:type="pct"/>
                  <w:tcBorders>
                    <w:tl2br w:val="nil"/>
                    <w:tr2bl w:val="nil"/>
                  </w:tcBorders>
                  <w:vAlign w:val="center"/>
                </w:tcPr>
                <w:p w14:paraId="394FD9C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595F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5680509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w:t>
                  </w:r>
                </w:p>
              </w:tc>
              <w:tc>
                <w:tcPr>
                  <w:tcW w:w="557" w:type="pct"/>
                  <w:tcBorders>
                    <w:tl2br w:val="nil"/>
                    <w:tr2bl w:val="nil"/>
                  </w:tcBorders>
                  <w:vAlign w:val="center"/>
                </w:tcPr>
                <w:p w14:paraId="07020A2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粉煤灰</w:t>
                  </w:r>
                </w:p>
              </w:tc>
              <w:tc>
                <w:tcPr>
                  <w:tcW w:w="651" w:type="pct"/>
                  <w:tcBorders>
                    <w:tl2br w:val="nil"/>
                    <w:tr2bl w:val="nil"/>
                  </w:tcBorders>
                  <w:vAlign w:val="center"/>
                </w:tcPr>
                <w:p w14:paraId="7BAD12D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8250</w:t>
                  </w:r>
                </w:p>
              </w:tc>
              <w:tc>
                <w:tcPr>
                  <w:tcW w:w="399" w:type="pct"/>
                  <w:tcBorders>
                    <w:tl2br w:val="nil"/>
                    <w:tr2bl w:val="nil"/>
                  </w:tcBorders>
                  <w:vAlign w:val="center"/>
                </w:tcPr>
                <w:p w14:paraId="5FA711F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631AF58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highlight w:val="none"/>
                    </w:rPr>
                    <w:t>GB/T1596-2017《用于水泥和混凝土中的粉煤灰》</w:t>
                  </w:r>
                </w:p>
              </w:tc>
              <w:tc>
                <w:tcPr>
                  <w:tcW w:w="710" w:type="pct"/>
                  <w:tcBorders>
                    <w:tl2br w:val="nil"/>
                    <w:tr2bl w:val="nil"/>
                  </w:tcBorders>
                  <w:vAlign w:val="center"/>
                </w:tcPr>
                <w:p w14:paraId="2B8C923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粉煤灰筒仓</w:t>
                  </w:r>
                </w:p>
              </w:tc>
              <w:tc>
                <w:tcPr>
                  <w:tcW w:w="707" w:type="pct"/>
                  <w:tcBorders>
                    <w:tl2br w:val="nil"/>
                    <w:tr2bl w:val="nil"/>
                  </w:tcBorders>
                  <w:vAlign w:val="center"/>
                </w:tcPr>
                <w:p w14:paraId="4DDB9FE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1CEE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23289FF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p>
              </w:tc>
              <w:tc>
                <w:tcPr>
                  <w:tcW w:w="557" w:type="pct"/>
                  <w:tcBorders>
                    <w:tl2br w:val="nil"/>
                    <w:tr2bl w:val="nil"/>
                  </w:tcBorders>
                  <w:vAlign w:val="center"/>
                </w:tcPr>
                <w:p w14:paraId="50845AB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矿粉</w:t>
                  </w:r>
                </w:p>
              </w:tc>
              <w:tc>
                <w:tcPr>
                  <w:tcW w:w="651" w:type="pct"/>
                  <w:tcBorders>
                    <w:tl2br w:val="nil"/>
                    <w:tr2bl w:val="nil"/>
                  </w:tcBorders>
                  <w:vAlign w:val="center"/>
                </w:tcPr>
                <w:p w14:paraId="48D0FB0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2750</w:t>
                  </w:r>
                </w:p>
              </w:tc>
              <w:tc>
                <w:tcPr>
                  <w:tcW w:w="399" w:type="pct"/>
                  <w:tcBorders>
                    <w:tl2br w:val="nil"/>
                    <w:tr2bl w:val="nil"/>
                  </w:tcBorders>
                  <w:vAlign w:val="center"/>
                </w:tcPr>
                <w:p w14:paraId="3F04D70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1B320CC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highlight w:val="none"/>
                    </w:rPr>
                    <w:t>GB/T18046-2000《用于水泥和混凝土中的粒化高炉矿渣粉》</w:t>
                  </w:r>
                </w:p>
              </w:tc>
              <w:tc>
                <w:tcPr>
                  <w:tcW w:w="710" w:type="pct"/>
                  <w:tcBorders>
                    <w:tl2br w:val="nil"/>
                    <w:tr2bl w:val="nil"/>
                  </w:tcBorders>
                  <w:vAlign w:val="center"/>
                </w:tcPr>
                <w:p w14:paraId="7DCEF48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矿粉筒仓</w:t>
                  </w:r>
                </w:p>
              </w:tc>
              <w:tc>
                <w:tcPr>
                  <w:tcW w:w="707" w:type="pct"/>
                  <w:tcBorders>
                    <w:tl2br w:val="nil"/>
                    <w:tr2bl w:val="nil"/>
                  </w:tcBorders>
                  <w:vAlign w:val="center"/>
                </w:tcPr>
                <w:p w14:paraId="6FA431B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2B7B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dxa"/>
                  <w:tcBorders>
                    <w:tl2br w:val="nil"/>
                    <w:tr2bl w:val="nil"/>
                  </w:tcBorders>
                  <w:vAlign w:val="center"/>
                </w:tcPr>
                <w:p w14:paraId="1FB45B3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w:t>
                  </w:r>
                </w:p>
              </w:tc>
              <w:tc>
                <w:tcPr>
                  <w:tcW w:w="929" w:type="dxa"/>
                  <w:tcBorders>
                    <w:tl2br w:val="nil"/>
                    <w:tr2bl w:val="nil"/>
                  </w:tcBorders>
                  <w:vAlign w:val="center"/>
                </w:tcPr>
                <w:p w14:paraId="6088497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eastAsia" w:ascii="Times New Roman" w:cs="Times New Roman"/>
                      <w:color w:val="auto"/>
                      <w:szCs w:val="21"/>
                      <w:lang w:val="en-US" w:eastAsia="zh-CN"/>
                    </w:rPr>
                    <w:t>外加剂</w:t>
                  </w:r>
                </w:p>
              </w:tc>
              <w:tc>
                <w:tcPr>
                  <w:tcW w:w="1214" w:type="dxa"/>
                  <w:tcBorders>
                    <w:tl2br w:val="nil"/>
                    <w:tr2bl w:val="nil"/>
                  </w:tcBorders>
                  <w:vAlign w:val="center"/>
                </w:tcPr>
                <w:p w14:paraId="489C360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35</w:t>
                  </w:r>
                </w:p>
              </w:tc>
              <w:tc>
                <w:tcPr>
                  <w:tcW w:w="661" w:type="dxa"/>
                  <w:tcBorders>
                    <w:tl2br w:val="nil"/>
                    <w:tr2bl w:val="nil"/>
                  </w:tcBorders>
                  <w:vAlign w:val="center"/>
                </w:tcPr>
                <w:p w14:paraId="0C48075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2879" w:type="dxa"/>
                  <w:tcBorders>
                    <w:tl2br w:val="nil"/>
                    <w:tr2bl w:val="nil"/>
                  </w:tcBorders>
                  <w:vAlign w:val="center"/>
                </w:tcPr>
                <w:p w14:paraId="0AF8A1C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cs="Times New Roman"/>
                      <w:color w:val="auto"/>
                      <w:highlight w:val="none"/>
                    </w:rPr>
                  </w:pPr>
                  <w:r>
                    <w:rPr>
                      <w:rFonts w:hint="eastAsia" w:ascii="Times New Roman" w:cs="Times New Roman"/>
                      <w:color w:val="auto"/>
                      <w:highlight w:val="none"/>
                      <w:lang w:val="en-US" w:eastAsia="zh-CN"/>
                    </w:rPr>
                    <w:t>/</w:t>
                  </w:r>
                </w:p>
              </w:tc>
              <w:tc>
                <w:tcPr>
                  <w:tcW w:w="1190" w:type="dxa"/>
                  <w:tcBorders>
                    <w:tl2br w:val="nil"/>
                    <w:tr2bl w:val="nil"/>
                  </w:tcBorders>
                  <w:vAlign w:val="center"/>
                </w:tcPr>
                <w:p w14:paraId="1A17F92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外加剂存放桶</w:t>
                  </w:r>
                </w:p>
              </w:tc>
              <w:tc>
                <w:tcPr>
                  <w:tcW w:w="1191" w:type="dxa"/>
                  <w:tcBorders>
                    <w:tl2br w:val="nil"/>
                    <w:tr2bl w:val="nil"/>
                  </w:tcBorders>
                  <w:vAlign w:val="center"/>
                </w:tcPr>
                <w:p w14:paraId="5C290FC6">
                  <w:pPr>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10t塑料桶装</w:t>
                  </w:r>
                </w:p>
              </w:tc>
            </w:tr>
            <w:tr w14:paraId="5258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tcBorders>
                    <w:tl2br w:val="nil"/>
                    <w:tr2bl w:val="nil"/>
                  </w:tcBorders>
                  <w:vAlign w:val="center"/>
                </w:tcPr>
                <w:p w14:paraId="745D1A8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扩建完成后全厂原辅材料</w:t>
                  </w:r>
                </w:p>
              </w:tc>
            </w:tr>
            <w:tr w14:paraId="7B2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6F078F9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557" w:type="pct"/>
                  <w:tcBorders>
                    <w:tl2br w:val="nil"/>
                    <w:tr2bl w:val="nil"/>
                  </w:tcBorders>
                  <w:vAlign w:val="center"/>
                </w:tcPr>
                <w:p w14:paraId="56A1233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碎石</w:t>
                  </w:r>
                </w:p>
              </w:tc>
              <w:tc>
                <w:tcPr>
                  <w:tcW w:w="651" w:type="pct"/>
                  <w:tcBorders>
                    <w:tl2br w:val="nil"/>
                    <w:tr2bl w:val="nil"/>
                  </w:tcBorders>
                  <w:vAlign w:val="center"/>
                </w:tcPr>
                <w:p w14:paraId="7DE4E74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208262.748</w:t>
                  </w:r>
                </w:p>
              </w:tc>
              <w:tc>
                <w:tcPr>
                  <w:tcW w:w="399" w:type="pct"/>
                  <w:tcBorders>
                    <w:tl2br w:val="nil"/>
                    <w:tr2bl w:val="nil"/>
                  </w:tcBorders>
                  <w:vAlign w:val="center"/>
                </w:tcPr>
                <w:p w14:paraId="23407A9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0E6AE0A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p>
                <w:p w14:paraId="16B643D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JGJ52-2006《普通混凝土用砂、石质量及检验方法标准》</w:t>
                  </w:r>
                </w:p>
              </w:tc>
              <w:tc>
                <w:tcPr>
                  <w:tcW w:w="710" w:type="pct"/>
                  <w:tcBorders>
                    <w:tl2br w:val="nil"/>
                    <w:tr2bl w:val="nil"/>
                  </w:tcBorders>
                  <w:vAlign w:val="center"/>
                </w:tcPr>
                <w:p w14:paraId="36AD83D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原料堆场</w:t>
                  </w:r>
                </w:p>
              </w:tc>
              <w:tc>
                <w:tcPr>
                  <w:tcW w:w="707" w:type="pct"/>
                  <w:tcBorders>
                    <w:tl2br w:val="nil"/>
                    <w:tr2bl w:val="nil"/>
                  </w:tcBorders>
                  <w:vAlign w:val="center"/>
                </w:tcPr>
                <w:p w14:paraId="309ED36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p>
              </w:tc>
            </w:tr>
            <w:tr w14:paraId="2AF4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68567FB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557" w:type="pct"/>
                  <w:tcBorders>
                    <w:tl2br w:val="nil"/>
                    <w:tr2bl w:val="nil"/>
                  </w:tcBorders>
                  <w:vAlign w:val="center"/>
                </w:tcPr>
                <w:p w14:paraId="0363F7F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机制砂</w:t>
                  </w:r>
                </w:p>
              </w:tc>
              <w:tc>
                <w:tcPr>
                  <w:tcW w:w="651" w:type="pct"/>
                  <w:tcBorders>
                    <w:tl2br w:val="nil"/>
                    <w:tr2bl w:val="nil"/>
                  </w:tcBorders>
                  <w:vAlign w:val="center"/>
                </w:tcPr>
                <w:p w14:paraId="6A5F17B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116200</w:t>
                  </w:r>
                </w:p>
              </w:tc>
              <w:tc>
                <w:tcPr>
                  <w:tcW w:w="399" w:type="pct"/>
                  <w:tcBorders>
                    <w:tl2br w:val="nil"/>
                    <w:tr2bl w:val="nil"/>
                  </w:tcBorders>
                  <w:vAlign w:val="center"/>
                </w:tcPr>
                <w:p w14:paraId="1ED1780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部分</w:t>
                  </w: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5894990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10" w:type="pct"/>
                  <w:tcBorders>
                    <w:tl2br w:val="nil"/>
                    <w:tr2bl w:val="nil"/>
                  </w:tcBorders>
                  <w:vAlign w:val="center"/>
                </w:tcPr>
                <w:p w14:paraId="795D05E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rPr>
                    <w:t>原料堆场</w:t>
                  </w:r>
                </w:p>
              </w:tc>
              <w:tc>
                <w:tcPr>
                  <w:tcW w:w="707" w:type="pct"/>
                  <w:tcBorders>
                    <w:tl2br w:val="nil"/>
                    <w:tr2bl w:val="nil"/>
                  </w:tcBorders>
                  <w:vAlign w:val="center"/>
                </w:tcPr>
                <w:p w14:paraId="0A0BADE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其中33200t由破碎制砂车间自产，另外</w:t>
                  </w:r>
                  <w:r>
                    <w:rPr>
                      <w:rFonts w:hint="default" w:ascii="Times New Roman" w:hAnsi="Times New Roman" w:eastAsia="宋体" w:cs="Times New Roman"/>
                      <w:color w:val="auto"/>
                      <w:szCs w:val="21"/>
                      <w:lang w:val="en-US" w:eastAsia="zh-CN"/>
                    </w:rPr>
                    <w:t>83000</w:t>
                  </w:r>
                  <w:r>
                    <w:rPr>
                      <w:rFonts w:hint="eastAsia" w:ascii="Times New Roman" w:cs="Times New Roman"/>
                      <w:color w:val="auto"/>
                      <w:szCs w:val="21"/>
                      <w:lang w:val="en-US" w:eastAsia="zh-CN"/>
                    </w:rPr>
                    <w:t>t外购。</w:t>
                  </w:r>
                </w:p>
              </w:tc>
            </w:tr>
            <w:tr w14:paraId="3986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5107044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557" w:type="pct"/>
                  <w:tcBorders>
                    <w:tl2br w:val="nil"/>
                    <w:tr2bl w:val="nil"/>
                  </w:tcBorders>
                  <w:vAlign w:val="center"/>
                </w:tcPr>
                <w:p w14:paraId="1FF3DFA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水泥</w:t>
                  </w:r>
                </w:p>
              </w:tc>
              <w:tc>
                <w:tcPr>
                  <w:tcW w:w="651" w:type="pct"/>
                  <w:tcBorders>
                    <w:tl2br w:val="nil"/>
                    <w:tr2bl w:val="nil"/>
                  </w:tcBorders>
                  <w:vAlign w:val="center"/>
                </w:tcPr>
                <w:p w14:paraId="6539C9A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43400</w:t>
                  </w:r>
                </w:p>
              </w:tc>
              <w:tc>
                <w:tcPr>
                  <w:tcW w:w="399" w:type="pct"/>
                  <w:tcBorders>
                    <w:tl2br w:val="nil"/>
                    <w:tr2bl w:val="nil"/>
                  </w:tcBorders>
                  <w:vAlign w:val="center"/>
                </w:tcPr>
                <w:p w14:paraId="79C3EB8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5BAE1FC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GB175-2007《通用硅酸盐水泥》、GB200-2017《中热硅酸盐水泥低热硅酸盐水泥》</w:t>
                  </w:r>
                </w:p>
              </w:tc>
              <w:tc>
                <w:tcPr>
                  <w:tcW w:w="710" w:type="pct"/>
                  <w:tcBorders>
                    <w:tl2br w:val="nil"/>
                    <w:tr2bl w:val="nil"/>
                  </w:tcBorders>
                  <w:vAlign w:val="center"/>
                </w:tcPr>
                <w:p w14:paraId="059B4F3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rPr>
                    <w:t>水泥筒仓</w:t>
                  </w:r>
                </w:p>
              </w:tc>
              <w:tc>
                <w:tcPr>
                  <w:tcW w:w="707" w:type="pct"/>
                  <w:tcBorders>
                    <w:tl2br w:val="nil"/>
                    <w:tr2bl w:val="nil"/>
                  </w:tcBorders>
                  <w:vAlign w:val="center"/>
                </w:tcPr>
                <w:p w14:paraId="336E4B92">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43DD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52209BC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w:t>
                  </w:r>
                </w:p>
              </w:tc>
              <w:tc>
                <w:tcPr>
                  <w:tcW w:w="557" w:type="pct"/>
                  <w:tcBorders>
                    <w:tl2br w:val="nil"/>
                    <w:tr2bl w:val="nil"/>
                  </w:tcBorders>
                  <w:vAlign w:val="center"/>
                </w:tcPr>
                <w:p w14:paraId="450AD7C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粉煤灰</w:t>
                  </w:r>
                </w:p>
              </w:tc>
              <w:tc>
                <w:tcPr>
                  <w:tcW w:w="651" w:type="pct"/>
                  <w:tcBorders>
                    <w:tl2br w:val="nil"/>
                    <w:tr2bl w:val="nil"/>
                  </w:tcBorders>
                  <w:vAlign w:val="center"/>
                </w:tcPr>
                <w:p w14:paraId="3ADE281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11550</w:t>
                  </w:r>
                </w:p>
              </w:tc>
              <w:tc>
                <w:tcPr>
                  <w:tcW w:w="399" w:type="pct"/>
                  <w:tcBorders>
                    <w:tl2br w:val="nil"/>
                    <w:tr2bl w:val="nil"/>
                  </w:tcBorders>
                  <w:vAlign w:val="center"/>
                </w:tcPr>
                <w:p w14:paraId="0741594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5F70A19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highlight w:val="none"/>
                    </w:rPr>
                    <w:t>GB/T1596-2017《用于水泥和混凝土中的粉煤灰》</w:t>
                  </w:r>
                </w:p>
              </w:tc>
              <w:tc>
                <w:tcPr>
                  <w:tcW w:w="710" w:type="pct"/>
                  <w:tcBorders>
                    <w:tl2br w:val="nil"/>
                    <w:tr2bl w:val="nil"/>
                  </w:tcBorders>
                  <w:vAlign w:val="center"/>
                </w:tcPr>
                <w:p w14:paraId="7EDCC6D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rPr>
                    <w:t>粉煤灰筒仓</w:t>
                  </w:r>
                </w:p>
              </w:tc>
              <w:tc>
                <w:tcPr>
                  <w:tcW w:w="707" w:type="pct"/>
                  <w:tcBorders>
                    <w:tl2br w:val="nil"/>
                    <w:tr2bl w:val="nil"/>
                  </w:tcBorders>
                  <w:vAlign w:val="center"/>
                </w:tcPr>
                <w:p w14:paraId="36B2DF7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28F7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 w:type="pct"/>
                  <w:tcBorders>
                    <w:tl2br w:val="nil"/>
                    <w:tr2bl w:val="nil"/>
                  </w:tcBorders>
                  <w:vAlign w:val="center"/>
                </w:tcPr>
                <w:p w14:paraId="3877312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p>
              </w:tc>
              <w:tc>
                <w:tcPr>
                  <w:tcW w:w="557" w:type="pct"/>
                  <w:tcBorders>
                    <w:tl2br w:val="nil"/>
                    <w:tr2bl w:val="nil"/>
                  </w:tcBorders>
                  <w:vAlign w:val="center"/>
                </w:tcPr>
                <w:p w14:paraId="6B1F28F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矿粉</w:t>
                  </w:r>
                </w:p>
              </w:tc>
              <w:tc>
                <w:tcPr>
                  <w:tcW w:w="651" w:type="pct"/>
                  <w:tcBorders>
                    <w:tl2br w:val="nil"/>
                    <w:tr2bl w:val="nil"/>
                  </w:tcBorders>
                  <w:vAlign w:val="center"/>
                </w:tcPr>
                <w:p w14:paraId="3BD51FD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3850</w:t>
                  </w:r>
                </w:p>
              </w:tc>
              <w:tc>
                <w:tcPr>
                  <w:tcW w:w="399" w:type="pct"/>
                  <w:tcBorders>
                    <w:tl2br w:val="nil"/>
                    <w:tr2bl w:val="nil"/>
                  </w:tcBorders>
                  <w:vAlign w:val="center"/>
                </w:tcPr>
                <w:p w14:paraId="39CEDE4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1703" w:type="pct"/>
                  <w:tcBorders>
                    <w:tl2br w:val="nil"/>
                    <w:tr2bl w:val="nil"/>
                  </w:tcBorders>
                  <w:vAlign w:val="center"/>
                </w:tcPr>
                <w:p w14:paraId="6429D35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highlight w:val="none"/>
                    </w:rPr>
                    <w:t>GB/T18046-2000《用于水泥和混凝土中的粒化高炉矿渣粉》</w:t>
                  </w:r>
                </w:p>
              </w:tc>
              <w:tc>
                <w:tcPr>
                  <w:tcW w:w="710" w:type="pct"/>
                  <w:tcBorders>
                    <w:tl2br w:val="nil"/>
                    <w:tr2bl w:val="nil"/>
                  </w:tcBorders>
                  <w:vAlign w:val="center"/>
                </w:tcPr>
                <w:p w14:paraId="3FF216A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rPr>
                    <w:t>矿粉筒仓</w:t>
                  </w:r>
                </w:p>
              </w:tc>
              <w:tc>
                <w:tcPr>
                  <w:tcW w:w="707" w:type="pct"/>
                  <w:tcBorders>
                    <w:tl2br w:val="nil"/>
                    <w:tr2bl w:val="nil"/>
                  </w:tcBorders>
                  <w:vAlign w:val="center"/>
                </w:tcPr>
                <w:p w14:paraId="1EBA93C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4A0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dxa"/>
                  <w:tcBorders>
                    <w:tl2br w:val="nil"/>
                    <w:tr2bl w:val="nil"/>
                  </w:tcBorders>
                  <w:vAlign w:val="center"/>
                </w:tcPr>
                <w:p w14:paraId="688065B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w:t>
                  </w:r>
                </w:p>
              </w:tc>
              <w:tc>
                <w:tcPr>
                  <w:tcW w:w="929" w:type="dxa"/>
                  <w:tcBorders>
                    <w:tl2br w:val="nil"/>
                    <w:tr2bl w:val="nil"/>
                  </w:tcBorders>
                  <w:vAlign w:val="center"/>
                </w:tcPr>
                <w:p w14:paraId="352067F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eastAsia" w:ascii="Times New Roman" w:cs="Times New Roman"/>
                      <w:color w:val="auto"/>
                      <w:szCs w:val="21"/>
                      <w:lang w:val="en-US" w:eastAsia="zh-CN"/>
                    </w:rPr>
                    <w:t>外加剂</w:t>
                  </w:r>
                </w:p>
              </w:tc>
              <w:tc>
                <w:tcPr>
                  <w:tcW w:w="1214" w:type="dxa"/>
                  <w:tcBorders>
                    <w:tl2br w:val="nil"/>
                    <w:tr2bl w:val="nil"/>
                  </w:tcBorders>
                  <w:vAlign w:val="center"/>
                </w:tcPr>
                <w:p w14:paraId="67CA35D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50</w:t>
                  </w:r>
                </w:p>
              </w:tc>
              <w:tc>
                <w:tcPr>
                  <w:tcW w:w="661" w:type="dxa"/>
                  <w:tcBorders>
                    <w:tl2br w:val="nil"/>
                    <w:tr2bl w:val="nil"/>
                  </w:tcBorders>
                  <w:vAlign w:val="center"/>
                </w:tcPr>
                <w:p w14:paraId="0D73F76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外购</w:t>
                  </w:r>
                </w:p>
              </w:tc>
              <w:tc>
                <w:tcPr>
                  <w:tcW w:w="2879" w:type="dxa"/>
                  <w:tcBorders>
                    <w:tl2br w:val="nil"/>
                    <w:tr2bl w:val="nil"/>
                  </w:tcBorders>
                  <w:vAlign w:val="center"/>
                </w:tcPr>
                <w:p w14:paraId="7720C7E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cs="Times New Roman"/>
                      <w:color w:val="auto"/>
                      <w:highlight w:val="none"/>
                    </w:rPr>
                  </w:pPr>
                  <w:r>
                    <w:rPr>
                      <w:rFonts w:hint="eastAsia" w:ascii="Times New Roman" w:cs="Times New Roman"/>
                      <w:color w:val="auto"/>
                      <w:highlight w:val="none"/>
                      <w:lang w:val="en-US" w:eastAsia="zh-CN"/>
                    </w:rPr>
                    <w:t>/</w:t>
                  </w:r>
                </w:p>
              </w:tc>
              <w:tc>
                <w:tcPr>
                  <w:tcW w:w="1190" w:type="dxa"/>
                  <w:tcBorders>
                    <w:tl2br w:val="nil"/>
                    <w:tr2bl w:val="nil"/>
                  </w:tcBorders>
                  <w:vAlign w:val="center"/>
                </w:tcPr>
                <w:p w14:paraId="7019F15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外加剂存放桶</w:t>
                  </w:r>
                </w:p>
              </w:tc>
              <w:tc>
                <w:tcPr>
                  <w:tcW w:w="1191" w:type="dxa"/>
                  <w:tcBorders>
                    <w:tl2br w:val="nil"/>
                    <w:tr2bl w:val="nil"/>
                  </w:tcBorders>
                  <w:vAlign w:val="center"/>
                </w:tcPr>
                <w:p w14:paraId="767CB3A3">
                  <w:pPr>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10t塑料桶装</w:t>
                  </w:r>
                </w:p>
              </w:tc>
            </w:tr>
          </w:tbl>
          <w:p w14:paraId="1F5AB8B4">
            <w:pPr>
              <w:pStyle w:val="42"/>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color w:val="auto"/>
                <w:sz w:val="24"/>
                <w:highlight w:val="none"/>
                <w:lang w:eastAsia="zh-CN"/>
              </w:rPr>
            </w:pPr>
          </w:p>
          <w:p w14:paraId="3AB3C43B">
            <w:pPr>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lang w:val="en-US" w:eastAsia="zh-CN"/>
              </w:rPr>
              <w:t>扩建前后</w:t>
            </w:r>
            <w:r>
              <w:rPr>
                <w:rFonts w:hint="default" w:ascii="Times New Roman" w:hAnsi="Times New Roman" w:eastAsia="宋体" w:cs="Times New Roman"/>
                <w:b/>
                <w:bCs/>
                <w:color w:val="auto"/>
                <w:szCs w:val="21"/>
                <w:highlight w:val="none"/>
                <w:lang w:val="en-US" w:eastAsia="zh-CN"/>
              </w:rPr>
              <w:t>主要原辅材料</w:t>
            </w:r>
            <w:r>
              <w:rPr>
                <w:rFonts w:hint="eastAsia" w:ascii="Times New Roman" w:hAnsi="Times New Roman" w:eastAsia="宋体" w:cs="Times New Roman"/>
                <w:b/>
                <w:bCs/>
                <w:color w:val="auto"/>
                <w:szCs w:val="21"/>
                <w:highlight w:val="none"/>
                <w:lang w:val="en-US" w:eastAsia="zh-CN"/>
              </w:rPr>
              <w:t>变化</w:t>
            </w:r>
            <w:r>
              <w:rPr>
                <w:rFonts w:hint="default" w:ascii="Times New Roman" w:hAnsi="Times New Roman" w:eastAsia="宋体" w:cs="Times New Roman"/>
                <w:b/>
                <w:bCs/>
                <w:color w:val="auto"/>
                <w:szCs w:val="21"/>
                <w:highlight w:val="none"/>
                <w:lang w:val="en-US" w:eastAsia="zh-CN"/>
              </w:rPr>
              <w:t>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969"/>
              <w:gridCol w:w="1778"/>
              <w:gridCol w:w="2254"/>
              <w:gridCol w:w="2276"/>
            </w:tblGrid>
            <w:tr w14:paraId="220B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792" w:type="pct"/>
                  <w:gridSpan w:val="2"/>
                  <w:noWrap w:val="0"/>
                  <w:vAlign w:val="center"/>
                </w:tcPr>
                <w:p w14:paraId="566CC582">
                  <w:pPr>
                    <w:ind w:left="0" w:leftChars="0" w:right="0" w:rightChars="0" w:firstLine="0" w:firstLineChars="0"/>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现有项目主要原辅材料</w:t>
                  </w:r>
                </w:p>
              </w:tc>
              <w:tc>
                <w:tcPr>
                  <w:tcW w:w="2050" w:type="pct"/>
                  <w:gridSpan w:val="2"/>
                  <w:noWrap w:val="0"/>
                  <w:vAlign w:val="center"/>
                </w:tcPr>
                <w:p w14:paraId="74BAAF63">
                  <w:pPr>
                    <w:ind w:left="0" w:leftChars="0" w:right="0" w:rightChars="0" w:firstLine="0" w:firstLineChars="0"/>
                    <w:jc w:val="center"/>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本次扩建项目主要原辅材料</w:t>
                  </w:r>
                </w:p>
              </w:tc>
              <w:tc>
                <w:tcPr>
                  <w:tcW w:w="1157" w:type="pct"/>
                  <w:vMerge w:val="restart"/>
                  <w:noWrap w:val="0"/>
                  <w:vAlign w:val="center"/>
                </w:tcPr>
                <w:p w14:paraId="42098ACA">
                  <w:pPr>
                    <w:ind w:left="0" w:leftChars="0" w:right="0" w:rightChars="0" w:firstLine="0" w:firstLineChars="0"/>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变化情况（t）</w:t>
                  </w:r>
                </w:p>
              </w:tc>
            </w:tr>
            <w:tr w14:paraId="2198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noWrap w:val="0"/>
                  <w:vAlign w:val="center"/>
                </w:tcPr>
                <w:p w14:paraId="32671092">
                  <w:pPr>
                    <w:ind w:left="0" w:leftChars="0" w:right="0" w:rightChars="0" w:firstLine="0" w:firstLineChars="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原料名称</w:t>
                  </w:r>
                </w:p>
              </w:tc>
              <w:tc>
                <w:tcPr>
                  <w:tcW w:w="1001" w:type="pct"/>
                  <w:noWrap w:val="0"/>
                  <w:vAlign w:val="center"/>
                </w:tcPr>
                <w:p w14:paraId="086C50B1">
                  <w:pPr>
                    <w:ind w:left="0" w:leftChars="0" w:right="0" w:rightChars="0" w:firstLine="0" w:firstLineChars="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年用量（t）</w:t>
                  </w:r>
                </w:p>
              </w:tc>
              <w:tc>
                <w:tcPr>
                  <w:tcW w:w="904" w:type="pct"/>
                  <w:noWrap w:val="0"/>
                  <w:vAlign w:val="center"/>
                </w:tcPr>
                <w:p w14:paraId="320CBFFC">
                  <w:pPr>
                    <w:ind w:left="0" w:leftChars="0" w:right="0" w:rightChars="0" w:firstLine="0" w:firstLineChars="0"/>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原料名称</w:t>
                  </w:r>
                </w:p>
              </w:tc>
              <w:tc>
                <w:tcPr>
                  <w:tcW w:w="1145" w:type="pct"/>
                  <w:noWrap w:val="0"/>
                  <w:vAlign w:val="center"/>
                </w:tcPr>
                <w:p w14:paraId="65309BEF">
                  <w:pPr>
                    <w:ind w:left="0" w:leftChars="0" w:right="0" w:rightChars="0" w:firstLine="0" w:firstLineChars="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年用量（t）</w:t>
                  </w:r>
                </w:p>
              </w:tc>
              <w:tc>
                <w:tcPr>
                  <w:tcW w:w="1157" w:type="pct"/>
                  <w:vMerge w:val="continue"/>
                  <w:noWrap w:val="0"/>
                  <w:vAlign w:val="center"/>
                </w:tcPr>
                <w:p w14:paraId="75717D29">
                  <w:pPr>
                    <w:ind w:left="0" w:leftChars="0" w:right="0" w:rightChars="0" w:firstLine="0" w:firstLineChars="0"/>
                    <w:jc w:val="center"/>
                    <w:rPr>
                      <w:rFonts w:hint="default" w:ascii="Times New Roman" w:hAnsi="Times New Roman" w:eastAsia="宋体" w:cs="Times New Roman"/>
                      <w:b/>
                      <w:bCs/>
                      <w:color w:val="auto"/>
                      <w:szCs w:val="21"/>
                      <w:lang w:val="en-US" w:eastAsia="zh-CN"/>
                    </w:rPr>
                  </w:pPr>
                </w:p>
              </w:tc>
            </w:tr>
            <w:tr w14:paraId="5B7A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pct"/>
                  <w:noWrap w:val="0"/>
                  <w:vAlign w:val="center"/>
                </w:tcPr>
                <w:p w14:paraId="23705E9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碎石</w:t>
                  </w:r>
                </w:p>
              </w:tc>
              <w:tc>
                <w:tcPr>
                  <w:tcW w:w="1001" w:type="pct"/>
                  <w:noWrap w:val="0"/>
                  <w:vAlign w:val="center"/>
                </w:tcPr>
                <w:p w14:paraId="1F4D885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125000</w:t>
                  </w:r>
                </w:p>
              </w:tc>
              <w:tc>
                <w:tcPr>
                  <w:tcW w:w="904" w:type="pct"/>
                  <w:noWrap w:val="0"/>
                  <w:vAlign w:val="center"/>
                </w:tcPr>
                <w:p w14:paraId="4D3FCA3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碎石</w:t>
                  </w:r>
                </w:p>
              </w:tc>
              <w:tc>
                <w:tcPr>
                  <w:tcW w:w="1145" w:type="pct"/>
                  <w:noWrap w:val="0"/>
                  <w:vAlign w:val="center"/>
                </w:tcPr>
                <w:p w14:paraId="095C95A8">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83262.748</w:t>
                  </w:r>
                </w:p>
              </w:tc>
              <w:tc>
                <w:tcPr>
                  <w:tcW w:w="1157" w:type="pct"/>
                  <w:noWrap w:val="0"/>
                  <w:vAlign w:val="center"/>
                </w:tcPr>
                <w:p w14:paraId="7369990A">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83262.748</w:t>
                  </w:r>
                </w:p>
              </w:tc>
            </w:tr>
            <w:tr w14:paraId="3772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noWrap w:val="0"/>
                  <w:vAlign w:val="center"/>
                </w:tcPr>
                <w:p w14:paraId="6C04205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机制砂</w:t>
                  </w:r>
                </w:p>
              </w:tc>
              <w:tc>
                <w:tcPr>
                  <w:tcW w:w="1001" w:type="pct"/>
                  <w:noWrap w:val="0"/>
                  <w:vAlign w:val="center"/>
                </w:tcPr>
                <w:p w14:paraId="6A8B7A3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83000</w:t>
                  </w:r>
                </w:p>
              </w:tc>
              <w:tc>
                <w:tcPr>
                  <w:tcW w:w="904" w:type="pct"/>
                  <w:noWrap w:val="0"/>
                  <w:vAlign w:val="center"/>
                </w:tcPr>
                <w:p w14:paraId="36D50302">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机制砂</w:t>
                  </w:r>
                </w:p>
              </w:tc>
              <w:tc>
                <w:tcPr>
                  <w:tcW w:w="1145" w:type="pct"/>
                  <w:noWrap w:val="0"/>
                  <w:vAlign w:val="center"/>
                </w:tcPr>
                <w:p w14:paraId="265898B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33200</w:t>
                  </w:r>
                </w:p>
              </w:tc>
              <w:tc>
                <w:tcPr>
                  <w:tcW w:w="1157" w:type="pct"/>
                  <w:noWrap w:val="0"/>
                  <w:vAlign w:val="center"/>
                </w:tcPr>
                <w:p w14:paraId="4E588F23">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33200</w:t>
                  </w:r>
                </w:p>
              </w:tc>
            </w:tr>
            <w:tr w14:paraId="190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noWrap w:val="0"/>
                  <w:vAlign w:val="center"/>
                </w:tcPr>
                <w:p w14:paraId="5593F76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水泥</w:t>
                  </w:r>
                </w:p>
              </w:tc>
              <w:tc>
                <w:tcPr>
                  <w:tcW w:w="1001" w:type="pct"/>
                  <w:noWrap w:val="0"/>
                  <w:vAlign w:val="center"/>
                </w:tcPr>
                <w:p w14:paraId="69CDDCD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31000</w:t>
                  </w:r>
                </w:p>
              </w:tc>
              <w:tc>
                <w:tcPr>
                  <w:tcW w:w="904" w:type="pct"/>
                  <w:noWrap w:val="0"/>
                  <w:vAlign w:val="center"/>
                </w:tcPr>
                <w:p w14:paraId="7429CE4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水泥</w:t>
                  </w:r>
                </w:p>
              </w:tc>
              <w:tc>
                <w:tcPr>
                  <w:tcW w:w="1145" w:type="pct"/>
                  <w:noWrap w:val="0"/>
                  <w:vAlign w:val="center"/>
                </w:tcPr>
                <w:p w14:paraId="11A1533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12400</w:t>
                  </w:r>
                </w:p>
              </w:tc>
              <w:tc>
                <w:tcPr>
                  <w:tcW w:w="1157" w:type="pct"/>
                  <w:noWrap w:val="0"/>
                  <w:vAlign w:val="center"/>
                </w:tcPr>
                <w:p w14:paraId="4478E1C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12400</w:t>
                  </w:r>
                </w:p>
              </w:tc>
            </w:tr>
            <w:tr w14:paraId="2CF1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noWrap w:val="0"/>
                  <w:vAlign w:val="center"/>
                </w:tcPr>
                <w:p w14:paraId="5B98BEE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粉煤灰</w:t>
                  </w:r>
                </w:p>
              </w:tc>
              <w:tc>
                <w:tcPr>
                  <w:tcW w:w="1001" w:type="pct"/>
                  <w:noWrap w:val="0"/>
                  <w:vAlign w:val="center"/>
                </w:tcPr>
                <w:p w14:paraId="4682226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8250</w:t>
                  </w:r>
                </w:p>
              </w:tc>
              <w:tc>
                <w:tcPr>
                  <w:tcW w:w="904" w:type="pct"/>
                  <w:noWrap w:val="0"/>
                  <w:vAlign w:val="center"/>
                </w:tcPr>
                <w:p w14:paraId="29FD290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粉煤灰</w:t>
                  </w:r>
                </w:p>
              </w:tc>
              <w:tc>
                <w:tcPr>
                  <w:tcW w:w="1145" w:type="pct"/>
                  <w:noWrap w:val="0"/>
                  <w:vAlign w:val="center"/>
                </w:tcPr>
                <w:p w14:paraId="216EFDE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3300</w:t>
                  </w:r>
                </w:p>
              </w:tc>
              <w:tc>
                <w:tcPr>
                  <w:tcW w:w="1157" w:type="pct"/>
                  <w:noWrap w:val="0"/>
                  <w:vAlign w:val="center"/>
                </w:tcPr>
                <w:p w14:paraId="062CA92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3300</w:t>
                  </w:r>
                </w:p>
              </w:tc>
            </w:tr>
            <w:tr w14:paraId="0072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noWrap w:val="0"/>
                  <w:vAlign w:val="center"/>
                </w:tcPr>
                <w:p w14:paraId="7A9D3C3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矿粉</w:t>
                  </w:r>
                </w:p>
              </w:tc>
              <w:tc>
                <w:tcPr>
                  <w:tcW w:w="1001" w:type="pct"/>
                  <w:noWrap w:val="0"/>
                  <w:vAlign w:val="center"/>
                </w:tcPr>
                <w:p w14:paraId="36821292">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2750</w:t>
                  </w:r>
                </w:p>
              </w:tc>
              <w:tc>
                <w:tcPr>
                  <w:tcW w:w="904" w:type="pct"/>
                  <w:noWrap w:val="0"/>
                  <w:vAlign w:val="center"/>
                </w:tcPr>
                <w:p w14:paraId="73CD608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矿粉</w:t>
                  </w:r>
                </w:p>
              </w:tc>
              <w:tc>
                <w:tcPr>
                  <w:tcW w:w="1145" w:type="pct"/>
                  <w:noWrap w:val="0"/>
                  <w:vAlign w:val="center"/>
                </w:tcPr>
                <w:p w14:paraId="746D291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1100</w:t>
                  </w:r>
                </w:p>
              </w:tc>
              <w:tc>
                <w:tcPr>
                  <w:tcW w:w="1157" w:type="pct"/>
                  <w:noWrap w:val="0"/>
                  <w:vAlign w:val="center"/>
                </w:tcPr>
                <w:p w14:paraId="3927C3F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1100</w:t>
                  </w:r>
                </w:p>
              </w:tc>
            </w:tr>
            <w:tr w14:paraId="2877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pct"/>
                  <w:noWrap w:val="0"/>
                  <w:vAlign w:val="center"/>
                </w:tcPr>
                <w:p w14:paraId="171A9F0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w:t>
                  </w:r>
                </w:p>
              </w:tc>
              <w:tc>
                <w:tcPr>
                  <w:tcW w:w="1001" w:type="pct"/>
                  <w:noWrap w:val="0"/>
                  <w:vAlign w:val="center"/>
                </w:tcPr>
                <w:p w14:paraId="7583589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35</w:t>
                  </w:r>
                </w:p>
              </w:tc>
              <w:tc>
                <w:tcPr>
                  <w:tcW w:w="904" w:type="pct"/>
                  <w:noWrap w:val="0"/>
                  <w:vAlign w:val="center"/>
                </w:tcPr>
                <w:p w14:paraId="7C029A4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w:t>
                  </w:r>
                </w:p>
              </w:tc>
              <w:tc>
                <w:tcPr>
                  <w:tcW w:w="1145" w:type="pct"/>
                  <w:noWrap w:val="0"/>
                  <w:vAlign w:val="center"/>
                </w:tcPr>
                <w:p w14:paraId="71EF46A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eastAsia"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15</w:t>
                  </w:r>
                </w:p>
              </w:tc>
              <w:tc>
                <w:tcPr>
                  <w:tcW w:w="1157" w:type="pct"/>
                  <w:noWrap w:val="0"/>
                  <w:vAlign w:val="center"/>
                </w:tcPr>
                <w:p w14:paraId="7AF2CFB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+15</w:t>
                  </w:r>
                </w:p>
              </w:tc>
            </w:tr>
          </w:tbl>
          <w:p w14:paraId="5870395F">
            <w:pPr>
              <w:pStyle w:val="42"/>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原辅料</w:t>
            </w:r>
            <w:r>
              <w:rPr>
                <w:rFonts w:hint="default" w:ascii="Times New Roman" w:hAnsi="Times New Roman" w:eastAsia="宋体" w:cs="Times New Roman"/>
                <w:b/>
                <w:color w:val="auto"/>
                <w:sz w:val="24"/>
                <w:highlight w:val="none"/>
                <w:lang w:val="en-US" w:eastAsia="zh-CN"/>
              </w:rPr>
              <w:t>理化</w:t>
            </w:r>
            <w:r>
              <w:rPr>
                <w:rFonts w:hint="default" w:ascii="Times New Roman" w:hAnsi="Times New Roman" w:eastAsia="宋体" w:cs="Times New Roman"/>
                <w:b/>
                <w:color w:val="auto"/>
                <w:sz w:val="24"/>
                <w:highlight w:val="none"/>
              </w:rPr>
              <w:t>性质</w:t>
            </w:r>
          </w:p>
          <w:p w14:paraId="4E7CDF9C">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b w:val="0"/>
                <w:color w:val="auto"/>
                <w:spacing w:val="0"/>
                <w:w w:val="100"/>
                <w:kern w:val="2"/>
                <w:position w:val="0"/>
                <w:sz w:val="24"/>
                <w:szCs w:val="24"/>
                <w:highlight w:val="none"/>
                <w:lang w:val="en-US" w:eastAsia="zh-CN" w:bidi="ar-SA"/>
              </w:rPr>
            </w:pPr>
            <w:r>
              <w:rPr>
                <w:rFonts w:hint="default" w:ascii="Times New Roman" w:hAnsi="Times New Roman" w:eastAsia="宋体" w:cs="Times New Roman"/>
                <w:b w:val="0"/>
                <w:color w:val="auto"/>
                <w:spacing w:val="0"/>
                <w:w w:val="100"/>
                <w:kern w:val="2"/>
                <w:position w:val="0"/>
                <w:sz w:val="24"/>
                <w:szCs w:val="24"/>
                <w:highlight w:val="none"/>
                <w:lang w:val="en-US" w:eastAsia="zh-CN" w:bidi="ar-SA"/>
              </w:rPr>
              <w:t>本次扩建项目主要原辅</w:t>
            </w:r>
            <w:r>
              <w:rPr>
                <w:rFonts w:hint="eastAsia" w:cs="Times New Roman"/>
                <w:b w:val="0"/>
                <w:color w:val="auto"/>
                <w:spacing w:val="0"/>
                <w:w w:val="100"/>
                <w:kern w:val="2"/>
                <w:position w:val="0"/>
                <w:sz w:val="24"/>
                <w:szCs w:val="24"/>
                <w:highlight w:val="none"/>
                <w:lang w:val="en-US" w:eastAsia="zh-CN" w:bidi="ar-SA"/>
              </w:rPr>
              <w:t xml:space="preserve"> </w:t>
            </w:r>
            <w:r>
              <w:rPr>
                <w:rFonts w:hint="default" w:ascii="Times New Roman" w:hAnsi="Times New Roman" w:eastAsia="宋体" w:cs="Times New Roman"/>
                <w:b w:val="0"/>
                <w:color w:val="auto"/>
                <w:spacing w:val="0"/>
                <w:w w:val="100"/>
                <w:kern w:val="2"/>
                <w:position w:val="0"/>
                <w:sz w:val="24"/>
                <w:szCs w:val="24"/>
                <w:highlight w:val="none"/>
                <w:lang w:val="en-US" w:eastAsia="zh-CN" w:bidi="ar-SA"/>
              </w:rPr>
              <w:t>料理化性质见表2-</w:t>
            </w:r>
            <w:r>
              <w:rPr>
                <w:rFonts w:hint="eastAsia" w:cs="Times New Roman"/>
                <w:b w:val="0"/>
                <w:color w:val="auto"/>
                <w:spacing w:val="0"/>
                <w:w w:val="100"/>
                <w:kern w:val="2"/>
                <w:position w:val="0"/>
                <w:sz w:val="24"/>
                <w:szCs w:val="24"/>
                <w:highlight w:val="none"/>
                <w:lang w:val="en-US" w:eastAsia="zh-CN" w:bidi="ar-SA"/>
              </w:rPr>
              <w:t>5</w:t>
            </w:r>
            <w:r>
              <w:rPr>
                <w:rFonts w:hint="default" w:ascii="Times New Roman" w:hAnsi="Times New Roman" w:eastAsia="宋体" w:cs="Times New Roman"/>
                <w:b w:val="0"/>
                <w:color w:val="auto"/>
                <w:spacing w:val="0"/>
                <w:w w:val="100"/>
                <w:kern w:val="2"/>
                <w:position w:val="0"/>
                <w:sz w:val="24"/>
                <w:szCs w:val="24"/>
                <w:highlight w:val="none"/>
                <w:lang w:val="en-US" w:eastAsia="zh-CN" w:bidi="ar-SA"/>
              </w:rPr>
              <w:t>。</w:t>
            </w:r>
          </w:p>
          <w:p w14:paraId="68D9AF5F">
            <w:pPr>
              <w:jc w:val="center"/>
              <w:rPr>
                <w:rFonts w:hint="default" w:ascii="Times New Roman" w:hAnsi="Times New Roman" w:eastAsia="宋体" w:cs="Times New Roman"/>
                <w:b/>
                <w:bCs/>
                <w:color w:val="auto"/>
                <w:szCs w:val="21"/>
                <w:highlight w:val="none"/>
                <w:lang w:val="en-US"/>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eastAsia"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本次扩建</w:t>
            </w:r>
            <w:r>
              <w:rPr>
                <w:rFonts w:hint="default" w:ascii="Times New Roman" w:hAnsi="Times New Roman" w:eastAsia="宋体" w:cs="Times New Roman"/>
                <w:b/>
                <w:bCs/>
                <w:color w:val="auto"/>
                <w:szCs w:val="21"/>
                <w:highlight w:val="none"/>
              </w:rPr>
              <w:t>项目主要原辅材料</w:t>
            </w:r>
            <w:r>
              <w:rPr>
                <w:rFonts w:hint="default" w:ascii="Times New Roman" w:hAnsi="Times New Roman" w:eastAsia="宋体" w:cs="Times New Roman"/>
                <w:b/>
                <w:bCs/>
                <w:color w:val="auto"/>
                <w:szCs w:val="21"/>
                <w:highlight w:val="none"/>
                <w:lang w:eastAsia="zh-CN"/>
              </w:rPr>
              <w:t>理化性质</w:t>
            </w:r>
            <w:r>
              <w:rPr>
                <w:rFonts w:hint="default" w:ascii="Times New Roman" w:hAnsi="Times New Roman" w:eastAsia="宋体" w:cs="Times New Roman"/>
                <w:b/>
                <w:bCs/>
                <w:color w:val="auto"/>
                <w:szCs w:val="21"/>
                <w:highlight w:val="none"/>
                <w:lang w:val="en-US" w:eastAsia="zh-CN"/>
              </w:rPr>
              <w:t>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25"/>
              <w:gridCol w:w="8406"/>
            </w:tblGrid>
            <w:tr w14:paraId="270F7C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25" w:type="pct"/>
                  <w:tcBorders>
                    <w:tl2br w:val="nil"/>
                    <w:tr2bl w:val="nil"/>
                  </w:tcBorders>
                  <w:vAlign w:val="center"/>
                </w:tcPr>
                <w:p w14:paraId="0357B3DB">
                  <w:pPr>
                    <w:keepNext w:val="0"/>
                    <w:keepLines w:val="0"/>
                    <w:pageBreakBefore w:val="0"/>
                    <w:widowControl w:val="0"/>
                    <w:tabs>
                      <w:tab w:val="left" w:pos="5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position w:val="0"/>
                      <w:sz w:val="21"/>
                      <w:szCs w:val="21"/>
                      <w:highlight w:val="none"/>
                      <w:lang w:eastAsia="zh-CN"/>
                    </w:rPr>
                  </w:pPr>
                  <w:r>
                    <w:rPr>
                      <w:rFonts w:hint="default" w:ascii="Times New Roman" w:hAnsi="Times New Roman" w:eastAsia="宋体" w:cs="Times New Roman"/>
                      <w:b/>
                      <w:color w:val="auto"/>
                      <w:position w:val="0"/>
                      <w:sz w:val="21"/>
                      <w:szCs w:val="21"/>
                      <w:highlight w:val="none"/>
                      <w:lang w:eastAsia="zh-CN"/>
                    </w:rPr>
                    <w:t>物料名称</w:t>
                  </w:r>
                </w:p>
              </w:tc>
              <w:tc>
                <w:tcPr>
                  <w:tcW w:w="4274" w:type="pct"/>
                  <w:tcBorders>
                    <w:tl2br w:val="nil"/>
                    <w:tr2bl w:val="nil"/>
                  </w:tcBorders>
                  <w:vAlign w:val="center"/>
                </w:tcPr>
                <w:p w14:paraId="0A16DA71">
                  <w:pPr>
                    <w:keepNext w:val="0"/>
                    <w:keepLines w:val="0"/>
                    <w:pageBreakBefore w:val="0"/>
                    <w:widowControl w:val="0"/>
                    <w:tabs>
                      <w:tab w:val="left" w:pos="540"/>
                    </w:tabs>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position w:val="0"/>
                      <w:sz w:val="21"/>
                      <w:szCs w:val="21"/>
                      <w:highlight w:val="none"/>
                      <w:lang w:eastAsia="zh-CN"/>
                    </w:rPr>
                  </w:pPr>
                  <w:r>
                    <w:rPr>
                      <w:rFonts w:hint="default" w:ascii="Times New Roman" w:hAnsi="Times New Roman" w:eastAsia="宋体" w:cs="Times New Roman"/>
                      <w:b/>
                      <w:color w:val="auto"/>
                      <w:position w:val="0"/>
                      <w:sz w:val="21"/>
                      <w:szCs w:val="21"/>
                      <w:highlight w:val="none"/>
                      <w:lang w:eastAsia="zh-CN"/>
                    </w:rPr>
                    <w:t>理化性质</w:t>
                  </w:r>
                </w:p>
              </w:tc>
            </w:tr>
            <w:tr w14:paraId="7B71FC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67" w:type="dxa"/>
                  <w:tcBorders>
                    <w:tl2br w:val="nil"/>
                    <w:tr2bl w:val="nil"/>
                  </w:tcBorders>
                  <w:vAlign w:val="center"/>
                </w:tcPr>
                <w:p w14:paraId="063461B2">
                  <w:pPr>
                    <w:pStyle w:val="41"/>
                    <w:spacing w:beforeLines="0" w:afterLines="0" w:line="240" w:lineRule="auto"/>
                    <w:ind w:firstLine="0" w:firstLineChars="0"/>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Cs w:val="21"/>
                      <w:lang w:val="en-US" w:eastAsia="zh-CN"/>
                    </w:rPr>
                    <w:t>碎石</w:t>
                  </w:r>
                </w:p>
              </w:tc>
              <w:tc>
                <w:tcPr>
                  <w:tcW w:w="4274" w:type="pct"/>
                  <w:tcBorders>
                    <w:tl2br w:val="nil"/>
                    <w:tr2bl w:val="nil"/>
                  </w:tcBorders>
                  <w:vAlign w:val="center"/>
                </w:tcPr>
                <w:p w14:paraId="081418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破碎的小块岩石，它的大小、形状</w:t>
                  </w:r>
                  <w:r>
                    <w:rPr>
                      <w:rFonts w:hint="eastAsia" w:cs="Times New Roman"/>
                      <w:b w:val="0"/>
                      <w:bCs w:val="0"/>
                      <w:color w:val="auto"/>
                      <w:kern w:val="2"/>
                      <w:sz w:val="21"/>
                      <w:szCs w:val="21"/>
                      <w:highlight w:val="none"/>
                      <w:lang w:val="en-US" w:eastAsia="zh-CN" w:bidi="ar"/>
                    </w:rPr>
                    <w:t>以及</w:t>
                  </w:r>
                  <w:r>
                    <w:rPr>
                      <w:rFonts w:hint="default" w:ascii="Times New Roman" w:hAnsi="Times New Roman" w:eastAsia="宋体" w:cs="Times New Roman"/>
                      <w:b w:val="0"/>
                      <w:bCs w:val="0"/>
                      <w:color w:val="auto"/>
                      <w:kern w:val="2"/>
                      <w:sz w:val="21"/>
                      <w:szCs w:val="21"/>
                      <w:highlight w:val="none"/>
                      <w:lang w:val="en-US" w:eastAsia="zh-CN" w:bidi="ar"/>
                    </w:rPr>
                    <w:t>纹理都呈现不规则状态。</w:t>
                  </w:r>
                </w:p>
              </w:tc>
            </w:tr>
            <w:tr w14:paraId="08182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67" w:type="dxa"/>
                  <w:tcBorders>
                    <w:tl2br w:val="nil"/>
                    <w:tr2bl w:val="nil"/>
                  </w:tcBorders>
                  <w:vAlign w:val="center"/>
                </w:tcPr>
                <w:p w14:paraId="03E6FF37">
                  <w:pPr>
                    <w:pStyle w:val="41"/>
                    <w:spacing w:beforeLines="0" w:afterLines="0" w:line="240" w:lineRule="auto"/>
                    <w:ind w:firstLine="0" w:firstLineChars="0"/>
                    <w:rPr>
                      <w:rFonts w:hint="default" w:ascii="Times New Roman" w:hAnsi="Times New Roman" w:eastAsia="宋体" w:cs="Times New Roman"/>
                      <w:b w:val="0"/>
                      <w:bCs w:val="0"/>
                      <w:color w:val="auto"/>
                      <w:sz w:val="21"/>
                      <w:szCs w:val="21"/>
                      <w:highlight w:val="none"/>
                      <w:shd w:val="clear" w:color="auto" w:fill="FFFFFF"/>
                    </w:rPr>
                  </w:pPr>
                  <w:r>
                    <w:rPr>
                      <w:rFonts w:hint="default" w:ascii="Times New Roman" w:hAnsi="Times New Roman" w:eastAsia="宋体" w:cs="Times New Roman"/>
                      <w:color w:val="auto"/>
                      <w:szCs w:val="21"/>
                      <w:lang w:val="en-US" w:eastAsia="zh-CN"/>
                    </w:rPr>
                    <w:t>机制砂</w:t>
                  </w:r>
                </w:p>
              </w:tc>
              <w:tc>
                <w:tcPr>
                  <w:tcW w:w="4274" w:type="pct"/>
                  <w:tcBorders>
                    <w:tl2br w:val="nil"/>
                    <w:tr2bl w:val="nil"/>
                  </w:tcBorders>
                  <w:vAlign w:val="center"/>
                </w:tcPr>
                <w:p w14:paraId="79F4F5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textAlignment w:val="auto"/>
                    <w:rPr>
                      <w:rFonts w:hint="default" w:ascii="Times New Roman" w:hAnsi="Times New Roman" w:eastAsia="宋体" w:cs="Times New Roman"/>
                      <w:b w:val="0"/>
                      <w:bCs w:val="0"/>
                      <w:color w:val="auto"/>
                      <w:sz w:val="21"/>
                      <w:szCs w:val="21"/>
                      <w:highlight w:val="none"/>
                      <w:shd w:val="clear" w:color="auto" w:fill="FFFFFF"/>
                    </w:rPr>
                  </w:pPr>
                  <w:r>
                    <w:rPr>
                      <w:rFonts w:hint="default" w:ascii="Times New Roman" w:hAnsi="Times New Roman" w:eastAsia="宋体" w:cs="Times New Roman"/>
                      <w:b w:val="0"/>
                      <w:bCs w:val="0"/>
                      <w:color w:val="auto"/>
                      <w:sz w:val="21"/>
                      <w:szCs w:val="21"/>
                      <w:highlight w:val="none"/>
                      <w:shd w:val="clear" w:color="auto" w:fill="FFFFFF"/>
                    </w:rPr>
                    <w:t>是指通过制砂机和</w:t>
                  </w:r>
                  <w:r>
                    <w:rPr>
                      <w:rFonts w:hint="eastAsia" w:cs="Times New Roman"/>
                      <w:b w:val="0"/>
                      <w:bCs w:val="0"/>
                      <w:color w:val="auto"/>
                      <w:sz w:val="21"/>
                      <w:szCs w:val="21"/>
                      <w:highlight w:val="none"/>
                      <w:shd w:val="clear" w:color="auto" w:fill="FFFFFF"/>
                      <w:lang w:eastAsia="zh-CN"/>
                    </w:rPr>
                    <w:t>其他</w:t>
                  </w:r>
                  <w:r>
                    <w:rPr>
                      <w:rFonts w:hint="default" w:ascii="Times New Roman" w:hAnsi="Times New Roman" w:eastAsia="宋体" w:cs="Times New Roman"/>
                      <w:b w:val="0"/>
                      <w:bCs w:val="0"/>
                      <w:color w:val="auto"/>
                      <w:sz w:val="21"/>
                      <w:szCs w:val="21"/>
                      <w:highlight w:val="none"/>
                      <w:shd w:val="clear" w:color="auto" w:fill="FFFFFF"/>
                    </w:rPr>
                    <w:t>附属设备加工而成的砂子。</w:t>
                  </w:r>
                </w:p>
              </w:tc>
            </w:tr>
            <w:tr w14:paraId="70693D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67" w:type="dxa"/>
                  <w:tcBorders>
                    <w:tl2br w:val="nil"/>
                    <w:tr2bl w:val="nil"/>
                  </w:tcBorders>
                  <w:vAlign w:val="center"/>
                </w:tcPr>
                <w:p w14:paraId="38350E45">
                  <w:pPr>
                    <w:pStyle w:val="41"/>
                    <w:spacing w:beforeLines="0" w:afterLines="0" w:line="240" w:lineRule="auto"/>
                    <w:ind w:firstLine="0" w:firstLineChars="0"/>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color w:val="auto"/>
                      <w:szCs w:val="21"/>
                      <w:lang w:val="en-US" w:eastAsia="zh-CN"/>
                    </w:rPr>
                    <w:t>水泥</w:t>
                  </w:r>
                </w:p>
              </w:tc>
              <w:tc>
                <w:tcPr>
                  <w:tcW w:w="4274" w:type="pct"/>
                  <w:tcBorders>
                    <w:tl2br w:val="nil"/>
                    <w:tr2bl w:val="nil"/>
                  </w:tcBorders>
                  <w:vAlign w:val="center"/>
                </w:tcPr>
                <w:p w14:paraId="049C176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textAlignment w:val="auto"/>
                    <w:rPr>
                      <w:rFonts w:hint="default" w:ascii="Times New Roman" w:hAnsi="Times New Roman" w:eastAsia="宋体" w:cs="Times New Roman"/>
                      <w:b w:val="0"/>
                      <w:bCs w:val="0"/>
                      <w:color w:val="auto"/>
                      <w:sz w:val="21"/>
                      <w:szCs w:val="21"/>
                      <w:highlight w:val="none"/>
                      <w:shd w:val="clear" w:color="auto" w:fill="FFFFFF"/>
                    </w:rPr>
                  </w:pPr>
                  <w:r>
                    <w:rPr>
                      <w:rFonts w:hint="default" w:ascii="Times New Roman" w:hAnsi="Times New Roman" w:eastAsia="宋体" w:cs="Times New Roman"/>
                      <w:b w:val="0"/>
                      <w:bCs w:val="0"/>
                      <w:color w:val="auto"/>
                      <w:sz w:val="21"/>
                      <w:szCs w:val="21"/>
                      <w:highlight w:val="none"/>
                      <w:shd w:val="clear" w:color="auto" w:fill="FFFFFF"/>
                    </w:rPr>
                    <w:t>硅酸盐水泥的主要化学成分为氧化钙CaO，二氧化硅SiO</w:t>
                  </w:r>
                  <w:r>
                    <w:rPr>
                      <w:rFonts w:hint="default" w:ascii="Times New Roman" w:hAnsi="Times New Roman" w:eastAsia="宋体" w:cs="Times New Roman"/>
                      <w:b w:val="0"/>
                      <w:bCs w:val="0"/>
                      <w:color w:val="auto"/>
                      <w:sz w:val="21"/>
                      <w:szCs w:val="21"/>
                      <w:highlight w:val="none"/>
                      <w:shd w:val="clear" w:color="auto" w:fill="FFFFFF"/>
                      <w:vertAlign w:val="subscript"/>
                    </w:rPr>
                    <w:t>2</w:t>
                  </w:r>
                  <w:r>
                    <w:rPr>
                      <w:rFonts w:hint="default" w:ascii="Times New Roman" w:hAnsi="Times New Roman" w:eastAsia="宋体" w:cs="Times New Roman"/>
                      <w:b w:val="0"/>
                      <w:bCs w:val="0"/>
                      <w:color w:val="auto"/>
                      <w:sz w:val="21"/>
                      <w:szCs w:val="21"/>
                      <w:highlight w:val="none"/>
                      <w:shd w:val="clear" w:color="auto" w:fill="FFFFFF"/>
                    </w:rPr>
                    <w:t>，三氧化二铁Fe</w:t>
                  </w:r>
                  <w:r>
                    <w:rPr>
                      <w:rFonts w:hint="default" w:ascii="Times New Roman" w:hAnsi="Times New Roman" w:eastAsia="宋体" w:cs="Times New Roman"/>
                      <w:b w:val="0"/>
                      <w:bCs w:val="0"/>
                      <w:color w:val="auto"/>
                      <w:sz w:val="21"/>
                      <w:szCs w:val="21"/>
                      <w:highlight w:val="none"/>
                      <w:shd w:val="clear" w:color="auto" w:fill="FFFFFF"/>
                      <w:vertAlign w:val="subscript"/>
                    </w:rPr>
                    <w:t>2</w:t>
                  </w:r>
                  <w:r>
                    <w:rPr>
                      <w:rFonts w:hint="default" w:ascii="Times New Roman" w:hAnsi="Times New Roman" w:eastAsia="宋体" w:cs="Times New Roman"/>
                      <w:b w:val="0"/>
                      <w:bCs w:val="0"/>
                      <w:color w:val="auto"/>
                      <w:sz w:val="21"/>
                      <w:szCs w:val="21"/>
                      <w:highlight w:val="none"/>
                      <w:shd w:val="clear" w:color="auto" w:fill="FFFFFF"/>
                    </w:rPr>
                    <w:t>O</w:t>
                  </w:r>
                  <w:r>
                    <w:rPr>
                      <w:rFonts w:hint="default" w:ascii="Times New Roman" w:hAnsi="Times New Roman" w:eastAsia="宋体" w:cs="Times New Roman"/>
                      <w:b w:val="0"/>
                      <w:bCs w:val="0"/>
                      <w:color w:val="auto"/>
                      <w:sz w:val="21"/>
                      <w:szCs w:val="21"/>
                      <w:highlight w:val="none"/>
                      <w:shd w:val="clear" w:color="auto" w:fill="FFFFFF"/>
                      <w:vertAlign w:val="subscript"/>
                    </w:rPr>
                    <w:t>3</w:t>
                  </w:r>
                  <w:r>
                    <w:rPr>
                      <w:rFonts w:hint="default" w:ascii="Times New Roman" w:hAnsi="Times New Roman" w:eastAsia="宋体" w:cs="Times New Roman"/>
                      <w:b w:val="0"/>
                      <w:bCs w:val="0"/>
                      <w:color w:val="auto"/>
                      <w:sz w:val="21"/>
                      <w:szCs w:val="21"/>
                      <w:highlight w:val="none"/>
                      <w:shd w:val="clear" w:color="auto" w:fill="FFFFFF"/>
                    </w:rPr>
                    <w:t>，三氧化二铝Al</w:t>
                  </w:r>
                  <w:r>
                    <w:rPr>
                      <w:rFonts w:hint="default" w:ascii="Times New Roman" w:hAnsi="Times New Roman" w:eastAsia="宋体" w:cs="Times New Roman"/>
                      <w:b w:val="0"/>
                      <w:bCs w:val="0"/>
                      <w:color w:val="auto"/>
                      <w:sz w:val="21"/>
                      <w:szCs w:val="21"/>
                      <w:highlight w:val="none"/>
                      <w:shd w:val="clear" w:color="auto" w:fill="FFFFFF"/>
                      <w:vertAlign w:val="subscript"/>
                    </w:rPr>
                    <w:t>2</w:t>
                  </w:r>
                  <w:r>
                    <w:rPr>
                      <w:rFonts w:hint="default" w:ascii="Times New Roman" w:hAnsi="Times New Roman" w:eastAsia="宋体" w:cs="Times New Roman"/>
                      <w:b w:val="0"/>
                      <w:bCs w:val="0"/>
                      <w:color w:val="auto"/>
                      <w:sz w:val="21"/>
                      <w:szCs w:val="21"/>
                      <w:highlight w:val="none"/>
                      <w:shd w:val="clear" w:color="auto" w:fill="FFFFFF"/>
                    </w:rPr>
                    <w:t>O</w:t>
                  </w:r>
                  <w:r>
                    <w:rPr>
                      <w:rFonts w:hint="default" w:ascii="Times New Roman" w:hAnsi="Times New Roman" w:eastAsia="宋体" w:cs="Times New Roman"/>
                      <w:b w:val="0"/>
                      <w:bCs w:val="0"/>
                      <w:color w:val="auto"/>
                      <w:sz w:val="21"/>
                      <w:szCs w:val="21"/>
                      <w:highlight w:val="none"/>
                      <w:shd w:val="clear" w:color="auto" w:fill="FFFFFF"/>
                      <w:vertAlign w:val="subscript"/>
                    </w:rPr>
                    <w:t>3</w:t>
                  </w:r>
                  <w:r>
                    <w:rPr>
                      <w:rFonts w:hint="default" w:ascii="Times New Roman" w:hAnsi="Times New Roman" w:eastAsia="宋体" w:cs="Times New Roman"/>
                      <w:b w:val="0"/>
                      <w:bCs w:val="0"/>
                      <w:color w:val="auto"/>
                      <w:sz w:val="21"/>
                      <w:szCs w:val="21"/>
                      <w:highlight w:val="none"/>
                      <w:shd w:val="clear" w:color="auto" w:fill="FFFFFF"/>
                    </w:rPr>
                    <w:t>。</w:t>
                  </w:r>
                </w:p>
              </w:tc>
            </w:tr>
            <w:tr w14:paraId="4D91F7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67" w:type="dxa"/>
                  <w:tcBorders>
                    <w:tl2br w:val="nil"/>
                    <w:tr2bl w:val="nil"/>
                  </w:tcBorders>
                  <w:vAlign w:val="center"/>
                </w:tcPr>
                <w:p w14:paraId="78EED057">
                  <w:pPr>
                    <w:pStyle w:val="41"/>
                    <w:spacing w:beforeLines="0" w:afterLines="0" w:line="240" w:lineRule="auto"/>
                    <w:ind w:firstLine="0" w:firstLineChars="0"/>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Cs w:val="21"/>
                    </w:rPr>
                    <w:t>粉煤灰</w:t>
                  </w:r>
                </w:p>
              </w:tc>
              <w:tc>
                <w:tcPr>
                  <w:tcW w:w="4274" w:type="pct"/>
                  <w:tcBorders>
                    <w:tl2br w:val="nil"/>
                    <w:tr2bl w:val="nil"/>
                  </w:tcBorders>
                  <w:vAlign w:val="center"/>
                </w:tcPr>
                <w:p w14:paraId="31F5F3D3">
                  <w:pPr>
                    <w:keepNext w:val="0"/>
                    <w:keepLines w:val="0"/>
                    <w:pageBreakBefore w:val="0"/>
                    <w:widowControl w:val="0"/>
                    <w:kinsoku/>
                    <w:wordWrap/>
                    <w:overflowPunct/>
                    <w:topLinePunct w:val="0"/>
                    <w:autoSpaceDE/>
                    <w:autoSpaceDN/>
                    <w:bidi w:val="0"/>
                    <w:spacing w:beforeLines="0" w:afterLines="0" w:line="240" w:lineRule="auto"/>
                    <w:ind w:firstLine="420" w:firstLineChars="200"/>
                    <w:textAlignment w:val="auto"/>
                    <w:rPr>
                      <w:rFonts w:hint="default" w:ascii="Times New Roman" w:hAnsi="Times New Roman" w:eastAsia="宋体" w:cs="Times New Roman"/>
                      <w:b w:val="0"/>
                      <w:bCs w:val="0"/>
                      <w:color w:val="auto"/>
                      <w:sz w:val="21"/>
                      <w:szCs w:val="21"/>
                      <w:highlight w:val="none"/>
                      <w:shd w:val="clear" w:color="auto" w:fill="FFFFFF"/>
                    </w:rPr>
                  </w:pPr>
                  <w:r>
                    <w:rPr>
                      <w:rFonts w:hint="default" w:ascii="Times New Roman" w:hAnsi="Times New Roman" w:eastAsia="宋体" w:cs="Times New Roman"/>
                      <w:b w:val="0"/>
                      <w:bCs w:val="0"/>
                      <w:color w:val="auto"/>
                      <w:sz w:val="21"/>
                      <w:szCs w:val="21"/>
                      <w:highlight w:val="none"/>
                      <w:shd w:val="clear" w:color="auto" w:fill="FFFFFF"/>
                    </w:rPr>
                    <w:t>又称飞灰，是由燃烧煤粉的锅炉烟气中收集到的细粉末，一般含有70%的球形玻璃体颗粒，表面光滑，其平均粒径分布约为8～20μm，比表面积为300～600</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b w:val="0"/>
                      <w:bCs w:val="0"/>
                      <w:color w:val="auto"/>
                      <w:sz w:val="21"/>
                      <w:szCs w:val="21"/>
                      <w:highlight w:val="none"/>
                      <w:shd w:val="clear" w:color="auto" w:fill="FFFFFF"/>
                    </w:rPr>
                    <w:t>/kg，主要成分为SiO</w:t>
                  </w:r>
                  <w:r>
                    <w:rPr>
                      <w:rFonts w:hint="default" w:ascii="Times New Roman" w:hAnsi="Times New Roman" w:eastAsia="宋体" w:cs="Times New Roman"/>
                      <w:b w:val="0"/>
                      <w:bCs w:val="0"/>
                      <w:color w:val="auto"/>
                      <w:sz w:val="21"/>
                      <w:szCs w:val="21"/>
                      <w:highlight w:val="none"/>
                      <w:shd w:val="clear" w:color="auto" w:fill="FFFFFF"/>
                      <w:vertAlign w:val="subscript"/>
                    </w:rPr>
                    <w:t>2</w:t>
                  </w:r>
                  <w:r>
                    <w:rPr>
                      <w:rFonts w:hint="default" w:ascii="Times New Roman" w:hAnsi="Times New Roman" w:eastAsia="宋体" w:cs="Times New Roman"/>
                      <w:b w:val="0"/>
                      <w:bCs w:val="0"/>
                      <w:color w:val="auto"/>
                      <w:sz w:val="21"/>
                      <w:szCs w:val="21"/>
                      <w:highlight w:val="none"/>
                      <w:shd w:val="clear" w:color="auto" w:fill="FFFFFF"/>
                    </w:rPr>
                    <w:t>与Al</w:t>
                  </w:r>
                  <w:r>
                    <w:rPr>
                      <w:rFonts w:hint="default" w:ascii="Times New Roman" w:hAnsi="Times New Roman" w:eastAsia="宋体" w:cs="Times New Roman"/>
                      <w:b w:val="0"/>
                      <w:bCs w:val="0"/>
                      <w:color w:val="auto"/>
                      <w:sz w:val="21"/>
                      <w:szCs w:val="21"/>
                      <w:highlight w:val="none"/>
                      <w:shd w:val="clear" w:color="auto" w:fill="FFFFFF"/>
                      <w:vertAlign w:val="subscript"/>
                    </w:rPr>
                    <w:t>2</w:t>
                  </w:r>
                  <w:r>
                    <w:rPr>
                      <w:rFonts w:hint="default" w:ascii="Times New Roman" w:hAnsi="Times New Roman" w:eastAsia="宋体" w:cs="Times New Roman"/>
                      <w:b w:val="0"/>
                      <w:bCs w:val="0"/>
                      <w:color w:val="auto"/>
                      <w:sz w:val="21"/>
                      <w:szCs w:val="21"/>
                      <w:highlight w:val="none"/>
                      <w:shd w:val="clear" w:color="auto" w:fill="FFFFFF"/>
                    </w:rPr>
                    <w:t>O</w:t>
                  </w:r>
                  <w:r>
                    <w:rPr>
                      <w:rFonts w:hint="default" w:ascii="Times New Roman" w:hAnsi="Times New Roman" w:eastAsia="宋体" w:cs="Times New Roman"/>
                      <w:b w:val="0"/>
                      <w:bCs w:val="0"/>
                      <w:color w:val="auto"/>
                      <w:sz w:val="21"/>
                      <w:szCs w:val="21"/>
                      <w:highlight w:val="none"/>
                      <w:shd w:val="clear" w:color="auto" w:fill="FFFFFF"/>
                      <w:vertAlign w:val="subscript"/>
                    </w:rPr>
                    <w:t>3</w:t>
                  </w:r>
                  <w:r>
                    <w:rPr>
                      <w:rFonts w:hint="default" w:ascii="Times New Roman" w:hAnsi="Times New Roman" w:eastAsia="宋体" w:cs="Times New Roman"/>
                      <w:b w:val="0"/>
                      <w:bCs w:val="0"/>
                      <w:color w:val="auto"/>
                      <w:sz w:val="21"/>
                      <w:szCs w:val="21"/>
                      <w:highlight w:val="none"/>
                      <w:shd w:val="clear" w:color="auto" w:fill="FFFFFF"/>
                    </w:rPr>
                    <w:t>。粉煤灰具有一定含量的玻璃微珠颗粒，这些玻璃微珠颗粒均匀分散在混凝土浆体中，起“润滑”作用，降低颗粒之间的摩擦力，改善混凝土拌合物工作性。</w:t>
                  </w:r>
                </w:p>
              </w:tc>
            </w:tr>
            <w:tr w14:paraId="4574D9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67" w:type="dxa"/>
                  <w:tcBorders>
                    <w:tl2br w:val="nil"/>
                    <w:tr2bl w:val="nil"/>
                  </w:tcBorders>
                  <w:vAlign w:val="center"/>
                </w:tcPr>
                <w:p w14:paraId="6B94ED41">
                  <w:pPr>
                    <w:pStyle w:val="41"/>
                    <w:spacing w:beforeLines="0" w:afterLines="0" w:line="240" w:lineRule="auto"/>
                    <w:ind w:firstLine="0" w:firstLineChars="0"/>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Cs w:val="21"/>
                    </w:rPr>
                    <w:t>矿粉</w:t>
                  </w:r>
                </w:p>
              </w:tc>
              <w:tc>
                <w:tcPr>
                  <w:tcW w:w="4274" w:type="pct"/>
                  <w:tcBorders>
                    <w:tl2br w:val="nil"/>
                    <w:tr2bl w:val="nil"/>
                  </w:tcBorders>
                  <w:vAlign w:val="center"/>
                </w:tcPr>
                <w:p w14:paraId="113E0A9B">
                  <w:pPr>
                    <w:keepNext w:val="0"/>
                    <w:keepLines w:val="0"/>
                    <w:pageBreakBefore w:val="0"/>
                    <w:widowControl w:val="0"/>
                    <w:kinsoku/>
                    <w:wordWrap/>
                    <w:overflowPunct/>
                    <w:topLinePunct w:val="0"/>
                    <w:autoSpaceDE/>
                    <w:autoSpaceDN/>
                    <w:bidi w:val="0"/>
                    <w:spacing w:beforeLines="0" w:afterLines="0" w:line="240" w:lineRule="auto"/>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矿粉一般是指将开采出来的矿石进行粉碎加工后所得到的料粉，如铁矿粉，是指将不同类型含铁矿如褐铁矿，磁铁矿等粉碎球磨磁选后，所得的不同含铁量的矿粉，普矿粉含铁为60</w:t>
                  </w:r>
                  <w:r>
                    <w:rPr>
                      <w:rFonts w:hint="eastAsia"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68%，超精矿粉为70</w:t>
                  </w:r>
                  <w:r>
                    <w:rPr>
                      <w:rFonts w:hint="eastAsia"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72%</w:t>
                  </w:r>
                  <w:r>
                    <w:rPr>
                      <w:rFonts w:hint="default" w:ascii="Times New Roman" w:hAnsi="Times New Roman" w:cs="Times New Roman"/>
                      <w:b w:val="0"/>
                      <w:bCs w:val="0"/>
                      <w:color w:val="auto"/>
                      <w:sz w:val="21"/>
                      <w:szCs w:val="21"/>
                      <w:highlight w:val="none"/>
                      <w:lang w:val="en-US" w:eastAsia="zh-CN"/>
                    </w:rPr>
                    <w:t>。</w:t>
                  </w:r>
                </w:p>
              </w:tc>
            </w:tr>
            <w:tr w14:paraId="3525DC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67" w:type="dxa"/>
                  <w:tcBorders>
                    <w:tl2br w:val="nil"/>
                    <w:tr2bl w:val="nil"/>
                  </w:tcBorders>
                  <w:vAlign w:val="center"/>
                </w:tcPr>
                <w:p w14:paraId="4733098E">
                  <w:pPr>
                    <w:pStyle w:val="41"/>
                    <w:spacing w:beforeLines="0" w:afterLines="0" w:line="240" w:lineRule="auto"/>
                    <w:ind w:firstLine="0" w:firstLineChars="0"/>
                    <w:rPr>
                      <w:rFonts w:hint="eastAsia" w:ascii="Times New Roman" w:hAnsi="Times New Roman" w:eastAsia="宋体" w:cs="Times New Roman"/>
                      <w:color w:val="auto"/>
                      <w:szCs w:val="21"/>
                      <w:lang w:val="en-US" w:eastAsia="zh-CN"/>
                    </w:rPr>
                  </w:pPr>
                  <w:r>
                    <w:rPr>
                      <w:rFonts w:hint="eastAsia" w:ascii="Times New Roman" w:cs="Times New Roman"/>
                      <w:color w:val="auto"/>
                      <w:szCs w:val="21"/>
                      <w:lang w:val="en-US" w:eastAsia="zh-CN"/>
                    </w:rPr>
                    <w:t>外加剂</w:t>
                  </w:r>
                </w:p>
              </w:tc>
              <w:tc>
                <w:tcPr>
                  <w:tcW w:w="4274" w:type="pct"/>
                  <w:tcBorders>
                    <w:tl2br w:val="nil"/>
                    <w:tr2bl w:val="nil"/>
                  </w:tcBorders>
                  <w:vAlign w:val="center"/>
                </w:tcPr>
                <w:p w14:paraId="4965903A">
                  <w:pPr>
                    <w:keepNext w:val="0"/>
                    <w:keepLines w:val="0"/>
                    <w:pageBreakBefore w:val="0"/>
                    <w:widowControl w:val="0"/>
                    <w:kinsoku/>
                    <w:wordWrap/>
                    <w:overflowPunct/>
                    <w:topLinePunct w:val="0"/>
                    <w:autoSpaceDE/>
                    <w:autoSpaceDN/>
                    <w:bidi w:val="0"/>
                    <w:spacing w:beforeLines="0" w:afterLines="0" w:line="240" w:lineRule="auto"/>
                    <w:ind w:firstLine="420" w:firstLineChars="200"/>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主要为减水剂、</w:t>
                  </w:r>
                  <w:r>
                    <w:rPr>
                      <w:rFonts w:ascii="Helvetica" w:hAnsi="Helvetica" w:eastAsia="Helvetica" w:cs="Helvetica"/>
                      <w:i w:val="0"/>
                      <w:iCs w:val="0"/>
                      <w:caps w:val="0"/>
                      <w:color w:val="auto"/>
                      <w:spacing w:val="0"/>
                      <w:sz w:val="21"/>
                      <w:szCs w:val="21"/>
                      <w:shd w:val="clear" w:fill="FFFFFF"/>
                    </w:rPr>
                    <w:t>缓凝剂</w:t>
                  </w:r>
                  <w:r>
                    <w:rPr>
                      <w:rFonts w:hint="eastAsia" w:ascii="Helvetica" w:hAnsi="Helvetica" w:eastAsia="宋体" w:cs="Helvetica"/>
                      <w:i w:val="0"/>
                      <w:iCs w:val="0"/>
                      <w:caps w:val="0"/>
                      <w:color w:val="auto"/>
                      <w:spacing w:val="0"/>
                      <w:sz w:val="21"/>
                      <w:szCs w:val="21"/>
                      <w:shd w:val="clear" w:fill="FFFFFF"/>
                      <w:lang w:eastAsia="zh-CN"/>
                    </w:rPr>
                    <w:t>、</w:t>
                  </w:r>
                  <w:r>
                    <w:rPr>
                      <w:rFonts w:ascii="Helvetica" w:hAnsi="Helvetica" w:eastAsia="Helvetica" w:cs="Helvetica"/>
                      <w:i w:val="0"/>
                      <w:iCs w:val="0"/>
                      <w:caps w:val="0"/>
                      <w:color w:val="auto"/>
                      <w:spacing w:val="0"/>
                      <w:sz w:val="21"/>
                      <w:szCs w:val="21"/>
                      <w:shd w:val="clear" w:fill="FFFFFF"/>
                    </w:rPr>
                    <w:t>引气剂</w:t>
                  </w:r>
                  <w:r>
                    <w:rPr>
                      <w:rFonts w:hint="eastAsia" w:ascii="Helvetica" w:hAnsi="Helvetica" w:eastAsia="宋体" w:cs="Helvetica"/>
                      <w:i w:val="0"/>
                      <w:iCs w:val="0"/>
                      <w:caps w:val="0"/>
                      <w:color w:val="auto"/>
                      <w:spacing w:val="0"/>
                      <w:sz w:val="21"/>
                      <w:szCs w:val="21"/>
                      <w:shd w:val="clear" w:fill="FFFFFF"/>
                      <w:lang w:val="en-US" w:eastAsia="zh-CN"/>
                    </w:rPr>
                    <w:t>等。</w:t>
                  </w:r>
                </w:p>
              </w:tc>
            </w:tr>
            <w:tr w14:paraId="42B31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000" w:type="pct"/>
                  <w:gridSpan w:val="2"/>
                  <w:tcBorders>
                    <w:tl2br w:val="nil"/>
                    <w:tr2bl w:val="nil"/>
                  </w:tcBorders>
                  <w:vAlign w:val="top"/>
                </w:tcPr>
                <w:p w14:paraId="690EFA7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备注：</w:t>
                  </w: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生产过程</w:t>
                  </w:r>
                  <w:r>
                    <w:rPr>
                      <w:rFonts w:hint="default" w:ascii="Times New Roman" w:hAnsi="Times New Roman" w:eastAsia="宋体" w:cs="Times New Roman"/>
                      <w:b w:val="0"/>
                      <w:bCs w:val="0"/>
                      <w:color w:val="auto"/>
                      <w:highlight w:val="none"/>
                      <w:lang w:val="en-US" w:eastAsia="zh-CN"/>
                    </w:rPr>
                    <w:t>中外加剂等物料，其作用只是改变混凝土的物理性质，没有化学反应。</w:t>
                  </w:r>
                </w:p>
              </w:tc>
            </w:tr>
          </w:tbl>
          <w:p w14:paraId="6E2A61E9">
            <w:pPr>
              <w:pStyle w:val="2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4、主要设备</w:t>
            </w:r>
            <w:bookmarkEnd w:id="10"/>
          </w:p>
          <w:p w14:paraId="264C7320">
            <w:pPr>
              <w:adjustRightInd w:val="0"/>
              <w:snapToGrid w:val="0"/>
              <w:spacing w:line="360" w:lineRule="auto"/>
              <w:ind w:firstLine="480" w:firstLineChars="200"/>
              <w:rPr>
                <w:rFonts w:hint="default" w:ascii="Times New Roman" w:hAnsi="Times New Roman" w:eastAsia="宋体" w:cs="Times New Roman"/>
                <w:b/>
                <w:bCs/>
                <w:color w:val="auto"/>
                <w:szCs w:val="21"/>
                <w:highlight w:val="none"/>
              </w:rPr>
            </w:pPr>
            <w:bookmarkStart w:id="11" w:name="_Toc22683"/>
            <w:r>
              <w:rPr>
                <w:rFonts w:hint="eastAsia" w:cs="Times New Roman"/>
                <w:color w:val="auto"/>
                <w:sz w:val="24"/>
                <w:highlight w:val="none"/>
                <w:lang w:val="en-US" w:eastAsia="zh-CN"/>
              </w:rPr>
              <w:t>扩建完成后项目</w:t>
            </w:r>
            <w:r>
              <w:rPr>
                <w:rFonts w:hint="default" w:ascii="Times New Roman" w:hAnsi="Times New Roman" w:eastAsia="宋体" w:cs="Times New Roman"/>
                <w:color w:val="auto"/>
                <w:sz w:val="24"/>
                <w:highlight w:val="none"/>
              </w:rPr>
              <w:t>主要设备详见表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bookmarkEnd w:id="11"/>
          </w:p>
          <w:p w14:paraId="224BAE11">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2-</w:t>
            </w:r>
            <w:r>
              <w:rPr>
                <w:rFonts w:hint="eastAsia" w:cs="Times New Roman"/>
                <w:b/>
                <w:color w:val="auto"/>
                <w:szCs w:val="21"/>
                <w:highlight w:val="none"/>
                <w:lang w:val="en-US" w:eastAsia="zh-CN"/>
              </w:rPr>
              <w:t>6</w:t>
            </w:r>
            <w:r>
              <w:rPr>
                <w:rFonts w:hint="default" w:ascii="Times New Roman" w:hAnsi="Times New Roman" w:eastAsia="宋体" w:cs="Times New Roman"/>
                <w:b/>
                <w:color w:val="auto"/>
                <w:szCs w:val="21"/>
                <w:highlight w:val="none"/>
              </w:rPr>
              <w:t xml:space="preserve">   </w:t>
            </w:r>
            <w:r>
              <w:rPr>
                <w:rFonts w:hint="default" w:ascii="Times New Roman" w:hAnsi="Times New Roman" w:eastAsia="宋体" w:cs="Times New Roman"/>
                <w:b/>
                <w:color w:val="auto"/>
                <w:szCs w:val="21"/>
                <w:highlight w:val="none"/>
                <w:lang w:val="en-US" w:eastAsia="zh-CN"/>
              </w:rPr>
              <w:t>项目</w:t>
            </w:r>
            <w:r>
              <w:rPr>
                <w:rFonts w:hint="default" w:ascii="Times New Roman" w:hAnsi="Times New Roman" w:eastAsia="宋体" w:cs="Times New Roman"/>
                <w:b/>
                <w:color w:val="auto"/>
                <w:szCs w:val="21"/>
                <w:highlight w:val="none"/>
              </w:rPr>
              <w:t>主要设备</w:t>
            </w:r>
            <w:r>
              <w:rPr>
                <w:rFonts w:hint="default" w:ascii="Times New Roman" w:hAnsi="Times New Roman" w:eastAsia="宋体" w:cs="Times New Roman"/>
                <w:b/>
                <w:color w:val="auto"/>
                <w:szCs w:val="21"/>
                <w:highlight w:val="none"/>
                <w:lang w:val="en-US" w:eastAsia="zh-CN"/>
              </w:rPr>
              <w:t>一览</w:t>
            </w:r>
            <w:r>
              <w:rPr>
                <w:rFonts w:hint="default" w:ascii="Times New Roman" w:hAnsi="Times New Roman" w:eastAsia="宋体" w:cs="Times New Roman"/>
                <w:b/>
                <w:color w:val="auto"/>
                <w:szCs w:val="21"/>
                <w:highlight w:val="none"/>
              </w:rPr>
              <w:t>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7"/>
              <w:gridCol w:w="3279"/>
              <w:gridCol w:w="3279"/>
            </w:tblGrid>
            <w:tr w14:paraId="1AF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61C22302">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设备</w:t>
                  </w:r>
                </w:p>
              </w:tc>
              <w:tc>
                <w:tcPr>
                  <w:tcW w:w="3279" w:type="dxa"/>
                  <w:vAlign w:val="center"/>
                </w:tcPr>
                <w:p w14:paraId="293A279C">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规格</w:t>
                  </w:r>
                </w:p>
              </w:tc>
              <w:tc>
                <w:tcPr>
                  <w:tcW w:w="3279" w:type="dxa"/>
                  <w:vAlign w:val="center"/>
                </w:tcPr>
                <w:p w14:paraId="74AC653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数量</w:t>
                  </w:r>
                </w:p>
              </w:tc>
            </w:tr>
            <w:tr w14:paraId="3AE1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5" w:type="dxa"/>
                  <w:gridSpan w:val="3"/>
                </w:tcPr>
                <w:p w14:paraId="751486D6">
                  <w:pPr>
                    <w:jc w:val="center"/>
                    <w:rPr>
                      <w:rFonts w:hint="default" w:ascii="Times New Roman" w:hAnsi="Times New Roman" w:eastAsia="宋体" w:cs="Times New Roman"/>
                      <w:b/>
                      <w:color w:val="auto"/>
                      <w:szCs w:val="21"/>
                      <w:highlight w:val="none"/>
                      <w:vertAlign w:val="baseline"/>
                    </w:rPr>
                  </w:pPr>
                  <w:r>
                    <w:rPr>
                      <w:rFonts w:hint="eastAsia" w:ascii="Times New Roman" w:hAnsi="Times New Roman" w:eastAsia="宋体" w:cs="Times New Roman"/>
                      <w:b/>
                      <w:bCs/>
                      <w:color w:val="auto"/>
                      <w:szCs w:val="21"/>
                      <w:lang w:val="en-US" w:eastAsia="zh-CN"/>
                    </w:rPr>
                    <w:t>现有项目主要</w:t>
                  </w:r>
                  <w:r>
                    <w:rPr>
                      <w:rFonts w:hint="eastAsia" w:eastAsia="宋体" w:cs="Times New Roman"/>
                      <w:b/>
                      <w:bCs/>
                      <w:color w:val="auto"/>
                      <w:szCs w:val="21"/>
                      <w:lang w:val="en-US" w:eastAsia="zh-CN"/>
                    </w:rPr>
                    <w:t>设备</w:t>
                  </w:r>
                </w:p>
              </w:tc>
            </w:tr>
            <w:tr w14:paraId="7E3D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427A6869">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设备</w:t>
                  </w:r>
                </w:p>
              </w:tc>
              <w:tc>
                <w:tcPr>
                  <w:tcW w:w="3279" w:type="dxa"/>
                  <w:vAlign w:val="center"/>
                </w:tcPr>
                <w:p w14:paraId="4D448C4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规格</w:t>
                  </w:r>
                </w:p>
              </w:tc>
              <w:tc>
                <w:tcPr>
                  <w:tcW w:w="3279" w:type="dxa"/>
                  <w:vAlign w:val="center"/>
                </w:tcPr>
                <w:p w14:paraId="4196ED5F">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数量</w:t>
                  </w:r>
                </w:p>
              </w:tc>
            </w:tr>
            <w:tr w14:paraId="7152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E6B3A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混</w:t>
                  </w:r>
                  <w:r>
                    <w:rPr>
                      <w:rFonts w:hint="eastAsia" w:cs="Times New Roman" w:eastAsiaTheme="minorEastAsia"/>
                      <w:color w:val="auto"/>
                      <w:sz w:val="21"/>
                      <w:szCs w:val="21"/>
                      <w:lang w:val="en-US" w:eastAsia="zh-CN"/>
                    </w:rPr>
                    <w:t>凝</w:t>
                  </w:r>
                  <w:r>
                    <w:rPr>
                      <w:rFonts w:hint="default" w:ascii="Times New Roman" w:hAnsi="Times New Roman" w:cs="Times New Roman" w:eastAsiaTheme="minorEastAsia"/>
                      <w:color w:val="auto"/>
                      <w:sz w:val="21"/>
                      <w:szCs w:val="21"/>
                      <w:lang w:val="en-US" w:eastAsia="zh-CN"/>
                    </w:rPr>
                    <w:t>土运输车</w:t>
                  </w:r>
                </w:p>
              </w:tc>
              <w:tc>
                <w:tcPr>
                  <w:tcW w:w="3279" w:type="dxa"/>
                  <w:vAlign w:val="center"/>
                </w:tcPr>
                <w:p w14:paraId="38319CC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10m³</w:t>
                  </w:r>
                </w:p>
              </w:tc>
              <w:tc>
                <w:tcPr>
                  <w:tcW w:w="3279" w:type="dxa"/>
                  <w:vAlign w:val="center"/>
                </w:tcPr>
                <w:p w14:paraId="3762FB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12辆</w:t>
                  </w:r>
                </w:p>
              </w:tc>
            </w:tr>
            <w:tr w14:paraId="4EE8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EB97B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泵车</w:t>
                  </w:r>
                </w:p>
              </w:tc>
              <w:tc>
                <w:tcPr>
                  <w:tcW w:w="3279" w:type="dxa"/>
                  <w:vAlign w:val="center"/>
                </w:tcPr>
                <w:p w14:paraId="745F88C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37m</w:t>
                  </w:r>
                </w:p>
              </w:tc>
              <w:tc>
                <w:tcPr>
                  <w:tcW w:w="3279" w:type="dxa"/>
                  <w:vAlign w:val="center"/>
                </w:tcPr>
                <w:p w14:paraId="1FBE7D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w:t>
                  </w:r>
                  <w:r>
                    <w:rPr>
                      <w:rFonts w:hint="eastAsia" w:cs="Times New Roman" w:eastAsiaTheme="minorEastAsia"/>
                      <w:color w:val="auto"/>
                      <w:sz w:val="21"/>
                      <w:szCs w:val="21"/>
                      <w:lang w:val="en-US" w:eastAsia="zh-CN"/>
                    </w:rPr>
                    <w:t>台</w:t>
                  </w:r>
                </w:p>
              </w:tc>
            </w:tr>
            <w:tr w14:paraId="0FC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73437D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地磅</w:t>
                  </w:r>
                </w:p>
              </w:tc>
              <w:tc>
                <w:tcPr>
                  <w:tcW w:w="3279" w:type="dxa"/>
                  <w:vAlign w:val="center"/>
                </w:tcPr>
                <w:p w14:paraId="61F7062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80吨</w:t>
                  </w:r>
                </w:p>
              </w:tc>
              <w:tc>
                <w:tcPr>
                  <w:tcW w:w="3279" w:type="dxa"/>
                  <w:vAlign w:val="center"/>
                </w:tcPr>
                <w:p w14:paraId="4DD35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w:t>
                  </w:r>
                  <w:r>
                    <w:rPr>
                      <w:rFonts w:hint="eastAsia" w:cs="Times New Roman" w:eastAsiaTheme="minorEastAsia"/>
                      <w:color w:val="auto"/>
                      <w:sz w:val="21"/>
                      <w:szCs w:val="21"/>
                      <w:lang w:val="en-US" w:eastAsia="zh-CN"/>
                    </w:rPr>
                    <w:t>套</w:t>
                  </w:r>
                </w:p>
              </w:tc>
            </w:tr>
            <w:tr w14:paraId="0F9F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052167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装载机</w:t>
                  </w:r>
                </w:p>
              </w:tc>
              <w:tc>
                <w:tcPr>
                  <w:tcW w:w="3279" w:type="dxa"/>
                  <w:vAlign w:val="center"/>
                </w:tcPr>
                <w:p w14:paraId="13ABFBE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ZL50</w:t>
                  </w:r>
                </w:p>
              </w:tc>
              <w:tc>
                <w:tcPr>
                  <w:tcW w:w="3279" w:type="dxa"/>
                  <w:vAlign w:val="center"/>
                </w:tcPr>
                <w:p w14:paraId="59619A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2台</w:t>
                  </w:r>
                </w:p>
              </w:tc>
            </w:tr>
            <w:tr w14:paraId="399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47A8AD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混</w:t>
                  </w:r>
                  <w:r>
                    <w:rPr>
                      <w:rFonts w:hint="eastAsia" w:cs="Times New Roman" w:eastAsiaTheme="minorEastAsia"/>
                      <w:color w:val="auto"/>
                      <w:sz w:val="21"/>
                      <w:szCs w:val="21"/>
                      <w:lang w:val="en-US" w:eastAsia="zh-CN"/>
                    </w:rPr>
                    <w:t>凝</w:t>
                  </w:r>
                  <w:r>
                    <w:rPr>
                      <w:rFonts w:hint="default" w:ascii="Times New Roman" w:hAnsi="Times New Roman" w:cs="Times New Roman" w:eastAsiaTheme="minorEastAsia"/>
                      <w:color w:val="auto"/>
                      <w:sz w:val="21"/>
                      <w:szCs w:val="21"/>
                      <w:lang w:val="en-US" w:eastAsia="zh-CN"/>
                    </w:rPr>
                    <w:t>土运输泵</w:t>
                  </w:r>
                </w:p>
              </w:tc>
              <w:tc>
                <w:tcPr>
                  <w:tcW w:w="3279" w:type="dxa"/>
                  <w:vAlign w:val="center"/>
                </w:tcPr>
                <w:p w14:paraId="4ABA6CE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HBT</w:t>
                  </w:r>
                </w:p>
              </w:tc>
              <w:tc>
                <w:tcPr>
                  <w:tcW w:w="3279" w:type="dxa"/>
                  <w:vAlign w:val="center"/>
                </w:tcPr>
                <w:p w14:paraId="29EAD4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2台</w:t>
                  </w:r>
                </w:p>
              </w:tc>
            </w:tr>
            <w:tr w14:paraId="4A0D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41B550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电子秤</w:t>
                  </w:r>
                </w:p>
              </w:tc>
              <w:tc>
                <w:tcPr>
                  <w:tcW w:w="3279" w:type="dxa"/>
                  <w:vAlign w:val="center"/>
                </w:tcPr>
                <w:p w14:paraId="7A3B724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2863E5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w:t>
                  </w:r>
                  <w:r>
                    <w:rPr>
                      <w:rFonts w:hint="eastAsia" w:cs="Times New Roman" w:eastAsiaTheme="minorEastAsia"/>
                      <w:color w:val="auto"/>
                      <w:sz w:val="21"/>
                      <w:szCs w:val="21"/>
                      <w:lang w:val="en-US" w:eastAsia="zh-CN"/>
                    </w:rPr>
                    <w:t>个</w:t>
                  </w:r>
                </w:p>
              </w:tc>
            </w:tr>
            <w:tr w14:paraId="41CA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5ADC09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搅拌站</w:t>
                  </w:r>
                </w:p>
              </w:tc>
              <w:tc>
                <w:tcPr>
                  <w:tcW w:w="3279" w:type="dxa"/>
                  <w:vAlign w:val="center"/>
                </w:tcPr>
                <w:p w14:paraId="2857147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HZS</w:t>
                  </w:r>
                </w:p>
              </w:tc>
              <w:tc>
                <w:tcPr>
                  <w:tcW w:w="3279" w:type="dxa"/>
                  <w:vAlign w:val="center"/>
                </w:tcPr>
                <w:p w14:paraId="0CCD96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w:t>
                  </w:r>
                  <w:r>
                    <w:rPr>
                      <w:rFonts w:hint="eastAsia" w:cs="Times New Roman" w:eastAsiaTheme="minorEastAsia"/>
                      <w:color w:val="auto"/>
                      <w:sz w:val="21"/>
                      <w:szCs w:val="21"/>
                      <w:lang w:val="en-US" w:eastAsia="zh-CN"/>
                    </w:rPr>
                    <w:t>个</w:t>
                  </w:r>
                </w:p>
              </w:tc>
            </w:tr>
            <w:tr w14:paraId="2DE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499CCE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输送皮带</w:t>
                  </w:r>
                </w:p>
              </w:tc>
              <w:tc>
                <w:tcPr>
                  <w:tcW w:w="3279" w:type="dxa"/>
                  <w:vAlign w:val="center"/>
                </w:tcPr>
                <w:p w14:paraId="18CC4D0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6A4287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CN"/>
                    </w:rPr>
                    <w:t>套</w:t>
                  </w:r>
                </w:p>
              </w:tc>
            </w:tr>
            <w:tr w14:paraId="1173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54BE6B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进料系统</w:t>
                  </w:r>
                </w:p>
              </w:tc>
              <w:tc>
                <w:tcPr>
                  <w:tcW w:w="3279" w:type="dxa"/>
                  <w:vAlign w:val="center"/>
                </w:tcPr>
                <w:p w14:paraId="47AECB1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0CB603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1套</w:t>
                  </w:r>
                </w:p>
              </w:tc>
            </w:tr>
            <w:tr w14:paraId="4160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0700B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筒仓</w:t>
                  </w:r>
                </w:p>
              </w:tc>
              <w:tc>
                <w:tcPr>
                  <w:tcW w:w="3279" w:type="dxa"/>
                  <w:vAlign w:val="center"/>
                </w:tcPr>
                <w:p w14:paraId="62EE725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2E39D9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4</w:t>
                  </w:r>
                  <w:r>
                    <w:rPr>
                      <w:rFonts w:hint="eastAsia" w:cs="Times New Roman" w:eastAsiaTheme="minorEastAsia"/>
                      <w:color w:val="auto"/>
                      <w:sz w:val="21"/>
                      <w:szCs w:val="21"/>
                      <w:lang w:val="en-US" w:eastAsia="zh-CN"/>
                    </w:rPr>
                    <w:t>个</w:t>
                  </w:r>
                </w:p>
              </w:tc>
            </w:tr>
            <w:tr w14:paraId="5A8E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40FF4C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水泥运输车</w:t>
                  </w:r>
                </w:p>
              </w:tc>
              <w:tc>
                <w:tcPr>
                  <w:tcW w:w="3279" w:type="dxa"/>
                  <w:vAlign w:val="center"/>
                </w:tcPr>
                <w:p w14:paraId="233864A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12DF62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2辆</w:t>
                  </w:r>
                </w:p>
              </w:tc>
            </w:tr>
            <w:tr w14:paraId="27DC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5" w:type="dxa"/>
                  <w:gridSpan w:val="3"/>
                  <w:vAlign w:val="center"/>
                </w:tcPr>
                <w:p w14:paraId="77C047B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hAnsi="Times New Roman" w:eastAsia="宋体" w:cs="Times New Roman"/>
                      <w:b/>
                      <w:bCs/>
                      <w:color w:val="auto"/>
                      <w:szCs w:val="21"/>
                      <w:lang w:val="en-US" w:eastAsia="zh-CN"/>
                    </w:rPr>
                    <w:t>本次扩建项目</w:t>
                  </w:r>
                  <w:r>
                    <w:rPr>
                      <w:rFonts w:hint="eastAsia" w:ascii="Times New Roman" w:cs="Times New Roman"/>
                      <w:b/>
                      <w:bCs/>
                      <w:color w:val="auto"/>
                      <w:szCs w:val="21"/>
                      <w:lang w:val="en-US" w:eastAsia="zh-CN"/>
                    </w:rPr>
                    <w:t>新增</w:t>
                  </w:r>
                  <w:r>
                    <w:rPr>
                      <w:rFonts w:hint="eastAsia" w:ascii="Times New Roman" w:hAnsi="Times New Roman" w:eastAsia="宋体" w:cs="Times New Roman"/>
                      <w:b/>
                      <w:bCs/>
                      <w:color w:val="auto"/>
                      <w:szCs w:val="21"/>
                      <w:lang w:val="en-US" w:eastAsia="zh-CN"/>
                    </w:rPr>
                    <w:t>主要</w:t>
                  </w:r>
                  <w:r>
                    <w:rPr>
                      <w:rFonts w:hint="eastAsia" w:eastAsia="宋体" w:cs="Times New Roman"/>
                      <w:b/>
                      <w:bCs/>
                      <w:color w:val="auto"/>
                      <w:szCs w:val="21"/>
                      <w:lang w:val="en-US" w:eastAsia="zh-CN"/>
                    </w:rPr>
                    <w:t>设备</w:t>
                  </w:r>
                </w:p>
              </w:tc>
            </w:tr>
            <w:tr w14:paraId="2395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4F7CA1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混凝土搅拌机</w:t>
                  </w:r>
                </w:p>
              </w:tc>
              <w:tc>
                <w:tcPr>
                  <w:tcW w:w="3279" w:type="dxa"/>
                  <w:vAlign w:val="center"/>
                </w:tcPr>
                <w:p w14:paraId="004DC07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HZS1</w:t>
                  </w:r>
                  <w:r>
                    <w:rPr>
                      <w:rFonts w:hint="default" w:ascii="Times New Roman" w:hAnsi="Times New Roman" w:eastAsia="宋体" w:cs="Times New Roman"/>
                      <w:color w:val="auto"/>
                      <w:szCs w:val="21"/>
                      <w:lang w:val="en-US" w:eastAsia="zh-CN"/>
                    </w:rPr>
                    <w:t>20</w:t>
                  </w:r>
                </w:p>
              </w:tc>
              <w:tc>
                <w:tcPr>
                  <w:tcW w:w="3279" w:type="dxa"/>
                  <w:vAlign w:val="center"/>
                </w:tcPr>
                <w:p w14:paraId="07B98AD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台</w:t>
                  </w:r>
                </w:p>
              </w:tc>
            </w:tr>
            <w:tr w14:paraId="4E17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0E5FBB79">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三仓混凝土配料机</w:t>
                  </w:r>
                </w:p>
              </w:tc>
              <w:tc>
                <w:tcPr>
                  <w:tcW w:w="3279" w:type="dxa"/>
                  <w:vAlign w:val="center"/>
                </w:tcPr>
                <w:p w14:paraId="30B93D3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PL2400</w:t>
                  </w:r>
                </w:p>
              </w:tc>
              <w:tc>
                <w:tcPr>
                  <w:tcW w:w="3279" w:type="dxa"/>
                  <w:vAlign w:val="center"/>
                </w:tcPr>
                <w:p w14:paraId="5DC173D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w:t>
                  </w:r>
                  <w:r>
                    <w:rPr>
                      <w:rFonts w:hint="eastAsia" w:ascii="Times New Roman" w:cs="Times New Roman"/>
                      <w:color w:val="auto"/>
                      <w:szCs w:val="21"/>
                      <w:lang w:val="en-US" w:eastAsia="zh-CN"/>
                    </w:rPr>
                    <w:t>台</w:t>
                  </w:r>
                </w:p>
              </w:tc>
            </w:tr>
            <w:tr w14:paraId="12E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0407B6F">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皮带输送系统</w:t>
                  </w:r>
                </w:p>
              </w:tc>
              <w:tc>
                <w:tcPr>
                  <w:tcW w:w="3279" w:type="dxa"/>
                  <w:vAlign w:val="center"/>
                </w:tcPr>
                <w:p w14:paraId="16A428BE">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w:t>
                  </w:r>
                </w:p>
              </w:tc>
              <w:tc>
                <w:tcPr>
                  <w:tcW w:w="3279" w:type="dxa"/>
                  <w:vAlign w:val="center"/>
                </w:tcPr>
                <w:p w14:paraId="69E2D7BF">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cs="Times New Roman"/>
                      <w:color w:val="auto"/>
                      <w:szCs w:val="21"/>
                      <w:lang w:val="en-US" w:eastAsia="zh-CN"/>
                    </w:rPr>
                    <w:t>2</w:t>
                  </w:r>
                  <w:r>
                    <w:rPr>
                      <w:rFonts w:hint="default" w:ascii="Times New Roman" w:hAnsi="Times New Roman" w:eastAsia="宋体" w:cs="Times New Roman"/>
                      <w:color w:val="auto"/>
                      <w:szCs w:val="21"/>
                    </w:rPr>
                    <w:t>套</w:t>
                  </w:r>
                </w:p>
              </w:tc>
            </w:tr>
            <w:tr w14:paraId="043E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652E9B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混凝土</w:t>
                  </w:r>
                  <w:r>
                    <w:rPr>
                      <w:rFonts w:hint="default" w:ascii="Times New Roman" w:hAnsi="Times New Roman" w:eastAsia="宋体" w:cs="Times New Roman"/>
                      <w:color w:val="auto"/>
                      <w:szCs w:val="21"/>
                      <w:lang w:val="en-US" w:eastAsia="zh-CN"/>
                    </w:rPr>
                    <w:t>罐车</w:t>
                  </w:r>
                </w:p>
              </w:tc>
              <w:tc>
                <w:tcPr>
                  <w:tcW w:w="3279" w:type="dxa"/>
                  <w:vAlign w:val="center"/>
                </w:tcPr>
                <w:p w14:paraId="5A9FB8F7">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HNJ5261THB</w:t>
                  </w:r>
                </w:p>
              </w:tc>
              <w:tc>
                <w:tcPr>
                  <w:tcW w:w="3279" w:type="dxa"/>
                  <w:vAlign w:val="center"/>
                </w:tcPr>
                <w:p w14:paraId="0B5EC0DB">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10辆</w:t>
                  </w:r>
                </w:p>
              </w:tc>
            </w:tr>
            <w:tr w14:paraId="0E45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2139EFC7">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混凝土</w:t>
                  </w:r>
                  <w:r>
                    <w:rPr>
                      <w:rFonts w:hint="default" w:ascii="Times New Roman" w:hAnsi="Times New Roman" w:eastAsia="宋体" w:cs="Times New Roman"/>
                      <w:color w:val="auto"/>
                      <w:szCs w:val="21"/>
                      <w:lang w:val="en-US" w:eastAsia="zh-CN"/>
                    </w:rPr>
                    <w:t>泵车</w:t>
                  </w:r>
                </w:p>
              </w:tc>
              <w:tc>
                <w:tcPr>
                  <w:tcW w:w="3279" w:type="dxa"/>
                  <w:vAlign w:val="center"/>
                </w:tcPr>
                <w:p w14:paraId="5DA313B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w:t>
                  </w:r>
                </w:p>
              </w:tc>
              <w:tc>
                <w:tcPr>
                  <w:tcW w:w="3279" w:type="dxa"/>
                  <w:vAlign w:val="center"/>
                </w:tcPr>
                <w:p w14:paraId="24A2909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2辆</w:t>
                  </w:r>
                </w:p>
              </w:tc>
            </w:tr>
            <w:tr w14:paraId="3990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F6B267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装载机</w:t>
                  </w:r>
                </w:p>
              </w:tc>
              <w:tc>
                <w:tcPr>
                  <w:tcW w:w="3279" w:type="dxa"/>
                  <w:vAlign w:val="center"/>
                </w:tcPr>
                <w:p w14:paraId="751930BE">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ZJ50</w:t>
                  </w:r>
                </w:p>
              </w:tc>
              <w:tc>
                <w:tcPr>
                  <w:tcW w:w="3279" w:type="dxa"/>
                  <w:vAlign w:val="center"/>
                </w:tcPr>
                <w:p w14:paraId="0166A236">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台</w:t>
                  </w:r>
                </w:p>
              </w:tc>
            </w:tr>
            <w:tr w14:paraId="38BA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63A8F1D6">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水泥筒仓</w:t>
                  </w:r>
                </w:p>
              </w:tc>
              <w:tc>
                <w:tcPr>
                  <w:tcW w:w="3279" w:type="dxa"/>
                  <w:vAlign w:val="center"/>
                </w:tcPr>
                <w:p w14:paraId="34FE344D">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200t</w:t>
                  </w:r>
                </w:p>
              </w:tc>
              <w:tc>
                <w:tcPr>
                  <w:tcW w:w="3279" w:type="dxa"/>
                  <w:vAlign w:val="center"/>
                </w:tcPr>
                <w:p w14:paraId="58FCD554">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2个</w:t>
                  </w:r>
                </w:p>
              </w:tc>
            </w:tr>
            <w:tr w14:paraId="654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789495AE">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矿粉筒仓</w:t>
                  </w:r>
                </w:p>
              </w:tc>
              <w:tc>
                <w:tcPr>
                  <w:tcW w:w="3279" w:type="dxa"/>
                  <w:vAlign w:val="center"/>
                </w:tcPr>
                <w:p w14:paraId="46DE7782">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200t</w:t>
                  </w:r>
                </w:p>
              </w:tc>
              <w:tc>
                <w:tcPr>
                  <w:tcW w:w="3279" w:type="dxa"/>
                  <w:vAlign w:val="center"/>
                </w:tcPr>
                <w:p w14:paraId="1195D58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1个</w:t>
                  </w:r>
                </w:p>
              </w:tc>
            </w:tr>
            <w:tr w14:paraId="6078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562488C">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粉煤灰筒仓</w:t>
                  </w:r>
                </w:p>
              </w:tc>
              <w:tc>
                <w:tcPr>
                  <w:tcW w:w="3279" w:type="dxa"/>
                  <w:vAlign w:val="center"/>
                </w:tcPr>
                <w:p w14:paraId="59D6CFFD">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200t</w:t>
                  </w:r>
                </w:p>
              </w:tc>
              <w:tc>
                <w:tcPr>
                  <w:tcW w:w="3279" w:type="dxa"/>
                  <w:vAlign w:val="center"/>
                </w:tcPr>
                <w:p w14:paraId="27A618FD">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1个</w:t>
                  </w:r>
                </w:p>
              </w:tc>
            </w:tr>
            <w:tr w14:paraId="2CD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7956A8D">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cs="Times New Roman"/>
                      <w:color w:val="auto"/>
                      <w:szCs w:val="21"/>
                      <w:lang w:val="en-US" w:eastAsia="zh-CN"/>
                    </w:rPr>
                    <w:t>打砂机</w:t>
                  </w:r>
                </w:p>
              </w:tc>
              <w:tc>
                <w:tcPr>
                  <w:tcW w:w="3279" w:type="dxa"/>
                  <w:vAlign w:val="center"/>
                </w:tcPr>
                <w:p w14:paraId="100E599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hAnsi="Times New Roman" w:eastAsia="宋体" w:cs="Times New Roman"/>
                      <w:color w:val="auto"/>
                      <w:szCs w:val="21"/>
                      <w:lang w:val="en-US" w:eastAsia="zh-CN"/>
                    </w:rPr>
                    <w:t>/</w:t>
                  </w:r>
                </w:p>
              </w:tc>
              <w:tc>
                <w:tcPr>
                  <w:tcW w:w="3279" w:type="dxa"/>
                  <w:vAlign w:val="center"/>
                </w:tcPr>
                <w:p w14:paraId="760622F9">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1台</w:t>
                  </w:r>
                </w:p>
              </w:tc>
            </w:tr>
            <w:tr w14:paraId="6E11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77F8C8C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振动筛</w:t>
                  </w:r>
                </w:p>
              </w:tc>
              <w:tc>
                <w:tcPr>
                  <w:tcW w:w="3279" w:type="dxa"/>
                  <w:vAlign w:val="center"/>
                </w:tcPr>
                <w:p w14:paraId="5AD53CD9">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hAnsi="Times New Roman" w:eastAsia="宋体" w:cs="Times New Roman"/>
                      <w:color w:val="auto"/>
                      <w:szCs w:val="21"/>
                      <w:lang w:val="en-US" w:eastAsia="zh-CN"/>
                    </w:rPr>
                    <w:t>/</w:t>
                  </w:r>
                </w:p>
              </w:tc>
              <w:tc>
                <w:tcPr>
                  <w:tcW w:w="3279" w:type="dxa"/>
                  <w:vAlign w:val="center"/>
                </w:tcPr>
                <w:p w14:paraId="70D96872">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1台</w:t>
                  </w:r>
                </w:p>
              </w:tc>
            </w:tr>
            <w:tr w14:paraId="27B9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B23403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称量系统</w:t>
                  </w:r>
                </w:p>
              </w:tc>
              <w:tc>
                <w:tcPr>
                  <w:tcW w:w="3279" w:type="dxa"/>
                  <w:vAlign w:val="center"/>
                </w:tcPr>
                <w:p w14:paraId="01BDB96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100t</w:t>
                  </w:r>
                </w:p>
              </w:tc>
              <w:tc>
                <w:tcPr>
                  <w:tcW w:w="3279" w:type="dxa"/>
                  <w:vAlign w:val="center"/>
                </w:tcPr>
                <w:p w14:paraId="22B4B9F8">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套</w:t>
                  </w:r>
                </w:p>
              </w:tc>
            </w:tr>
            <w:tr w14:paraId="6870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5" w:type="dxa"/>
                  <w:gridSpan w:val="3"/>
                  <w:vAlign w:val="center"/>
                </w:tcPr>
                <w:p w14:paraId="2689725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扩建完成后全厂</w:t>
                  </w:r>
                  <w:r>
                    <w:rPr>
                      <w:rFonts w:hint="eastAsia" w:ascii="Times New Roman" w:hAnsi="Times New Roman" w:eastAsia="宋体" w:cs="Times New Roman"/>
                      <w:b/>
                      <w:bCs/>
                      <w:color w:val="auto"/>
                      <w:szCs w:val="21"/>
                      <w:lang w:val="en-US" w:eastAsia="zh-CN"/>
                    </w:rPr>
                    <w:t>主要</w:t>
                  </w:r>
                  <w:r>
                    <w:rPr>
                      <w:rFonts w:hint="eastAsia" w:eastAsia="宋体" w:cs="Times New Roman"/>
                      <w:b/>
                      <w:bCs/>
                      <w:color w:val="auto"/>
                      <w:szCs w:val="21"/>
                      <w:lang w:val="en-US" w:eastAsia="zh-CN"/>
                    </w:rPr>
                    <w:t>设备</w:t>
                  </w:r>
                </w:p>
              </w:tc>
            </w:tr>
            <w:tr w14:paraId="1EFB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FC547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混</w:t>
                  </w:r>
                  <w:r>
                    <w:rPr>
                      <w:rFonts w:hint="eastAsia" w:cs="Times New Roman" w:eastAsiaTheme="minorEastAsia"/>
                      <w:color w:val="auto"/>
                      <w:sz w:val="21"/>
                      <w:szCs w:val="21"/>
                      <w:lang w:val="en-US" w:eastAsia="zh-CN"/>
                    </w:rPr>
                    <w:t>凝</w:t>
                  </w:r>
                  <w:r>
                    <w:rPr>
                      <w:rFonts w:hint="default" w:ascii="Times New Roman" w:hAnsi="Times New Roman" w:cs="Times New Roman" w:eastAsiaTheme="minorEastAsia"/>
                      <w:color w:val="auto"/>
                      <w:sz w:val="21"/>
                      <w:szCs w:val="21"/>
                      <w:lang w:val="en-US" w:eastAsia="zh-CN"/>
                    </w:rPr>
                    <w:t>土运输车</w:t>
                  </w:r>
                </w:p>
              </w:tc>
              <w:tc>
                <w:tcPr>
                  <w:tcW w:w="3279" w:type="dxa"/>
                  <w:vAlign w:val="center"/>
                </w:tcPr>
                <w:p w14:paraId="266B360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10m³</w:t>
                  </w:r>
                </w:p>
              </w:tc>
              <w:tc>
                <w:tcPr>
                  <w:tcW w:w="3279" w:type="dxa"/>
                  <w:vAlign w:val="center"/>
                </w:tcPr>
                <w:p w14:paraId="50B08D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CN"/>
                    </w:rPr>
                    <w:t>2辆</w:t>
                  </w:r>
                </w:p>
              </w:tc>
            </w:tr>
            <w:tr w14:paraId="4865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66657D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泵车</w:t>
                  </w:r>
                </w:p>
              </w:tc>
              <w:tc>
                <w:tcPr>
                  <w:tcW w:w="3279" w:type="dxa"/>
                  <w:vAlign w:val="center"/>
                </w:tcPr>
                <w:p w14:paraId="697E3887">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37m</w:t>
                  </w:r>
                </w:p>
              </w:tc>
              <w:tc>
                <w:tcPr>
                  <w:tcW w:w="3279" w:type="dxa"/>
                  <w:vAlign w:val="center"/>
                </w:tcPr>
                <w:p w14:paraId="17D20C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w:t>
                  </w:r>
                  <w:r>
                    <w:rPr>
                      <w:rFonts w:hint="eastAsia" w:cs="Times New Roman" w:eastAsiaTheme="minorEastAsia"/>
                      <w:color w:val="auto"/>
                      <w:sz w:val="21"/>
                      <w:szCs w:val="21"/>
                      <w:lang w:val="en-US" w:eastAsia="zh-CN"/>
                    </w:rPr>
                    <w:t>台</w:t>
                  </w:r>
                </w:p>
              </w:tc>
            </w:tr>
            <w:tr w14:paraId="07E9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552B9C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地磅</w:t>
                  </w:r>
                </w:p>
              </w:tc>
              <w:tc>
                <w:tcPr>
                  <w:tcW w:w="3279" w:type="dxa"/>
                  <w:vAlign w:val="center"/>
                </w:tcPr>
                <w:p w14:paraId="01B5EF8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80吨</w:t>
                  </w:r>
                </w:p>
              </w:tc>
              <w:tc>
                <w:tcPr>
                  <w:tcW w:w="3279" w:type="dxa"/>
                  <w:vAlign w:val="center"/>
                </w:tcPr>
                <w:p w14:paraId="4B0A42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w:t>
                  </w:r>
                  <w:r>
                    <w:rPr>
                      <w:rFonts w:hint="eastAsia" w:cs="Times New Roman" w:eastAsiaTheme="minorEastAsia"/>
                      <w:color w:val="auto"/>
                      <w:sz w:val="21"/>
                      <w:szCs w:val="21"/>
                      <w:lang w:val="en-US" w:eastAsia="zh-CN"/>
                    </w:rPr>
                    <w:t>套</w:t>
                  </w:r>
                </w:p>
              </w:tc>
            </w:tr>
            <w:tr w14:paraId="26EB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2FD036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装载机</w:t>
                  </w:r>
                </w:p>
              </w:tc>
              <w:tc>
                <w:tcPr>
                  <w:tcW w:w="3279" w:type="dxa"/>
                  <w:vAlign w:val="center"/>
                </w:tcPr>
                <w:p w14:paraId="53A3BE4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ZL50</w:t>
                  </w:r>
                </w:p>
              </w:tc>
              <w:tc>
                <w:tcPr>
                  <w:tcW w:w="3279" w:type="dxa"/>
                  <w:vAlign w:val="center"/>
                </w:tcPr>
                <w:p w14:paraId="20D33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val="en-US" w:eastAsia="zh-CN"/>
                    </w:rPr>
                    <w:t>台</w:t>
                  </w:r>
                </w:p>
              </w:tc>
            </w:tr>
            <w:tr w14:paraId="5E20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71AB33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混</w:t>
                  </w:r>
                  <w:r>
                    <w:rPr>
                      <w:rFonts w:hint="eastAsia" w:cs="Times New Roman" w:eastAsiaTheme="minorEastAsia"/>
                      <w:color w:val="auto"/>
                      <w:sz w:val="21"/>
                      <w:szCs w:val="21"/>
                      <w:lang w:val="en-US" w:eastAsia="zh-CN"/>
                    </w:rPr>
                    <w:t>凝</w:t>
                  </w:r>
                  <w:r>
                    <w:rPr>
                      <w:rFonts w:hint="default" w:ascii="Times New Roman" w:hAnsi="Times New Roman" w:cs="Times New Roman" w:eastAsiaTheme="minorEastAsia"/>
                      <w:color w:val="auto"/>
                      <w:sz w:val="21"/>
                      <w:szCs w:val="21"/>
                      <w:lang w:val="en-US" w:eastAsia="zh-CN"/>
                    </w:rPr>
                    <w:t>土运输泵</w:t>
                  </w:r>
                </w:p>
              </w:tc>
              <w:tc>
                <w:tcPr>
                  <w:tcW w:w="3279" w:type="dxa"/>
                  <w:vAlign w:val="center"/>
                </w:tcPr>
                <w:p w14:paraId="12B954E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HBT</w:t>
                  </w:r>
                </w:p>
              </w:tc>
              <w:tc>
                <w:tcPr>
                  <w:tcW w:w="3279" w:type="dxa"/>
                  <w:vAlign w:val="center"/>
                </w:tcPr>
                <w:p w14:paraId="5A5DF7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2台</w:t>
                  </w:r>
                </w:p>
              </w:tc>
            </w:tr>
            <w:tr w14:paraId="4B87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01A6CA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电子秤</w:t>
                  </w:r>
                </w:p>
              </w:tc>
              <w:tc>
                <w:tcPr>
                  <w:tcW w:w="3279" w:type="dxa"/>
                  <w:vAlign w:val="center"/>
                </w:tcPr>
                <w:p w14:paraId="34C822D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18925A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w:t>
                  </w:r>
                  <w:r>
                    <w:rPr>
                      <w:rFonts w:hint="eastAsia" w:cs="Times New Roman" w:eastAsiaTheme="minorEastAsia"/>
                      <w:color w:val="auto"/>
                      <w:sz w:val="21"/>
                      <w:szCs w:val="21"/>
                      <w:lang w:val="en-US" w:eastAsia="zh-CN"/>
                    </w:rPr>
                    <w:t>个</w:t>
                  </w:r>
                </w:p>
              </w:tc>
            </w:tr>
            <w:tr w14:paraId="1607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017CD4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搅拌站</w:t>
                  </w:r>
                </w:p>
              </w:tc>
              <w:tc>
                <w:tcPr>
                  <w:tcW w:w="3279" w:type="dxa"/>
                  <w:vAlign w:val="center"/>
                </w:tcPr>
                <w:p w14:paraId="65E73DC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HZS</w:t>
                  </w:r>
                </w:p>
              </w:tc>
              <w:tc>
                <w:tcPr>
                  <w:tcW w:w="3279" w:type="dxa"/>
                  <w:vAlign w:val="center"/>
                </w:tcPr>
                <w:p w14:paraId="5B22FA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w:t>
                  </w:r>
                  <w:r>
                    <w:rPr>
                      <w:rFonts w:hint="eastAsia" w:cs="Times New Roman" w:eastAsiaTheme="minorEastAsia"/>
                      <w:color w:val="auto"/>
                      <w:sz w:val="21"/>
                      <w:szCs w:val="21"/>
                      <w:lang w:val="en-US" w:eastAsia="zh-CN"/>
                    </w:rPr>
                    <w:t>个</w:t>
                  </w:r>
                </w:p>
              </w:tc>
            </w:tr>
            <w:tr w14:paraId="6EDD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2E959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输送皮带</w:t>
                  </w:r>
                </w:p>
              </w:tc>
              <w:tc>
                <w:tcPr>
                  <w:tcW w:w="3279" w:type="dxa"/>
                  <w:vAlign w:val="center"/>
                </w:tcPr>
                <w:p w14:paraId="48878CD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151E4F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val="en-US" w:eastAsia="zh-CN"/>
                    </w:rPr>
                    <w:t>套</w:t>
                  </w:r>
                </w:p>
              </w:tc>
            </w:tr>
            <w:tr w14:paraId="2749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09C726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进料系统</w:t>
                  </w:r>
                </w:p>
              </w:tc>
              <w:tc>
                <w:tcPr>
                  <w:tcW w:w="3279" w:type="dxa"/>
                  <w:vAlign w:val="center"/>
                </w:tcPr>
                <w:p w14:paraId="3293BA5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33EF89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1套</w:t>
                  </w:r>
                </w:p>
              </w:tc>
            </w:tr>
            <w:tr w14:paraId="6DF1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70C33A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color w:val="auto"/>
                      <w:szCs w:val="21"/>
                      <w:highlight w:val="none"/>
                      <w:vertAlign w:val="baseline"/>
                      <w:lang w:val="en-US" w:eastAsia="zh-CN"/>
                    </w:rPr>
                  </w:pPr>
                  <w:r>
                    <w:rPr>
                      <w:rFonts w:hint="default" w:ascii="Times New Roman" w:hAnsi="Times New Roman" w:eastAsia="宋体" w:cs="Times New Roman"/>
                      <w:color w:val="auto"/>
                      <w:szCs w:val="21"/>
                      <w:lang w:val="en-US" w:eastAsia="zh-CN"/>
                    </w:rPr>
                    <w:t>筒仓</w:t>
                  </w:r>
                </w:p>
              </w:tc>
              <w:tc>
                <w:tcPr>
                  <w:tcW w:w="3279" w:type="dxa"/>
                  <w:vAlign w:val="center"/>
                </w:tcPr>
                <w:p w14:paraId="33A805E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47B363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eastAsia" w:cs="Times New Roman" w:eastAsiaTheme="minorEastAsia"/>
                      <w:color w:val="auto"/>
                      <w:sz w:val="21"/>
                      <w:szCs w:val="21"/>
                      <w:lang w:val="en-US" w:eastAsia="zh-CN"/>
                    </w:rPr>
                    <w:t>8个</w:t>
                  </w:r>
                </w:p>
              </w:tc>
            </w:tr>
            <w:tr w14:paraId="309F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8531F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水泥运输车</w:t>
                  </w:r>
                </w:p>
              </w:tc>
              <w:tc>
                <w:tcPr>
                  <w:tcW w:w="3279" w:type="dxa"/>
                  <w:vAlign w:val="center"/>
                </w:tcPr>
                <w:p w14:paraId="6C9C4A0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cs="Times New Roman"/>
                      <w:color w:val="auto"/>
                      <w:szCs w:val="21"/>
                      <w:lang w:val="en-US" w:eastAsia="zh-CN"/>
                    </w:rPr>
                    <w:t>/</w:t>
                  </w:r>
                </w:p>
              </w:tc>
              <w:tc>
                <w:tcPr>
                  <w:tcW w:w="3279" w:type="dxa"/>
                  <w:vAlign w:val="center"/>
                </w:tcPr>
                <w:p w14:paraId="5AFBB8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Cs w:val="21"/>
                      <w:highlight w:val="none"/>
                      <w:vertAlign w:val="baseline"/>
                    </w:rPr>
                  </w:pPr>
                  <w:r>
                    <w:rPr>
                      <w:rFonts w:hint="default" w:ascii="Times New Roman" w:hAnsi="Times New Roman" w:cs="Times New Roman" w:eastAsiaTheme="minorEastAsia"/>
                      <w:color w:val="auto"/>
                      <w:sz w:val="21"/>
                      <w:szCs w:val="21"/>
                      <w:lang w:val="en-US" w:eastAsia="zh-CN"/>
                    </w:rPr>
                    <w:t>2辆</w:t>
                  </w:r>
                </w:p>
              </w:tc>
            </w:tr>
            <w:tr w14:paraId="2036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11DF60B4">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混凝土搅拌机</w:t>
                  </w:r>
                </w:p>
              </w:tc>
              <w:tc>
                <w:tcPr>
                  <w:tcW w:w="3279" w:type="dxa"/>
                  <w:vAlign w:val="center"/>
                </w:tcPr>
                <w:p w14:paraId="66F0782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HZS1</w:t>
                  </w:r>
                  <w:r>
                    <w:rPr>
                      <w:rFonts w:hint="default" w:ascii="Times New Roman" w:hAnsi="Times New Roman" w:eastAsia="宋体" w:cs="Times New Roman"/>
                      <w:color w:val="auto"/>
                      <w:szCs w:val="21"/>
                      <w:lang w:val="en-US" w:eastAsia="zh-CN"/>
                    </w:rPr>
                    <w:t>20</w:t>
                  </w:r>
                </w:p>
              </w:tc>
              <w:tc>
                <w:tcPr>
                  <w:tcW w:w="3279" w:type="dxa"/>
                  <w:vAlign w:val="center"/>
                </w:tcPr>
                <w:p w14:paraId="6B9F0D5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台</w:t>
                  </w:r>
                </w:p>
              </w:tc>
            </w:tr>
            <w:tr w14:paraId="6124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6CF9251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三仓混凝土配料机</w:t>
                  </w:r>
                </w:p>
              </w:tc>
              <w:tc>
                <w:tcPr>
                  <w:tcW w:w="3279" w:type="dxa"/>
                  <w:vAlign w:val="center"/>
                </w:tcPr>
                <w:p w14:paraId="5FEB420F">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PL2400</w:t>
                  </w:r>
                </w:p>
              </w:tc>
              <w:tc>
                <w:tcPr>
                  <w:tcW w:w="3279" w:type="dxa"/>
                  <w:vAlign w:val="center"/>
                </w:tcPr>
                <w:p w14:paraId="1FFB44CE">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w:t>
                  </w:r>
                  <w:r>
                    <w:rPr>
                      <w:rFonts w:hint="eastAsia" w:ascii="Times New Roman" w:cs="Times New Roman"/>
                      <w:color w:val="auto"/>
                      <w:szCs w:val="21"/>
                      <w:lang w:val="en-US" w:eastAsia="zh-CN"/>
                    </w:rPr>
                    <w:t>台</w:t>
                  </w:r>
                </w:p>
              </w:tc>
            </w:tr>
            <w:tr w14:paraId="556D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215A59C8">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混凝土</w:t>
                  </w:r>
                  <w:r>
                    <w:rPr>
                      <w:rFonts w:hint="default" w:ascii="Times New Roman" w:hAnsi="Times New Roman" w:eastAsia="宋体" w:cs="Times New Roman"/>
                      <w:color w:val="auto"/>
                      <w:szCs w:val="21"/>
                      <w:lang w:val="en-US" w:eastAsia="zh-CN"/>
                    </w:rPr>
                    <w:t>泵车</w:t>
                  </w:r>
                </w:p>
              </w:tc>
              <w:tc>
                <w:tcPr>
                  <w:tcW w:w="3279" w:type="dxa"/>
                  <w:vAlign w:val="center"/>
                </w:tcPr>
                <w:p w14:paraId="06FBD3FE">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w:t>
                  </w:r>
                </w:p>
              </w:tc>
              <w:tc>
                <w:tcPr>
                  <w:tcW w:w="3279" w:type="dxa"/>
                  <w:vAlign w:val="center"/>
                </w:tcPr>
                <w:p w14:paraId="023E7506">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2辆</w:t>
                  </w:r>
                </w:p>
              </w:tc>
            </w:tr>
            <w:tr w14:paraId="77D1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2C2E888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cs="Times New Roman"/>
                      <w:color w:val="auto"/>
                      <w:szCs w:val="21"/>
                      <w:lang w:val="en-US" w:eastAsia="zh-CN"/>
                    </w:rPr>
                    <w:t>打砂机</w:t>
                  </w:r>
                </w:p>
              </w:tc>
              <w:tc>
                <w:tcPr>
                  <w:tcW w:w="3279" w:type="dxa"/>
                  <w:vAlign w:val="center"/>
                </w:tcPr>
                <w:p w14:paraId="03D64BE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hAnsi="Times New Roman" w:eastAsia="宋体" w:cs="Times New Roman"/>
                      <w:color w:val="auto"/>
                      <w:szCs w:val="21"/>
                      <w:lang w:val="en-US" w:eastAsia="zh-CN"/>
                    </w:rPr>
                    <w:t>/</w:t>
                  </w:r>
                </w:p>
              </w:tc>
              <w:tc>
                <w:tcPr>
                  <w:tcW w:w="3279" w:type="dxa"/>
                  <w:vAlign w:val="center"/>
                </w:tcPr>
                <w:p w14:paraId="359205F0">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1台</w:t>
                  </w:r>
                </w:p>
              </w:tc>
            </w:tr>
            <w:tr w14:paraId="0456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396B2915">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振动筛</w:t>
                  </w:r>
                </w:p>
              </w:tc>
              <w:tc>
                <w:tcPr>
                  <w:tcW w:w="3279" w:type="dxa"/>
                  <w:vAlign w:val="center"/>
                </w:tcPr>
                <w:p w14:paraId="57726B94">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eastAsia" w:ascii="Times New Roman" w:hAnsi="Times New Roman" w:eastAsia="宋体" w:cs="Times New Roman"/>
                      <w:color w:val="auto"/>
                      <w:szCs w:val="21"/>
                      <w:lang w:val="en-US" w:eastAsia="zh-CN"/>
                    </w:rPr>
                    <w:t>/</w:t>
                  </w:r>
                </w:p>
              </w:tc>
              <w:tc>
                <w:tcPr>
                  <w:tcW w:w="3279" w:type="dxa"/>
                  <w:vAlign w:val="center"/>
                </w:tcPr>
                <w:p w14:paraId="42B8ABC4">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1台</w:t>
                  </w:r>
                </w:p>
              </w:tc>
            </w:tr>
            <w:tr w14:paraId="22FD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vAlign w:val="center"/>
                </w:tcPr>
                <w:p w14:paraId="0910153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称量系统</w:t>
                  </w:r>
                </w:p>
              </w:tc>
              <w:tc>
                <w:tcPr>
                  <w:tcW w:w="3279" w:type="dxa"/>
                  <w:vAlign w:val="center"/>
                </w:tcPr>
                <w:p w14:paraId="7F342E21">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rPr>
                    <w:t>100t</w:t>
                  </w:r>
                </w:p>
              </w:tc>
              <w:tc>
                <w:tcPr>
                  <w:tcW w:w="3279" w:type="dxa"/>
                  <w:vAlign w:val="center"/>
                </w:tcPr>
                <w:p w14:paraId="14BCF943">
                  <w:pPr>
                    <w:pStyle w:val="41"/>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color w:val="auto"/>
                      <w:szCs w:val="21"/>
                      <w:highlight w:val="none"/>
                      <w:vertAlign w:val="baseline"/>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套</w:t>
                  </w:r>
                </w:p>
              </w:tc>
            </w:tr>
          </w:tbl>
          <w:p w14:paraId="1B5D7BD2">
            <w:pPr>
              <w:jc w:val="center"/>
              <w:rPr>
                <w:rFonts w:hint="default" w:ascii="Times New Roman" w:hAnsi="Times New Roman" w:eastAsia="宋体" w:cs="Times New Roman"/>
                <w:b/>
                <w:color w:val="auto"/>
                <w:szCs w:val="21"/>
                <w:highlight w:val="none"/>
              </w:rPr>
            </w:pPr>
          </w:p>
          <w:p w14:paraId="1439396D">
            <w:pPr>
              <w:pStyle w:val="20"/>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5、劳动定员及工作制度</w:t>
            </w:r>
          </w:p>
          <w:p w14:paraId="4F218060">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b w:val="0"/>
                <w:bCs w:val="0"/>
                <w:color w:val="auto"/>
                <w:sz w:val="24"/>
                <w:szCs w:val="24"/>
                <w:highlight w:val="none"/>
                <w:lang w:val="en-US" w:eastAsia="zh-CN"/>
              </w:rPr>
              <w:t>原项目工作人员为</w:t>
            </w:r>
            <w:r>
              <w:rPr>
                <w:rFonts w:hint="default" w:ascii="Times New Roman" w:hAnsi="Times New Roman" w:cs="Times New Roman"/>
                <w:b w:val="0"/>
                <w:bCs w:val="0"/>
                <w:color w:val="auto"/>
                <w:sz w:val="24"/>
                <w:szCs w:val="24"/>
                <w:highlight w:val="none"/>
                <w:lang w:val="en-US" w:eastAsia="zh-CN"/>
              </w:rPr>
              <w:t>30</w:t>
            </w:r>
            <w:r>
              <w:rPr>
                <w:rFonts w:hint="default" w:ascii="Times New Roman" w:hAnsi="Times New Roman" w:eastAsia="宋体" w:cs="Times New Roman"/>
                <w:b w:val="0"/>
                <w:bCs w:val="0"/>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本</w:t>
            </w:r>
            <w:r>
              <w:rPr>
                <w:rFonts w:hint="default" w:ascii="Times New Roman" w:hAnsi="Times New Roman" w:eastAsia="宋体" w:cs="Times New Roman"/>
                <w:color w:val="auto"/>
                <w:sz w:val="24"/>
                <w:szCs w:val="24"/>
                <w:highlight w:val="none"/>
                <w:lang w:val="en-US" w:eastAsia="zh-CN"/>
              </w:rPr>
              <w:t>次扩建</w:t>
            </w:r>
            <w:r>
              <w:rPr>
                <w:rFonts w:hint="default" w:ascii="Times New Roman" w:hAnsi="Times New Roman" w:eastAsia="宋体" w:cs="Times New Roman"/>
                <w:color w:val="auto"/>
                <w:sz w:val="24"/>
                <w:szCs w:val="24"/>
                <w:highlight w:val="none"/>
              </w:rPr>
              <w:t>项目运营期</w:t>
            </w:r>
            <w:r>
              <w:rPr>
                <w:rFonts w:hint="default" w:ascii="Times New Roman" w:hAnsi="Times New Roman"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新增</w:t>
            </w:r>
            <w:r>
              <w:rPr>
                <w:rFonts w:hint="default" w:ascii="Times New Roman" w:hAnsi="Times New Roman" w:eastAsia="宋体" w:cs="Times New Roman"/>
                <w:color w:val="auto"/>
                <w:sz w:val="24"/>
                <w:szCs w:val="24"/>
                <w:highlight w:val="none"/>
              </w:rPr>
              <w:t>工作人员，</w:t>
            </w:r>
            <w:r>
              <w:rPr>
                <w:rFonts w:hint="default" w:ascii="Times New Roman" w:hAnsi="Times New Roman" w:eastAsia="宋体" w:cs="Times New Roman"/>
                <w:color w:val="auto"/>
                <w:sz w:val="24"/>
                <w:szCs w:val="24"/>
                <w:highlight w:val="none"/>
                <w:lang w:val="en-US" w:eastAsia="zh-CN"/>
              </w:rPr>
              <w:t>扩建完成后整个项目区工作人员为30人，</w:t>
            </w:r>
            <w:r>
              <w:rPr>
                <w:rFonts w:hint="default" w:ascii="Times New Roman" w:hAnsi="Times New Roman" w:eastAsia="宋体" w:cs="Times New Roman"/>
                <w:color w:val="auto"/>
                <w:sz w:val="24"/>
                <w:szCs w:val="24"/>
                <w:highlight w:val="none"/>
              </w:rPr>
              <w:t>项目区设有食堂及宿舍，职工均在厂区食宿。</w:t>
            </w:r>
          </w:p>
          <w:p w14:paraId="587360AA">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b w:val="0"/>
                <w:bCs w:val="0"/>
                <w:color w:val="auto"/>
                <w:sz w:val="24"/>
                <w:szCs w:val="24"/>
                <w:highlight w:val="none"/>
                <w:lang w:val="en-US" w:eastAsia="zh-CN"/>
              </w:rPr>
              <w:t>扩建项目</w:t>
            </w:r>
            <w:r>
              <w:rPr>
                <w:rFonts w:hint="default" w:ascii="Times New Roman" w:hAnsi="Times New Roman" w:eastAsia="宋体" w:cs="Times New Roman"/>
                <w:color w:val="auto"/>
                <w:sz w:val="24"/>
                <w:szCs w:val="24"/>
                <w:highlight w:val="none"/>
              </w:rPr>
              <w:t>年工作天数300天，实行</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班制，每班工作</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小时，年总生产时间为</w:t>
            </w:r>
            <w:r>
              <w:rPr>
                <w:rFonts w:hint="default" w:ascii="Times New Roman" w:hAnsi="Times New Roman"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rPr>
              <w:t>00小时</w:t>
            </w:r>
            <w:r>
              <w:rPr>
                <w:rFonts w:hint="default" w:ascii="Times New Roman" w:hAnsi="Times New Roman" w:eastAsia="宋体" w:cs="Times New Roman"/>
                <w:color w:val="auto"/>
                <w:sz w:val="24"/>
                <w:szCs w:val="24"/>
                <w:highlight w:val="none"/>
                <w:lang w:bidi="en-US"/>
              </w:rPr>
              <w:t>。</w:t>
            </w:r>
          </w:p>
          <w:p w14:paraId="6C7F69BF">
            <w:pPr>
              <w:pStyle w:val="20"/>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6、施工进度</w:t>
            </w:r>
          </w:p>
          <w:p w14:paraId="3AFDC991">
            <w:pPr>
              <w:keepNext w:val="0"/>
              <w:keepLines w:val="0"/>
              <w:pageBreakBefore w:val="0"/>
              <w:widowControl w:val="0"/>
              <w:kinsoku/>
              <w:wordWrap/>
              <w:overflowPunct/>
              <w:topLinePunct w:val="0"/>
              <w:autoSpaceDE/>
              <w:autoSpaceDN/>
              <w:bidi w:val="0"/>
              <w:spacing w:line="351"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14:paraId="33277928">
            <w:pPr>
              <w:keepNext w:val="0"/>
              <w:keepLines w:val="0"/>
              <w:pageBreakBefore w:val="0"/>
              <w:widowControl w:val="0"/>
              <w:kinsoku/>
              <w:wordWrap/>
              <w:overflowPunct/>
              <w:topLinePunct w:val="0"/>
              <w:autoSpaceDE/>
              <w:autoSpaceDN/>
              <w:bidi w:val="0"/>
              <w:spacing w:line="351"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截至目前</w:t>
            </w:r>
            <w:r>
              <w:rPr>
                <w:rFonts w:hint="default" w:ascii="Times New Roman" w:hAnsi="Times New Roman" w:eastAsia="宋体" w:cs="Times New Roman"/>
                <w:color w:val="auto"/>
                <w:sz w:val="24"/>
                <w:szCs w:val="24"/>
                <w:highlight w:val="none"/>
              </w:rPr>
              <w:t>，本扩建项目原料仓三面围挡、水泥筒仓、粉煤灰筒仓、矿粉筒仓及破碎制砂车间均已安装完成，扩建项目暂未开始设备调试及投入运营</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项目施工期已结束。</w:t>
            </w:r>
          </w:p>
          <w:p w14:paraId="1A37E2DF">
            <w:pPr>
              <w:autoSpaceDE w:val="0"/>
              <w:autoSpaceDN w:val="0"/>
              <w:adjustRightIn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7</w:t>
            </w:r>
            <w:r>
              <w:rPr>
                <w:rFonts w:hint="default" w:ascii="Times New Roman" w:hAnsi="Times New Roman" w:cs="Times New Roman"/>
                <w:b/>
                <w:color w:val="auto"/>
                <w:sz w:val="24"/>
                <w:highlight w:val="none"/>
              </w:rPr>
              <w:t>、公用工程</w:t>
            </w:r>
          </w:p>
          <w:p w14:paraId="02406AEC">
            <w:pPr>
              <w:autoSpaceDE w:val="0"/>
              <w:autoSpaceDN w:val="0"/>
              <w:adjustRightIn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（1）给排水</w:t>
            </w:r>
          </w:p>
          <w:p w14:paraId="559D4199">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给水：生产、生活用水由</w:t>
            </w:r>
            <w:r>
              <w:rPr>
                <w:rFonts w:hint="default" w:ascii="Times New Roman" w:hAnsi="Times New Roman" w:cs="Times New Roman"/>
                <w:color w:val="auto"/>
                <w:sz w:val="24"/>
                <w:highlight w:val="none"/>
                <w:lang w:val="en-US" w:eastAsia="zh-CN"/>
              </w:rPr>
              <w:t>寻甸</w:t>
            </w:r>
            <w:r>
              <w:rPr>
                <w:rFonts w:hint="default" w:ascii="Times New Roman" w:hAnsi="Times New Roman" w:cs="Times New Roman"/>
                <w:color w:val="auto"/>
                <w:sz w:val="24"/>
                <w:highlight w:val="none"/>
              </w:rPr>
              <w:t>自来水管网接入供给。</w:t>
            </w:r>
          </w:p>
          <w:p w14:paraId="507CEB10">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排水：实行雨污分流</w:t>
            </w:r>
          </w:p>
          <w:p w14:paraId="0A941C4B">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①雨水：厂区</w:t>
            </w:r>
            <w:r>
              <w:rPr>
                <w:rFonts w:hint="default" w:ascii="Times New Roman" w:hAnsi="Times New Roman" w:cs="Times New Roman"/>
                <w:color w:val="auto"/>
                <w:sz w:val="24"/>
                <w:highlight w:val="none"/>
                <w:lang w:val="en-US" w:eastAsia="zh-CN"/>
              </w:rPr>
              <w:t>硬化地</w:t>
            </w:r>
            <w:r>
              <w:rPr>
                <w:rFonts w:hint="default" w:ascii="Times New Roman" w:hAnsi="Times New Roman" w:cs="Times New Roman"/>
                <w:color w:val="auto"/>
                <w:sz w:val="24"/>
                <w:highlight w:val="none"/>
              </w:rPr>
              <w:t>上雨水经</w:t>
            </w:r>
            <w:r>
              <w:rPr>
                <w:rFonts w:hint="default" w:ascii="Times New Roman" w:hAnsi="Times New Roman" w:cs="Times New Roman"/>
                <w:color w:val="auto"/>
                <w:sz w:val="24"/>
                <w:highlight w:val="none"/>
                <w:lang w:val="en-US" w:eastAsia="zh-CN"/>
              </w:rPr>
              <w:t>地势北高南低汇入</w:t>
            </w:r>
            <w:r>
              <w:rPr>
                <w:rFonts w:hint="default" w:ascii="Times New Roman" w:hAnsi="Times New Roman" w:cs="Times New Roman"/>
                <w:color w:val="auto"/>
                <w:sz w:val="24"/>
                <w:highlight w:val="none"/>
              </w:rPr>
              <w:t>“沉淀池”系统处理后回用于项目生产过程，厂区周边设有雨水沟，厂区周边降雨经过雨水沟直接外排</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不参与生产使用</w:t>
            </w:r>
            <w:r>
              <w:rPr>
                <w:rFonts w:hint="default" w:ascii="Times New Roman" w:hAnsi="Times New Roman" w:cs="Times New Roman"/>
                <w:color w:val="auto"/>
                <w:sz w:val="24"/>
                <w:highlight w:val="none"/>
              </w:rPr>
              <w:t>。</w:t>
            </w:r>
          </w:p>
          <w:p w14:paraId="00142096">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污水：项目食堂废水先经隔油池处理后，再同生活污水排入化粪池处理后，用于农田堆肥；项目搅拌机清洗废水混凝土运输车辆罐体内部及罐车外部清洗废水、厂区硬化地面冲洗废水经沉淀池处理后回用于项目生产过程，不外排。</w:t>
            </w:r>
          </w:p>
          <w:p w14:paraId="638FD2EE">
            <w:pPr>
              <w:autoSpaceDE w:val="0"/>
              <w:autoSpaceDN w:val="0"/>
              <w:adjustRightIn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（2）供电系统</w:t>
            </w:r>
          </w:p>
          <w:p w14:paraId="1C02EA5C">
            <w:pPr>
              <w:autoSpaceDE w:val="0"/>
              <w:autoSpaceDN w:val="0"/>
              <w:adjustRightInd w:val="0"/>
              <w:spacing w:line="360" w:lineRule="auto"/>
              <w:ind w:firstLine="480" w:firstLineChars="200"/>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color w:val="auto"/>
                <w:sz w:val="24"/>
                <w:highlight w:val="none"/>
              </w:rPr>
              <w:t>项目供电由</w:t>
            </w:r>
            <w:r>
              <w:rPr>
                <w:rFonts w:hint="default" w:ascii="Times New Roman" w:hAnsi="Times New Roman" w:cs="Times New Roman"/>
                <w:color w:val="auto"/>
                <w:sz w:val="24"/>
                <w:highlight w:val="none"/>
                <w:lang w:val="en-US" w:eastAsia="zh-CN"/>
              </w:rPr>
              <w:t>寻甸</w:t>
            </w:r>
            <w:r>
              <w:rPr>
                <w:rFonts w:hint="default" w:ascii="Times New Roman" w:hAnsi="Times New Roman" w:cs="Times New Roman"/>
                <w:color w:val="auto"/>
                <w:sz w:val="24"/>
                <w:highlight w:val="none"/>
              </w:rPr>
              <w:t>电网引入</w:t>
            </w:r>
            <w:r>
              <w:rPr>
                <w:rFonts w:hint="eastAsia" w:cs="Times New Roman"/>
                <w:color w:val="auto"/>
                <w:sz w:val="24"/>
                <w:highlight w:val="none"/>
                <w:lang w:val="en-US" w:eastAsia="zh-CN"/>
              </w:rPr>
              <w:t>原有已建</w:t>
            </w:r>
            <w:r>
              <w:rPr>
                <w:rFonts w:hint="default" w:ascii="Times New Roman" w:hAnsi="Times New Roman" w:cs="Times New Roman"/>
                <w:color w:val="auto"/>
                <w:sz w:val="24"/>
                <w:highlight w:val="none"/>
              </w:rPr>
              <w:t>配电室。</w:t>
            </w:r>
          </w:p>
          <w:p w14:paraId="694AE891">
            <w:pPr>
              <w:pStyle w:val="20"/>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8、依托工程</w:t>
            </w:r>
          </w:p>
          <w:p w14:paraId="768FF8B5">
            <w:pPr>
              <w:autoSpaceDE w:val="0"/>
              <w:autoSpaceDN w:val="0"/>
              <w:adjustRightInd w:val="0"/>
              <w:spacing w:line="360" w:lineRule="auto"/>
              <w:ind w:firstLine="480" w:firstLineChars="200"/>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综合住房楼、</w:t>
            </w:r>
            <w:r>
              <w:rPr>
                <w:rFonts w:hint="default" w:ascii="Times New Roman" w:hAnsi="Times New Roman" w:cs="Times New Roman"/>
                <w:color w:val="auto"/>
                <w:sz w:val="24"/>
                <w:highlight w:val="none"/>
                <w:lang w:val="en-US" w:eastAsia="zh-CN"/>
              </w:rPr>
              <w:t>办公楼</w:t>
            </w:r>
            <w:r>
              <w:rPr>
                <w:rFonts w:hint="eastAsia" w:ascii="Times New Roman" w:hAnsi="Times New Roman" w:cs="Times New Roman"/>
                <w:color w:val="auto"/>
                <w:sz w:val="24"/>
                <w:highlight w:val="none"/>
                <w:lang w:val="en-US" w:eastAsia="zh-CN"/>
              </w:rPr>
              <w:t>、宿舍、食堂、门卫室、物资仓库、厂区运输道路、停车区均依托</w:t>
            </w:r>
            <w:r>
              <w:rPr>
                <w:rFonts w:hint="default" w:ascii="Times New Roman" w:hAnsi="Times New Roman" w:cs="Times New Roman"/>
                <w:color w:val="auto"/>
                <w:sz w:val="24"/>
                <w:highlight w:val="none"/>
                <w:lang w:val="en-US" w:eastAsia="zh-CN"/>
              </w:rPr>
              <w:t>原项目已建综合楼和住宿楼内部分建筑</w:t>
            </w:r>
            <w:r>
              <w:rPr>
                <w:rFonts w:hint="eastAsia" w:ascii="Times New Roman" w:hAnsi="Times New Roman" w:cs="Times New Roman"/>
                <w:color w:val="auto"/>
                <w:sz w:val="24"/>
                <w:highlight w:val="none"/>
                <w:lang w:val="en-US" w:eastAsia="zh-CN"/>
              </w:rPr>
              <w:t>，供水、供电及排水系统均依托原项目已建公用工程系统设施。</w:t>
            </w:r>
          </w:p>
          <w:p w14:paraId="5343B59E">
            <w:pPr>
              <w:autoSpaceDE w:val="0"/>
              <w:autoSpaceDN w:val="0"/>
              <w:adjustRightInd w:val="0"/>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混凝土</w:t>
            </w:r>
            <w:r>
              <w:rPr>
                <w:rFonts w:hint="eastAsia" w:ascii="Times New Roman" w:hAnsi="Times New Roman" w:cs="Times New Roman"/>
                <w:color w:val="auto"/>
                <w:sz w:val="24"/>
                <w:highlight w:val="none"/>
                <w:lang w:eastAsia="zh-CN"/>
              </w:rPr>
              <w:t>拌合站</w:t>
            </w:r>
            <w:r>
              <w:rPr>
                <w:rFonts w:hint="eastAsia" w:ascii="Times New Roman" w:hAnsi="Times New Roman" w:cs="Times New Roman"/>
                <w:color w:val="auto"/>
                <w:sz w:val="24"/>
                <w:highlight w:val="none"/>
                <w:lang w:val="en-US" w:eastAsia="zh-CN"/>
              </w:rPr>
              <w:t>依托原有已建拌合站密闭措施，</w:t>
            </w:r>
            <w:r>
              <w:rPr>
                <w:rFonts w:hint="default" w:ascii="Times New Roman" w:hAnsi="Times New Roman" w:cs="Times New Roman"/>
                <w:color w:val="auto"/>
                <w:sz w:val="24"/>
                <w:highlight w:val="none"/>
              </w:rPr>
              <w:t>车辆清洗</w:t>
            </w:r>
            <w:r>
              <w:rPr>
                <w:rFonts w:hint="default" w:ascii="Times New Roman" w:hAnsi="Times New Roman" w:cs="Times New Roman"/>
                <w:color w:val="auto"/>
                <w:sz w:val="24"/>
                <w:highlight w:val="none"/>
                <w:lang w:val="en-US" w:eastAsia="zh-CN"/>
              </w:rPr>
              <w:t>依托原项目已建车辆清洗设施</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厂区粉尘、运输粉尘</w:t>
            </w:r>
            <w:r>
              <w:rPr>
                <w:rFonts w:hint="default" w:ascii="Times New Roman" w:hAnsi="Times New Roman" w:cs="Times New Roman"/>
                <w:color w:val="auto"/>
                <w:sz w:val="24"/>
                <w:highlight w:val="none"/>
              </w:rPr>
              <w:t>抑尘措施</w:t>
            </w:r>
            <w:r>
              <w:rPr>
                <w:rFonts w:hint="eastAsia" w:ascii="Times New Roman" w:hAnsi="Times New Roman" w:cs="Times New Roman"/>
                <w:color w:val="auto"/>
                <w:sz w:val="24"/>
                <w:highlight w:val="none"/>
                <w:lang w:val="en-US" w:eastAsia="zh-CN"/>
              </w:rPr>
              <w:t>依托原项目已采取的洒水抑尘措施，</w:t>
            </w:r>
            <w:r>
              <w:rPr>
                <w:rFonts w:hint="default" w:ascii="Times New Roman" w:hAnsi="Times New Roman" w:cs="Times New Roman"/>
                <w:color w:val="auto"/>
                <w:sz w:val="24"/>
                <w:highlight w:val="none"/>
              </w:rPr>
              <w:t>食堂油烟治理</w:t>
            </w:r>
            <w:r>
              <w:rPr>
                <w:rFonts w:hint="default" w:ascii="Times New Roman" w:hAnsi="Times New Roman" w:cs="Times New Roman"/>
                <w:color w:val="auto"/>
                <w:sz w:val="24"/>
                <w:highlight w:val="none"/>
                <w:lang w:val="en-US" w:eastAsia="zh-CN"/>
              </w:rPr>
              <w:t>依托原项目已建烟治理油烟净化器</w:t>
            </w:r>
            <w:r>
              <w:rPr>
                <w:rFonts w:hint="eastAsia" w:ascii="Times New Roman" w:hAnsi="Times New Roman" w:cs="Times New Roman"/>
                <w:color w:val="auto"/>
                <w:sz w:val="24"/>
                <w:highlight w:val="none"/>
                <w:lang w:val="en-US" w:eastAsia="zh-CN"/>
              </w:rPr>
              <w:t>，生活垃圾、一般固体废物依托</w:t>
            </w:r>
            <w:r>
              <w:rPr>
                <w:rFonts w:hint="default" w:ascii="Times New Roman" w:hAnsi="Times New Roman" w:cs="Times New Roman"/>
                <w:color w:val="auto"/>
                <w:sz w:val="24"/>
                <w:highlight w:val="none"/>
                <w:lang w:val="en-US" w:eastAsia="zh-CN"/>
              </w:rPr>
              <w:t>原项目已建固废处置设施</w:t>
            </w:r>
            <w:r>
              <w:rPr>
                <w:rFonts w:hint="eastAsia" w:ascii="Times New Roman" w:hAnsi="Times New Roman" w:cs="Times New Roman"/>
                <w:color w:val="auto"/>
                <w:sz w:val="24"/>
                <w:highlight w:val="none"/>
                <w:lang w:val="en-US" w:eastAsia="zh-CN"/>
              </w:rPr>
              <w:t>。</w:t>
            </w:r>
          </w:p>
          <w:p w14:paraId="0F083241">
            <w:pPr>
              <w:pStyle w:val="20"/>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en-US" w:eastAsia="zh-CN"/>
              </w:rPr>
              <w:t>、环保投资</w:t>
            </w:r>
          </w:p>
          <w:p w14:paraId="232C9DA1">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default"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default" w:ascii="Times New Roman" w:hAnsi="Times New Roman" w:cs="Times New Roman"/>
                <w:color w:val="auto"/>
                <w:sz w:val="24"/>
                <w:highlight w:val="none"/>
                <w:lang w:val="en-US" w:eastAsia="zh-CN"/>
              </w:rPr>
              <w:t>24</w:t>
            </w:r>
            <w:r>
              <w:rPr>
                <w:rFonts w:hint="default" w:ascii="Times New Roman" w:hAnsi="Times New Roman" w:eastAsia="宋体" w:cs="Times New Roman"/>
                <w:color w:val="auto"/>
                <w:sz w:val="24"/>
                <w:highlight w:val="none"/>
              </w:rPr>
              <w:t>万元，占总投资的</w:t>
            </w:r>
            <w:r>
              <w:rPr>
                <w:rFonts w:hint="default" w:ascii="Times New Roman" w:hAnsi="Times New Roman" w:cs="Times New Roman"/>
                <w:color w:val="auto"/>
                <w:sz w:val="24"/>
                <w:highlight w:val="none"/>
                <w:lang w:val="en-US" w:eastAsia="zh-CN"/>
              </w:rPr>
              <w:t>4.8</w:t>
            </w:r>
            <w:r>
              <w:rPr>
                <w:rFonts w:hint="default" w:ascii="Times New Roman" w:hAnsi="Times New Roman" w:eastAsia="宋体" w:cs="Times New Roman"/>
                <w:color w:val="auto"/>
                <w:sz w:val="24"/>
                <w:highlight w:val="none"/>
              </w:rPr>
              <w:t>%，项目环保投资情况见表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14:paraId="7A7B581A">
            <w:pPr>
              <w:pStyle w:val="15"/>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 xml:space="preserve">   环保投资概算表   单位：万</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22"/>
              <w:gridCol w:w="973"/>
              <w:gridCol w:w="3706"/>
              <w:gridCol w:w="755"/>
              <w:gridCol w:w="879"/>
              <w:gridCol w:w="1317"/>
            </w:tblGrid>
            <w:tr w14:paraId="5E4A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gridSpan w:val="3"/>
                  <w:vAlign w:val="center"/>
                </w:tcPr>
                <w:p w14:paraId="5D00EB4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cs="Times New Roman"/>
                      <w:b/>
                      <w:bCs/>
                      <w:color w:val="auto"/>
                      <w:highlight w:val="none"/>
                    </w:rPr>
                    <w:t>项目</w:t>
                  </w:r>
                </w:p>
              </w:tc>
              <w:tc>
                <w:tcPr>
                  <w:tcW w:w="1885" w:type="pct"/>
                  <w:vAlign w:val="center"/>
                </w:tcPr>
                <w:p w14:paraId="64F9FA9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建设内容及规模</w:t>
                  </w:r>
                </w:p>
              </w:tc>
              <w:tc>
                <w:tcPr>
                  <w:tcW w:w="383" w:type="pct"/>
                  <w:vAlign w:val="center"/>
                </w:tcPr>
                <w:p w14:paraId="4EFC3DA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数量</w:t>
                  </w:r>
                </w:p>
              </w:tc>
              <w:tc>
                <w:tcPr>
                  <w:tcW w:w="447" w:type="pct"/>
                  <w:vAlign w:val="center"/>
                </w:tcPr>
                <w:p w14:paraId="41B04C3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投资金额（万元）</w:t>
                  </w:r>
                </w:p>
              </w:tc>
              <w:tc>
                <w:tcPr>
                  <w:tcW w:w="670" w:type="pct"/>
                  <w:vAlign w:val="center"/>
                </w:tcPr>
                <w:p w14:paraId="3F9360D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备注</w:t>
                  </w:r>
                </w:p>
              </w:tc>
            </w:tr>
            <w:tr w14:paraId="6D3C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restart"/>
                  <w:vAlign w:val="center"/>
                </w:tcPr>
                <w:p w14:paraId="55B3008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废水治理</w:t>
                  </w:r>
                </w:p>
              </w:tc>
              <w:tc>
                <w:tcPr>
                  <w:tcW w:w="723" w:type="pct"/>
                  <w:vMerge w:val="restart"/>
                  <w:vAlign w:val="center"/>
                </w:tcPr>
                <w:p w14:paraId="27578F9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生活污水处理设施</w:t>
                  </w:r>
                </w:p>
              </w:tc>
              <w:tc>
                <w:tcPr>
                  <w:tcW w:w="495" w:type="pct"/>
                  <w:vAlign w:val="center"/>
                </w:tcPr>
                <w:p w14:paraId="2835B8FB">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隔油池</w:t>
                  </w:r>
                </w:p>
              </w:tc>
              <w:tc>
                <w:tcPr>
                  <w:tcW w:w="1885" w:type="pct"/>
                  <w:vAlign w:val="center"/>
                </w:tcPr>
                <w:p w14:paraId="2688EA1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容积2m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的三级隔油池1座</w:t>
                  </w:r>
                  <w:r>
                    <w:rPr>
                      <w:rFonts w:hint="default" w:ascii="Times New Roman" w:hAnsi="Times New Roman" w:cs="Times New Roman"/>
                      <w:color w:val="auto"/>
                      <w:kern w:val="0"/>
                      <w:sz w:val="21"/>
                      <w:szCs w:val="21"/>
                      <w:highlight w:val="none"/>
                      <w:lang w:val="en-US" w:eastAsia="zh-CN" w:bidi="ar"/>
                    </w:rPr>
                    <w:t>，</w:t>
                  </w:r>
                </w:p>
              </w:tc>
              <w:tc>
                <w:tcPr>
                  <w:tcW w:w="383" w:type="pct"/>
                  <w:vAlign w:val="center"/>
                </w:tcPr>
                <w:p w14:paraId="784790F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1个</w:t>
                  </w:r>
                </w:p>
              </w:tc>
              <w:tc>
                <w:tcPr>
                  <w:tcW w:w="447" w:type="pct"/>
                  <w:vAlign w:val="center"/>
                </w:tcPr>
                <w:p w14:paraId="1907CF7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w:t>
                  </w:r>
                </w:p>
              </w:tc>
              <w:tc>
                <w:tcPr>
                  <w:tcW w:w="670" w:type="pct"/>
                  <w:vAlign w:val="center"/>
                </w:tcPr>
                <w:p w14:paraId="01D19F9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依托原项目已建隔油池</w:t>
                  </w:r>
                </w:p>
              </w:tc>
            </w:tr>
            <w:tr w14:paraId="28F5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0A5B258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23" w:type="pct"/>
                  <w:vMerge w:val="continue"/>
                  <w:vAlign w:val="center"/>
                </w:tcPr>
                <w:p w14:paraId="68434BE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495" w:type="pct"/>
                  <w:vAlign w:val="center"/>
                </w:tcPr>
                <w:p w14:paraId="77006162">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化粪池</w:t>
                  </w:r>
                </w:p>
              </w:tc>
              <w:tc>
                <w:tcPr>
                  <w:tcW w:w="1885" w:type="pct"/>
                  <w:vAlign w:val="center"/>
                </w:tcPr>
                <w:p w14:paraId="51B3D38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容积</w:t>
                  </w:r>
                  <w:r>
                    <w:rPr>
                      <w:rFonts w:hint="eastAsia" w:asci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的</w:t>
                  </w:r>
                  <w:r>
                    <w:rPr>
                      <w:rFonts w:hint="default" w:ascii="Times New Roman" w:hAnsi="Times New Roman" w:cs="Times New Roman"/>
                      <w:color w:val="auto"/>
                      <w:kern w:val="0"/>
                      <w:sz w:val="21"/>
                      <w:szCs w:val="21"/>
                      <w:highlight w:val="none"/>
                      <w:lang w:val="en-US" w:eastAsia="zh-CN" w:bidi="ar"/>
                    </w:rPr>
                    <w:t>化粪池</w:t>
                  </w:r>
                  <w:r>
                    <w:rPr>
                      <w:rFonts w:hint="default" w:ascii="Times New Roman" w:hAnsi="Times New Roman" w:eastAsia="宋体" w:cs="Times New Roman"/>
                      <w:color w:val="auto"/>
                      <w:kern w:val="0"/>
                      <w:sz w:val="21"/>
                      <w:szCs w:val="21"/>
                      <w:highlight w:val="none"/>
                      <w:lang w:val="en-US" w:eastAsia="zh-CN" w:bidi="ar"/>
                    </w:rPr>
                    <w:t>1座</w:t>
                  </w:r>
                  <w:r>
                    <w:rPr>
                      <w:rFonts w:hint="default" w:ascii="Times New Roman" w:hAnsi="Times New Roman" w:cs="Times New Roman"/>
                      <w:color w:val="auto"/>
                      <w:kern w:val="0"/>
                      <w:sz w:val="21"/>
                      <w:szCs w:val="21"/>
                      <w:highlight w:val="none"/>
                      <w:lang w:val="en-US" w:eastAsia="zh-CN" w:bidi="ar"/>
                    </w:rPr>
                    <w:t>，</w:t>
                  </w:r>
                </w:p>
              </w:tc>
              <w:tc>
                <w:tcPr>
                  <w:tcW w:w="383" w:type="pct"/>
                  <w:vAlign w:val="center"/>
                </w:tcPr>
                <w:p w14:paraId="0F798CD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1个</w:t>
                  </w:r>
                </w:p>
              </w:tc>
              <w:tc>
                <w:tcPr>
                  <w:tcW w:w="447" w:type="pct"/>
                  <w:vAlign w:val="center"/>
                </w:tcPr>
                <w:p w14:paraId="2263466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670" w:type="pct"/>
                  <w:vAlign w:val="center"/>
                </w:tcPr>
                <w:p w14:paraId="156B95E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依托原项目已建化粪池</w:t>
                  </w:r>
                </w:p>
              </w:tc>
            </w:tr>
            <w:tr w14:paraId="5AFF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681B50E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Align w:val="center"/>
                </w:tcPr>
                <w:p w14:paraId="0ED9AC1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生产废水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洗车废水</w:t>
                  </w:r>
                  <w:r>
                    <w:rPr>
                      <w:rFonts w:hint="default" w:ascii="Times New Roman" w:hAnsi="Times New Roman" w:cs="Times New Roman"/>
                      <w:color w:val="auto"/>
                      <w:highlight w:val="none"/>
                    </w:rPr>
                    <w:t>处理设施</w:t>
                  </w:r>
                </w:p>
              </w:tc>
              <w:tc>
                <w:tcPr>
                  <w:tcW w:w="495" w:type="pct"/>
                  <w:vAlign w:val="center"/>
                </w:tcPr>
                <w:p w14:paraId="32CBAF4A">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沉淀池</w:t>
                  </w:r>
                </w:p>
              </w:tc>
              <w:tc>
                <w:tcPr>
                  <w:tcW w:w="1885" w:type="pct"/>
                  <w:vAlign w:val="center"/>
                </w:tcPr>
                <w:p w14:paraId="28C45F6E">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设置1</w:t>
                  </w:r>
                  <w:r>
                    <w:rPr>
                      <w:rFonts w:hint="default" w:ascii="Times New Roman" w:hAnsi="Times New Roman" w:cs="Times New Roman"/>
                      <w:color w:val="auto"/>
                      <w:kern w:val="0"/>
                      <w:sz w:val="21"/>
                      <w:szCs w:val="21"/>
                      <w:highlight w:val="none"/>
                      <w:lang w:val="en-US" w:eastAsia="zh-CN" w:bidi="ar"/>
                    </w:rPr>
                    <w:t>个</w:t>
                  </w:r>
                  <w:r>
                    <w:rPr>
                      <w:rFonts w:hint="eastAsia" w:ascii="Times New Roman" w:cs="Times New Roman"/>
                      <w:color w:val="auto"/>
                      <w:kern w:val="0"/>
                      <w:sz w:val="21"/>
                      <w:szCs w:val="21"/>
                      <w:highlight w:val="none"/>
                      <w:lang w:val="en-US" w:eastAsia="zh-CN" w:bidi="ar"/>
                    </w:rPr>
                    <w:t>三级</w:t>
                  </w:r>
                  <w:r>
                    <w:rPr>
                      <w:rFonts w:hint="default" w:ascii="Times New Roman" w:hAnsi="Times New Roman" w:eastAsia="宋体" w:cs="Times New Roman"/>
                      <w:color w:val="auto"/>
                      <w:kern w:val="0"/>
                      <w:sz w:val="21"/>
                      <w:szCs w:val="21"/>
                      <w:highlight w:val="none"/>
                      <w:lang w:val="en-US" w:eastAsia="zh-CN" w:bidi="ar"/>
                    </w:rPr>
                    <w:t>沉淀池：</w:t>
                  </w:r>
                  <w:r>
                    <w:rPr>
                      <w:rFonts w:hint="default" w:ascii="Times New Roman" w:hAnsi="Times New Roman" w:cs="Times New Roman"/>
                      <w:color w:val="auto"/>
                      <w:kern w:val="0"/>
                      <w:sz w:val="21"/>
                      <w:szCs w:val="21"/>
                      <w:highlight w:val="none"/>
                      <w:lang w:val="en-US" w:eastAsia="zh-CN" w:bidi="ar"/>
                    </w:rPr>
                    <w:t>容积为150m</w:t>
                  </w:r>
                  <w:r>
                    <w:rPr>
                      <w:rFonts w:hint="default" w:ascii="Times New Roman" w:hAnsi="Times New Roman"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w:t>
                  </w:r>
                </w:p>
              </w:tc>
              <w:tc>
                <w:tcPr>
                  <w:tcW w:w="383" w:type="pct"/>
                  <w:vAlign w:val="center"/>
                </w:tcPr>
                <w:p w14:paraId="40465FE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1套</w:t>
                  </w:r>
                </w:p>
              </w:tc>
              <w:tc>
                <w:tcPr>
                  <w:tcW w:w="447" w:type="pct"/>
                  <w:vAlign w:val="center"/>
                </w:tcPr>
                <w:p w14:paraId="0F47668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w:t>
                  </w:r>
                </w:p>
              </w:tc>
              <w:tc>
                <w:tcPr>
                  <w:tcW w:w="670" w:type="pct"/>
                  <w:vAlign w:val="center"/>
                </w:tcPr>
                <w:p w14:paraId="48C53A3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依托原项目已建生产废水处理设施</w:t>
                  </w:r>
                </w:p>
              </w:tc>
            </w:tr>
            <w:tr w14:paraId="573F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restart"/>
                  <w:vAlign w:val="center"/>
                </w:tcPr>
                <w:p w14:paraId="6297AA4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废气治理</w:t>
                  </w:r>
                </w:p>
              </w:tc>
              <w:tc>
                <w:tcPr>
                  <w:tcW w:w="723" w:type="pct"/>
                  <w:vMerge w:val="restart"/>
                  <w:vAlign w:val="center"/>
                </w:tcPr>
                <w:p w14:paraId="13FFD253">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有组织</w:t>
                  </w:r>
                </w:p>
                <w:p w14:paraId="0AE58CD2">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粉尘治理设施</w:t>
                  </w:r>
                </w:p>
              </w:tc>
              <w:tc>
                <w:tcPr>
                  <w:tcW w:w="495" w:type="pct"/>
                  <w:vAlign w:val="center"/>
                </w:tcPr>
                <w:p w14:paraId="5B9B6648">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筒仓</w:t>
                  </w:r>
                </w:p>
              </w:tc>
              <w:tc>
                <w:tcPr>
                  <w:tcW w:w="1885" w:type="pct"/>
                  <w:vAlign w:val="center"/>
                </w:tcPr>
                <w:p w14:paraId="118FE0E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s="Times New Roman"/>
                      <w:color w:val="auto"/>
                      <w:kern w:val="2"/>
                      <w:sz w:val="21"/>
                      <w:szCs w:val="21"/>
                      <w:highlight w:val="none"/>
                      <w:lang w:val="en-US" w:eastAsia="zh-CN" w:bidi="ar-SA"/>
                    </w:rPr>
                    <w:t>水泥、粉煤灰、矿粉筒仓顶部均设置脉冲布袋除尘器，共</w:t>
                  </w:r>
                  <w:r>
                    <w:rPr>
                      <w:rFonts w:hint="eastAsia" w:ascii="Times New Roman" w:eastAsia="Times New Roman" w:cs="Times New Roman"/>
                      <w:color w:val="auto"/>
                      <w:kern w:val="2"/>
                      <w:sz w:val="21"/>
                      <w:szCs w:val="21"/>
                      <w:highlight w:val="none"/>
                      <w:lang w:val="en-US" w:eastAsia="zh-CN" w:bidi="ar-SA"/>
                    </w:rPr>
                    <w:t>8</w:t>
                  </w:r>
                  <w:r>
                    <w:rPr>
                      <w:rFonts w:hint="default" w:ascii="Times New Roman" w:hAnsi="Times New Roman" w:eastAsia="Times New Roman" w:cs="Times New Roman"/>
                      <w:color w:val="auto"/>
                      <w:kern w:val="2"/>
                      <w:sz w:val="21"/>
                      <w:szCs w:val="21"/>
                      <w:highlight w:val="none"/>
                      <w:lang w:val="en-US" w:eastAsia="zh-CN" w:bidi="ar-SA"/>
                    </w:rPr>
                    <w:t>台。</w:t>
                  </w:r>
                </w:p>
              </w:tc>
              <w:tc>
                <w:tcPr>
                  <w:tcW w:w="383" w:type="pct"/>
                  <w:vAlign w:val="center"/>
                </w:tcPr>
                <w:p w14:paraId="3C2C0CF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台</w:t>
                  </w:r>
                </w:p>
              </w:tc>
              <w:tc>
                <w:tcPr>
                  <w:tcW w:w="447" w:type="pct"/>
                  <w:vAlign w:val="center"/>
                </w:tcPr>
                <w:p w14:paraId="31F072C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670" w:type="pct"/>
                  <w:vAlign w:val="center"/>
                </w:tcPr>
                <w:p w14:paraId="7B996DA2">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eastAsia="Times New Roman" w:cs="Times New Roman"/>
                      <w:color w:val="auto"/>
                      <w:kern w:val="2"/>
                      <w:sz w:val="21"/>
                      <w:szCs w:val="21"/>
                      <w:highlight w:val="none"/>
                      <w:lang w:val="en-US" w:eastAsia="zh-CN" w:bidi="ar-SA"/>
                    </w:rPr>
                    <w:t>其中4台为</w:t>
                  </w:r>
                  <w:r>
                    <w:rPr>
                      <w:rFonts w:hint="default" w:ascii="Times New Roman" w:hAnsi="Times New Roman" w:eastAsia="Times New Roman" w:cs="Times New Roman"/>
                      <w:color w:val="auto"/>
                      <w:kern w:val="2"/>
                      <w:sz w:val="21"/>
                      <w:szCs w:val="21"/>
                      <w:highlight w:val="none"/>
                      <w:lang w:val="en-US" w:eastAsia="zh-CN" w:bidi="ar-SA"/>
                    </w:rPr>
                    <w:t>新建</w:t>
                  </w:r>
                  <w:r>
                    <w:rPr>
                      <w:rFonts w:hint="eastAsia" w:ascii="Times New Roman" w:eastAsia="Times New Roman" w:cs="Times New Roman"/>
                      <w:color w:val="auto"/>
                      <w:kern w:val="2"/>
                      <w:sz w:val="21"/>
                      <w:szCs w:val="21"/>
                      <w:highlight w:val="none"/>
                      <w:lang w:val="en-US" w:eastAsia="zh-CN" w:bidi="ar-SA"/>
                    </w:rPr>
                    <w:t>，4台为现有</w:t>
                  </w:r>
                </w:p>
              </w:tc>
            </w:tr>
            <w:tr w14:paraId="667D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vAlign w:val="center"/>
                </w:tcPr>
                <w:p w14:paraId="590A698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continue"/>
                  <w:vAlign w:val="center"/>
                </w:tcPr>
                <w:p w14:paraId="3DC56C1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495" w:type="pct"/>
                  <w:vAlign w:val="center"/>
                </w:tcPr>
                <w:p w14:paraId="18E0A604">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拌合站</w:t>
                  </w:r>
                </w:p>
              </w:tc>
              <w:tc>
                <w:tcPr>
                  <w:tcW w:w="1885" w:type="pct"/>
                  <w:vAlign w:val="center"/>
                </w:tcPr>
                <w:p w14:paraId="6A764D93">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Cs w:val="21"/>
                      <w:highlight w:val="none"/>
                      <w:lang w:eastAsia="zh-CN" w:bidi="ar"/>
                    </w:rPr>
                    <w:t>拌合站</w:t>
                  </w:r>
                  <w:r>
                    <w:rPr>
                      <w:rFonts w:hint="default" w:ascii="Times New Roman" w:hAnsi="Times New Roman" w:eastAsia="宋体" w:cs="Times New Roman"/>
                      <w:color w:val="auto"/>
                      <w:kern w:val="0"/>
                      <w:szCs w:val="21"/>
                      <w:highlight w:val="none"/>
                      <w:lang w:bidi="ar"/>
                    </w:rPr>
                    <w:t>主机</w:t>
                  </w:r>
                  <w:r>
                    <w:rPr>
                      <w:rFonts w:hint="eastAsia" w:cs="Times New Roman"/>
                      <w:color w:val="auto"/>
                      <w:kern w:val="0"/>
                      <w:szCs w:val="21"/>
                      <w:highlight w:val="none"/>
                      <w:lang w:val="en-US" w:eastAsia="zh-CN" w:bidi="ar"/>
                    </w:rPr>
                    <w:t>设置1套集气罩+脉冲</w:t>
                  </w:r>
                  <w:r>
                    <w:rPr>
                      <w:rFonts w:hint="default" w:ascii="Times New Roman" w:hAnsi="Times New Roman" w:eastAsia="宋体" w:cs="Times New Roman"/>
                      <w:color w:val="auto"/>
                      <w:kern w:val="0"/>
                      <w:szCs w:val="21"/>
                      <w:highlight w:val="none"/>
                      <w:lang w:bidi="ar"/>
                    </w:rPr>
                    <w:t>布袋除尘器</w:t>
                  </w:r>
                  <w:r>
                    <w:rPr>
                      <w:rFonts w:hint="default" w:ascii="Times New Roman" w:hAnsi="Times New Roman" w:cs="Times New Roman"/>
                      <w:color w:val="auto"/>
                      <w:kern w:val="0"/>
                      <w:szCs w:val="21"/>
                      <w:highlight w:val="none"/>
                      <w:lang w:eastAsia="zh-CN" w:bidi="ar"/>
                    </w:rPr>
                    <w:t>。</w:t>
                  </w:r>
                </w:p>
              </w:tc>
              <w:tc>
                <w:tcPr>
                  <w:tcW w:w="383" w:type="pct"/>
                  <w:vAlign w:val="center"/>
                </w:tcPr>
                <w:p w14:paraId="757A549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1套</w:t>
                  </w:r>
                </w:p>
              </w:tc>
              <w:tc>
                <w:tcPr>
                  <w:tcW w:w="447" w:type="pct"/>
                  <w:vAlign w:val="center"/>
                </w:tcPr>
                <w:p w14:paraId="576BF13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670" w:type="pct"/>
                  <w:vAlign w:val="center"/>
                </w:tcPr>
                <w:p w14:paraId="7D9ED94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Times New Roman" w:cs="Times New Roman"/>
                      <w:color w:val="auto"/>
                      <w:kern w:val="2"/>
                      <w:sz w:val="21"/>
                      <w:szCs w:val="21"/>
                      <w:highlight w:val="none"/>
                      <w:lang w:val="en-US" w:eastAsia="zh-CN" w:bidi="ar-SA"/>
                    </w:rPr>
                    <w:t>新建</w:t>
                  </w:r>
                </w:p>
              </w:tc>
            </w:tr>
            <w:tr w14:paraId="4A89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28C6825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restart"/>
                  <w:vAlign w:val="center"/>
                </w:tcPr>
                <w:p w14:paraId="17DDB7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无组织</w:t>
                  </w:r>
                </w:p>
                <w:p w14:paraId="43FC4A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粉尘治理</w:t>
                  </w:r>
                </w:p>
              </w:tc>
              <w:tc>
                <w:tcPr>
                  <w:tcW w:w="495" w:type="pct"/>
                  <w:vAlign w:val="center"/>
                </w:tcPr>
                <w:p w14:paraId="349CE2F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混凝土</w:t>
                  </w:r>
                  <w:r>
                    <w:rPr>
                      <w:rFonts w:hint="eastAsia" w:cs="Times New Roman"/>
                      <w:color w:val="auto"/>
                      <w:kern w:val="0"/>
                      <w:szCs w:val="21"/>
                      <w:highlight w:val="none"/>
                      <w:lang w:eastAsia="zh-CN" w:bidi="ar"/>
                    </w:rPr>
                    <w:t>拌合站</w:t>
                  </w:r>
                  <w:r>
                    <w:rPr>
                      <w:rFonts w:hint="default" w:ascii="Times New Roman" w:hAnsi="Times New Roman" w:cs="Times New Roman"/>
                      <w:color w:val="auto"/>
                      <w:kern w:val="0"/>
                      <w:szCs w:val="21"/>
                      <w:highlight w:val="none"/>
                      <w:lang w:bidi="ar"/>
                    </w:rPr>
                    <w:t>封闭措施</w:t>
                  </w:r>
                </w:p>
              </w:tc>
              <w:tc>
                <w:tcPr>
                  <w:tcW w:w="1885" w:type="pct"/>
                  <w:vAlign w:val="center"/>
                </w:tcPr>
                <w:p w14:paraId="37248215">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Cs w:val="21"/>
                      <w:highlight w:val="none"/>
                      <w:lang w:eastAsia="zh-CN" w:bidi="ar"/>
                    </w:rPr>
                    <w:t>拌合站</w:t>
                  </w:r>
                  <w:r>
                    <w:rPr>
                      <w:rFonts w:hint="default" w:ascii="Times New Roman" w:hAnsi="Times New Roman" w:cs="Times New Roman"/>
                      <w:color w:val="auto"/>
                      <w:kern w:val="0"/>
                      <w:szCs w:val="21"/>
                      <w:highlight w:val="none"/>
                      <w:lang w:bidi="ar"/>
                    </w:rPr>
                    <w:t>主体二层及以上部分、原材料上料、配料、搅拌等设施、设备均进行封闭处理。</w:t>
                  </w:r>
                </w:p>
              </w:tc>
              <w:tc>
                <w:tcPr>
                  <w:tcW w:w="383" w:type="pct"/>
                  <w:vAlign w:val="center"/>
                </w:tcPr>
                <w:p w14:paraId="33CF6F2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1套</w:t>
                  </w:r>
                </w:p>
              </w:tc>
              <w:tc>
                <w:tcPr>
                  <w:tcW w:w="447" w:type="pct"/>
                  <w:vAlign w:val="center"/>
                </w:tcPr>
                <w:p w14:paraId="5BA60C9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4</w:t>
                  </w:r>
                </w:p>
              </w:tc>
              <w:tc>
                <w:tcPr>
                  <w:tcW w:w="670" w:type="pct"/>
                  <w:vAlign w:val="center"/>
                </w:tcPr>
                <w:p w14:paraId="12ADCD8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新建</w:t>
                  </w:r>
                </w:p>
              </w:tc>
            </w:tr>
            <w:tr w14:paraId="5E7C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 w:type="pct"/>
                  <w:vMerge w:val="continue"/>
                  <w:vAlign w:val="center"/>
                </w:tcPr>
                <w:p w14:paraId="1DC24CA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continue"/>
                  <w:vAlign w:val="center"/>
                </w:tcPr>
                <w:p w14:paraId="0EFF05B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495" w:type="pct"/>
                  <w:vAlign w:val="center"/>
                </w:tcPr>
                <w:p w14:paraId="0B5FA27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lang w:val="en-US" w:eastAsia="zh-CN"/>
                    </w:rPr>
                    <w:t>制砂车间</w:t>
                  </w:r>
                  <w:r>
                    <w:rPr>
                      <w:rFonts w:hint="default" w:ascii="Times New Roman" w:hAnsi="Times New Roman" w:cs="Times New Roman"/>
                      <w:color w:val="auto"/>
                      <w:kern w:val="0"/>
                      <w:szCs w:val="21"/>
                      <w:highlight w:val="none"/>
                      <w:lang w:bidi="ar"/>
                    </w:rPr>
                    <w:t>封闭措施及物料加湿措施</w:t>
                  </w:r>
                </w:p>
              </w:tc>
              <w:tc>
                <w:tcPr>
                  <w:tcW w:w="1885" w:type="pct"/>
                  <w:vAlign w:val="center"/>
                </w:tcPr>
                <w:p w14:paraId="0B5EA9F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lang w:val="en-US" w:eastAsia="zh-CN"/>
                    </w:rPr>
                    <w:t>对制砂车间</w:t>
                  </w:r>
                  <w:r>
                    <w:rPr>
                      <w:rFonts w:hint="default" w:ascii="Times New Roman" w:hAnsi="Times New Roman" w:cs="Times New Roman"/>
                      <w:color w:val="auto"/>
                      <w:kern w:val="0"/>
                      <w:szCs w:val="21"/>
                      <w:highlight w:val="none"/>
                      <w:lang w:bidi="ar"/>
                    </w:rPr>
                    <w:t>进行</w:t>
                  </w:r>
                  <w:r>
                    <w:rPr>
                      <w:rFonts w:hint="default" w:ascii="Times New Roman" w:hAnsi="Times New Roman" w:cs="Times New Roman"/>
                      <w:color w:val="auto"/>
                      <w:kern w:val="0"/>
                      <w:szCs w:val="21"/>
                      <w:highlight w:val="none"/>
                      <w:lang w:val="en-US" w:eastAsia="zh-CN" w:bidi="ar"/>
                    </w:rPr>
                    <w:t>彩钢瓦</w:t>
                  </w:r>
                  <w:r>
                    <w:rPr>
                      <w:rFonts w:hint="default" w:ascii="Times New Roman" w:hAnsi="Times New Roman" w:cs="Times New Roman"/>
                      <w:color w:val="auto"/>
                      <w:kern w:val="0"/>
                      <w:szCs w:val="21"/>
                      <w:highlight w:val="none"/>
                      <w:lang w:bidi="ar"/>
                    </w:rPr>
                    <w:t>封闭</w:t>
                  </w:r>
                  <w:r>
                    <w:rPr>
                      <w:rFonts w:hint="default" w:ascii="Times New Roman" w:hAnsi="Times New Roman" w:cs="Times New Roman"/>
                      <w:color w:val="auto"/>
                      <w:kern w:val="0"/>
                      <w:szCs w:val="21"/>
                      <w:highlight w:val="none"/>
                      <w:lang w:val="en-US" w:eastAsia="zh-CN" w:bidi="ar"/>
                    </w:rPr>
                    <w:t>处理</w:t>
                  </w:r>
                  <w:r>
                    <w:rPr>
                      <w:rFonts w:hint="eastAsia" w:cs="Times New Roman"/>
                      <w:color w:val="auto"/>
                      <w:kern w:val="0"/>
                      <w:szCs w:val="21"/>
                      <w:highlight w:val="none"/>
                      <w:lang w:val="en-US" w:eastAsia="zh-CN" w:bidi="ar"/>
                    </w:rPr>
                    <w:t>并采取车间顶部喷雾除尘措施</w:t>
                  </w:r>
                  <w:r>
                    <w:rPr>
                      <w:rFonts w:hint="default" w:ascii="Times New Roman" w:hAnsi="Times New Roman" w:cs="Times New Roman"/>
                      <w:color w:val="auto"/>
                      <w:kern w:val="0"/>
                      <w:szCs w:val="21"/>
                      <w:highlight w:val="none"/>
                      <w:lang w:val="en-US" w:eastAsia="zh-CN" w:bidi="ar"/>
                    </w:rPr>
                    <w:t>。</w:t>
                  </w:r>
                </w:p>
              </w:tc>
              <w:tc>
                <w:tcPr>
                  <w:tcW w:w="383" w:type="pct"/>
                  <w:vAlign w:val="center"/>
                </w:tcPr>
                <w:p w14:paraId="213CC36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1套</w:t>
                  </w:r>
                </w:p>
              </w:tc>
              <w:tc>
                <w:tcPr>
                  <w:tcW w:w="447" w:type="pct"/>
                  <w:vAlign w:val="center"/>
                </w:tcPr>
                <w:p w14:paraId="7C8BBDF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3</w:t>
                  </w:r>
                </w:p>
              </w:tc>
              <w:tc>
                <w:tcPr>
                  <w:tcW w:w="670" w:type="pct"/>
                  <w:vAlign w:val="center"/>
                </w:tcPr>
                <w:p w14:paraId="2CC2B5E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新建</w:t>
                  </w:r>
                </w:p>
              </w:tc>
            </w:tr>
            <w:tr w14:paraId="0180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17717E0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continue"/>
                  <w:vAlign w:val="center"/>
                </w:tcPr>
                <w:p w14:paraId="39B642E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495" w:type="pct"/>
                  <w:vAlign w:val="center"/>
                </w:tcPr>
                <w:p w14:paraId="289C6D3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骨料皮带输送机抑尘措施</w:t>
                  </w:r>
                </w:p>
              </w:tc>
              <w:tc>
                <w:tcPr>
                  <w:tcW w:w="1885" w:type="pct"/>
                  <w:vAlign w:val="center"/>
                </w:tcPr>
                <w:p w14:paraId="2E73852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皮带输送机廊道</w:t>
                  </w:r>
                  <w:r>
                    <w:rPr>
                      <w:rFonts w:hint="default" w:ascii="Times New Roman" w:hAnsi="Times New Roman" w:cs="Times New Roman"/>
                      <w:color w:val="auto"/>
                      <w:kern w:val="0"/>
                      <w:szCs w:val="21"/>
                      <w:highlight w:val="none"/>
                      <w:lang w:val="en-US" w:eastAsia="zh-CN" w:bidi="ar"/>
                    </w:rPr>
                    <w:t>设置全封闭皮带输送系统</w:t>
                  </w:r>
                  <w:r>
                    <w:rPr>
                      <w:rFonts w:hint="default" w:ascii="Times New Roman" w:hAnsi="Times New Roman" w:cs="Times New Roman"/>
                      <w:color w:val="auto"/>
                      <w:kern w:val="0"/>
                      <w:szCs w:val="21"/>
                      <w:highlight w:val="none"/>
                      <w:lang w:bidi="ar"/>
                    </w:rPr>
                    <w:t>。</w:t>
                  </w:r>
                </w:p>
              </w:tc>
              <w:tc>
                <w:tcPr>
                  <w:tcW w:w="383" w:type="pct"/>
                  <w:vAlign w:val="center"/>
                </w:tcPr>
                <w:p w14:paraId="4935142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套</w:t>
                  </w:r>
                </w:p>
              </w:tc>
              <w:tc>
                <w:tcPr>
                  <w:tcW w:w="447" w:type="pct"/>
                  <w:vAlign w:val="center"/>
                </w:tcPr>
                <w:p w14:paraId="0703457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670" w:type="pct"/>
                  <w:vAlign w:val="center"/>
                </w:tcPr>
                <w:p w14:paraId="084E528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新建</w:t>
                  </w:r>
                </w:p>
              </w:tc>
            </w:tr>
            <w:tr w14:paraId="72CF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7E91FBE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continue"/>
                  <w:vAlign w:val="center"/>
                </w:tcPr>
                <w:p w14:paraId="69F3102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495" w:type="pct"/>
                  <w:vAlign w:val="center"/>
                </w:tcPr>
                <w:p w14:paraId="2F0602F7">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骨料料仓抑尘措施</w:t>
                  </w:r>
                </w:p>
              </w:tc>
              <w:tc>
                <w:tcPr>
                  <w:tcW w:w="1885" w:type="pct"/>
                  <w:vAlign w:val="center"/>
                </w:tcPr>
                <w:p w14:paraId="4220F4C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骨料料仓采用彩钢瓦进行整体封闭，仅将进出物料口设置为敞开式。车间顶部设置喷雾装置定时喷雾降尘</w:t>
                  </w:r>
                  <w:r>
                    <w:rPr>
                      <w:rFonts w:hint="eastAsia" w:cs="Times New Roman"/>
                      <w:color w:val="auto"/>
                      <w:kern w:val="0"/>
                      <w:szCs w:val="21"/>
                      <w:highlight w:val="none"/>
                      <w:lang w:val="en-US" w:eastAsia="zh-CN" w:bidi="ar"/>
                    </w:rPr>
                    <w:t>措施。</w:t>
                  </w:r>
                </w:p>
              </w:tc>
              <w:tc>
                <w:tcPr>
                  <w:tcW w:w="383" w:type="pct"/>
                  <w:vAlign w:val="center"/>
                </w:tcPr>
                <w:p w14:paraId="6EA3DD9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1套</w:t>
                  </w:r>
                </w:p>
              </w:tc>
              <w:tc>
                <w:tcPr>
                  <w:tcW w:w="447" w:type="pct"/>
                  <w:vAlign w:val="center"/>
                </w:tcPr>
                <w:p w14:paraId="0DCE4B1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670" w:type="pct"/>
                  <w:vAlign w:val="center"/>
                </w:tcPr>
                <w:p w14:paraId="7EC6803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新建</w:t>
                  </w:r>
                </w:p>
              </w:tc>
            </w:tr>
            <w:tr w14:paraId="49B8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7151F20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continue"/>
                  <w:vAlign w:val="center"/>
                </w:tcPr>
                <w:p w14:paraId="6C530E4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495" w:type="pct"/>
                  <w:vAlign w:val="center"/>
                </w:tcPr>
                <w:p w14:paraId="24D3810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车辆清洗设施</w:t>
                  </w:r>
                </w:p>
              </w:tc>
              <w:tc>
                <w:tcPr>
                  <w:tcW w:w="1885" w:type="pct"/>
                  <w:vAlign w:val="center"/>
                </w:tcPr>
                <w:p w14:paraId="2BCF0314">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在搅拌机主楼前方设1个车辆清洗设施，配套2个高压水枪，对运输罐车外部进行清洗。</w:t>
                  </w:r>
                </w:p>
              </w:tc>
              <w:tc>
                <w:tcPr>
                  <w:tcW w:w="383" w:type="pct"/>
                  <w:vAlign w:val="center"/>
                </w:tcPr>
                <w:p w14:paraId="6D1E7D2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1套</w:t>
                  </w:r>
                </w:p>
              </w:tc>
              <w:tc>
                <w:tcPr>
                  <w:tcW w:w="447" w:type="pct"/>
                  <w:vAlign w:val="center"/>
                </w:tcPr>
                <w:p w14:paraId="37DBCDC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670" w:type="pct"/>
                  <w:vAlign w:val="center"/>
                </w:tcPr>
                <w:p w14:paraId="7C3B148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依托原项目已建</w:t>
                  </w:r>
                  <w:r>
                    <w:rPr>
                      <w:rFonts w:hint="default" w:ascii="Times New Roman" w:hAnsi="Times New Roman" w:cs="Times New Roman"/>
                      <w:color w:val="auto"/>
                      <w:highlight w:val="none"/>
                    </w:rPr>
                    <w:t>车辆清洗设施</w:t>
                  </w:r>
                </w:p>
              </w:tc>
            </w:tr>
            <w:tr w14:paraId="14B7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38D5251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Align w:val="center"/>
                </w:tcPr>
                <w:p w14:paraId="66FA1845">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2"/>
                      <w:szCs w:val="28"/>
                      <w:highlight w:val="none"/>
                    </w:rPr>
                  </w:pPr>
                  <w:r>
                    <w:rPr>
                      <w:rFonts w:hint="default" w:ascii="Times New Roman" w:hAnsi="Times New Roman" w:cs="Times New Roman"/>
                      <w:color w:val="auto"/>
                      <w:kern w:val="0"/>
                      <w:szCs w:val="21"/>
                      <w:highlight w:val="none"/>
                      <w:lang w:bidi="ar"/>
                    </w:rPr>
                    <w:t>食堂油烟</w:t>
                  </w:r>
                </w:p>
                <w:p w14:paraId="33398D3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治理</w:t>
                  </w:r>
                </w:p>
              </w:tc>
              <w:tc>
                <w:tcPr>
                  <w:tcW w:w="495" w:type="pct"/>
                  <w:vAlign w:val="center"/>
                </w:tcPr>
                <w:p w14:paraId="61F26363">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烟治理油烟净化</w:t>
                  </w:r>
                  <w:r>
                    <w:rPr>
                      <w:rFonts w:hint="default" w:ascii="Times New Roman" w:hAnsi="Times New Roman" w:cs="Times New Roman"/>
                      <w:color w:val="auto"/>
                      <w:kern w:val="0"/>
                      <w:szCs w:val="21"/>
                      <w:highlight w:val="none"/>
                      <w:lang w:val="en-US" w:eastAsia="zh-CN" w:bidi="ar"/>
                    </w:rPr>
                    <w:t>器</w:t>
                  </w:r>
                </w:p>
              </w:tc>
              <w:tc>
                <w:tcPr>
                  <w:tcW w:w="1885" w:type="pct"/>
                  <w:vAlign w:val="center"/>
                </w:tcPr>
                <w:p w14:paraId="143E44D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厨房灶头上方设置油烟集气罩，集气罩末端安装1套油烟净化设施，处理效率不低于60%，排气筒高于自身及周围10m范围内建筑1.5m。</w:t>
                  </w:r>
                </w:p>
              </w:tc>
              <w:tc>
                <w:tcPr>
                  <w:tcW w:w="383" w:type="pct"/>
                  <w:vAlign w:val="center"/>
                </w:tcPr>
                <w:p w14:paraId="378030E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1套</w:t>
                  </w:r>
                </w:p>
              </w:tc>
              <w:tc>
                <w:tcPr>
                  <w:tcW w:w="447" w:type="pct"/>
                  <w:vAlign w:val="center"/>
                </w:tcPr>
                <w:p w14:paraId="269A8F8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p>
              </w:tc>
              <w:tc>
                <w:tcPr>
                  <w:tcW w:w="670" w:type="pct"/>
                  <w:vAlign w:val="center"/>
                </w:tcPr>
                <w:p w14:paraId="4F6A6F9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依托原项目已建烟治理油烟净化器</w:t>
                  </w:r>
                </w:p>
              </w:tc>
            </w:tr>
            <w:tr w14:paraId="6705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4D1911A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218" w:type="pct"/>
                  <w:gridSpan w:val="2"/>
                  <w:vAlign w:val="center"/>
                </w:tcPr>
                <w:p w14:paraId="39F8139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设备噪声</w:t>
                  </w:r>
                </w:p>
              </w:tc>
              <w:tc>
                <w:tcPr>
                  <w:tcW w:w="1885" w:type="pct"/>
                  <w:vAlign w:val="center"/>
                </w:tcPr>
                <w:p w14:paraId="7C2FD437">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设置减震垫、隔声设施。</w:t>
                  </w:r>
                </w:p>
              </w:tc>
              <w:tc>
                <w:tcPr>
                  <w:tcW w:w="383" w:type="pct"/>
                  <w:vAlign w:val="center"/>
                </w:tcPr>
                <w:p w14:paraId="2E5DD8B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1套</w:t>
                  </w:r>
                </w:p>
              </w:tc>
              <w:tc>
                <w:tcPr>
                  <w:tcW w:w="447" w:type="pct"/>
                  <w:vAlign w:val="center"/>
                </w:tcPr>
                <w:p w14:paraId="4FD418C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4</w:t>
                  </w:r>
                </w:p>
              </w:tc>
              <w:tc>
                <w:tcPr>
                  <w:tcW w:w="670" w:type="pct"/>
                  <w:vAlign w:val="center"/>
                </w:tcPr>
                <w:p w14:paraId="1813733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新建</w:t>
                  </w:r>
                </w:p>
              </w:tc>
            </w:tr>
            <w:tr w14:paraId="21AC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restart"/>
                  <w:vAlign w:val="center"/>
                </w:tcPr>
                <w:p w14:paraId="4F83075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固废治理</w:t>
                  </w:r>
                </w:p>
              </w:tc>
              <w:tc>
                <w:tcPr>
                  <w:tcW w:w="723" w:type="pct"/>
                  <w:vMerge w:val="restart"/>
                  <w:vAlign w:val="center"/>
                </w:tcPr>
                <w:p w14:paraId="0EF4015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固废处置</w:t>
                  </w:r>
                </w:p>
              </w:tc>
              <w:tc>
                <w:tcPr>
                  <w:tcW w:w="495" w:type="pct"/>
                  <w:vAlign w:val="center"/>
                </w:tcPr>
                <w:p w14:paraId="2507E84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生活垃圾</w:t>
                  </w:r>
                  <w:r>
                    <w:rPr>
                      <w:rFonts w:hint="default" w:ascii="Times New Roman" w:hAnsi="Times New Roman" w:cs="Times New Roman"/>
                      <w:color w:val="auto"/>
                      <w:kern w:val="0"/>
                      <w:szCs w:val="21"/>
                      <w:highlight w:val="none"/>
                      <w:lang w:val="en-US" w:eastAsia="zh-CN" w:bidi="ar"/>
                    </w:rPr>
                    <w:t>箱</w:t>
                  </w:r>
                </w:p>
              </w:tc>
              <w:tc>
                <w:tcPr>
                  <w:tcW w:w="1885" w:type="pct"/>
                  <w:vAlign w:val="center"/>
                </w:tcPr>
                <w:p w14:paraId="09DA0A3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若干，分布设置于办公生活区。</w:t>
                  </w:r>
                </w:p>
              </w:tc>
              <w:tc>
                <w:tcPr>
                  <w:tcW w:w="383" w:type="pct"/>
                  <w:vAlign w:val="center"/>
                </w:tcPr>
                <w:p w14:paraId="39A2443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若干</w:t>
                  </w:r>
                </w:p>
              </w:tc>
              <w:tc>
                <w:tcPr>
                  <w:tcW w:w="447" w:type="pct"/>
                  <w:vAlign w:val="center"/>
                </w:tcPr>
                <w:p w14:paraId="3514C55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670" w:type="pct"/>
                  <w:vAlign w:val="center"/>
                </w:tcPr>
                <w:p w14:paraId="79B9EA1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依托原项目已建</w:t>
                  </w:r>
                  <w:r>
                    <w:rPr>
                      <w:rFonts w:hint="default" w:ascii="Times New Roman" w:hAnsi="Times New Roman" w:cs="Times New Roman"/>
                      <w:color w:val="auto"/>
                      <w:highlight w:val="none"/>
                    </w:rPr>
                    <w:t>固废处置</w:t>
                  </w:r>
                  <w:r>
                    <w:rPr>
                      <w:rFonts w:hint="default" w:ascii="Times New Roman" w:hAnsi="Times New Roman" w:cs="Times New Roman"/>
                      <w:color w:val="auto"/>
                      <w:highlight w:val="none"/>
                      <w:lang w:val="en-US" w:eastAsia="zh-CN"/>
                    </w:rPr>
                    <w:t>设施</w:t>
                  </w:r>
                </w:p>
              </w:tc>
            </w:tr>
            <w:tr w14:paraId="2B42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3616844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723" w:type="pct"/>
                  <w:vMerge w:val="continue"/>
                  <w:vAlign w:val="center"/>
                </w:tcPr>
                <w:p w14:paraId="5451E21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495" w:type="pct"/>
                  <w:vAlign w:val="center"/>
                </w:tcPr>
                <w:p w14:paraId="70E9E86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危废暂存间</w:t>
                  </w:r>
                </w:p>
              </w:tc>
              <w:tc>
                <w:tcPr>
                  <w:tcW w:w="1885" w:type="pct"/>
                  <w:vAlign w:val="center"/>
                </w:tcPr>
                <w:p w14:paraId="1B33D96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1间，建筑面积10m</w:t>
                  </w:r>
                  <w:r>
                    <w:rPr>
                      <w:rFonts w:hint="default" w:ascii="Times New Roman" w:hAnsi="Times New Roman" w:cs="Times New Roman"/>
                      <w:color w:val="auto"/>
                      <w:kern w:val="0"/>
                      <w:szCs w:val="21"/>
                      <w:highlight w:val="none"/>
                      <w:vertAlign w:val="superscript"/>
                      <w:lang w:bidi="ar"/>
                    </w:rPr>
                    <w:t>2</w:t>
                  </w:r>
                  <w:r>
                    <w:rPr>
                      <w:rFonts w:hint="default" w:ascii="Times New Roman" w:hAnsi="Times New Roman" w:cs="Times New Roman"/>
                      <w:color w:val="auto"/>
                      <w:kern w:val="0"/>
                      <w:szCs w:val="21"/>
                      <w:highlight w:val="none"/>
                      <w:lang w:bidi="ar"/>
                    </w:rPr>
                    <w:t>，于物资仓库内隔离出一独立区域进行建设，必须防扬散、防流失、防渗漏。危废暂存间内设高密度的聚丙烯桶对废机油进行收集，并将收集容器贴上标签，设置警告牌。</w:t>
                  </w:r>
                </w:p>
              </w:tc>
              <w:tc>
                <w:tcPr>
                  <w:tcW w:w="383" w:type="pct"/>
                  <w:vAlign w:val="center"/>
                </w:tcPr>
                <w:p w14:paraId="3C2FBFA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1间</w:t>
                  </w:r>
                </w:p>
              </w:tc>
              <w:tc>
                <w:tcPr>
                  <w:tcW w:w="447" w:type="pct"/>
                  <w:vAlign w:val="center"/>
                </w:tcPr>
                <w:p w14:paraId="37DD4D7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670" w:type="pct"/>
                  <w:vAlign w:val="center"/>
                </w:tcPr>
                <w:p w14:paraId="39205C7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新建</w:t>
                  </w:r>
                </w:p>
              </w:tc>
            </w:tr>
            <w:tr w14:paraId="17D5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pct"/>
                  <w:gridSpan w:val="5"/>
                  <w:vAlign w:val="center"/>
                </w:tcPr>
                <w:p w14:paraId="4172185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合计</w:t>
                  </w:r>
                </w:p>
              </w:tc>
              <w:tc>
                <w:tcPr>
                  <w:tcW w:w="447" w:type="pct"/>
                  <w:vAlign w:val="center"/>
                </w:tcPr>
                <w:p w14:paraId="406A7C5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24</w:t>
                  </w:r>
                </w:p>
              </w:tc>
              <w:tc>
                <w:tcPr>
                  <w:tcW w:w="670" w:type="pct"/>
                  <w:vAlign w:val="center"/>
                </w:tcPr>
                <w:p w14:paraId="47AAA46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r>
          </w:tbl>
          <w:p w14:paraId="6B0FCCB4">
            <w:pPr>
              <w:pStyle w:val="20"/>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en-US" w:eastAsia="zh-CN"/>
              </w:rPr>
              <w:t>、水平衡</w:t>
            </w:r>
          </w:p>
          <w:p w14:paraId="016F8A78">
            <w:pPr>
              <w:autoSpaceDE w:val="0"/>
              <w:autoSpaceDN w:val="0"/>
              <w:spacing w:line="360" w:lineRule="auto"/>
              <w:ind w:firstLine="480" w:firstLineChars="200"/>
              <w:rPr>
                <w:rFonts w:hint="default" w:ascii="Times New Roman" w:hAnsi="Times New Roman" w:cs="Times New Roman" w:eastAsiaTheme="minorEastAsia"/>
                <w:color w:val="auto"/>
                <w:sz w:val="24"/>
                <w:lang w:eastAsia="zh-CN"/>
              </w:rPr>
            </w:pPr>
            <w:r>
              <w:rPr>
                <w:rFonts w:hint="eastAsia" w:cs="Times New Roman" w:eastAsiaTheme="minorEastAsia"/>
                <w:color w:val="auto"/>
                <w:sz w:val="24"/>
                <w:lang w:val="en-US" w:eastAsia="zh-CN"/>
              </w:rPr>
              <w:t>改扩建</w:t>
            </w:r>
            <w:r>
              <w:rPr>
                <w:rFonts w:hint="default" w:ascii="Times New Roman" w:hAnsi="Times New Roman" w:cs="Times New Roman" w:eastAsiaTheme="minorEastAsia"/>
                <w:color w:val="auto"/>
                <w:sz w:val="24"/>
                <w:lang w:eastAsia="zh-CN"/>
              </w:rPr>
              <w:t>项目运营期间废水主要为生产废水：</w:t>
            </w:r>
          </w:p>
          <w:p w14:paraId="7E8E48B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（1）生活用水</w:t>
            </w:r>
          </w:p>
          <w:p w14:paraId="10EA52AF">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本</w:t>
            </w:r>
            <w:r>
              <w:rPr>
                <w:rFonts w:hint="default" w:ascii="Times New Roman" w:hAnsi="Times New Roman" w:eastAsia="宋体" w:cs="Times New Roman"/>
                <w:color w:val="auto"/>
                <w:sz w:val="24"/>
                <w:highlight w:val="none"/>
                <w:lang w:val="en-US" w:eastAsia="zh-CN"/>
              </w:rPr>
              <w:t>次扩建</w:t>
            </w:r>
            <w:r>
              <w:rPr>
                <w:rFonts w:hint="default" w:ascii="Times New Roman" w:hAnsi="Times New Roman" w:eastAsia="宋体" w:cs="Times New Roman"/>
                <w:color w:val="auto"/>
                <w:sz w:val="24"/>
                <w:highlight w:val="none"/>
              </w:rPr>
              <w:t>项目运营期</w:t>
            </w:r>
            <w:r>
              <w:rPr>
                <w:rFonts w:hint="default" w:ascii="Times New Roman" w:hAnsi="Times New Roman" w:eastAsia="宋体" w:cs="Times New Roman"/>
                <w:color w:val="auto"/>
                <w:sz w:val="24"/>
                <w:highlight w:val="none"/>
                <w:lang w:val="en-US" w:eastAsia="zh-CN"/>
              </w:rPr>
              <w:t>不新增</w:t>
            </w:r>
            <w:r>
              <w:rPr>
                <w:rFonts w:hint="default" w:ascii="Times New Roman" w:hAnsi="Times New Roman" w:eastAsia="宋体" w:cs="Times New Roman"/>
                <w:color w:val="auto"/>
                <w:sz w:val="24"/>
                <w:highlight w:val="none"/>
              </w:rPr>
              <w:t>工作人员</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故不新增生活污水。</w:t>
            </w:r>
          </w:p>
          <w:p w14:paraId="39D5E6CB">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）生产用水</w:t>
            </w:r>
          </w:p>
          <w:p w14:paraId="279B817A">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本次扩建项目建成运营后新增的</w:t>
            </w:r>
            <w:r>
              <w:rPr>
                <w:rFonts w:hint="default" w:ascii="Times New Roman" w:hAnsi="Times New Roman" w:eastAsia="宋体" w:cs="Times New Roman"/>
                <w:color w:val="auto"/>
                <w:sz w:val="24"/>
                <w:highlight w:val="none"/>
                <w:lang w:eastAsia="zh-CN"/>
              </w:rPr>
              <w:t>生产废水主要是</w:t>
            </w:r>
            <w:r>
              <w:rPr>
                <w:rFonts w:hint="default" w:ascii="Times New Roman" w:hAnsi="Times New Roman" w:eastAsia="宋体" w:cs="Times New Roman"/>
                <w:color w:val="auto"/>
                <w:sz w:val="24"/>
                <w:highlight w:val="none"/>
                <w:lang w:val="en-US" w:eastAsia="zh-CN"/>
              </w:rPr>
              <w:t>混凝土运输车辆清洗</w:t>
            </w:r>
            <w:r>
              <w:rPr>
                <w:rFonts w:hint="eastAsia" w:cs="Times New Roman"/>
                <w:color w:val="auto"/>
                <w:sz w:val="24"/>
                <w:highlight w:val="none"/>
                <w:lang w:val="en-US" w:eastAsia="zh-CN"/>
              </w:rPr>
              <w:t>用</w:t>
            </w:r>
            <w:r>
              <w:rPr>
                <w:rFonts w:hint="default" w:ascii="Times New Roman" w:hAnsi="Times New Roman" w:eastAsia="宋体" w:cs="Times New Roman"/>
                <w:color w:val="auto"/>
                <w:sz w:val="24"/>
                <w:highlight w:val="none"/>
                <w:lang w:val="en-US" w:eastAsia="zh-CN"/>
              </w:rPr>
              <w:t>水</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搅拌用水</w:t>
            </w:r>
            <w:r>
              <w:rPr>
                <w:rFonts w:hint="eastAsia" w:cs="Times New Roman"/>
                <w:color w:val="auto"/>
                <w:sz w:val="24"/>
                <w:highlight w:val="none"/>
                <w:lang w:val="en-US" w:eastAsia="zh-CN"/>
              </w:rPr>
              <w:t>、喷雾用水</w:t>
            </w:r>
            <w:r>
              <w:rPr>
                <w:rFonts w:hint="default" w:ascii="Times New Roman" w:hAnsi="Times New Roman" w:eastAsia="宋体" w:cs="Times New Roman"/>
                <w:color w:val="auto"/>
                <w:sz w:val="24"/>
                <w:highlight w:val="none"/>
                <w:lang w:val="en-US" w:eastAsia="zh-CN"/>
              </w:rPr>
              <w:t>。</w:t>
            </w:r>
          </w:p>
          <w:p w14:paraId="6CB298D0">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①搅拌机清洗</w:t>
            </w:r>
            <w:r>
              <w:rPr>
                <w:rFonts w:hint="default" w:ascii="Times New Roman" w:hAnsi="Times New Roman" w:cs="Times New Roman"/>
                <w:color w:val="auto"/>
                <w:sz w:val="24"/>
                <w:highlight w:val="none"/>
                <w:lang w:val="en-US" w:eastAsia="zh-CN"/>
              </w:rPr>
              <w:t>用水</w:t>
            </w:r>
            <w:r>
              <w:rPr>
                <w:rFonts w:hint="default" w:ascii="Times New Roman" w:hAnsi="Times New Roman" w:eastAsia="宋体" w:cs="Times New Roman"/>
                <w:color w:val="auto"/>
                <w:sz w:val="24"/>
                <w:highlight w:val="none"/>
                <w:lang w:eastAsia="zh-CN"/>
              </w:rPr>
              <w:t>：搅拌机平均每</w:t>
            </w:r>
            <w:r>
              <w:rPr>
                <w:rFonts w:hint="default" w:ascii="Times New Roman" w:hAnsi="Times New Roman" w:eastAsia="宋体" w:cs="Times New Roman"/>
                <w:color w:val="auto"/>
                <w:sz w:val="24"/>
                <w:highlight w:val="none"/>
                <w:lang w:val="en-US" w:eastAsia="zh-CN"/>
              </w:rPr>
              <w:t>2天冲洗1次，每次冲洗水5.0t计算，搅拌机冲洗水产生量为2</w:t>
            </w:r>
            <w:r>
              <w:rPr>
                <w:rFonts w:hint="default"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m³/d</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750m³/a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产污率以0.8计算，搅拌机冲洗水产生</w:t>
            </w:r>
            <w:r>
              <w:rPr>
                <w:rFonts w:hint="default" w:ascii="Times New Roman" w:hAnsi="Times New Roman" w:cs="Times New Roman"/>
                <w:color w:val="auto"/>
                <w:sz w:val="24"/>
                <w:highlight w:val="none"/>
                <w:lang w:val="en-US" w:eastAsia="zh-CN"/>
              </w:rPr>
              <w:t>废水</w:t>
            </w:r>
            <w:r>
              <w:rPr>
                <w:rFonts w:hint="default" w:ascii="Times New Roman" w:hAnsi="Times New Roman" w:eastAsia="宋体" w:cs="Times New Roman"/>
                <w:color w:val="auto"/>
                <w:sz w:val="24"/>
                <w:highlight w:val="none"/>
                <w:lang w:val="en-US" w:eastAsia="zh-CN"/>
              </w:rPr>
              <w:t>量为2m³/d</w:t>
            </w:r>
            <w:r>
              <w:rPr>
                <w:rFonts w:hint="default" w:ascii="Times New Roman" w:hAnsi="Times New Roman" w:cs="Times New Roman"/>
                <w:color w:val="auto"/>
                <w:sz w:val="24"/>
                <w:highlight w:val="none"/>
                <w:lang w:val="en-US" w:eastAsia="zh-CN"/>
              </w:rPr>
              <w:t>，600</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eastAsia="宋体" w:cs="Times New Roman"/>
                <w:color w:val="auto"/>
                <w:sz w:val="24"/>
                <w:highlight w:val="none"/>
              </w:rPr>
              <w:t>其主要水质污染因子为SS，根据对同类型企业的类比调查，SS的浓度约为3000mg/L。</w:t>
            </w:r>
          </w:p>
          <w:p w14:paraId="6BCA3F9A">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②</w:t>
            </w:r>
            <w:r>
              <w:rPr>
                <w:rFonts w:hint="default" w:ascii="Times New Roman" w:hAnsi="Times New Roman" w:cs="Times New Roman"/>
                <w:color w:val="auto"/>
                <w:sz w:val="24"/>
                <w:highlight w:val="none"/>
                <w:lang w:val="en-US" w:eastAsia="zh-CN"/>
              </w:rPr>
              <w:t>车辆清洗用水</w:t>
            </w:r>
            <w:r>
              <w:rPr>
                <w:rFonts w:hint="default" w:ascii="Times New Roman" w:hAnsi="Times New Roman" w:eastAsia="宋体" w:cs="Times New Roman"/>
                <w:color w:val="auto"/>
                <w:sz w:val="24"/>
                <w:highlight w:val="none"/>
                <w:lang w:eastAsia="zh-CN"/>
              </w:rPr>
              <w:t>：本项目设计</w:t>
            </w:r>
            <w:r>
              <w:rPr>
                <w:rFonts w:hint="default" w:ascii="Times New Roman" w:hAnsi="Times New Roman" w:eastAsia="宋体" w:cs="Times New Roman"/>
                <w:color w:val="auto"/>
                <w:sz w:val="24"/>
                <w:highlight w:val="none"/>
                <w:lang w:val="en-US" w:eastAsia="zh-CN"/>
              </w:rPr>
              <w:t>扩建</w:t>
            </w:r>
            <w:r>
              <w:rPr>
                <w:rFonts w:hint="default" w:ascii="Times New Roman" w:hAnsi="Times New Roman" w:eastAsia="宋体" w:cs="Times New Roman"/>
                <w:color w:val="auto"/>
                <w:sz w:val="24"/>
                <w:highlight w:val="none"/>
                <w:lang w:eastAsia="zh-CN"/>
              </w:rPr>
              <w:t>规模为</w:t>
            </w:r>
            <w:r>
              <w:rPr>
                <w:rFonts w:hint="default" w:ascii="Times New Roman" w:hAnsi="Times New Roman" w:eastAsia="宋体" w:cs="Times New Roman"/>
                <w:color w:val="auto"/>
                <w:sz w:val="24"/>
                <w:highlight w:val="none"/>
                <w:lang w:val="en-US" w:eastAsia="zh-CN"/>
              </w:rPr>
              <w:t>10万t/a，按照单车20t/次，每天约运输16.7</w:t>
            </w:r>
            <w:r>
              <w:rPr>
                <w:rFonts w:hint="default" w:ascii="Times New Roman" w:hAnsi="Times New Roman" w:eastAsia="宋体" w:cs="Times New Roman"/>
                <w:color w:val="auto"/>
                <w:sz w:val="24"/>
                <w:highlight w:val="none"/>
              </w:rPr>
              <w:t>辆次</w:t>
            </w:r>
            <w:r>
              <w:rPr>
                <w:rFonts w:hint="default" w:ascii="Times New Roman" w:hAnsi="Times New Roman" w:eastAsia="宋体" w:cs="Times New Roman"/>
                <w:color w:val="auto"/>
                <w:sz w:val="24"/>
                <w:highlight w:val="none"/>
                <w:lang w:val="en-US" w:eastAsia="zh-CN"/>
              </w:rPr>
              <w:t>，车辆冲洗水量大致为0.4m³/辆·次计算，因此每天的冲洗用水约6.68m³，</w:t>
            </w:r>
            <w:r>
              <w:rPr>
                <w:rFonts w:hint="eastAsia" w:ascii="Times New Roman" w:hAnsi="Times New Roman" w:cs="Times New Roman"/>
                <w:color w:val="auto"/>
                <w:sz w:val="24"/>
                <w:highlight w:val="none"/>
                <w:lang w:val="en-US" w:eastAsia="zh-CN"/>
              </w:rPr>
              <w:t>2004</w:t>
            </w:r>
            <w:r>
              <w:rPr>
                <w:rFonts w:hint="default" w:ascii="Times New Roman" w:hAnsi="Times New Roman" w:eastAsia="宋体" w:cs="Times New Roman"/>
                <w:color w:val="auto"/>
                <w:sz w:val="24"/>
                <w:highlight w:val="none"/>
                <w:lang w:val="en-US" w:eastAsia="zh-CN"/>
              </w:rPr>
              <w:t>m³/a</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产污率以0.8计，车辆清洗废水产生量为5.34</w:t>
            </w:r>
            <w:r>
              <w:rPr>
                <w:rFonts w:hint="default" w:ascii="Times New Roman" w:hAnsi="Times New Roman"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m³/d</w:t>
            </w:r>
            <w:r>
              <w:rPr>
                <w:rFonts w:hint="default" w:ascii="Times New Roman" w:hAnsi="Times New Roman" w:cs="Times New Roman"/>
                <w:color w:val="auto"/>
                <w:sz w:val="24"/>
                <w:highlight w:val="none"/>
                <w:lang w:val="en-US" w:eastAsia="zh-CN"/>
              </w:rPr>
              <w:t>，1603.2</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eastAsia="宋体" w:cs="Times New Roman"/>
                <w:color w:val="auto"/>
                <w:sz w:val="24"/>
                <w:highlight w:val="none"/>
                <w:lang w:val="zh-CN"/>
              </w:rPr>
              <w:t>其主要水质污染因子为SS，根据对同类型企业的类比调查，SS的浓度约为3000mg/L。</w:t>
            </w:r>
            <w:r>
              <w:rPr>
                <w:rFonts w:hint="default" w:ascii="Times New Roman" w:hAnsi="Times New Roman" w:eastAsia="宋体" w:cs="Times New Roman"/>
                <w:color w:val="auto"/>
                <w:sz w:val="24"/>
                <w:highlight w:val="none"/>
              </w:rPr>
              <w:t>车辆外部清洗废水汇入生产废水沉淀池内。</w:t>
            </w:r>
          </w:p>
          <w:p w14:paraId="6766520E">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③搅拌作业区地面清洗</w:t>
            </w:r>
            <w:r>
              <w:rPr>
                <w:rFonts w:hint="default" w:ascii="Times New Roman" w:hAnsi="Times New Roman" w:cs="Times New Roman"/>
                <w:color w:val="auto"/>
                <w:sz w:val="24"/>
                <w:highlight w:val="none"/>
                <w:lang w:val="en-US" w:eastAsia="zh-CN"/>
              </w:rPr>
              <w:t>用水</w:t>
            </w:r>
            <w:r>
              <w:rPr>
                <w:rFonts w:hint="default" w:ascii="Times New Roman" w:hAnsi="Times New Roman" w:eastAsia="宋体" w:cs="Times New Roman"/>
                <w:color w:val="auto"/>
                <w:sz w:val="24"/>
                <w:highlight w:val="none"/>
                <w:lang w:val="en-US" w:eastAsia="zh-CN"/>
              </w:rPr>
              <w:t>：搅拌作业区约2000</w:t>
            </w:r>
            <w:r>
              <w:rPr>
                <w:rFonts w:hint="default" w:ascii="Times New Roman" w:hAnsi="Times New Roman" w:cs="Times New Roman"/>
                <w:color w:val="auto"/>
                <w:sz w:val="24"/>
                <w:highlight w:val="none"/>
                <w:lang w:val="en-US" w:eastAsia="zh-CN"/>
              </w:rPr>
              <w:t>m</w:t>
            </w:r>
            <w:r>
              <w:rPr>
                <w:rFonts w:hint="default" w:ascii="Times New Roman" w:hAnsi="Times New Roman" w:cs="Times New Roman"/>
                <w:color w:val="auto"/>
                <w:sz w:val="24"/>
                <w:highlight w:val="none"/>
                <w:vertAlign w:val="superscript"/>
                <w:lang w:val="en-US" w:eastAsia="zh-CN"/>
              </w:rPr>
              <w:t>2</w:t>
            </w:r>
            <w:r>
              <w:rPr>
                <w:rFonts w:hint="default" w:ascii="Times New Roman" w:hAnsi="Times New Roman" w:eastAsia="宋体" w:cs="Times New Roman"/>
                <w:color w:val="auto"/>
                <w:sz w:val="24"/>
                <w:highlight w:val="none"/>
                <w:lang w:val="en-US" w:eastAsia="zh-CN"/>
              </w:rPr>
              <w:t>，其冲洗水量按1.0m³/百㎡·d计算，该部分</w:t>
            </w:r>
            <w:r>
              <w:rPr>
                <w:rFonts w:hint="default" w:ascii="Times New Roman" w:hAnsi="Times New Roman" w:cs="Times New Roman"/>
                <w:color w:val="auto"/>
                <w:sz w:val="24"/>
                <w:highlight w:val="none"/>
                <w:lang w:val="en-US" w:eastAsia="zh-CN"/>
              </w:rPr>
              <w:t>清洗水用</w:t>
            </w:r>
            <w:r>
              <w:rPr>
                <w:rFonts w:hint="default" w:ascii="Times New Roman" w:hAnsi="Times New Roman" w:eastAsia="宋体" w:cs="Times New Roman"/>
                <w:color w:val="auto"/>
                <w:sz w:val="24"/>
                <w:highlight w:val="none"/>
                <w:lang w:val="en-US" w:eastAsia="zh-CN"/>
              </w:rPr>
              <w:t>量约20m³/d，</w:t>
            </w:r>
            <w:r>
              <w:rPr>
                <w:rFonts w:hint="eastAsia" w:ascii="Times New Roman" w:hAnsi="Times New Roman" w:cs="Times New Roman"/>
                <w:color w:val="auto"/>
                <w:sz w:val="24"/>
                <w:highlight w:val="none"/>
                <w:lang w:val="en-US" w:eastAsia="zh-CN"/>
              </w:rPr>
              <w:t>6000</w:t>
            </w:r>
            <w:r>
              <w:rPr>
                <w:rFonts w:hint="default" w:ascii="Times New Roman" w:hAnsi="Times New Roman" w:eastAsia="宋体" w:cs="Times New Roman"/>
                <w:color w:val="auto"/>
                <w:sz w:val="24"/>
                <w:highlight w:val="none"/>
                <w:lang w:val="en-US" w:eastAsia="zh-CN"/>
              </w:rPr>
              <w:t>m³/a</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产污率以0.8计，废水产生量为16m³/d</w:t>
            </w:r>
            <w:r>
              <w:rPr>
                <w:rFonts w:hint="default" w:ascii="Times New Roman" w:hAnsi="Times New Roman" w:cs="Times New Roman"/>
                <w:color w:val="auto"/>
                <w:sz w:val="24"/>
                <w:highlight w:val="none"/>
                <w:lang w:val="en-US" w:eastAsia="zh-CN"/>
              </w:rPr>
              <w:t>，4800</w:t>
            </w:r>
            <w:r>
              <w:rPr>
                <w:rFonts w:hint="default" w:ascii="Times New Roman" w:hAnsi="Times New Roman" w:eastAsia="宋体" w:cs="Times New Roman"/>
                <w:color w:val="auto"/>
                <w:sz w:val="24"/>
                <w:highlight w:val="none"/>
                <w:lang w:val="en-US" w:eastAsia="zh-CN"/>
              </w:rPr>
              <w:t>m³/a</w:t>
            </w:r>
            <w:r>
              <w:rPr>
                <w:rFonts w:hint="eastAsia" w:cs="Times New Roman"/>
                <w:color w:val="auto"/>
                <w:sz w:val="24"/>
                <w:highlight w:val="none"/>
                <w:lang w:val="en-US" w:eastAsia="zh-CN"/>
              </w:rPr>
              <w:t>，搅拌作业区地面清洗用水</w:t>
            </w:r>
            <w:r>
              <w:rPr>
                <w:rFonts w:hint="default" w:ascii="Times New Roman" w:hAnsi="Times New Roman" w:eastAsia="宋体" w:cs="Times New Roman"/>
                <w:color w:val="auto"/>
                <w:sz w:val="24"/>
                <w:highlight w:val="none"/>
              </w:rPr>
              <w:t>汇入生产废水沉淀池内。</w:t>
            </w:r>
          </w:p>
          <w:p w14:paraId="7DCD9295">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④搅拌用水：</w:t>
            </w:r>
            <w:r>
              <w:rPr>
                <w:rFonts w:hint="default" w:ascii="Times New Roman" w:hAnsi="Times New Roman" w:eastAsia="宋体" w:cs="Times New Roman"/>
                <w:color w:val="auto"/>
                <w:sz w:val="24"/>
                <w:highlight w:val="none"/>
              </w:rPr>
              <w:t>混凝土生产过程中，搅拌工段需加入一定比例的水，</w:t>
            </w:r>
            <w:r>
              <w:rPr>
                <w:rFonts w:hint="eastAsia" w:ascii="Times New Roman" w:hAnsi="Times New Roman" w:cs="Times New Roman"/>
                <w:color w:val="auto"/>
                <w:kern w:val="2"/>
                <w:sz w:val="24"/>
                <w:szCs w:val="24"/>
                <w:highlight w:val="none"/>
                <w:lang w:val="en-US" w:eastAsia="zh-CN" w:bidi="ar-SA"/>
              </w:rPr>
              <w:t>根据建设单位原有项目运行经验，</w:t>
            </w:r>
            <w:r>
              <w:rPr>
                <w:rFonts w:hint="default" w:ascii="Times New Roman" w:hAnsi="Times New Roman" w:eastAsia="宋体" w:cs="Times New Roman"/>
                <w:color w:val="auto"/>
                <w:sz w:val="24"/>
                <w:highlight w:val="none"/>
                <w:lang w:val="en-US" w:eastAsia="zh-CN"/>
              </w:rPr>
              <w:t>搅拌用水约133.3m³/d</w:t>
            </w:r>
            <w:r>
              <w:rPr>
                <w:rFonts w:hint="default" w:ascii="Times New Roman" w:hAnsi="Times New Roman" w:cs="Times New Roman"/>
                <w:color w:val="auto"/>
                <w:sz w:val="24"/>
                <w:highlight w:val="none"/>
                <w:lang w:val="en-US" w:eastAsia="zh-CN"/>
              </w:rPr>
              <w:t>，39990</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eastAsia="宋体" w:cs="Times New Roman"/>
                <w:color w:val="auto"/>
                <w:sz w:val="24"/>
                <w:highlight w:val="none"/>
                <w:lang w:eastAsia="zh-CN"/>
              </w:rPr>
              <w:t>项目搅拌用水为消耗性用水，无废水产生。</w:t>
            </w:r>
          </w:p>
          <w:p w14:paraId="59A6A30A">
            <w:pPr>
              <w:pStyle w:val="20"/>
              <w:spacing w:line="360" w:lineRule="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⑤</w:t>
            </w:r>
            <w:r>
              <w:rPr>
                <w:rFonts w:hint="default" w:ascii="Times New Roman" w:hAnsi="Times New Roman" w:eastAsia="宋体" w:cs="Times New Roman"/>
                <w:color w:val="auto"/>
                <w:kern w:val="2"/>
                <w:sz w:val="24"/>
                <w:szCs w:val="24"/>
                <w:highlight w:val="none"/>
                <w:lang w:val="en-US" w:eastAsia="zh-CN" w:bidi="ar-SA"/>
              </w:rPr>
              <w:t>人工降尘用水：在运输和卸料过程中，会产生粉尘逸散，在过程中人工洒水降尘及有效抑尘，又能节约用水，避免浪费，</w:t>
            </w:r>
            <w:r>
              <w:rPr>
                <w:rFonts w:hint="eastAsia" w:ascii="Times New Roman" w:hAnsi="Times New Roman" w:cs="Times New Roman"/>
                <w:color w:val="auto"/>
                <w:kern w:val="2"/>
                <w:sz w:val="24"/>
                <w:szCs w:val="24"/>
                <w:highlight w:val="none"/>
                <w:lang w:val="en-US" w:eastAsia="zh-CN" w:bidi="ar-SA"/>
              </w:rPr>
              <w:t>根据建设单位原有项目运行经验，</w:t>
            </w:r>
            <w:r>
              <w:rPr>
                <w:rFonts w:hint="default" w:ascii="Times New Roman" w:hAnsi="Times New Roman" w:eastAsia="宋体" w:cs="Times New Roman"/>
                <w:color w:val="auto"/>
                <w:kern w:val="2"/>
                <w:sz w:val="24"/>
                <w:szCs w:val="24"/>
                <w:highlight w:val="none"/>
                <w:lang w:val="en-US" w:eastAsia="zh-CN" w:bidi="ar-SA"/>
              </w:rPr>
              <w:t>平均每天约消耗1m³，降尘用水为消耗性用水，随温度蒸发，无废水产生。</w:t>
            </w:r>
          </w:p>
          <w:p w14:paraId="39F25796">
            <w:pPr>
              <w:spacing w:line="360" w:lineRule="auto"/>
              <w:ind w:firstLine="480" w:firstLineChars="200"/>
              <w:rPr>
                <w:rFonts w:hint="default" w:cs="Times New Roman"/>
                <w:color w:val="auto"/>
                <w:sz w:val="24"/>
                <w:highlight w:val="none"/>
                <w:lang w:val="en-US" w:eastAsia="zh-CN"/>
              </w:rPr>
            </w:pPr>
            <w:r>
              <w:rPr>
                <w:rFonts w:hint="eastAsia" w:cs="Times New Roman"/>
                <w:color w:val="auto"/>
                <w:sz w:val="24"/>
                <w:highlight w:val="none"/>
                <w:lang w:val="en-US" w:eastAsia="zh-CN"/>
              </w:rPr>
              <w:t>⑥</w:t>
            </w:r>
            <w:r>
              <w:rPr>
                <w:color w:val="auto"/>
                <w:sz w:val="24"/>
              </w:rPr>
              <w:t>喷雾用水：建设单位拟于</w:t>
            </w:r>
            <w:r>
              <w:rPr>
                <w:rFonts w:hint="eastAsia"/>
                <w:color w:val="auto"/>
                <w:sz w:val="24"/>
              </w:rPr>
              <w:t>原料库</w:t>
            </w:r>
            <w:r>
              <w:rPr>
                <w:color w:val="auto"/>
                <w:sz w:val="24"/>
              </w:rPr>
              <w:t>、</w:t>
            </w:r>
            <w:r>
              <w:rPr>
                <w:rFonts w:hint="eastAsia"/>
                <w:color w:val="auto"/>
                <w:sz w:val="24"/>
                <w:lang w:val="en-US" w:eastAsia="zh-CN"/>
              </w:rPr>
              <w:t>制砂车间</w:t>
            </w:r>
            <w:r>
              <w:rPr>
                <w:rFonts w:hint="eastAsia"/>
                <w:color w:val="auto"/>
                <w:sz w:val="24"/>
              </w:rPr>
              <w:t>给料机投料口</w:t>
            </w:r>
            <w:r>
              <w:rPr>
                <w:color w:val="auto"/>
                <w:sz w:val="24"/>
              </w:rPr>
              <w:t>、</w:t>
            </w:r>
            <w:r>
              <w:rPr>
                <w:rFonts w:hint="eastAsia"/>
                <w:color w:val="auto"/>
                <w:sz w:val="24"/>
              </w:rPr>
              <w:t>制砂车间</w:t>
            </w:r>
            <w:r>
              <w:rPr>
                <w:color w:val="auto"/>
                <w:sz w:val="24"/>
              </w:rPr>
              <w:t>顶部共设置3套喷雾装置，水喷雾装置设计流量按45L/h计算，本环评以日工作</w:t>
            </w:r>
            <w:r>
              <w:rPr>
                <w:rFonts w:hint="eastAsia"/>
                <w:color w:val="auto"/>
                <w:sz w:val="24"/>
                <w:lang w:val="en-US" w:eastAsia="zh-CN"/>
              </w:rPr>
              <w:t>24</w:t>
            </w:r>
            <w:r>
              <w:rPr>
                <w:color w:val="auto"/>
                <w:sz w:val="24"/>
              </w:rPr>
              <w:t>h，年工作300d计，喷雾装置用水量为</w:t>
            </w:r>
            <w:r>
              <w:rPr>
                <w:rFonts w:hint="eastAsia"/>
                <w:color w:val="auto"/>
                <w:sz w:val="24"/>
                <w:lang w:val="en-US" w:eastAsia="zh-CN"/>
              </w:rPr>
              <w:t>3.24</w:t>
            </w:r>
            <w:r>
              <w:rPr>
                <w:color w:val="auto"/>
                <w:sz w:val="24"/>
              </w:rPr>
              <w:t>m</w:t>
            </w:r>
            <w:r>
              <w:rPr>
                <w:color w:val="auto"/>
                <w:sz w:val="24"/>
                <w:vertAlign w:val="superscript"/>
              </w:rPr>
              <w:t>3</w:t>
            </w:r>
            <w:r>
              <w:rPr>
                <w:color w:val="auto"/>
                <w:sz w:val="24"/>
              </w:rPr>
              <w:t>/d</w:t>
            </w:r>
            <w:r>
              <w:rPr>
                <w:rFonts w:hint="eastAsia"/>
                <w:color w:val="auto"/>
                <w:sz w:val="24"/>
                <w:lang w:eastAsia="zh-CN"/>
              </w:rPr>
              <w:t>，</w:t>
            </w:r>
            <w:r>
              <w:rPr>
                <w:rFonts w:hint="eastAsia"/>
                <w:color w:val="auto"/>
                <w:sz w:val="24"/>
                <w:lang w:val="en-US" w:eastAsia="zh-CN"/>
              </w:rPr>
              <w:t>972</w:t>
            </w:r>
            <w:r>
              <w:rPr>
                <w:color w:val="auto"/>
                <w:sz w:val="24"/>
              </w:rPr>
              <w:t>m</w:t>
            </w:r>
            <w:r>
              <w:rPr>
                <w:color w:val="auto"/>
                <w:sz w:val="24"/>
                <w:vertAlign w:val="superscript"/>
              </w:rPr>
              <w:t>3</w:t>
            </w:r>
            <w:r>
              <w:rPr>
                <w:color w:val="auto"/>
                <w:sz w:val="24"/>
              </w:rPr>
              <w:t>/a，该部分用水全部蒸发，不外排。</w:t>
            </w:r>
          </w:p>
          <w:p w14:paraId="6C44065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（3）雨水处理设施</w:t>
            </w:r>
          </w:p>
          <w:p w14:paraId="36EC7FC8">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cs="Times New Roman"/>
                <w:color w:val="auto"/>
                <w:sz w:val="24"/>
                <w:highlight w:val="none"/>
              </w:rPr>
              <w:t>厂区</w:t>
            </w:r>
            <w:r>
              <w:rPr>
                <w:rFonts w:hint="default" w:ascii="Times New Roman" w:hAnsi="Times New Roman" w:cs="Times New Roman"/>
                <w:color w:val="auto"/>
                <w:sz w:val="24"/>
                <w:highlight w:val="none"/>
                <w:lang w:val="en-US" w:eastAsia="zh-CN"/>
              </w:rPr>
              <w:t>硬化地</w:t>
            </w:r>
            <w:r>
              <w:rPr>
                <w:rFonts w:hint="default" w:ascii="Times New Roman" w:hAnsi="Times New Roman" w:cs="Times New Roman"/>
                <w:color w:val="auto"/>
                <w:sz w:val="24"/>
                <w:highlight w:val="none"/>
              </w:rPr>
              <w:t>上雨水经</w:t>
            </w:r>
            <w:r>
              <w:rPr>
                <w:rFonts w:hint="default" w:ascii="Times New Roman" w:hAnsi="Times New Roman" w:cs="Times New Roman"/>
                <w:color w:val="auto"/>
                <w:sz w:val="24"/>
                <w:highlight w:val="none"/>
                <w:lang w:val="en-US" w:eastAsia="zh-CN"/>
              </w:rPr>
              <w:t>地势北高南低汇入</w:t>
            </w:r>
            <w:r>
              <w:rPr>
                <w:rFonts w:hint="default" w:ascii="Times New Roman" w:hAnsi="Times New Roman" w:cs="Times New Roman"/>
                <w:color w:val="auto"/>
                <w:sz w:val="24"/>
                <w:highlight w:val="none"/>
              </w:rPr>
              <w:t>“沉淀池”系统处理后回用于项目生产过程，厂区周边设有雨水沟，厂区周边降雨经过雨水沟直接外排</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不参与生产使用</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highlight w:val="none"/>
              </w:rPr>
              <w:t>根据现场踏勘，本</w:t>
            </w:r>
            <w:r>
              <w:rPr>
                <w:rFonts w:hint="default" w:ascii="Times New Roman" w:hAnsi="Times New Roman" w:eastAsia="宋体" w:cs="Times New Roman"/>
                <w:color w:val="auto"/>
                <w:sz w:val="24"/>
                <w:highlight w:val="none"/>
                <w:lang w:val="zh-CN"/>
              </w:rPr>
              <w:t>项目在</w:t>
            </w:r>
            <w:r>
              <w:rPr>
                <w:rFonts w:hint="default" w:ascii="Times New Roman" w:hAnsi="Times New Roman" w:eastAsia="宋体" w:cs="Times New Roman"/>
                <w:color w:val="auto"/>
                <w:sz w:val="24"/>
                <w:highlight w:val="none"/>
                <w:lang w:val="en-US" w:eastAsia="zh-CN"/>
              </w:rPr>
              <w:t>厂区</w:t>
            </w:r>
            <w:r>
              <w:rPr>
                <w:rFonts w:hint="default" w:ascii="Times New Roman" w:hAnsi="Times New Roman" w:eastAsia="宋体" w:cs="Times New Roman"/>
                <w:color w:val="auto"/>
                <w:sz w:val="24"/>
                <w:highlight w:val="none"/>
                <w:lang w:val="zh-CN"/>
              </w:rPr>
              <w:t>平台南侧</w:t>
            </w:r>
            <w:r>
              <w:rPr>
                <w:rFonts w:hint="default" w:ascii="Times New Roman" w:hAnsi="Times New Roman" w:eastAsia="宋体" w:cs="Times New Roman"/>
                <w:color w:val="auto"/>
                <w:sz w:val="24"/>
                <w:highlight w:val="none"/>
                <w:lang w:val="en-US" w:eastAsia="zh-CN"/>
              </w:rPr>
              <w:t>已建</w:t>
            </w:r>
            <w:r>
              <w:rPr>
                <w:rFonts w:hint="default" w:ascii="Times New Roman" w:hAnsi="Times New Roman" w:eastAsia="宋体" w:cs="Times New Roman"/>
                <w:color w:val="auto"/>
                <w:sz w:val="24"/>
                <w:highlight w:val="none"/>
                <w:lang w:val="zh-CN"/>
              </w:rPr>
              <w:t>设1座容积</w:t>
            </w:r>
            <w:r>
              <w:rPr>
                <w:rFonts w:hint="default" w:ascii="Times New Roman" w:hAnsi="Times New Roman" w:eastAsia="宋体" w:cs="Times New Roman"/>
                <w:color w:val="auto"/>
                <w:sz w:val="24"/>
                <w:highlight w:val="none"/>
                <w:lang w:val="en-US" w:eastAsia="zh-CN"/>
              </w:rPr>
              <w:t>约</w:t>
            </w:r>
            <w:r>
              <w:rPr>
                <w:rFonts w:hint="default" w:ascii="Times New Roman" w:hAnsi="Times New Roman" w:eastAsia="宋体" w:cs="Times New Roman"/>
                <w:color w:val="auto"/>
                <w:sz w:val="24"/>
                <w:highlight w:val="none"/>
                <w:lang w:val="zh-CN"/>
              </w:rPr>
              <w:t>为</w:t>
            </w:r>
            <w:r>
              <w:rPr>
                <w:rFonts w:hint="default" w:ascii="Times New Roman" w:hAnsi="Times New Roman" w:eastAsia="宋体" w:cs="Times New Roman"/>
                <w:color w:val="auto"/>
                <w:sz w:val="24"/>
                <w:highlight w:val="none"/>
                <w:lang w:val="en-US" w:eastAsia="zh-CN"/>
              </w:rPr>
              <w:t>15</w:t>
            </w:r>
            <w:r>
              <w:rPr>
                <w:rFonts w:hint="default" w:ascii="Times New Roman" w:hAnsi="Times New Roman" w:eastAsia="宋体" w:cs="Times New Roman"/>
                <w:color w:val="auto"/>
                <w:sz w:val="24"/>
                <w:highlight w:val="none"/>
              </w:rPr>
              <w:t>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沉淀池，</w:t>
            </w:r>
            <w:r>
              <w:rPr>
                <w:rFonts w:hint="default" w:ascii="Times New Roman" w:hAnsi="Times New Roman" w:eastAsia="宋体" w:cs="Times New Roman"/>
                <w:color w:val="auto"/>
                <w:sz w:val="24"/>
                <w:highlight w:val="none"/>
                <w:lang w:val="en-US" w:eastAsia="zh-CN"/>
              </w:rPr>
              <w:t>计划在东南侧再建设一个约60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沉淀池，用于处理项目搅拌机清洗废水、混凝土运输车辆清洗废水</w:t>
            </w:r>
            <w:r>
              <w:rPr>
                <w:rFonts w:hint="default" w:ascii="Times New Roman" w:hAnsi="Times New Roman" w:eastAsia="宋体" w:cs="Times New Roman"/>
                <w:color w:val="auto"/>
                <w:sz w:val="24"/>
                <w:highlight w:val="none"/>
                <w:lang w:val="en-US" w:eastAsia="zh-CN"/>
              </w:rPr>
              <w:t>和露天收集雨水</w:t>
            </w:r>
            <w:r>
              <w:rPr>
                <w:rFonts w:hint="default" w:ascii="Times New Roman" w:hAnsi="Times New Roman" w:eastAsia="宋体" w:cs="Times New Roman"/>
                <w:color w:val="auto"/>
                <w:sz w:val="24"/>
                <w:highlight w:val="none"/>
                <w:lang w:val="zh-CN"/>
              </w:rPr>
              <w:t>，废水通过排水沟排至“沉淀系统”处理系统处理后回用于生产。</w:t>
            </w:r>
          </w:p>
          <w:p w14:paraId="4FF2DC6B">
            <w:pPr>
              <w:numPr>
                <w:ilvl w:val="0"/>
                <w:numId w:val="3"/>
              </w:num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排水</w:t>
            </w:r>
          </w:p>
          <w:p w14:paraId="088B19E9">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生产用水进入产品蒸发损耗无废水排放；搅拌机清洗用水、车辆清洗废水、搅拌作业区地面清洗用水经三级沉淀池沉淀澄清后上层清液回用于拌合站搅拌工序，不外排。</w:t>
            </w:r>
          </w:p>
          <w:p w14:paraId="60F1191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zh-CN" w:eastAsia="zh-CN"/>
              </w:rPr>
              <w:t>扩建项目具体给排水量见下表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zh-CN" w:eastAsia="zh-CN"/>
              </w:rPr>
              <w:t>-</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zh-CN" w:eastAsia="zh-CN"/>
              </w:rPr>
              <w:t>。</w:t>
            </w:r>
          </w:p>
          <w:p w14:paraId="08CB3C18">
            <w:pPr>
              <w:keepNext w:val="0"/>
              <w:keepLines w:val="0"/>
              <w:pageBreakBefore w:val="0"/>
              <w:widowControl w:val="0"/>
              <w:kinsoku/>
              <w:wordWrap/>
              <w:overflowPunct/>
              <w:topLinePunct w:val="0"/>
              <w:bidi w:val="0"/>
              <w:snapToGrid w:val="0"/>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caps w:val="0"/>
                <w:snapToGrid w:val="0"/>
                <w:color w:val="auto"/>
                <w:spacing w:val="0"/>
                <w:w w:val="100"/>
                <w:position w:val="0"/>
                <w:sz w:val="21"/>
                <w:szCs w:val="21"/>
                <w:highlight w:val="none"/>
              </w:rPr>
              <w:t>-</w:t>
            </w:r>
            <w:r>
              <w:rPr>
                <w:rFonts w:hint="eastAsia" w:cs="Times New Roman"/>
                <w:b/>
                <w:caps w:val="0"/>
                <w:snapToGrid w:val="0"/>
                <w:color w:val="auto"/>
                <w:spacing w:val="0"/>
                <w:w w:val="100"/>
                <w:position w:val="0"/>
                <w:sz w:val="21"/>
                <w:szCs w:val="21"/>
                <w:highlight w:val="none"/>
                <w:lang w:val="en-US" w:eastAsia="zh-CN"/>
              </w:rPr>
              <w:t>8</w:t>
            </w:r>
            <w:r>
              <w:rPr>
                <w:rFonts w:hint="default" w:ascii="Times New Roman" w:hAnsi="Times New Roman" w:eastAsia="宋体" w:cs="Times New Roman"/>
                <w:b/>
                <w:caps w:val="0"/>
                <w:snapToGrid w:val="0"/>
                <w:color w:val="auto"/>
                <w:spacing w:val="0"/>
                <w:w w:val="100"/>
                <w:position w:val="0"/>
                <w:sz w:val="21"/>
                <w:szCs w:val="21"/>
                <w:highlight w:val="none"/>
              </w:rPr>
              <w:t xml:space="preserve">   </w:t>
            </w:r>
            <w:r>
              <w:rPr>
                <w:rFonts w:hint="eastAsia" w:cs="Times New Roman"/>
                <w:b/>
                <w:caps w:val="0"/>
                <w:snapToGrid w:val="0"/>
                <w:color w:val="auto"/>
                <w:spacing w:val="0"/>
                <w:w w:val="100"/>
                <w:position w:val="0"/>
                <w:sz w:val="21"/>
                <w:szCs w:val="21"/>
                <w:highlight w:val="none"/>
                <w:lang w:val="en-US" w:eastAsia="zh-CN"/>
              </w:rPr>
              <w:t>扩建</w:t>
            </w:r>
            <w:r>
              <w:rPr>
                <w:rFonts w:hint="default" w:ascii="Times New Roman" w:hAnsi="Times New Roman" w:eastAsia="宋体" w:cs="Times New Roman"/>
                <w:b/>
                <w:caps w:val="0"/>
                <w:snapToGrid w:val="0"/>
                <w:color w:val="auto"/>
                <w:spacing w:val="0"/>
                <w:w w:val="100"/>
                <w:position w:val="0"/>
                <w:sz w:val="21"/>
                <w:szCs w:val="21"/>
                <w:highlight w:val="none"/>
              </w:rPr>
              <w:t>项目</w:t>
            </w:r>
            <w:r>
              <w:rPr>
                <w:rFonts w:hint="eastAsia" w:cs="Times New Roman"/>
                <w:b/>
                <w:caps w:val="0"/>
                <w:snapToGrid w:val="0"/>
                <w:color w:val="auto"/>
                <w:spacing w:val="0"/>
                <w:w w:val="100"/>
                <w:position w:val="0"/>
                <w:sz w:val="21"/>
                <w:szCs w:val="21"/>
                <w:highlight w:val="none"/>
                <w:lang w:eastAsia="zh-CN"/>
              </w:rPr>
              <w:t>供排水</w:t>
            </w:r>
            <w:r>
              <w:rPr>
                <w:rFonts w:hint="default" w:ascii="Times New Roman" w:hAnsi="Times New Roman" w:eastAsia="宋体" w:cs="Times New Roman"/>
                <w:b/>
                <w:caps w:val="0"/>
                <w:snapToGrid w:val="0"/>
                <w:color w:val="auto"/>
                <w:spacing w:val="0"/>
                <w:w w:val="100"/>
                <w:position w:val="0"/>
                <w:sz w:val="21"/>
                <w:szCs w:val="21"/>
                <w:highlight w:val="none"/>
              </w:rPr>
              <w:t>情况一览表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093"/>
              <w:gridCol w:w="1278"/>
              <w:gridCol w:w="1225"/>
              <w:gridCol w:w="1225"/>
              <w:gridCol w:w="794"/>
              <w:gridCol w:w="794"/>
              <w:gridCol w:w="1830"/>
            </w:tblGrid>
            <w:tr w14:paraId="795E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0B6071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用水单位</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D090E3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82CD28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用水标准</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02DF1C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用水量</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1D47F30">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污水量</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014A48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备注</w:t>
                  </w:r>
                </w:p>
              </w:tc>
            </w:tr>
            <w:tr w14:paraId="4E25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4ED6B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0BAB8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3DFCA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18EF78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DB51F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/a</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88B96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78F11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/a</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153AD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2C2F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restart"/>
                  <w:tcBorders>
                    <w:top w:val="single" w:color="auto" w:sz="4" w:space="0"/>
                    <w:left w:val="single" w:color="auto" w:sz="4" w:space="0"/>
                    <w:right w:val="single" w:color="auto" w:sz="4" w:space="0"/>
                  </w:tcBorders>
                  <w:noWrap w:val="0"/>
                  <w:vAlign w:val="center"/>
                </w:tcPr>
                <w:p w14:paraId="1B190DD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搅拌用水</w:t>
                  </w:r>
                </w:p>
              </w:tc>
              <w:tc>
                <w:tcPr>
                  <w:tcW w:w="0" w:type="auto"/>
                  <w:vMerge w:val="restart"/>
                  <w:tcBorders>
                    <w:top w:val="single" w:color="auto" w:sz="4" w:space="0"/>
                    <w:left w:val="single" w:color="auto" w:sz="4" w:space="0"/>
                    <w:right w:val="single" w:color="auto" w:sz="4" w:space="0"/>
                  </w:tcBorders>
                  <w:noWrap w:val="0"/>
                  <w:vAlign w:val="center"/>
                </w:tcPr>
                <w:p w14:paraId="4858041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10万t产品</w:t>
                  </w:r>
                </w:p>
              </w:tc>
              <w:tc>
                <w:tcPr>
                  <w:tcW w:w="0" w:type="auto"/>
                  <w:vMerge w:val="restart"/>
                  <w:tcBorders>
                    <w:top w:val="single" w:color="auto" w:sz="4" w:space="0"/>
                    <w:left w:val="single" w:color="auto" w:sz="4" w:space="0"/>
                    <w:right w:val="single" w:color="auto" w:sz="4" w:space="0"/>
                  </w:tcBorders>
                  <w:noWrap w:val="0"/>
                  <w:vAlign w:val="center"/>
                </w:tcPr>
                <w:p w14:paraId="6A6BE53C">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133.3m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85A43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eastAsia="zh-CN"/>
                    </w:rPr>
                  </w:pPr>
                  <w:r>
                    <w:rPr>
                      <w:rFonts w:hint="default" w:ascii="Times New Roman" w:hAnsi="Times New Roman" w:cs="Times New Roman"/>
                      <w:color w:val="auto"/>
                      <w:sz w:val="21"/>
                      <w:highlight w:val="none"/>
                      <w:lang w:val="en-US" w:eastAsia="zh-CN"/>
                    </w:rPr>
                    <w:t>109.979</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lang w:val="en-US" w:eastAsia="zh-CN"/>
                    </w:rPr>
                    <w:t>新鲜水</w:t>
                  </w:r>
                  <w:r>
                    <w:rPr>
                      <w:rFonts w:hint="default" w:ascii="Times New Roman" w:hAnsi="Times New Roman" w:cs="Times New Roman"/>
                      <w:color w:val="auto"/>
                      <w:sz w:val="21"/>
                      <w:highlight w:val="none"/>
                      <w:lang w:eastAsia="zh-CN"/>
                    </w:rPr>
                    <w:t>）</w:t>
                  </w:r>
                </w:p>
              </w:tc>
              <w:tc>
                <w:tcPr>
                  <w:tcW w:w="0" w:type="auto"/>
                  <w:tcBorders>
                    <w:top w:val="single" w:color="auto" w:sz="4" w:space="0"/>
                    <w:left w:val="single" w:color="auto" w:sz="4" w:space="0"/>
                    <w:right w:val="single" w:color="auto" w:sz="4" w:space="0"/>
                  </w:tcBorders>
                  <w:noWrap w:val="0"/>
                  <w:vAlign w:val="center"/>
                </w:tcPr>
                <w:p w14:paraId="6406D06C">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32993.7</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lang w:val="en-US" w:eastAsia="zh-CN"/>
                    </w:rPr>
                    <w:t>新鲜水</w:t>
                  </w:r>
                  <w:r>
                    <w:rPr>
                      <w:rFonts w:hint="default" w:ascii="Times New Roman" w:hAnsi="Times New Roman" w:cs="Times New Roman"/>
                      <w:color w:val="auto"/>
                      <w:sz w:val="21"/>
                      <w:highlight w:val="none"/>
                      <w:lang w:eastAsia="zh-CN"/>
                    </w:rPr>
                    <w:t>）</w:t>
                  </w:r>
                </w:p>
              </w:tc>
              <w:tc>
                <w:tcPr>
                  <w:tcW w:w="0" w:type="auto"/>
                  <w:vMerge w:val="restart"/>
                  <w:tcBorders>
                    <w:top w:val="single" w:color="auto" w:sz="4" w:space="0"/>
                    <w:left w:val="single" w:color="auto" w:sz="4" w:space="0"/>
                    <w:right w:val="single" w:color="auto" w:sz="4" w:space="0"/>
                  </w:tcBorders>
                  <w:noWrap w:val="0"/>
                  <w:vAlign w:val="center"/>
                </w:tcPr>
                <w:p w14:paraId="58F1369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0</w:t>
                  </w:r>
                </w:p>
              </w:tc>
              <w:tc>
                <w:tcPr>
                  <w:tcW w:w="0" w:type="auto"/>
                  <w:vMerge w:val="restart"/>
                  <w:tcBorders>
                    <w:top w:val="single" w:color="auto" w:sz="4" w:space="0"/>
                    <w:left w:val="single" w:color="auto" w:sz="4" w:space="0"/>
                    <w:right w:val="single" w:color="auto" w:sz="4" w:space="0"/>
                  </w:tcBorders>
                  <w:noWrap w:val="0"/>
                  <w:vAlign w:val="center"/>
                </w:tcPr>
                <w:p w14:paraId="672A8F89">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0</w:t>
                  </w:r>
                </w:p>
              </w:tc>
              <w:tc>
                <w:tcPr>
                  <w:tcW w:w="0" w:type="auto"/>
                  <w:vMerge w:val="restart"/>
                  <w:tcBorders>
                    <w:top w:val="single" w:color="auto" w:sz="4" w:space="0"/>
                    <w:left w:val="single" w:color="auto" w:sz="4" w:space="0"/>
                    <w:right w:val="single" w:color="auto" w:sz="4" w:space="0"/>
                  </w:tcBorders>
                  <w:noWrap w:val="0"/>
                  <w:vAlign w:val="center"/>
                </w:tcPr>
                <w:p w14:paraId="472D173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产品带走</w:t>
                  </w:r>
                </w:p>
              </w:tc>
            </w:tr>
            <w:tr w14:paraId="1379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left w:val="single" w:color="auto" w:sz="4" w:space="0"/>
                    <w:bottom w:val="single" w:color="auto" w:sz="4" w:space="0"/>
                    <w:right w:val="single" w:color="auto" w:sz="4" w:space="0"/>
                  </w:tcBorders>
                  <w:noWrap w:val="0"/>
                  <w:vAlign w:val="center"/>
                </w:tcPr>
                <w:p w14:paraId="0AA9BF1D">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left w:val="single" w:color="auto" w:sz="4" w:space="0"/>
                    <w:bottom w:val="single" w:color="auto" w:sz="4" w:space="0"/>
                    <w:right w:val="single" w:color="auto" w:sz="4" w:space="0"/>
                  </w:tcBorders>
                  <w:noWrap w:val="0"/>
                  <w:vAlign w:val="center"/>
                </w:tcPr>
                <w:p w14:paraId="4E14B9F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p>
              </w:tc>
              <w:tc>
                <w:tcPr>
                  <w:tcW w:w="0" w:type="auto"/>
                  <w:vMerge w:val="continue"/>
                  <w:tcBorders>
                    <w:left w:val="single" w:color="auto" w:sz="4" w:space="0"/>
                    <w:bottom w:val="single" w:color="auto" w:sz="4" w:space="0"/>
                    <w:right w:val="single" w:color="auto" w:sz="4" w:space="0"/>
                  </w:tcBorders>
                  <w:noWrap w:val="0"/>
                  <w:vAlign w:val="center"/>
                </w:tcPr>
                <w:p w14:paraId="06F4C21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650FC7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23.321（回用水）</w:t>
                  </w:r>
                </w:p>
              </w:tc>
              <w:tc>
                <w:tcPr>
                  <w:tcW w:w="0" w:type="auto"/>
                  <w:tcBorders>
                    <w:left w:val="single" w:color="auto" w:sz="4" w:space="0"/>
                    <w:bottom w:val="single" w:color="auto" w:sz="4" w:space="0"/>
                    <w:right w:val="single" w:color="auto" w:sz="4" w:space="0"/>
                  </w:tcBorders>
                  <w:noWrap w:val="0"/>
                  <w:vAlign w:val="center"/>
                </w:tcPr>
                <w:p w14:paraId="420EEFE0">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6996.3（回用水）</w:t>
                  </w:r>
                </w:p>
              </w:tc>
              <w:tc>
                <w:tcPr>
                  <w:tcW w:w="0" w:type="auto"/>
                  <w:vMerge w:val="continue"/>
                  <w:tcBorders>
                    <w:left w:val="single" w:color="auto" w:sz="4" w:space="0"/>
                    <w:bottom w:val="single" w:color="auto" w:sz="4" w:space="0"/>
                    <w:right w:val="single" w:color="auto" w:sz="4" w:space="0"/>
                  </w:tcBorders>
                  <w:noWrap w:val="0"/>
                  <w:vAlign w:val="center"/>
                </w:tcPr>
                <w:p w14:paraId="12669FF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left w:val="single" w:color="auto" w:sz="4" w:space="0"/>
                    <w:bottom w:val="single" w:color="auto" w:sz="4" w:space="0"/>
                    <w:right w:val="single" w:color="auto" w:sz="4" w:space="0"/>
                  </w:tcBorders>
                  <w:noWrap w:val="0"/>
                  <w:vAlign w:val="center"/>
                </w:tcPr>
                <w:p w14:paraId="1595EC6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left w:val="single" w:color="auto" w:sz="4" w:space="0"/>
                    <w:bottom w:val="single" w:color="auto" w:sz="4" w:space="0"/>
                    <w:right w:val="single" w:color="auto" w:sz="4" w:space="0"/>
                  </w:tcBorders>
                  <w:noWrap w:val="0"/>
                  <w:vAlign w:val="center"/>
                </w:tcPr>
                <w:p w14:paraId="4039728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1583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FB19E8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搅拌机清洗废水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87662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rPr>
                    <w:t>台搅拌机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E0C5E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2.5</w:t>
                  </w: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/次·d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C4B7F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ECBFE9">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750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DD272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12D3C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600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79B1F53">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zh-CN"/>
                    </w:rPr>
                    <w:t>三级沉淀池处理后回用于生</w:t>
                  </w:r>
                  <w:r>
                    <w:rPr>
                      <w:rFonts w:hint="default" w:ascii="Times New Roman" w:hAnsi="Times New Roman" w:eastAsia="宋体" w:cs="Times New Roman"/>
                      <w:color w:val="auto"/>
                      <w:sz w:val="21"/>
                      <w:highlight w:val="none"/>
                    </w:rPr>
                    <w:t>产</w:t>
                  </w:r>
                </w:p>
              </w:tc>
            </w:tr>
            <w:tr w14:paraId="7E67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845D0F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搅拌作业区地面清洗废水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1CCA0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2000m</w:t>
                  </w:r>
                  <w:r>
                    <w:rPr>
                      <w:rFonts w:hint="default" w:ascii="Times New Roman" w:hAnsi="Times New Roman" w:eastAsia="宋体" w:cs="Times New Roman"/>
                      <w:color w:val="auto"/>
                      <w:sz w:val="21"/>
                      <w:highlight w:val="none"/>
                      <w:vertAlign w:val="superscript"/>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E7110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1.0m³/百</w:t>
                  </w:r>
                  <w:r>
                    <w:rPr>
                      <w:rFonts w:hint="default" w:ascii="Times New Roman" w:hAnsi="Times New Roman" w:eastAsia="宋体" w:cs="Times New Roman"/>
                      <w:color w:val="auto"/>
                      <w:sz w:val="21"/>
                      <w:highlight w:val="none"/>
                      <w:lang w:val="en-US" w:eastAsia="zh-CN"/>
                    </w:rPr>
                    <w:t>m</w:t>
                  </w:r>
                  <w:r>
                    <w:rPr>
                      <w:rFonts w:hint="default" w:ascii="Times New Roman" w:hAnsi="Times New Roman" w:eastAsia="宋体" w:cs="Times New Roman"/>
                      <w:color w:val="auto"/>
                      <w:sz w:val="21"/>
                      <w:highlight w:val="none"/>
                      <w:vertAlign w:val="superscript"/>
                      <w:lang w:val="en-US" w:eastAsia="zh-CN"/>
                    </w:rPr>
                    <w:t>2</w:t>
                  </w:r>
                  <w:r>
                    <w:rPr>
                      <w:rFonts w:hint="default" w:ascii="Times New Roman" w:hAnsi="Times New Roman" w:eastAsia="宋体" w:cs="Times New Roman"/>
                      <w:color w:val="auto"/>
                      <w:sz w:val="21"/>
                      <w:highlight w:val="none"/>
                    </w:rPr>
                    <w:t>·d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74381D">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83A7A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6000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C8658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DFC2E0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4800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FE7D40">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6157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14CAB3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运输清洗废水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A0ACB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16.7辆</w:t>
                  </w: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C9ACB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0.4m³/辆·次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FCBAC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6.68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8ADC4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2004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47C24D">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5.344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8DB72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1603.2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F7AEA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2B44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4F3A73">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人工洒水降尘</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B425A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9D181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CDC7B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AE331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5CFFA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0773BD">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0</w:t>
                  </w:r>
                </w:p>
              </w:tc>
              <w:tc>
                <w:tcPr>
                  <w:tcW w:w="0" w:type="auto"/>
                  <w:vMerge w:val="restart"/>
                  <w:tcBorders>
                    <w:top w:val="single" w:color="auto" w:sz="4" w:space="0"/>
                    <w:left w:val="single" w:color="auto" w:sz="4" w:space="0"/>
                    <w:right w:val="single" w:color="auto" w:sz="4" w:space="0"/>
                  </w:tcBorders>
                  <w:noWrap w:val="0"/>
                  <w:vAlign w:val="center"/>
                </w:tcPr>
                <w:p w14:paraId="6B1673A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全部蒸发</w:t>
                  </w:r>
                </w:p>
              </w:tc>
            </w:tr>
            <w:tr w14:paraId="5606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B87697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喷雾用水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CF4DC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cs="Times New Roman"/>
                      <w:color w:val="auto"/>
                      <w:sz w:val="21"/>
                      <w:highlight w:val="none"/>
                      <w:lang w:val="en-US" w:eastAsia="zh-CN"/>
                    </w:rPr>
                    <w:t>7200h</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DA3EE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45L/h</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4A22E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5351C9">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972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CE531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1DB88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0</w:t>
                  </w:r>
                </w:p>
              </w:tc>
              <w:tc>
                <w:tcPr>
                  <w:tcW w:w="0" w:type="auto"/>
                  <w:vMerge w:val="continue"/>
                  <w:tcBorders>
                    <w:left w:val="single" w:color="auto" w:sz="4" w:space="0"/>
                    <w:bottom w:val="single" w:color="auto" w:sz="4" w:space="0"/>
                    <w:right w:val="single" w:color="auto" w:sz="4" w:space="0"/>
                  </w:tcBorders>
                  <w:noWrap w:val="0"/>
                  <w:vAlign w:val="center"/>
                </w:tcPr>
                <w:p w14:paraId="27B6950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5B16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6361507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小计</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869C34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143.399</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E22650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43019.7</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621C6D8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23.344</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2F4DFDB3">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7003.2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FBADE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zh-CN"/>
                    </w:rPr>
                    <w:t>/</w:t>
                  </w:r>
                </w:p>
              </w:tc>
            </w:tr>
          </w:tbl>
          <w:p w14:paraId="4C3873C2">
            <w:pPr>
              <w:spacing w:line="360" w:lineRule="auto"/>
              <w:ind w:firstLine="480" w:firstLineChars="200"/>
              <w:rPr>
                <w:rFonts w:hint="default" w:ascii="Times New Roman" w:hAnsi="Times New Roman" w:eastAsia="宋体" w:cs="Times New Roman"/>
                <w:color w:val="auto"/>
                <w:sz w:val="24"/>
                <w:highlight w:val="none"/>
                <w:lang w:val="zh-CN" w:eastAsia="zh-CN"/>
              </w:rPr>
            </w:pPr>
          </w:p>
          <w:p w14:paraId="2A7124C5">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结合原项目现有工程概况章节，</w:t>
            </w:r>
            <w:r>
              <w:rPr>
                <w:rFonts w:hint="default" w:ascii="Times New Roman" w:hAnsi="Times New Roman" w:eastAsia="宋体" w:cs="Times New Roman"/>
                <w:color w:val="auto"/>
                <w:sz w:val="24"/>
                <w:highlight w:val="none"/>
                <w:lang w:val="zh-CN" w:eastAsia="zh-CN"/>
              </w:rPr>
              <w:t>扩建</w:t>
            </w:r>
            <w:r>
              <w:rPr>
                <w:rFonts w:hint="eastAsia" w:cs="Times New Roman"/>
                <w:color w:val="auto"/>
                <w:sz w:val="24"/>
                <w:highlight w:val="none"/>
                <w:lang w:val="en-US" w:eastAsia="zh-CN"/>
              </w:rPr>
              <w:t>完成后全厂</w:t>
            </w:r>
            <w:r>
              <w:rPr>
                <w:rFonts w:hint="default" w:ascii="Times New Roman" w:hAnsi="Times New Roman" w:eastAsia="宋体" w:cs="Times New Roman"/>
                <w:color w:val="auto"/>
                <w:sz w:val="24"/>
                <w:highlight w:val="none"/>
                <w:lang w:val="zh-CN" w:eastAsia="zh-CN"/>
              </w:rPr>
              <w:t>给排水量见下表</w:t>
            </w: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lang w:val="zh-CN" w:eastAsia="zh-CN"/>
              </w:rPr>
              <w:t>。</w:t>
            </w:r>
          </w:p>
          <w:p w14:paraId="0A42018A">
            <w:pPr>
              <w:keepNext w:val="0"/>
              <w:keepLines w:val="0"/>
              <w:pageBreakBefore w:val="0"/>
              <w:widowControl w:val="0"/>
              <w:kinsoku/>
              <w:wordWrap/>
              <w:overflowPunct/>
              <w:topLinePunct w:val="0"/>
              <w:bidi w:val="0"/>
              <w:snapToGrid w:val="0"/>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caps w:val="0"/>
                <w:snapToGrid w:val="0"/>
                <w:color w:val="auto"/>
                <w:spacing w:val="0"/>
                <w:w w:val="100"/>
                <w:position w:val="0"/>
                <w:sz w:val="21"/>
                <w:szCs w:val="21"/>
                <w:highlight w:val="none"/>
              </w:rPr>
              <w:t>-</w:t>
            </w:r>
            <w:r>
              <w:rPr>
                <w:rFonts w:hint="eastAsia" w:cs="Times New Roman"/>
                <w:b/>
                <w:caps w:val="0"/>
                <w:snapToGrid w:val="0"/>
                <w:color w:val="auto"/>
                <w:spacing w:val="0"/>
                <w:w w:val="100"/>
                <w:position w:val="0"/>
                <w:sz w:val="21"/>
                <w:szCs w:val="21"/>
                <w:highlight w:val="none"/>
                <w:lang w:val="en-US" w:eastAsia="zh-CN"/>
              </w:rPr>
              <w:t>9</w:t>
            </w:r>
            <w:r>
              <w:rPr>
                <w:rFonts w:hint="default" w:ascii="Times New Roman" w:hAnsi="Times New Roman" w:eastAsia="宋体" w:cs="Times New Roman"/>
                <w:b/>
                <w:caps w:val="0"/>
                <w:snapToGrid w:val="0"/>
                <w:color w:val="auto"/>
                <w:spacing w:val="0"/>
                <w:w w:val="100"/>
                <w:position w:val="0"/>
                <w:sz w:val="21"/>
                <w:szCs w:val="21"/>
                <w:highlight w:val="none"/>
              </w:rPr>
              <w:t xml:space="preserve">   </w:t>
            </w:r>
            <w:r>
              <w:rPr>
                <w:rFonts w:hint="default" w:ascii="Times New Roman" w:hAnsi="Times New Roman" w:eastAsia="宋体" w:cs="Times New Roman"/>
                <w:b/>
                <w:caps w:val="0"/>
                <w:snapToGrid w:val="0"/>
                <w:color w:val="auto"/>
                <w:spacing w:val="0"/>
                <w:w w:val="100"/>
                <w:position w:val="0"/>
                <w:sz w:val="21"/>
                <w:szCs w:val="21"/>
                <w:highlight w:val="none"/>
                <w:lang w:val="zh-CN" w:eastAsia="zh-CN"/>
              </w:rPr>
              <w:t>扩建</w:t>
            </w:r>
            <w:r>
              <w:rPr>
                <w:rFonts w:hint="eastAsia" w:ascii="Times New Roman" w:hAnsi="Times New Roman" w:eastAsia="宋体" w:cs="Times New Roman"/>
                <w:b/>
                <w:caps w:val="0"/>
                <w:snapToGrid w:val="0"/>
                <w:color w:val="auto"/>
                <w:spacing w:val="0"/>
                <w:w w:val="100"/>
                <w:position w:val="0"/>
                <w:sz w:val="21"/>
                <w:szCs w:val="21"/>
                <w:highlight w:val="none"/>
                <w:lang w:val="en-US" w:eastAsia="zh-CN"/>
              </w:rPr>
              <w:t>完成后全厂</w:t>
            </w:r>
            <w:r>
              <w:rPr>
                <w:rFonts w:hint="eastAsia" w:cs="Times New Roman"/>
                <w:b/>
                <w:caps w:val="0"/>
                <w:snapToGrid w:val="0"/>
                <w:color w:val="auto"/>
                <w:spacing w:val="0"/>
                <w:w w:val="100"/>
                <w:position w:val="0"/>
                <w:sz w:val="21"/>
                <w:szCs w:val="21"/>
                <w:highlight w:val="none"/>
                <w:lang w:val="en-US" w:eastAsia="zh-CN"/>
              </w:rPr>
              <w:t>供排水</w:t>
            </w:r>
            <w:r>
              <w:rPr>
                <w:rFonts w:hint="default" w:ascii="Times New Roman" w:hAnsi="Times New Roman" w:eastAsia="宋体" w:cs="Times New Roman"/>
                <w:b/>
                <w:caps w:val="0"/>
                <w:snapToGrid w:val="0"/>
                <w:color w:val="auto"/>
                <w:spacing w:val="0"/>
                <w:w w:val="100"/>
                <w:position w:val="0"/>
                <w:sz w:val="21"/>
                <w:szCs w:val="21"/>
                <w:highlight w:val="none"/>
              </w:rPr>
              <w:t>情况一览表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036"/>
              <w:gridCol w:w="1225"/>
              <w:gridCol w:w="1516"/>
              <w:gridCol w:w="794"/>
              <w:gridCol w:w="899"/>
              <w:gridCol w:w="3188"/>
            </w:tblGrid>
            <w:tr w14:paraId="406F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7ABEDD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用水单位</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6AAB1CB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8479FE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用水量</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0DAB22B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污水量</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6776EA4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备注</w:t>
                  </w:r>
                </w:p>
              </w:tc>
            </w:tr>
            <w:tr w14:paraId="480F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BDF34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5781A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8B60CD3">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3173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/a</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81CCF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/d</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E9D90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m</w:t>
                  </w:r>
                  <w:r>
                    <w:rPr>
                      <w:rFonts w:hint="default" w:ascii="Times New Roman" w:hAnsi="Times New Roman" w:eastAsia="宋体" w:cs="Times New Roman"/>
                      <w:color w:val="auto"/>
                      <w:sz w:val="21"/>
                      <w:highlight w:val="none"/>
                      <w:vertAlign w:val="superscript"/>
                    </w:rPr>
                    <w:t>3</w:t>
                  </w:r>
                  <w:r>
                    <w:rPr>
                      <w:rFonts w:hint="default" w:ascii="Times New Roman" w:hAnsi="Times New Roman" w:eastAsia="宋体" w:cs="Times New Roman"/>
                      <w:color w:val="auto"/>
                      <w:sz w:val="21"/>
                      <w:highlight w:val="none"/>
                    </w:rPr>
                    <w:t>/a</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8F6859">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3130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restart"/>
                  <w:tcBorders>
                    <w:top w:val="single" w:color="auto" w:sz="4" w:space="0"/>
                    <w:left w:val="single" w:color="auto" w:sz="4" w:space="0"/>
                    <w:right w:val="single" w:color="auto" w:sz="4" w:space="0"/>
                  </w:tcBorders>
                  <w:noWrap w:val="0"/>
                  <w:vAlign w:val="center"/>
                </w:tcPr>
                <w:p w14:paraId="3F6316F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搅拌用水</w:t>
                  </w:r>
                </w:p>
              </w:tc>
              <w:tc>
                <w:tcPr>
                  <w:tcW w:w="0" w:type="auto"/>
                  <w:vMerge w:val="restart"/>
                  <w:tcBorders>
                    <w:top w:val="single" w:color="auto" w:sz="4" w:space="0"/>
                    <w:left w:val="single" w:color="auto" w:sz="4" w:space="0"/>
                    <w:right w:val="single" w:color="auto" w:sz="4" w:space="0"/>
                  </w:tcBorders>
                  <w:noWrap w:val="0"/>
                  <w:vAlign w:val="center"/>
                </w:tcPr>
                <w:p w14:paraId="796B93A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35</w:t>
                  </w:r>
                  <w:r>
                    <w:rPr>
                      <w:rFonts w:hint="default" w:ascii="Times New Roman" w:hAnsi="Times New Roman" w:eastAsia="宋体" w:cs="Times New Roman"/>
                      <w:color w:val="auto"/>
                      <w:sz w:val="21"/>
                      <w:highlight w:val="none"/>
                      <w:lang w:val="en-US" w:eastAsia="zh-CN"/>
                    </w:rPr>
                    <w:t>万t产品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D265C3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429.883</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lang w:val="en-US" w:eastAsia="zh-CN"/>
                    </w:rPr>
                    <w:t>新鲜水</w:t>
                  </w:r>
                  <w:r>
                    <w:rPr>
                      <w:rFonts w:hint="default" w:ascii="Times New Roman" w:hAnsi="Times New Roman" w:eastAsia="宋体" w:cs="Times New Roman"/>
                      <w:color w:val="auto"/>
                      <w:sz w:val="21"/>
                      <w:highlight w:val="none"/>
                      <w:lang w:eastAsia="zh-CN"/>
                    </w:rPr>
                    <w:t>）</w:t>
                  </w:r>
                </w:p>
              </w:tc>
              <w:tc>
                <w:tcPr>
                  <w:tcW w:w="1516" w:type="dxa"/>
                  <w:tcBorders>
                    <w:top w:val="single" w:color="auto" w:sz="4" w:space="0"/>
                    <w:left w:val="single" w:color="auto" w:sz="4" w:space="0"/>
                    <w:right w:val="single" w:color="auto" w:sz="4" w:space="0"/>
                  </w:tcBorders>
                  <w:noWrap w:val="0"/>
                  <w:vAlign w:val="center"/>
                </w:tcPr>
                <w:p w14:paraId="6F30B8A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128964.9</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lang w:val="en-US" w:eastAsia="zh-CN"/>
                    </w:rPr>
                    <w:t>新鲜水</w:t>
                  </w:r>
                  <w:r>
                    <w:rPr>
                      <w:rFonts w:hint="default" w:ascii="Times New Roman" w:hAnsi="Times New Roman" w:eastAsia="宋体" w:cs="Times New Roman"/>
                      <w:color w:val="auto"/>
                      <w:sz w:val="21"/>
                      <w:highlight w:val="none"/>
                      <w:lang w:eastAsia="zh-CN"/>
                    </w:rPr>
                    <w:t>）</w:t>
                  </w:r>
                </w:p>
              </w:tc>
              <w:tc>
                <w:tcPr>
                  <w:tcW w:w="0" w:type="auto"/>
                  <w:vMerge w:val="restart"/>
                  <w:tcBorders>
                    <w:top w:val="single" w:color="auto" w:sz="4" w:space="0"/>
                    <w:left w:val="single" w:color="auto" w:sz="4" w:space="0"/>
                    <w:right w:val="single" w:color="auto" w:sz="4" w:space="0"/>
                  </w:tcBorders>
                  <w:noWrap w:val="0"/>
                  <w:vAlign w:val="center"/>
                </w:tcPr>
                <w:p w14:paraId="5F340D4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0</w:t>
                  </w:r>
                </w:p>
              </w:tc>
              <w:tc>
                <w:tcPr>
                  <w:tcW w:w="0" w:type="auto"/>
                  <w:vMerge w:val="restart"/>
                  <w:tcBorders>
                    <w:top w:val="single" w:color="auto" w:sz="4" w:space="0"/>
                    <w:left w:val="single" w:color="auto" w:sz="4" w:space="0"/>
                    <w:right w:val="single" w:color="auto" w:sz="4" w:space="0"/>
                  </w:tcBorders>
                  <w:noWrap w:val="0"/>
                  <w:vAlign w:val="center"/>
                </w:tcPr>
                <w:p w14:paraId="2E2D15E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0</w:t>
                  </w:r>
                </w:p>
              </w:tc>
              <w:tc>
                <w:tcPr>
                  <w:tcW w:w="0" w:type="auto"/>
                  <w:vMerge w:val="restart"/>
                  <w:tcBorders>
                    <w:top w:val="single" w:color="auto" w:sz="4" w:space="0"/>
                    <w:left w:val="single" w:color="auto" w:sz="4" w:space="0"/>
                    <w:right w:val="single" w:color="auto" w:sz="4" w:space="0"/>
                  </w:tcBorders>
                  <w:noWrap w:val="0"/>
                  <w:vAlign w:val="center"/>
                </w:tcPr>
                <w:p w14:paraId="238E7FB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产品带走</w:t>
                  </w:r>
                </w:p>
              </w:tc>
            </w:tr>
            <w:tr w14:paraId="6F79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left w:val="single" w:color="auto" w:sz="4" w:space="0"/>
                    <w:bottom w:val="single" w:color="auto" w:sz="4" w:space="0"/>
                    <w:right w:val="single" w:color="auto" w:sz="4" w:space="0"/>
                  </w:tcBorders>
                  <w:noWrap w:val="0"/>
                  <w:vAlign w:val="center"/>
                </w:tcPr>
                <w:p w14:paraId="6C5560F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left w:val="single" w:color="auto" w:sz="4" w:space="0"/>
                    <w:bottom w:val="single" w:color="auto" w:sz="4" w:space="0"/>
                    <w:right w:val="single" w:color="auto" w:sz="4" w:space="0"/>
                  </w:tcBorders>
                  <w:noWrap w:val="0"/>
                  <w:vAlign w:val="center"/>
                </w:tcPr>
                <w:p w14:paraId="45328F64">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9D678D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36.667</w:t>
                  </w:r>
                  <w:r>
                    <w:rPr>
                      <w:rFonts w:hint="default" w:ascii="Times New Roman" w:hAnsi="Times New Roman" w:eastAsia="宋体" w:cs="Times New Roman"/>
                      <w:color w:val="auto"/>
                      <w:sz w:val="21"/>
                      <w:highlight w:val="none"/>
                      <w:lang w:val="en-US" w:eastAsia="zh-CN"/>
                    </w:rPr>
                    <w:t>（回用水）</w:t>
                  </w:r>
                </w:p>
              </w:tc>
              <w:tc>
                <w:tcPr>
                  <w:tcW w:w="1516" w:type="dxa"/>
                  <w:tcBorders>
                    <w:left w:val="single" w:color="auto" w:sz="4" w:space="0"/>
                    <w:bottom w:val="single" w:color="auto" w:sz="4" w:space="0"/>
                    <w:right w:val="single" w:color="auto" w:sz="4" w:space="0"/>
                  </w:tcBorders>
                  <w:noWrap w:val="0"/>
                  <w:vAlign w:val="center"/>
                </w:tcPr>
                <w:p w14:paraId="6A736EE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11000.1</w:t>
                  </w:r>
                  <w:r>
                    <w:rPr>
                      <w:rFonts w:hint="default" w:ascii="Times New Roman" w:hAnsi="Times New Roman" w:eastAsia="宋体" w:cs="Times New Roman"/>
                      <w:color w:val="auto"/>
                      <w:sz w:val="21"/>
                      <w:highlight w:val="none"/>
                      <w:lang w:val="en-US" w:eastAsia="zh-CN"/>
                    </w:rPr>
                    <w:t>（回用水）</w:t>
                  </w:r>
                </w:p>
              </w:tc>
              <w:tc>
                <w:tcPr>
                  <w:tcW w:w="0" w:type="auto"/>
                  <w:vMerge w:val="continue"/>
                  <w:tcBorders>
                    <w:left w:val="single" w:color="auto" w:sz="4" w:space="0"/>
                    <w:bottom w:val="single" w:color="auto" w:sz="4" w:space="0"/>
                    <w:right w:val="single" w:color="auto" w:sz="4" w:space="0"/>
                  </w:tcBorders>
                  <w:noWrap w:val="0"/>
                  <w:vAlign w:val="center"/>
                </w:tcPr>
                <w:p w14:paraId="59F24CC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left w:val="single" w:color="auto" w:sz="4" w:space="0"/>
                    <w:bottom w:val="single" w:color="auto" w:sz="4" w:space="0"/>
                    <w:right w:val="single" w:color="auto" w:sz="4" w:space="0"/>
                  </w:tcBorders>
                  <w:noWrap w:val="0"/>
                  <w:vAlign w:val="center"/>
                </w:tcPr>
                <w:p w14:paraId="534EF25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c>
                <w:tcPr>
                  <w:tcW w:w="0" w:type="auto"/>
                  <w:vMerge w:val="continue"/>
                  <w:tcBorders>
                    <w:left w:val="single" w:color="auto" w:sz="4" w:space="0"/>
                    <w:bottom w:val="single" w:color="auto" w:sz="4" w:space="0"/>
                    <w:right w:val="single" w:color="auto" w:sz="4" w:space="0"/>
                  </w:tcBorders>
                  <w:noWrap w:val="0"/>
                  <w:vAlign w:val="center"/>
                </w:tcPr>
                <w:p w14:paraId="5575E49D">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0868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591800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搅拌机清洗废水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8A594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rPr>
                    <w:t>台搅拌机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8FCFB4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2.5</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8DF1AAC">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750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202B1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39647B11">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600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955224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zh-CN"/>
                    </w:rPr>
                    <w:t>三级沉淀池处理后回用于生</w:t>
                  </w:r>
                  <w:r>
                    <w:rPr>
                      <w:rFonts w:hint="default" w:ascii="Times New Roman" w:hAnsi="Times New Roman" w:eastAsia="宋体" w:cs="Times New Roman"/>
                      <w:color w:val="auto"/>
                      <w:sz w:val="21"/>
                      <w:highlight w:val="none"/>
                    </w:rPr>
                    <w:t>产</w:t>
                  </w:r>
                </w:p>
              </w:tc>
            </w:tr>
            <w:tr w14:paraId="6546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C07FA04">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搅拌作业区地面清洗废水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9DACD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2000m2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1ACE2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20</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227F1A9">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6000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FF11F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16</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585BE3C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4800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A1CF3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3D3C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5A3545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运输清洗废水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3A6C8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16.7辆</w:t>
                  </w: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DD5784">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23.38</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279333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7014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F3DA1D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rPr>
                  </w:pPr>
                  <w:r>
                    <w:rPr>
                      <w:rFonts w:hint="eastAsia" w:ascii="Times New Roman" w:hAnsi="Times New Roman" w:eastAsia="宋体" w:cs="Times New Roman"/>
                      <w:color w:val="auto"/>
                      <w:sz w:val="21"/>
                      <w:highlight w:val="none"/>
                      <w:lang w:val="en-US" w:eastAsia="zh-CN"/>
                    </w:rPr>
                    <w:t>18.704</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7DF5E1B9">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5611.2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D8F8F0">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27DC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A09C1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人工洒水降尘</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7F514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84A291E">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1.0</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33D4CB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8BCEB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BC8DFC">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0</w:t>
                  </w:r>
                </w:p>
              </w:tc>
              <w:tc>
                <w:tcPr>
                  <w:tcW w:w="0" w:type="auto"/>
                  <w:vMerge w:val="restart"/>
                  <w:tcBorders>
                    <w:top w:val="single" w:color="auto" w:sz="4" w:space="0"/>
                    <w:left w:val="single" w:color="auto" w:sz="4" w:space="0"/>
                    <w:right w:val="single" w:color="auto" w:sz="4" w:space="0"/>
                  </w:tcBorders>
                  <w:noWrap w:val="0"/>
                  <w:vAlign w:val="center"/>
                </w:tcPr>
                <w:p w14:paraId="090E701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全部蒸发</w:t>
                  </w:r>
                </w:p>
              </w:tc>
            </w:tr>
            <w:tr w14:paraId="3919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6F33B0C">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喷雾用水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22DDF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7200h</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269F4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3.24</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F27ACA4">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972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39B36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E91DB5">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0</w:t>
                  </w:r>
                </w:p>
              </w:tc>
              <w:tc>
                <w:tcPr>
                  <w:tcW w:w="0" w:type="auto"/>
                  <w:vMerge w:val="continue"/>
                  <w:tcBorders>
                    <w:left w:val="single" w:color="auto" w:sz="4" w:space="0"/>
                    <w:bottom w:val="single" w:color="auto" w:sz="4" w:space="0"/>
                    <w:right w:val="single" w:color="auto" w:sz="4" w:space="0"/>
                  </w:tcBorders>
                  <w:noWrap w:val="0"/>
                  <w:vAlign w:val="center"/>
                </w:tcPr>
                <w:p w14:paraId="642C4908">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p>
              </w:tc>
            </w:tr>
            <w:tr w14:paraId="54F7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A4793CA">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cs="Times New Roman"/>
                      <w:color w:val="auto"/>
                      <w:sz w:val="21"/>
                      <w:highlight w:val="none"/>
                      <w:lang w:val="en-US" w:eastAsia="zh-CN"/>
                    </w:rPr>
                    <w:t>生活用水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442464">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cs="Times New Roman"/>
                      <w:color w:val="auto"/>
                      <w:sz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6B272D3">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1.8</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E88888D">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540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DCE864">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1.44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91F180">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432</w:t>
                  </w:r>
                </w:p>
              </w:tc>
              <w:tc>
                <w:tcPr>
                  <w:tcW w:w="0" w:type="auto"/>
                  <w:tcBorders>
                    <w:left w:val="single" w:color="auto" w:sz="4" w:space="0"/>
                    <w:bottom w:val="single" w:color="auto" w:sz="4" w:space="0"/>
                    <w:right w:val="single" w:color="auto" w:sz="4" w:space="0"/>
                  </w:tcBorders>
                  <w:noWrap w:val="0"/>
                  <w:vAlign w:val="center"/>
                </w:tcPr>
                <w:p w14:paraId="4DCC232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项目食堂废水先经隔油池处理后，再同生活污水排入化粪池处理后，用于农田堆肥</w:t>
                  </w:r>
                </w:p>
              </w:tc>
            </w:tr>
            <w:tr w14:paraId="5EFA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44" w:type="dxa"/>
                  <w:gridSpan w:val="2"/>
                  <w:tcBorders>
                    <w:top w:val="single" w:color="auto" w:sz="4" w:space="0"/>
                    <w:left w:val="single" w:color="auto" w:sz="4" w:space="0"/>
                    <w:bottom w:val="single" w:color="auto" w:sz="4" w:space="0"/>
                    <w:right w:val="single" w:color="auto" w:sz="4" w:space="0"/>
                  </w:tcBorders>
                  <w:noWrap w:val="0"/>
                  <w:vAlign w:val="center"/>
                </w:tcPr>
                <w:p w14:paraId="719D6E96">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小计</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CDE927B">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481.803</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F7CA472">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144540.9</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6B84DB5F">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38.144</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46ABB4B0">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11443.2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59CC27">
                  <w:pPr>
                    <w:pStyle w:val="38"/>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zh-CN"/>
                    </w:rPr>
                    <w:t>/</w:t>
                  </w:r>
                </w:p>
              </w:tc>
            </w:tr>
          </w:tbl>
          <w:p w14:paraId="47EA7B4F">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w:t>
            </w:r>
            <w:r>
              <w:rPr>
                <w:rFonts w:hint="eastAsia" w:cs="Times New Roman"/>
                <w:color w:val="auto"/>
                <w:sz w:val="24"/>
                <w:highlight w:val="none"/>
                <w:lang w:val="en-US" w:eastAsia="zh-CN"/>
              </w:rPr>
              <w:t>次扩建</w:t>
            </w:r>
            <w:r>
              <w:rPr>
                <w:rFonts w:hint="default" w:ascii="Times New Roman" w:hAnsi="Times New Roman" w:cs="Times New Roman"/>
                <w:color w:val="auto"/>
                <w:sz w:val="24"/>
                <w:highlight w:val="none"/>
                <w:lang w:val="en-US" w:eastAsia="zh-CN"/>
              </w:rPr>
              <w:t>项目水平衡图见图2-1</w:t>
            </w:r>
            <w:r>
              <w:rPr>
                <w:rFonts w:hint="eastAsia" w:cs="Times New Roman"/>
                <w:color w:val="auto"/>
                <w:sz w:val="24"/>
                <w:highlight w:val="none"/>
                <w:lang w:val="en-US" w:eastAsia="zh-CN"/>
              </w:rPr>
              <w:t>，扩建后全厂运营期水平衡</w:t>
            </w:r>
            <w:r>
              <w:rPr>
                <w:rFonts w:hint="default" w:ascii="Times New Roman" w:hAnsi="Times New Roman" w:cs="Times New Roman"/>
                <w:color w:val="auto"/>
                <w:sz w:val="24"/>
                <w:highlight w:val="none"/>
                <w:lang w:val="en-US" w:eastAsia="zh-CN"/>
              </w:rPr>
              <w:t>见图2-</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lang w:val="en-US" w:eastAsia="zh-CN"/>
              </w:rPr>
              <w:t>：</w:t>
            </w:r>
          </w:p>
          <w:p w14:paraId="4B5BF9B1">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r>
              <w:rPr>
                <w:rFonts w:hint="default" w:ascii="Times New Roman" w:hAnsi="Times New Roman" w:cs="Times New Roman"/>
                <w:color w:val="auto"/>
                <w:kern w:val="2"/>
                <w:sz w:val="24"/>
                <w:szCs w:val="24"/>
                <w:highlight w:val="none"/>
                <w:lang w:eastAsia="zh-CN"/>
              </w:rPr>
              <w:object>
                <v:shape id="_x0000_i1025" o:spt="75" type="#_x0000_t75" style="height:354.4pt;width:394.75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14:paraId="7CCD5236">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1</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eastAsia" w:cs="Times New Roman"/>
                <w:b/>
                <w:bCs/>
                <w:caps w:val="0"/>
                <w:snapToGrid w:val="0"/>
                <w:color w:val="auto"/>
                <w:spacing w:val="0"/>
                <w:w w:val="100"/>
                <w:position w:val="0"/>
                <w:sz w:val="21"/>
                <w:szCs w:val="21"/>
                <w:highlight w:val="none"/>
                <w:lang w:val="en-US" w:eastAsia="zh-CN"/>
              </w:rPr>
              <w:t>本项目</w:t>
            </w:r>
            <w:r>
              <w:rPr>
                <w:rFonts w:hint="default" w:ascii="Times New Roman" w:hAnsi="Times New Roman" w:eastAsia="宋体" w:cs="Times New Roman"/>
                <w:b/>
                <w:bCs/>
                <w:caps w:val="0"/>
                <w:snapToGrid w:val="0"/>
                <w:color w:val="auto"/>
                <w:spacing w:val="0"/>
                <w:w w:val="100"/>
                <w:position w:val="0"/>
                <w:sz w:val="21"/>
                <w:szCs w:val="21"/>
                <w:highlight w:val="none"/>
              </w:rPr>
              <w:t>运营期水平衡示意图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14:paraId="6373485F">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14:paraId="30522AFF">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14:paraId="48080C38">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14:paraId="4E6A3405">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cs="Times New Roman"/>
                <w:color w:val="auto"/>
                <w:kern w:val="2"/>
                <w:sz w:val="24"/>
                <w:szCs w:val="24"/>
                <w:highlight w:val="none"/>
                <w:lang w:eastAsia="zh-CN"/>
              </w:rPr>
            </w:pPr>
            <w:r>
              <w:rPr>
                <w:rFonts w:hint="default" w:ascii="Times New Roman" w:hAnsi="Times New Roman" w:cs="Times New Roman"/>
                <w:color w:val="auto"/>
                <w:kern w:val="2"/>
                <w:sz w:val="24"/>
                <w:szCs w:val="24"/>
                <w:highlight w:val="none"/>
                <w:lang w:eastAsia="zh-CN"/>
              </w:rPr>
              <w:object>
                <v:shape id="_x0000_i1026" o:spt="75" type="#_x0000_t75" style="height:401.75pt;width:416.2pt;" o:ole="t" filled="f" o:preferrelative="t" stroked="f" coordsize="21600,21600">
                  <v:path/>
                  <v:fill on="f" focussize="0,0"/>
                  <v:stroke on="f"/>
                  <v:imagedata r:id="rId10" o:title=""/>
                  <o:lock v:ext="edit" aspectratio="t"/>
                  <w10:wrap type="none"/>
                  <w10:anchorlock/>
                </v:shape>
                <o:OLEObject Type="Embed" ProgID="Visio.Drawing.11" ShapeID="_x0000_i1026" DrawAspect="Content" ObjectID="_1468075726" r:id="rId9">
                  <o:LockedField>false</o:LockedField>
                </o:OLEObject>
              </w:object>
            </w:r>
          </w:p>
          <w:p w14:paraId="4987EDA1">
            <w:pPr>
              <w:pStyle w:val="4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cs="Times New Roman"/>
                <w:color w:val="auto"/>
                <w:kern w:val="2"/>
                <w:sz w:val="24"/>
                <w:szCs w:val="24"/>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t>扩建后全厂</w:t>
            </w:r>
            <w:r>
              <w:rPr>
                <w:rFonts w:hint="default" w:ascii="Times New Roman" w:hAnsi="Times New Roman" w:eastAsia="宋体" w:cs="Times New Roman"/>
                <w:b/>
                <w:bCs/>
                <w:caps w:val="0"/>
                <w:snapToGrid w:val="0"/>
                <w:color w:val="auto"/>
                <w:spacing w:val="0"/>
                <w:w w:val="100"/>
                <w:position w:val="0"/>
                <w:sz w:val="21"/>
                <w:szCs w:val="21"/>
                <w:highlight w:val="none"/>
              </w:rPr>
              <w:t>运营期水平衡示意图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r>
      <w:tr w14:paraId="6D8EA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6" w:type="dxa"/>
            <w:vAlign w:val="center"/>
          </w:tcPr>
          <w:p w14:paraId="3672B945">
            <w:pPr>
              <w:pStyle w:val="25"/>
              <w:keepNext w:val="0"/>
              <w:keepLines w:val="0"/>
              <w:pageBreakBefore w:val="0"/>
              <w:widowControl/>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201" w:type="dxa"/>
            <w:vAlign w:val="top"/>
          </w:tcPr>
          <w:p w14:paraId="47583B1E">
            <w:pPr>
              <w:keepNext w:val="0"/>
              <w:keepLines w:val="0"/>
              <w:pageBreakBefore w:val="0"/>
              <w:widowControl w:val="0"/>
              <w:kinsoku/>
              <w:wordWrap/>
              <w:overflowPunct/>
              <w:topLinePunct w:val="0"/>
              <w:autoSpaceDE/>
              <w:autoSpaceDN/>
              <w:bidi w:val="0"/>
              <w:adjustRightInd/>
              <w:snapToGrid/>
              <w:spacing w:after="0" w:line="351" w:lineRule="auto"/>
              <w:textAlignment w:val="auto"/>
              <w:rPr>
                <w:rFonts w:hint="default" w:ascii="Times New Roman" w:hAnsi="Times New Roman" w:eastAsia="宋体" w:cs="Times New Roman"/>
                <w:b/>
                <w:color w:val="auto"/>
                <w:sz w:val="24"/>
                <w:highlight w:val="none"/>
                <w:lang w:val="en-US" w:eastAsia="zh-CN"/>
              </w:rPr>
            </w:pPr>
            <w:bookmarkStart w:id="12"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14:paraId="1912C680">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本扩建项目原料仓三面围挡、水泥筒仓、粉煤灰筒仓、矿粉筒仓及破碎制砂车间均已安装完成，扩建项目暂未开始设备调试及投入运营，等环评手续及竣工环境保护验收工作结束后将投入运营。</w:t>
            </w:r>
          </w:p>
          <w:p w14:paraId="3A19BC79">
            <w:pPr>
              <w:keepNext w:val="0"/>
              <w:keepLines w:val="0"/>
              <w:pageBreakBefore w:val="0"/>
              <w:widowControl w:val="0"/>
              <w:kinsoku/>
              <w:wordWrap/>
              <w:overflowPunct/>
              <w:topLinePunct w:val="0"/>
              <w:autoSpaceDE/>
              <w:autoSpaceDN/>
              <w:bidi w:val="0"/>
              <w:adjustRightInd/>
              <w:snapToGrid/>
              <w:spacing w:after="0" w:line="351"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14:paraId="1863CB1F">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14:paraId="5DF46FFD">
            <w:pPr>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1、生产商品混凝土</w:t>
            </w:r>
          </w:p>
          <w:p w14:paraId="3D645063">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cs="Times New Roman"/>
                <w:color w:val="auto"/>
                <w:sz w:val="24"/>
                <w:highlight w:val="none"/>
              </w:rPr>
              <w:t>主要生</w:t>
            </w:r>
            <w:r>
              <w:rPr>
                <w:rFonts w:hint="default" w:ascii="Times New Roman" w:hAnsi="Times New Roman" w:eastAsia="宋体" w:cs="Times New Roman"/>
                <w:color w:val="auto"/>
                <w:kern w:val="0"/>
                <w:sz w:val="24"/>
                <w:szCs w:val="24"/>
                <w:lang w:val="en-US" w:eastAsia="zh-CN" w:bidi="ar"/>
              </w:rPr>
              <w:t>产商品混凝土由骨料、</w:t>
            </w:r>
            <w:r>
              <w:rPr>
                <w:rFonts w:hint="default" w:ascii="Times New Roman" w:hAnsi="Times New Roman" w:cs="Times New Roman"/>
                <w:color w:val="auto"/>
                <w:kern w:val="0"/>
                <w:sz w:val="24"/>
                <w:szCs w:val="24"/>
                <w:lang w:val="en-US" w:eastAsia="zh-CN" w:bidi="ar"/>
              </w:rPr>
              <w:t>水泥、粉煤灰、</w:t>
            </w:r>
            <w:r>
              <w:rPr>
                <w:rFonts w:hint="default" w:ascii="Times New Roman" w:hAnsi="Times New Roman" w:eastAsia="宋体" w:cs="Times New Roman"/>
                <w:color w:val="auto"/>
                <w:kern w:val="0"/>
                <w:sz w:val="24"/>
                <w:szCs w:val="24"/>
                <w:lang w:val="en-US" w:eastAsia="zh-CN" w:bidi="ar"/>
              </w:rPr>
              <w:t>矿粉混合拌制而成。进入拌缸的骨料、</w:t>
            </w:r>
            <w:r>
              <w:rPr>
                <w:rFonts w:hint="default" w:ascii="Times New Roman" w:hAnsi="Times New Roman" w:cs="Times New Roman"/>
                <w:color w:val="auto"/>
                <w:kern w:val="0"/>
                <w:sz w:val="24"/>
                <w:szCs w:val="24"/>
                <w:lang w:val="en-US" w:eastAsia="zh-CN" w:bidi="ar"/>
              </w:rPr>
              <w:t>水泥、粉煤灰、</w:t>
            </w:r>
            <w:r>
              <w:rPr>
                <w:rFonts w:hint="default" w:ascii="Times New Roman" w:hAnsi="Times New Roman" w:eastAsia="宋体" w:cs="Times New Roman"/>
                <w:color w:val="auto"/>
                <w:kern w:val="0"/>
                <w:sz w:val="24"/>
                <w:szCs w:val="24"/>
                <w:lang w:val="en-US" w:eastAsia="zh-CN" w:bidi="ar"/>
              </w:rPr>
              <w:t>矿粉等经拌合后才成为成品，整个过程都在密闭系统中进行。其一般流程可分为</w:t>
            </w:r>
            <w:r>
              <w:rPr>
                <w:rFonts w:hint="default" w:ascii="Times New Roman" w:hAnsi="Times New Roman" w:cs="Times New Roman"/>
                <w:color w:val="auto"/>
                <w:kern w:val="0"/>
                <w:sz w:val="24"/>
                <w:szCs w:val="24"/>
                <w:lang w:val="en-US" w:eastAsia="zh-CN" w:bidi="ar"/>
              </w:rPr>
              <w:t>计量、进料</w:t>
            </w:r>
            <w:r>
              <w:rPr>
                <w:rFonts w:hint="default" w:ascii="Times New Roman" w:hAnsi="Times New Roman" w:eastAsia="宋体" w:cs="Times New Roman"/>
                <w:color w:val="auto"/>
                <w:kern w:val="0"/>
                <w:sz w:val="24"/>
                <w:szCs w:val="24"/>
                <w:lang w:val="en-US" w:eastAsia="zh-CN" w:bidi="ar"/>
              </w:rPr>
              <w:t>，而后进入拌缸拌合后即成为</w:t>
            </w:r>
            <w:r>
              <w:rPr>
                <w:rFonts w:hint="eastAsia" w:cs="Times New Roman"/>
                <w:color w:val="auto"/>
                <w:kern w:val="0"/>
                <w:sz w:val="24"/>
                <w:szCs w:val="24"/>
                <w:lang w:val="en-US" w:eastAsia="zh-CN" w:bidi="ar"/>
              </w:rPr>
              <w:t>成品</w:t>
            </w:r>
            <w:r>
              <w:rPr>
                <w:rFonts w:hint="default" w:ascii="Times New Roman" w:hAnsi="Times New Roman" w:eastAsia="宋体" w:cs="Times New Roman"/>
                <w:color w:val="auto"/>
                <w:kern w:val="0"/>
                <w:sz w:val="24"/>
                <w:szCs w:val="24"/>
                <w:lang w:val="en-US" w:eastAsia="zh-CN" w:bidi="ar"/>
              </w:rPr>
              <w:t>由汽车运输至施工场地，生产出料过程为间断式，成品从拌缸卸料后直接由汽车运出。</w:t>
            </w:r>
            <w:r>
              <w:rPr>
                <w:rFonts w:hint="default" w:ascii="Times New Roman" w:hAnsi="Times New Roman" w:eastAsia="宋体" w:cs="Times New Roman"/>
                <w:color w:val="auto"/>
                <w:sz w:val="24"/>
                <w:szCs w:val="24"/>
                <w:highlight w:val="none"/>
                <w:lang w:val="en-US" w:eastAsia="zh-CN"/>
              </w:rPr>
              <w:t>生产工艺及产排污节点如下图所示</w:t>
            </w:r>
            <w:r>
              <w:rPr>
                <w:rFonts w:hint="default" w:ascii="Times New Roman" w:hAnsi="Times New Roman" w:eastAsia="宋体" w:cs="Times New Roman"/>
                <w:color w:val="auto"/>
                <w:sz w:val="24"/>
                <w:szCs w:val="24"/>
                <w:highlight w:val="none"/>
              </w:rPr>
              <w:t>：</w:t>
            </w:r>
          </w:p>
          <w:p w14:paraId="4C2418BF">
            <w:pPr>
              <w:pStyle w:val="3"/>
              <w:ind w:left="0" w:leftChars="0" w:firstLine="0" w:firstLineChars="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2"/>
                <w:sz w:val="24"/>
                <w:szCs w:val="24"/>
                <w:highlight w:val="none"/>
                <w:lang w:eastAsia="zh-CN"/>
              </w:rPr>
              <w:object>
                <v:shape id="_x0000_i1027" o:spt="75" type="#_x0000_t75" style="height:337.45pt;width:492.25pt;" o:ole="t" filled="f" o:preferrelative="t" stroked="f" coordsize="21600,21600">
                  <v:path/>
                  <v:fill on="f" focussize="0,0"/>
                  <v:stroke on="f"/>
                  <v:imagedata r:id="rId12" o:title=""/>
                  <o:lock v:ext="edit" aspectratio="t"/>
                  <w10:wrap type="none"/>
                  <w10:anchorlock/>
                </v:shape>
                <o:OLEObject Type="Embed" ProgID="Visio.Drawing.11" ShapeID="_x0000_i1027" DrawAspect="Content" ObjectID="_1468075727" r:id="rId11">
                  <o:LockedField>false</o:LockedField>
                </o:OLEObject>
              </w:object>
            </w:r>
          </w:p>
          <w:p w14:paraId="2E63B6D4">
            <w:pPr>
              <w:spacing w:line="360" w:lineRule="auto"/>
              <w:ind w:firstLine="422" w:firstLineChars="200"/>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b/>
                <w:bCs/>
                <w:color w:val="auto"/>
                <w:sz w:val="21"/>
                <w:szCs w:val="21"/>
                <w:highlight w:val="none"/>
                <w:lang w:val="en-US" w:eastAsia="zh-CN"/>
              </w:rPr>
              <w:t xml:space="preserve">图2-3   </w:t>
            </w:r>
            <w:r>
              <w:rPr>
                <w:rFonts w:hint="default" w:ascii="Times New Roman" w:hAnsi="Times New Roman" w:cs="Times New Roman"/>
                <w:b/>
                <w:bCs/>
                <w:color w:val="auto"/>
                <w:highlight w:val="none"/>
              </w:rPr>
              <w:t>运营期商品混凝土工艺流程及产污节点图</w:t>
            </w:r>
          </w:p>
          <w:p w14:paraId="1F65DECF">
            <w:pPr>
              <w:keepNext w:val="0"/>
              <w:keepLines w:val="0"/>
              <w:pageBreakBefore w:val="0"/>
              <w:widowControl w:val="0"/>
              <w:wordWrap/>
              <w:topLinePunct w:val="0"/>
              <w:autoSpaceDE/>
              <w:autoSpaceDN/>
              <w:bidi w:val="0"/>
              <w:adjustRightInd w:val="0"/>
              <w:snapToGrid w:val="0"/>
              <w:spacing w:line="356" w:lineRule="auto"/>
              <w:ind w:firstLine="482" w:firstLineChars="200"/>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14:paraId="614E9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（1）原料</w:t>
            </w:r>
          </w:p>
          <w:p w14:paraId="0A2B7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本项目生产所需要的原料有水泥、矿粉、</w:t>
            </w:r>
            <w:r>
              <w:rPr>
                <w:rFonts w:hint="default" w:ascii="Times New Roman" w:hAnsi="Times New Roman" w:eastAsia="宋体" w:cs="Times New Roman"/>
                <w:color w:val="auto"/>
                <w:sz w:val="24"/>
                <w:lang w:val="en-US" w:eastAsia="zh-CN"/>
              </w:rPr>
              <w:t>粉煤灰、</w:t>
            </w:r>
            <w:r>
              <w:rPr>
                <w:rFonts w:hint="default" w:ascii="Times New Roman" w:hAnsi="Times New Roman" w:eastAsia="宋体" w:cs="Times New Roman"/>
                <w:color w:val="auto"/>
                <w:sz w:val="24"/>
              </w:rPr>
              <w:t>砂子、碎石、水，其中水泥、矿粉</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粉煤灰</w:t>
            </w:r>
            <w:r>
              <w:rPr>
                <w:rFonts w:hint="default" w:ascii="Times New Roman" w:hAnsi="Times New Roman" w:eastAsia="宋体" w:cs="Times New Roman"/>
                <w:color w:val="auto"/>
                <w:sz w:val="24"/>
              </w:rPr>
              <w:t>等粉状原料采用罐装车运输到厂区后，正压吹入相应原料筒仓内储存；砂、石子由运输车辆运至位于厂区西北侧的砂石料堆场内堆存。项目设置水泥</w:t>
            </w:r>
            <w:r>
              <w:rPr>
                <w:rFonts w:hint="default" w:ascii="Times New Roman" w:hAnsi="Times New Roman" w:eastAsia="宋体" w:cs="Times New Roman"/>
                <w:color w:val="auto"/>
                <w:sz w:val="24"/>
                <w:lang w:val="en-US" w:eastAsia="zh-CN"/>
              </w:rPr>
              <w:t>筒仓</w:t>
            </w:r>
            <w:r>
              <w:rPr>
                <w:rFonts w:hint="default" w:ascii="Times New Roman" w:hAnsi="Times New Roman" w:eastAsia="宋体" w:cs="Times New Roman"/>
                <w:color w:val="auto"/>
                <w:sz w:val="24"/>
              </w:rPr>
              <w:t>2座，矿粉</w:t>
            </w:r>
            <w:r>
              <w:rPr>
                <w:rFonts w:hint="default" w:ascii="Times New Roman" w:hAnsi="Times New Roman" w:eastAsia="宋体" w:cs="Times New Roman"/>
                <w:color w:val="auto"/>
                <w:sz w:val="24"/>
                <w:lang w:val="en-US" w:eastAsia="zh-CN"/>
              </w:rPr>
              <w:t>筒仓1</w:t>
            </w:r>
            <w:r>
              <w:rPr>
                <w:rFonts w:hint="default" w:ascii="Times New Roman" w:hAnsi="Times New Roman" w:eastAsia="宋体" w:cs="Times New Roman"/>
                <w:color w:val="auto"/>
                <w:sz w:val="24"/>
              </w:rPr>
              <w:t>座</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粉煤灰筒仓1座</w:t>
            </w:r>
            <w:r>
              <w:rPr>
                <w:rFonts w:hint="default" w:ascii="Times New Roman" w:hAnsi="Times New Roman" w:eastAsia="宋体" w:cs="Times New Roman"/>
                <w:color w:val="auto"/>
                <w:sz w:val="24"/>
              </w:rPr>
              <w:t>。外加剂包括膨胀剂等物料，其作用只是改变混凝土的物理性质，没有化学反应。</w:t>
            </w:r>
          </w:p>
          <w:p w14:paraId="3380A4B0">
            <w:pPr>
              <w:pStyle w:val="43"/>
              <w:keepNext w:val="0"/>
              <w:keepLines w:val="0"/>
              <w:pageBreakBefore w:val="0"/>
              <w:widowControl w:val="0"/>
              <w:wordWrap/>
              <w:topLinePunct w:val="0"/>
              <w:autoSpaceDE/>
              <w:autoSpaceDN/>
              <w:bidi w:val="0"/>
              <w:spacing w:beforeLines="0" w:afterLines="0" w:line="356" w:lineRule="auto"/>
              <w:ind w:firstLine="482"/>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highlight w:val="none"/>
              </w:rPr>
              <w:t>在卸料过程中，筒仓顶部呼吸口会产生粉尘</w:t>
            </w:r>
            <w:r>
              <w:rPr>
                <w:rFonts w:hint="default" w:ascii="Times New Roman" w:hAnsi="Times New Roman" w:cs="Times New Roman"/>
                <w:color w:val="auto"/>
                <w:sz w:val="24"/>
                <w:highlight w:val="none"/>
                <w:lang w:val="en-US" w:eastAsia="zh-CN"/>
              </w:rPr>
              <w:t>和噪声；</w:t>
            </w:r>
            <w:r>
              <w:rPr>
                <w:rFonts w:hint="default" w:ascii="Times New Roman" w:hAnsi="Times New Roman" w:cs="Times New Roman"/>
                <w:color w:val="auto"/>
                <w:sz w:val="24"/>
                <w:highlight w:val="none"/>
              </w:rPr>
              <w:t>卸料</w:t>
            </w:r>
            <w:r>
              <w:rPr>
                <w:rFonts w:hint="default" w:ascii="Times New Roman" w:hAnsi="Times New Roman" w:cs="Times New Roman"/>
                <w:color w:val="auto"/>
                <w:sz w:val="24"/>
                <w:highlight w:val="none"/>
                <w:lang w:val="en-US" w:eastAsia="zh-CN"/>
              </w:rPr>
              <w:t>水泥会产生包装袋。</w:t>
            </w:r>
          </w:p>
          <w:p w14:paraId="7D543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（2）加料</w:t>
            </w:r>
          </w:p>
          <w:p w14:paraId="5B68E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储存于砂、石子料场的砂、石，由装载机加入砂、石</w:t>
            </w:r>
            <w:r>
              <w:rPr>
                <w:rFonts w:hint="default" w:ascii="Times New Roman" w:hAnsi="Times New Roman" w:cs="Times New Roman"/>
                <w:color w:val="auto"/>
                <w:sz w:val="24"/>
                <w:lang w:val="en-US" w:eastAsia="zh-CN"/>
              </w:rPr>
              <w:t>入料口</w:t>
            </w:r>
            <w:r>
              <w:rPr>
                <w:rFonts w:hint="default" w:ascii="Times New Roman" w:hAnsi="Times New Roman" w:eastAsia="宋体" w:cs="Times New Roman"/>
                <w:color w:val="auto"/>
                <w:sz w:val="24"/>
              </w:rPr>
              <w:t>，再通过</w:t>
            </w:r>
            <w:r>
              <w:rPr>
                <w:rFonts w:hint="default" w:ascii="Times New Roman" w:hAnsi="Times New Roman" w:cs="Times New Roman"/>
                <w:color w:val="auto"/>
                <w:sz w:val="24"/>
                <w:lang w:val="en-US" w:eastAsia="zh-CN"/>
              </w:rPr>
              <w:t>封闭</w:t>
            </w:r>
            <w:r>
              <w:rPr>
                <w:rFonts w:hint="default" w:ascii="Times New Roman" w:hAnsi="Times New Roman" w:eastAsia="宋体" w:cs="Times New Roman"/>
                <w:color w:val="auto"/>
                <w:sz w:val="24"/>
              </w:rPr>
              <w:t>皮带输送至加料斗，由加料斗进入搅拌室内；水泥、矿粉等粉状原料则通过螺旋输送机密闭上料至搅拌室内；搅拌用水及液体外加剂采用压力供水及水泵上料。整个过程采用全程自动化操作。</w:t>
            </w:r>
          </w:p>
          <w:p w14:paraId="3DAC9BA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highlight w:val="none"/>
              </w:rPr>
              <w:t>骨料输送过程会产生无组织排放粉尘、噪声；细粉料、水、外加剂输送过程会产生噪声。</w:t>
            </w:r>
          </w:p>
          <w:p w14:paraId="02F7FAE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default" w:ascii="Times New Roman" w:hAnsi="Times New Roman" w:eastAsia="宋体" w:cs="Times New Roman"/>
                <w:color w:val="auto"/>
                <w:spacing w:val="4"/>
                <w:sz w:val="24"/>
              </w:rPr>
            </w:pPr>
            <w:r>
              <w:rPr>
                <w:rFonts w:hint="default" w:ascii="Times New Roman" w:hAnsi="Times New Roman" w:eastAsia="宋体" w:cs="Times New Roman"/>
                <w:color w:val="auto"/>
                <w:spacing w:val="4"/>
                <w:sz w:val="24"/>
              </w:rPr>
              <w:t>（3）搅拌</w:t>
            </w:r>
          </w:p>
          <w:p w14:paraId="20450C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进入搅拌室内的各种原料经称斗重量配料之后利用气动放料阀进入搅拌机进行强制搅拌。搅拌机工作原理：</w:t>
            </w:r>
            <w:r>
              <w:rPr>
                <w:rFonts w:hint="default" w:ascii="Times New Roman" w:hAnsi="Times New Roman" w:eastAsia="宋体" w:cs="Times New Roman"/>
                <w:color w:val="auto"/>
                <w:kern w:val="0"/>
                <w:sz w:val="24"/>
              </w:rPr>
              <w:t>在搅拌机内相互反转的两根搅拌轴的搅拌下，受到浆片周向、径向、轴向力的作用，使物料一边相互产生挤压、磨擦、剪切、对流从而进行剧烈的拌合，一边向出料口推移，当物料到达机内的出料口时，各种物料已相互得到均匀地拌合，并具有压实所需要的含水量。</w:t>
            </w:r>
          </w:p>
          <w:p w14:paraId="6AC9954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搅拌工序会产生噪声、搅拌机清洗废水。根据本项目生产特点，项目混凝土运输车运输结束后进行清洗，搅拌机在每两日生产结束后进行清洗。清洗废水收集后经沉淀池处理后通过水泵将上清液抽取回用于生产，不外排。</w:t>
            </w:r>
          </w:p>
          <w:p w14:paraId="1CB8F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（4）成品</w:t>
            </w:r>
          </w:p>
          <w:p w14:paraId="122C0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生产出的混凝土成品由混凝土运输车直接装运，送往施工工地。</w:t>
            </w:r>
          </w:p>
          <w:p w14:paraId="5736F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运营期沉淀池产出的不合格的砂石料、剩余的混凝土、沉淀池沉淀渣等。通过调查不合格的砂石料和剩余的</w:t>
            </w:r>
            <w:r>
              <w:rPr>
                <w:rFonts w:hint="eastAsia" w:cs="Times New Roman"/>
                <w:color w:val="auto"/>
                <w:kern w:val="0"/>
                <w:sz w:val="24"/>
                <w:lang w:val="en-US" w:eastAsia="zh-CN"/>
              </w:rPr>
              <w:t>混凝土</w:t>
            </w:r>
            <w:r>
              <w:rPr>
                <w:rFonts w:hint="default" w:ascii="Times New Roman" w:hAnsi="Times New Roman" w:eastAsia="宋体" w:cs="Times New Roman"/>
                <w:color w:val="auto"/>
                <w:kern w:val="0"/>
                <w:sz w:val="24"/>
                <w:lang w:val="en-US" w:eastAsia="zh-CN"/>
              </w:rPr>
              <w:t>年产生量在</w:t>
            </w:r>
            <w:r>
              <w:rPr>
                <w:rFonts w:hint="default" w:ascii="Times New Roman" w:hAnsi="Times New Roman" w:cs="Times New Roman"/>
                <w:color w:val="auto"/>
                <w:kern w:val="0"/>
                <w:sz w:val="24"/>
                <w:lang w:val="en-US" w:eastAsia="zh-CN"/>
              </w:rPr>
              <w:t>4</w:t>
            </w:r>
            <w:r>
              <w:rPr>
                <w:rFonts w:hint="default" w:ascii="Times New Roman" w:hAnsi="Times New Roman" w:eastAsia="宋体" w:cs="Times New Roman"/>
                <w:color w:val="auto"/>
                <w:kern w:val="0"/>
                <w:sz w:val="24"/>
                <w:lang w:val="en-US" w:eastAsia="zh-CN"/>
              </w:rPr>
              <w:t>0t左右，可用于路面的铺垫料，或者路面的平整料。</w:t>
            </w:r>
          </w:p>
          <w:p w14:paraId="04A6A773">
            <w:pPr>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b/>
                <w:bCs/>
                <w:color w:val="auto"/>
                <w:sz w:val="24"/>
                <w:szCs w:val="24"/>
                <w:highlight w:val="none"/>
                <w:lang w:val="en-US" w:eastAsia="zh-CN"/>
              </w:rPr>
              <w:t>2、生产机制砂</w:t>
            </w:r>
          </w:p>
          <w:p w14:paraId="10FCF78A">
            <w:pPr>
              <w:autoSpaceDE w:val="0"/>
              <w:autoSpaceDN w:val="0"/>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打砂</w:t>
            </w:r>
            <w:r>
              <w:rPr>
                <w:rFonts w:hint="default" w:ascii="Times New Roman" w:hAnsi="Times New Roman" w:cs="Times New Roman"/>
                <w:color w:val="auto"/>
                <w:sz w:val="24"/>
                <w:highlight w:val="none"/>
              </w:rPr>
              <w:t>：利用</w:t>
            </w:r>
            <w:r>
              <w:rPr>
                <w:rFonts w:hint="eastAsia" w:cs="Times New Roman"/>
                <w:color w:val="auto"/>
                <w:sz w:val="24"/>
                <w:highlight w:val="none"/>
                <w:lang w:val="en-US" w:eastAsia="zh-CN"/>
              </w:rPr>
              <w:t>打砂机</w:t>
            </w:r>
            <w:r>
              <w:rPr>
                <w:rFonts w:hint="default" w:ascii="Times New Roman" w:hAnsi="Times New Roman" w:cs="Times New Roman"/>
                <w:color w:val="auto"/>
                <w:sz w:val="24"/>
                <w:highlight w:val="none"/>
              </w:rPr>
              <w:t>对粒径的物料进行破碎，破碎后运往</w:t>
            </w:r>
            <w:r>
              <w:rPr>
                <w:rFonts w:hint="eastAsia" w:cs="Times New Roman"/>
                <w:color w:val="auto"/>
                <w:sz w:val="24"/>
                <w:highlight w:val="none"/>
                <w:lang w:val="en-US" w:eastAsia="zh-CN"/>
              </w:rPr>
              <w:t>筛分工序</w:t>
            </w:r>
            <w:r>
              <w:rPr>
                <w:rFonts w:hint="default" w:ascii="Times New Roman" w:hAnsi="Times New Roman" w:cs="Times New Roman"/>
                <w:color w:val="auto"/>
                <w:sz w:val="24"/>
                <w:highlight w:val="none"/>
              </w:rPr>
              <w:t>。</w:t>
            </w:r>
          </w:p>
          <w:p w14:paraId="4A57F186">
            <w:pPr>
              <w:autoSpaceDE w:val="0"/>
              <w:autoSpaceDN w:val="0"/>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筛分</w:t>
            </w:r>
            <w:r>
              <w:rPr>
                <w:rFonts w:hint="default" w:ascii="Times New Roman" w:hAnsi="Times New Roman" w:cs="Times New Roman"/>
                <w:color w:val="auto"/>
                <w:sz w:val="24"/>
                <w:highlight w:val="none"/>
              </w:rPr>
              <w:t>：打砂后的物料连通固定格筛的筛下物一起再次运往筛分机上进行筛分。筛下物料运往双层振动筛，筛上物料</w:t>
            </w:r>
            <w:r>
              <w:rPr>
                <w:rFonts w:hint="eastAsia" w:cs="Times New Roman"/>
                <w:color w:val="auto"/>
                <w:sz w:val="24"/>
                <w:highlight w:val="none"/>
                <w:lang w:val="en-US" w:eastAsia="zh-CN"/>
              </w:rPr>
              <w:t>重新回到打砂工序进行破碎</w:t>
            </w:r>
            <w:r>
              <w:rPr>
                <w:rFonts w:hint="default" w:ascii="Times New Roman" w:hAnsi="Times New Roman" w:cs="Times New Roman"/>
                <w:color w:val="auto"/>
                <w:sz w:val="24"/>
                <w:highlight w:val="none"/>
              </w:rPr>
              <w:t>。</w:t>
            </w:r>
          </w:p>
          <w:p w14:paraId="0B1EC4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cs="Times New Roman"/>
                <w:b/>
                <w:bCs/>
                <w:color w:val="auto"/>
                <w:highlight w:val="none"/>
              </w:rPr>
            </w:pPr>
            <w:r>
              <w:rPr>
                <w:rFonts w:hint="default" w:ascii="Times New Roman" w:hAnsi="Times New Roman" w:cs="Times New Roman"/>
                <w:color w:val="auto"/>
                <w:kern w:val="2"/>
                <w:sz w:val="24"/>
                <w:szCs w:val="24"/>
                <w:highlight w:val="none"/>
                <w:lang w:eastAsia="zh-CN"/>
              </w:rPr>
              <w:object>
                <v:shape id="_x0000_i1028" o:spt="75" type="#_x0000_t75" style="height:208.85pt;width:183.6pt;" o:ole="t" filled="f" o:preferrelative="t" stroked="f" coordsize="21600,21600">
                  <v:path/>
                  <v:fill on="f" focussize="0,0"/>
                  <v:stroke on="f"/>
                  <v:imagedata r:id="rId14" o:title=""/>
                  <o:lock v:ext="edit" aspectratio="t"/>
                  <w10:wrap type="none"/>
                  <w10:anchorlock/>
                </v:shape>
                <o:OLEObject Type="Embed" ProgID="Visio.Drawing.11" ShapeID="_x0000_i1028" DrawAspect="Content" ObjectID="_1468075728" r:id="rId13">
                  <o:LockedField>false</o:LockedField>
                </o:OLEObject>
              </w:object>
            </w:r>
          </w:p>
          <w:p w14:paraId="1E9F8B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宋体" w:cs="Times New Roman"/>
                <w:color w:val="auto"/>
                <w:kern w:val="0"/>
                <w:sz w:val="24"/>
                <w:lang w:val="en-US" w:eastAsia="zh-CN"/>
              </w:rPr>
            </w:pPr>
            <w:r>
              <w:rPr>
                <w:rFonts w:hint="default" w:ascii="Times New Roman" w:hAnsi="Times New Roman" w:cs="Times New Roman"/>
                <w:b/>
                <w:bCs/>
                <w:color w:val="auto"/>
                <w:highlight w:val="none"/>
              </w:rPr>
              <w:t>图2-3运营期</w:t>
            </w:r>
            <w:r>
              <w:rPr>
                <w:rFonts w:hint="default" w:ascii="Times New Roman" w:hAnsi="Times New Roman" w:cs="Times New Roman"/>
                <w:b/>
                <w:bCs/>
                <w:color w:val="auto"/>
                <w:highlight w:val="none"/>
                <w:lang w:val="en-US" w:eastAsia="zh-CN"/>
              </w:rPr>
              <w:t>制砂</w:t>
            </w:r>
            <w:r>
              <w:rPr>
                <w:rFonts w:hint="default" w:ascii="Times New Roman" w:hAnsi="Times New Roman" w:cs="Times New Roman"/>
                <w:b/>
                <w:bCs/>
                <w:color w:val="auto"/>
                <w:highlight w:val="none"/>
              </w:rPr>
              <w:t>工艺流程及产污节点图</w:t>
            </w:r>
          </w:p>
          <w:bookmarkEnd w:id="12"/>
          <w:p w14:paraId="30174792">
            <w:pPr>
              <w:pStyle w:val="27"/>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14:paraId="71809D74">
            <w:pPr>
              <w:pStyle w:val="26"/>
              <w:spacing w:after="0"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10</w:t>
            </w:r>
            <w:r>
              <w:rPr>
                <w:rFonts w:hint="default" w:ascii="Times New Roman" w:hAnsi="Times New Roman" w:eastAsia="宋体" w:cs="Times New Roman"/>
                <w:color w:val="auto"/>
                <w:highlight w:val="none"/>
              </w:rPr>
              <w:t>。</w:t>
            </w:r>
          </w:p>
          <w:p w14:paraId="07D838CA">
            <w:pPr>
              <w:pStyle w:val="26"/>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rPr>
              <w:t xml:space="preserve">   运营期主要污染工序一览表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50"/>
              <w:gridCol w:w="1019"/>
              <w:gridCol w:w="7284"/>
            </w:tblGrid>
            <w:tr w14:paraId="5724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14:paraId="2C7ED0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0" w:type="auto"/>
                  <w:tcBorders>
                    <w:tl2br w:val="nil"/>
                    <w:tr2bl w:val="nil"/>
                  </w:tcBorders>
                  <w:noWrap w:val="0"/>
                  <w:vAlign w:val="center"/>
                </w:tcPr>
                <w:p w14:paraId="6AD531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0" w:type="auto"/>
                  <w:tcBorders>
                    <w:tl2br w:val="nil"/>
                    <w:tr2bl w:val="nil"/>
                  </w:tcBorders>
                  <w:noWrap w:val="0"/>
                  <w:vAlign w:val="center"/>
                </w:tcPr>
                <w:p w14:paraId="6A8CC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0" w:type="auto"/>
                  <w:tcBorders>
                    <w:tl2br w:val="nil"/>
                    <w:tr2bl w:val="nil"/>
                  </w:tcBorders>
                  <w:noWrap w:val="0"/>
                  <w:vAlign w:val="center"/>
                </w:tcPr>
                <w:p w14:paraId="1E3A6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r>
            <w:tr w14:paraId="174E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tl2br w:val="nil"/>
                    <w:tr2bl w:val="nil"/>
                  </w:tcBorders>
                  <w:noWrap w:val="0"/>
                  <w:vAlign w:val="center"/>
                </w:tcPr>
                <w:p w14:paraId="3F21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0" w:type="auto"/>
                  <w:tcBorders>
                    <w:tl2br w:val="nil"/>
                    <w:tr2bl w:val="nil"/>
                  </w:tcBorders>
                  <w:noWrap w:val="0"/>
                  <w:vAlign w:val="center"/>
                </w:tcPr>
                <w:p w14:paraId="35C99EEC">
                  <w:pPr>
                    <w:pStyle w:val="26"/>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筒仓</w:t>
                  </w:r>
                </w:p>
              </w:tc>
              <w:tc>
                <w:tcPr>
                  <w:tcW w:w="0" w:type="auto"/>
                  <w:tcBorders>
                    <w:tl2br w:val="nil"/>
                    <w:tr2bl w:val="nil"/>
                  </w:tcBorders>
                  <w:noWrap w:val="0"/>
                  <w:vAlign w:val="center"/>
                </w:tcPr>
                <w:p w14:paraId="75EF9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颗粒物</w:t>
                  </w:r>
                </w:p>
              </w:tc>
              <w:tc>
                <w:tcPr>
                  <w:tcW w:w="0" w:type="auto"/>
                  <w:tcBorders>
                    <w:tl2br w:val="nil"/>
                    <w:tr2bl w:val="nil"/>
                  </w:tcBorders>
                  <w:noWrap w:val="0"/>
                  <w:vAlign w:val="center"/>
                </w:tcPr>
                <w:p w14:paraId="58757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粉料仓设计为全封闭式，且每个筒仓仓顶设有仓顶脉冲布袋除尘器，根据设备生产厂家提供的除尘效率约为99%</w:t>
                  </w:r>
                  <w:r>
                    <w:rPr>
                      <w:rFonts w:hint="default" w:ascii="Times New Roman" w:hAnsi="Times New Roman" w:cs="Times New Roman"/>
                      <w:color w:val="auto"/>
                      <w:sz w:val="21"/>
                      <w:szCs w:val="21"/>
                      <w:highlight w:val="none"/>
                      <w:lang w:val="en-US" w:eastAsia="zh-CN"/>
                    </w:rPr>
                    <w:t>。</w:t>
                  </w:r>
                </w:p>
              </w:tc>
            </w:tr>
            <w:tr w14:paraId="0E95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l2br w:val="nil"/>
                    <w:tr2bl w:val="nil"/>
                  </w:tcBorders>
                  <w:noWrap w:val="0"/>
                  <w:vAlign w:val="center"/>
                </w:tcPr>
                <w:p w14:paraId="526B2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0" w:type="auto"/>
                  <w:tcBorders>
                    <w:tl2br w:val="nil"/>
                    <w:tr2bl w:val="nil"/>
                  </w:tcBorders>
                  <w:noWrap w:val="0"/>
                  <w:vAlign w:val="center"/>
                </w:tcPr>
                <w:p w14:paraId="26796BCE">
                  <w:pPr>
                    <w:pStyle w:val="26"/>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拌合站</w:t>
                  </w:r>
                </w:p>
              </w:tc>
              <w:tc>
                <w:tcPr>
                  <w:tcW w:w="0" w:type="auto"/>
                  <w:tcBorders>
                    <w:tl2br w:val="nil"/>
                    <w:tr2bl w:val="nil"/>
                  </w:tcBorders>
                  <w:noWrap w:val="0"/>
                  <w:vAlign w:val="center"/>
                </w:tcPr>
                <w:p w14:paraId="4714F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颗粒物</w:t>
                  </w:r>
                </w:p>
              </w:tc>
              <w:tc>
                <w:tcPr>
                  <w:tcW w:w="0" w:type="auto"/>
                  <w:tcBorders>
                    <w:tl2br w:val="nil"/>
                    <w:tr2bl w:val="nil"/>
                  </w:tcBorders>
                  <w:noWrap w:val="0"/>
                  <w:vAlign w:val="center"/>
                </w:tcPr>
                <w:p w14:paraId="516EC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拌合站投料口设置1个集气罩收集，经脉冲布袋除尘器（9#）处理后的粉尘车间无组织排放</w:t>
                  </w:r>
                  <w:r>
                    <w:rPr>
                      <w:rFonts w:hint="eastAsia" w:cs="Times New Roman"/>
                      <w:color w:val="auto"/>
                      <w:sz w:val="21"/>
                      <w:szCs w:val="21"/>
                      <w:highlight w:val="none"/>
                      <w:lang w:val="en-US" w:eastAsia="zh-CN"/>
                    </w:rPr>
                    <w:t>，拌合站主体二层及以上部分、原材料上料、配料、搅拌等设施、设备均进行封闭处理。</w:t>
                  </w:r>
                </w:p>
              </w:tc>
            </w:tr>
            <w:tr w14:paraId="4E35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l2br w:val="nil"/>
                    <w:tr2bl w:val="nil"/>
                  </w:tcBorders>
                  <w:noWrap w:val="0"/>
                  <w:vAlign w:val="center"/>
                </w:tcPr>
                <w:p w14:paraId="129DA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0" w:type="auto"/>
                  <w:tcBorders>
                    <w:tl2br w:val="nil"/>
                    <w:tr2bl w:val="nil"/>
                  </w:tcBorders>
                  <w:noWrap w:val="0"/>
                  <w:vAlign w:val="center"/>
                </w:tcPr>
                <w:p w14:paraId="79724803">
                  <w:pPr>
                    <w:pStyle w:val="26"/>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原料库</w:t>
                  </w:r>
                </w:p>
              </w:tc>
              <w:tc>
                <w:tcPr>
                  <w:tcW w:w="0" w:type="auto"/>
                  <w:tcBorders>
                    <w:tl2br w:val="nil"/>
                    <w:tr2bl w:val="nil"/>
                  </w:tcBorders>
                  <w:noWrap w:val="0"/>
                  <w:vAlign w:val="center"/>
                </w:tcPr>
                <w:p w14:paraId="53EE1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颗粒物</w:t>
                  </w:r>
                </w:p>
              </w:tc>
              <w:tc>
                <w:tcPr>
                  <w:tcW w:w="0" w:type="auto"/>
                  <w:tcBorders>
                    <w:tl2br w:val="nil"/>
                    <w:tr2bl w:val="nil"/>
                  </w:tcBorders>
                  <w:noWrap w:val="0"/>
                  <w:vAlign w:val="center"/>
                </w:tcPr>
                <w:p w14:paraId="2D2E7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骨料料仓采用彩钢瓦进行整体封闭，仅将进出物料口设置为敞开式，并设置车间喷雾降尘措施。</w:t>
                  </w:r>
                </w:p>
              </w:tc>
            </w:tr>
            <w:tr w14:paraId="1EE1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l2br w:val="nil"/>
                    <w:tr2bl w:val="nil"/>
                  </w:tcBorders>
                  <w:noWrap w:val="0"/>
                  <w:vAlign w:val="center"/>
                </w:tcPr>
                <w:p w14:paraId="3B899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0" w:type="auto"/>
                  <w:tcBorders>
                    <w:tl2br w:val="nil"/>
                    <w:tr2bl w:val="nil"/>
                  </w:tcBorders>
                  <w:noWrap w:val="0"/>
                  <w:vAlign w:val="center"/>
                </w:tcPr>
                <w:p w14:paraId="38893018">
                  <w:pPr>
                    <w:pStyle w:val="26"/>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制砂车间</w:t>
                  </w:r>
                </w:p>
              </w:tc>
              <w:tc>
                <w:tcPr>
                  <w:tcW w:w="0" w:type="auto"/>
                  <w:tcBorders>
                    <w:tl2br w:val="nil"/>
                    <w:tr2bl w:val="nil"/>
                  </w:tcBorders>
                  <w:noWrap w:val="0"/>
                  <w:vAlign w:val="center"/>
                </w:tcPr>
                <w:p w14:paraId="60DE6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颗粒物</w:t>
                  </w:r>
                </w:p>
              </w:tc>
              <w:tc>
                <w:tcPr>
                  <w:tcW w:w="0" w:type="auto"/>
                  <w:tcBorders>
                    <w:tl2br w:val="nil"/>
                    <w:tr2bl w:val="nil"/>
                  </w:tcBorders>
                  <w:noWrap w:val="0"/>
                  <w:vAlign w:val="center"/>
                </w:tcPr>
                <w:p w14:paraId="7D061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对制砂车间进行彩钢瓦去封闭处理，并设置车间喷雾降尘措施。</w:t>
                  </w:r>
                </w:p>
              </w:tc>
            </w:tr>
            <w:tr w14:paraId="4EA7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tcBorders>
                    <w:tl2br w:val="nil"/>
                    <w:tr2bl w:val="nil"/>
                  </w:tcBorders>
                  <w:noWrap w:val="0"/>
                  <w:vAlign w:val="center"/>
                </w:tcPr>
                <w:p w14:paraId="54417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0" w:type="auto"/>
                  <w:tcBorders>
                    <w:tl2br w:val="nil"/>
                    <w:tr2bl w:val="nil"/>
                  </w:tcBorders>
                  <w:noWrap w:val="0"/>
                  <w:vAlign w:val="center"/>
                </w:tcPr>
                <w:p w14:paraId="1C9FE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生产清洗废水</w:t>
                  </w:r>
                </w:p>
              </w:tc>
              <w:tc>
                <w:tcPr>
                  <w:tcW w:w="0" w:type="auto"/>
                  <w:tcBorders>
                    <w:tl2br w:val="nil"/>
                    <w:tr2bl w:val="nil"/>
                  </w:tcBorders>
                  <w:noWrap w:val="0"/>
                  <w:vAlign w:val="center"/>
                </w:tcPr>
                <w:p w14:paraId="2B146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含</w:t>
                  </w:r>
                  <w:r>
                    <w:rPr>
                      <w:rFonts w:hint="default" w:ascii="Times New Roman" w:hAnsi="Times New Roman" w:cs="Times New Roman"/>
                      <w:color w:val="auto"/>
                      <w:sz w:val="21"/>
                      <w:szCs w:val="21"/>
                      <w:highlight w:val="none"/>
                      <w:lang w:val="en-US" w:eastAsia="zh-CN"/>
                    </w:rPr>
                    <w:t>泥沙</w:t>
                  </w:r>
                  <w:r>
                    <w:rPr>
                      <w:rFonts w:hint="default" w:ascii="Times New Roman" w:hAnsi="Times New Roman" w:eastAsia="宋体" w:cs="Times New Roman"/>
                      <w:color w:val="auto"/>
                      <w:sz w:val="21"/>
                      <w:szCs w:val="21"/>
                      <w:highlight w:val="none"/>
                      <w:lang w:eastAsia="zh-CN"/>
                    </w:rPr>
                    <w:t>废水</w:t>
                  </w:r>
                </w:p>
              </w:tc>
              <w:tc>
                <w:tcPr>
                  <w:tcW w:w="0" w:type="auto"/>
                  <w:tcBorders>
                    <w:tl2br w:val="nil"/>
                    <w:tr2bl w:val="nil"/>
                  </w:tcBorders>
                  <w:noWrap w:val="0"/>
                  <w:vAlign w:val="center"/>
                </w:tcPr>
                <w:p w14:paraId="61D85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项目搅拌机清洗废水</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混凝土罐车清洗废水、厂区硬化地面冲洗废水经沉淀池处理后回用于项目生产过程。</w:t>
                  </w:r>
                </w:p>
              </w:tc>
            </w:tr>
            <w:tr w14:paraId="499C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restart"/>
                  <w:tcBorders>
                    <w:tl2br w:val="nil"/>
                    <w:tr2bl w:val="nil"/>
                  </w:tcBorders>
                  <w:noWrap w:val="0"/>
                  <w:vAlign w:val="center"/>
                </w:tcPr>
                <w:p w14:paraId="62E2D7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0" w:type="auto"/>
                  <w:tcBorders>
                    <w:tl2br w:val="nil"/>
                    <w:tr2bl w:val="nil"/>
                  </w:tcBorders>
                  <w:noWrap w:val="0"/>
                  <w:vAlign w:val="center"/>
                </w:tcPr>
                <w:p w14:paraId="75796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机械维修</w:t>
                  </w:r>
                </w:p>
              </w:tc>
              <w:tc>
                <w:tcPr>
                  <w:tcW w:w="0" w:type="auto"/>
                  <w:tcBorders>
                    <w:tl2br w:val="nil"/>
                    <w:tr2bl w:val="nil"/>
                  </w:tcBorders>
                  <w:noWrap w:val="0"/>
                  <w:vAlign w:val="center"/>
                </w:tcPr>
                <w:p w14:paraId="0C486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废机油及其包装桶</w:t>
                  </w:r>
                </w:p>
              </w:tc>
              <w:tc>
                <w:tcPr>
                  <w:tcW w:w="0" w:type="auto"/>
                  <w:tcBorders>
                    <w:tl2br w:val="nil"/>
                    <w:tr2bl w:val="nil"/>
                  </w:tcBorders>
                  <w:noWrap w:val="0"/>
                  <w:vAlign w:val="center"/>
                </w:tcPr>
                <w:p w14:paraId="48B9D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r>
            <w:tr w14:paraId="1C35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0" w:type="auto"/>
                  <w:vMerge w:val="continue"/>
                  <w:tcBorders>
                    <w:tl2br w:val="nil"/>
                    <w:tr2bl w:val="nil"/>
                  </w:tcBorders>
                  <w:noWrap w:val="0"/>
                  <w:vAlign w:val="center"/>
                </w:tcPr>
                <w:p w14:paraId="4BCC0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0" w:type="auto"/>
                  <w:tcBorders>
                    <w:tl2br w:val="nil"/>
                    <w:tr2bl w:val="nil"/>
                  </w:tcBorders>
                  <w:noWrap w:val="0"/>
                  <w:vAlign w:val="center"/>
                </w:tcPr>
                <w:p w14:paraId="50BE1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沉淀池</w:t>
                  </w:r>
                </w:p>
              </w:tc>
              <w:tc>
                <w:tcPr>
                  <w:tcW w:w="0" w:type="auto"/>
                  <w:tcBorders>
                    <w:tl2br w:val="nil"/>
                    <w:tr2bl w:val="nil"/>
                  </w:tcBorders>
                  <w:noWrap w:val="0"/>
                  <w:vAlign w:val="center"/>
                </w:tcPr>
                <w:p w14:paraId="7D7B38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沉淀池底泥</w:t>
                  </w:r>
                </w:p>
              </w:tc>
              <w:tc>
                <w:tcPr>
                  <w:tcW w:w="0" w:type="auto"/>
                  <w:tcBorders>
                    <w:tl2br w:val="nil"/>
                    <w:tr2bl w:val="nil"/>
                  </w:tcBorders>
                  <w:noWrap w:val="0"/>
                  <w:vAlign w:val="center"/>
                </w:tcPr>
                <w:p w14:paraId="37FF7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底泥定期清理后暂存于原料堆场，用作原料回用于搅拌生产</w:t>
                  </w:r>
                  <w:r>
                    <w:rPr>
                      <w:rFonts w:hint="eastAsia" w:cs="Times New Roman"/>
                      <w:color w:val="auto"/>
                      <w:sz w:val="21"/>
                      <w:szCs w:val="21"/>
                      <w:highlight w:val="none"/>
                      <w:lang w:eastAsia="zh-CN"/>
                    </w:rPr>
                    <w:t>。</w:t>
                  </w:r>
                </w:p>
              </w:tc>
            </w:tr>
            <w:tr w14:paraId="6218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14:paraId="0F8B6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0" w:type="auto"/>
                  <w:tcBorders>
                    <w:tl2br w:val="nil"/>
                    <w:tr2bl w:val="nil"/>
                  </w:tcBorders>
                  <w:noWrap w:val="0"/>
                  <w:vAlign w:val="center"/>
                </w:tcPr>
                <w:p w14:paraId="5FD59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布袋</w:t>
                  </w:r>
                  <w:r>
                    <w:rPr>
                      <w:rFonts w:hint="default" w:ascii="Times New Roman" w:hAnsi="Times New Roman" w:eastAsia="宋体" w:cs="Times New Roman"/>
                      <w:color w:val="auto"/>
                      <w:sz w:val="21"/>
                      <w:szCs w:val="21"/>
                      <w:highlight w:val="none"/>
                      <w:lang w:eastAsia="zh-CN"/>
                    </w:rPr>
                    <w:t>除尘器</w:t>
                  </w:r>
                </w:p>
              </w:tc>
              <w:tc>
                <w:tcPr>
                  <w:tcW w:w="0" w:type="auto"/>
                  <w:tcBorders>
                    <w:tl2br w:val="nil"/>
                    <w:tr2bl w:val="nil"/>
                  </w:tcBorders>
                  <w:noWrap w:val="0"/>
                  <w:vAlign w:val="center"/>
                </w:tcPr>
                <w:p w14:paraId="5A5A8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布袋</w:t>
                  </w:r>
                  <w:r>
                    <w:rPr>
                      <w:rFonts w:hint="default" w:ascii="Times New Roman" w:hAnsi="Times New Roman" w:eastAsia="宋体" w:cs="Times New Roman"/>
                      <w:color w:val="auto"/>
                      <w:sz w:val="21"/>
                      <w:szCs w:val="21"/>
                      <w:highlight w:val="none"/>
                      <w:lang w:val="en-US"/>
                    </w:rPr>
                    <w:t>除尘器收尘灰</w:t>
                  </w:r>
                </w:p>
              </w:tc>
              <w:tc>
                <w:tcPr>
                  <w:tcW w:w="0" w:type="auto"/>
                  <w:tcBorders>
                    <w:tl2br w:val="nil"/>
                    <w:tr2bl w:val="nil"/>
                  </w:tcBorders>
                  <w:noWrap w:val="0"/>
                  <w:vAlign w:val="center"/>
                </w:tcPr>
                <w:p w14:paraId="23DFF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作为原料回用于混凝土生产</w:t>
                  </w:r>
                  <w:r>
                    <w:rPr>
                      <w:rFonts w:hint="eastAsia" w:cs="Times New Roman"/>
                      <w:color w:val="auto"/>
                      <w:sz w:val="21"/>
                      <w:szCs w:val="21"/>
                      <w:highlight w:val="none"/>
                      <w:lang w:eastAsia="zh-CN"/>
                    </w:rPr>
                    <w:t>。</w:t>
                  </w:r>
                </w:p>
              </w:tc>
            </w:tr>
            <w:tr w14:paraId="5B77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tcBorders>
                    <w:tl2br w:val="nil"/>
                    <w:tr2bl w:val="nil"/>
                  </w:tcBorders>
                  <w:noWrap w:val="0"/>
                  <w:vAlign w:val="center"/>
                </w:tcPr>
                <w:p w14:paraId="70091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0" w:type="auto"/>
                  <w:tcBorders>
                    <w:tl2br w:val="nil"/>
                    <w:tr2bl w:val="nil"/>
                  </w:tcBorders>
                  <w:noWrap w:val="0"/>
                  <w:vAlign w:val="center"/>
                </w:tcPr>
                <w:p w14:paraId="58825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p>
              </w:tc>
              <w:tc>
                <w:tcPr>
                  <w:tcW w:w="0" w:type="auto"/>
                  <w:tcBorders>
                    <w:tl2br w:val="nil"/>
                    <w:tr2bl w:val="nil"/>
                  </w:tcBorders>
                  <w:noWrap w:val="0"/>
                  <w:vAlign w:val="center"/>
                </w:tcPr>
                <w:p w14:paraId="04C49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0" w:type="auto"/>
                  <w:tcBorders>
                    <w:tl2br w:val="nil"/>
                    <w:tr2bl w:val="nil"/>
                  </w:tcBorders>
                  <w:noWrap w:val="0"/>
                  <w:vAlign w:val="center"/>
                </w:tcPr>
                <w:p w14:paraId="0959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kern w:val="0"/>
                      <w:szCs w:val="21"/>
                      <w:highlight w:val="none"/>
                      <w:lang w:bidi="ar"/>
                    </w:rPr>
                    <w:t>设置减震垫、隔声设施</w:t>
                  </w:r>
                </w:p>
              </w:tc>
            </w:tr>
          </w:tbl>
          <w:p w14:paraId="077CF454">
            <w:pPr>
              <w:pStyle w:val="26"/>
              <w:spacing w:beforeLines="0" w:after="0" w:afterLines="0" w:line="360" w:lineRule="auto"/>
              <w:ind w:left="0" w:leftChars="0" w:firstLine="0" w:firstLineChars="0"/>
              <w:jc w:val="both"/>
              <w:rPr>
                <w:rFonts w:hint="default" w:ascii="Times New Roman" w:hAnsi="Times New Roman" w:eastAsia="宋体" w:cs="Times New Roman"/>
                <w:b/>
                <w:bCs/>
                <w:color w:val="auto"/>
                <w:sz w:val="21"/>
                <w:szCs w:val="21"/>
                <w:highlight w:val="none"/>
                <w:lang w:val="en-US" w:eastAsia="zh-CN"/>
              </w:rPr>
            </w:pPr>
          </w:p>
        </w:tc>
      </w:tr>
      <w:tr w14:paraId="105DA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14:paraId="258F3846">
            <w:pPr>
              <w:pStyle w:val="25"/>
              <w:keepNext w:val="0"/>
              <w:keepLines w:val="0"/>
              <w:pageBreakBefore w:val="0"/>
              <w:widowControl/>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201" w:type="dxa"/>
            <w:vAlign w:val="top"/>
          </w:tcPr>
          <w:p w14:paraId="7B6AE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本次扩建项目在原项目已建生产车间内划定部分闲置区域进行使用。</w:t>
            </w:r>
          </w:p>
          <w:p w14:paraId="2EC95A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一、原项目环保手续履行情况</w:t>
            </w:r>
          </w:p>
          <w:p w14:paraId="2F7B3C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原项目环保手续履行情况如下：</w:t>
            </w:r>
          </w:p>
          <w:p w14:paraId="7456D2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①建设单位于2009年8月已委托广州市环境保护工程设计院有限公司编制了《年产25万吨商品混凝土生产线建设项目环境影响评价报告表》，</w:t>
            </w:r>
            <w:r>
              <w:rPr>
                <w:rFonts w:hint="default" w:ascii="Times New Roman" w:hAnsi="Times New Roman" w:cs="Times New Roman" w:eastAsiaTheme="minorEastAsia"/>
                <w:color w:val="auto"/>
                <w:sz w:val="24"/>
                <w:szCs w:val="24"/>
                <w:lang w:val="en-US" w:eastAsia="zh-CN"/>
              </w:rPr>
              <w:t>并于2009年11月11日取得了寻甸回族彝族自治</w:t>
            </w:r>
            <w:r>
              <w:rPr>
                <w:rFonts w:hint="default" w:ascii="Times New Roman" w:hAnsi="Times New Roman" w:cs="Times New Roman" w:eastAsiaTheme="minorEastAsia"/>
                <w:color w:val="auto"/>
                <w:sz w:val="24"/>
                <w:szCs w:val="24"/>
                <w:lang w:eastAsia="zh-CN"/>
              </w:rPr>
              <w:t>县环境保护局</w:t>
            </w:r>
            <w:r>
              <w:rPr>
                <w:rFonts w:hint="default" w:ascii="Times New Roman" w:hAnsi="Times New Roman" w:cs="Times New Roman" w:eastAsiaTheme="minorEastAsia"/>
                <w:color w:val="auto"/>
                <w:sz w:val="24"/>
                <w:szCs w:val="24"/>
                <w:lang w:val="en-US" w:eastAsia="zh-CN"/>
              </w:rPr>
              <w:t>关于对《</w:t>
            </w:r>
            <w:r>
              <w:rPr>
                <w:rFonts w:hint="default" w:ascii="Times New Roman" w:hAnsi="Times New Roman" w:cs="Times New Roman" w:eastAsiaTheme="minorEastAsia"/>
                <w:color w:val="auto"/>
                <w:sz w:val="24"/>
                <w:szCs w:val="24"/>
                <w:lang w:eastAsia="zh-CN"/>
              </w:rPr>
              <w:t>年产</w:t>
            </w:r>
            <w:r>
              <w:rPr>
                <w:rFonts w:hint="default" w:ascii="Times New Roman" w:hAnsi="Times New Roman" w:cs="Times New Roman" w:eastAsiaTheme="minorEastAsia"/>
                <w:color w:val="auto"/>
                <w:sz w:val="24"/>
                <w:szCs w:val="24"/>
                <w:lang w:val="en-US" w:eastAsia="zh-CN"/>
              </w:rPr>
              <w:t>25万吨商品混凝土生产线</w:t>
            </w:r>
            <w:r>
              <w:rPr>
                <w:rFonts w:hint="default" w:ascii="Times New Roman" w:hAnsi="Times New Roman" w:cs="Times New Roman" w:eastAsiaTheme="minorEastAsia"/>
                <w:color w:val="auto"/>
                <w:sz w:val="24"/>
                <w:szCs w:val="24"/>
                <w:lang w:eastAsia="zh-CN"/>
              </w:rPr>
              <w:t>建设项目</w:t>
            </w:r>
            <w:r>
              <w:rPr>
                <w:rFonts w:hint="default" w:ascii="Times New Roman" w:hAnsi="Times New Roman" w:cs="Times New Roman" w:eastAsiaTheme="minorEastAsia"/>
                <w:color w:val="auto"/>
                <w:sz w:val="24"/>
                <w:szCs w:val="24"/>
                <w:lang w:val="en-US" w:eastAsia="zh-CN"/>
              </w:rPr>
              <w:t>环境影响评价报告表》的批复（寻环</w:t>
            </w:r>
            <w:r>
              <w:rPr>
                <w:rFonts w:hint="eastAsia" w:cs="Times New Roman" w:eastAsiaTheme="minorEastAsia"/>
                <w:color w:val="auto"/>
                <w:sz w:val="24"/>
                <w:szCs w:val="24"/>
                <w:lang w:val="en-US" w:eastAsia="zh-CN"/>
              </w:rPr>
              <w:t>〔2009〕111号</w:t>
            </w:r>
            <w:r>
              <w:rPr>
                <w:rFonts w:hint="default" w:ascii="Times New Roman" w:hAnsi="Times New Roman" w:cs="Times New Roman" w:eastAsiaTheme="minorEastAsia"/>
                <w:color w:val="auto"/>
                <w:sz w:val="24"/>
                <w:szCs w:val="24"/>
                <w:lang w:val="en-US" w:eastAsia="zh-CN"/>
              </w:rPr>
              <w:t>），项目属于新建项目</w:t>
            </w:r>
            <w:r>
              <w:rPr>
                <w:rFonts w:hint="default" w:ascii="Times New Roman" w:hAnsi="Times New Roman" w:eastAsia="宋体" w:cs="Times New Roman"/>
                <w:color w:val="auto"/>
                <w:sz w:val="24"/>
                <w:szCs w:val="24"/>
                <w:highlight w:val="none"/>
                <w:lang w:val="en-US" w:eastAsia="zh-CN"/>
              </w:rPr>
              <w:t>；</w:t>
            </w:r>
          </w:p>
          <w:p w14:paraId="35659E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②原项目已于2020年2月完成项目竣工环境保护验收手续</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验收组同意验收合格，取得了验收意见。</w:t>
            </w:r>
          </w:p>
          <w:p w14:paraId="01964D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③建设单位已于2020年1月1日发布了《年产25万吨商品混凝土生产线建设项目突发环境事件应急预案》（第一版）（备案编号：5301292020025L）</w:t>
            </w:r>
          </w:p>
          <w:p w14:paraId="4F294A93">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二、</w:t>
            </w:r>
            <w:r>
              <w:rPr>
                <w:rFonts w:hint="default" w:ascii="Times New Roman" w:hAnsi="Times New Roman" w:eastAsia="宋体" w:cs="Times New Roman"/>
                <w:b/>
                <w:bCs/>
                <w:color w:val="auto"/>
                <w:sz w:val="24"/>
                <w:highlight w:val="none"/>
              </w:rPr>
              <w:t>原项目</w:t>
            </w:r>
            <w:r>
              <w:rPr>
                <w:rFonts w:hint="default" w:ascii="Times New Roman" w:hAnsi="Times New Roman" w:eastAsia="宋体" w:cs="Times New Roman"/>
                <w:b/>
                <w:bCs/>
                <w:color w:val="auto"/>
                <w:sz w:val="24"/>
                <w:highlight w:val="none"/>
                <w:lang w:val="en-US" w:eastAsia="zh-CN"/>
              </w:rPr>
              <w:t>现有工程</w:t>
            </w:r>
            <w:r>
              <w:rPr>
                <w:rFonts w:hint="default" w:ascii="Times New Roman" w:hAnsi="Times New Roman" w:eastAsia="宋体" w:cs="Times New Roman"/>
                <w:b/>
                <w:bCs/>
                <w:color w:val="auto"/>
                <w:sz w:val="24"/>
                <w:highlight w:val="none"/>
              </w:rPr>
              <w:t>概况</w:t>
            </w:r>
          </w:p>
          <w:p w14:paraId="7030F8B5">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原</w:t>
            </w:r>
            <w:r>
              <w:rPr>
                <w:rFonts w:hint="default" w:ascii="Times New Roman" w:hAnsi="Times New Roman" w:eastAsia="宋体" w:cs="Times New Roman"/>
                <w:b/>
                <w:bCs/>
                <w:color w:val="auto"/>
                <w:sz w:val="24"/>
                <w:highlight w:val="none"/>
              </w:rPr>
              <w:t>项目</w:t>
            </w:r>
            <w:r>
              <w:rPr>
                <w:rFonts w:hint="default" w:ascii="Times New Roman" w:hAnsi="Times New Roman" w:eastAsia="宋体" w:cs="Times New Roman"/>
                <w:b/>
                <w:bCs/>
                <w:color w:val="auto"/>
                <w:sz w:val="24"/>
                <w:highlight w:val="none"/>
                <w:lang w:val="en-US" w:eastAsia="zh-CN"/>
              </w:rPr>
              <w:t>建设内容</w:t>
            </w:r>
          </w:p>
          <w:p w14:paraId="463721D1">
            <w:pPr>
              <w:adjustRightInd w:val="0"/>
              <w:snapToGrid w:val="0"/>
              <w:spacing w:line="360" w:lineRule="auto"/>
              <w:ind w:firstLine="480" w:firstLineChars="200"/>
              <w:rPr>
                <w:rFonts w:hint="default" w:ascii="Times New Roman" w:hAnsi="Times New Roman" w:cs="Times New Roman"/>
                <w:color w:val="auto"/>
                <w:lang w:val="zh-CN"/>
              </w:rPr>
            </w:pPr>
            <w:r>
              <w:rPr>
                <w:rFonts w:hint="default" w:ascii="Times New Roman" w:hAnsi="Times New Roman" w:eastAsia="宋体" w:cs="Times New Roman"/>
                <w:color w:val="auto"/>
                <w:kern w:val="2"/>
                <w:sz w:val="24"/>
                <w:szCs w:val="24"/>
                <w:highlight w:val="none"/>
                <w:lang w:val="en-US" w:eastAsia="zh-CN" w:bidi="ar-SA"/>
              </w:rPr>
              <w:t>原项目</w:t>
            </w:r>
            <w:r>
              <w:rPr>
                <w:rFonts w:hint="default" w:ascii="Times New Roman" w:hAnsi="Times New Roman" w:cs="Times New Roman" w:eastAsiaTheme="minorEastAsia"/>
                <w:color w:val="auto"/>
                <w:sz w:val="24"/>
                <w:szCs w:val="24"/>
                <w:lang w:val="en-US" w:eastAsia="zh-CN"/>
              </w:rPr>
              <w:t>占地面积10005</w:t>
            </w:r>
            <w:r>
              <w:rPr>
                <w:rFonts w:hint="eastAsia" w:cs="Times New Roman" w:eastAsiaTheme="minorEastAsia"/>
                <w:color w:val="auto"/>
                <w:sz w:val="24"/>
                <w:szCs w:val="24"/>
                <w:lang w:val="en-US" w:eastAsia="zh-CN"/>
              </w:rPr>
              <w:t>m</w:t>
            </w:r>
            <w:r>
              <w:rPr>
                <w:rFonts w:hint="eastAsia"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lang w:val="en-US" w:eastAsia="zh-CN"/>
              </w:rPr>
              <w:t>，主要建设内容为：年产25万吨商品混凝土生产线一条（搅拌线筒库数量为4个，其中水泥仓3个，粉煤灰仓1个）、砂石料仓、洗车场、职工宿舍、食堂及办公用房。</w:t>
            </w:r>
            <w:r>
              <w:rPr>
                <w:rFonts w:hint="default" w:ascii="Times New Roman" w:hAnsi="Times New Roman" w:eastAsia="宋体" w:cs="Times New Roman"/>
                <w:color w:val="auto"/>
                <w:kern w:val="2"/>
                <w:sz w:val="24"/>
                <w:szCs w:val="24"/>
                <w:highlight w:val="none"/>
                <w:lang w:val="zh-CN" w:eastAsia="zh-CN" w:bidi="ar-SA"/>
              </w:rPr>
              <w:t>原项目</w:t>
            </w:r>
            <w:r>
              <w:rPr>
                <w:rFonts w:hint="default" w:ascii="Times New Roman" w:hAnsi="Times New Roman" w:eastAsia="宋体" w:cs="Times New Roman"/>
                <w:color w:val="auto"/>
                <w:kern w:val="2"/>
                <w:sz w:val="24"/>
                <w:szCs w:val="24"/>
                <w:highlight w:val="none"/>
                <w:lang w:val="en-US" w:eastAsia="zh-CN" w:bidi="ar-SA"/>
              </w:rPr>
              <w:t>实际</w:t>
            </w:r>
            <w:r>
              <w:rPr>
                <w:rFonts w:hint="default" w:ascii="Times New Roman" w:hAnsi="Times New Roman" w:eastAsia="宋体" w:cs="Times New Roman"/>
                <w:color w:val="auto"/>
                <w:sz w:val="24"/>
                <w:highlight w:val="none"/>
                <w:lang w:val="zh-CN"/>
              </w:rPr>
              <w:t>组成情况见表</w:t>
            </w:r>
            <w:r>
              <w:rPr>
                <w:rFonts w:hint="default" w:ascii="Times New Roman" w:hAnsi="Times New Roman" w:eastAsia="宋体" w:cs="Times New Roman"/>
                <w:color w:val="auto"/>
                <w:sz w:val="24"/>
                <w:highlight w:val="none"/>
                <w:lang w:val="en-US" w:eastAsia="zh-CN"/>
              </w:rPr>
              <w:t>2-1</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val="zh-CN"/>
              </w:rPr>
              <w:t>。</w:t>
            </w:r>
          </w:p>
          <w:p w14:paraId="52CC7BB9">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表</w:t>
            </w:r>
            <w:r>
              <w:rPr>
                <w:rFonts w:hint="default" w:ascii="Times New Roman" w:hAnsi="Times New Roman" w:eastAsia="宋体" w:cs="Times New Roman"/>
                <w:b/>
                <w:bCs/>
                <w:color w:val="auto"/>
                <w:szCs w:val="21"/>
                <w:highlight w:val="none"/>
                <w:lang w:val="en-US" w:eastAsia="zh-CN"/>
              </w:rPr>
              <w:t>2-</w:t>
            </w:r>
            <w:r>
              <w:rPr>
                <w:rFonts w:hint="eastAsia" w:cs="Times New Roman"/>
                <w:b/>
                <w:bCs/>
                <w:color w:val="auto"/>
                <w:szCs w:val="21"/>
                <w:highlight w:val="none"/>
                <w:lang w:val="en-US" w:eastAsia="zh-CN"/>
              </w:rPr>
              <w:t>1</w:t>
            </w:r>
            <w:r>
              <w:rPr>
                <w:rFonts w:hint="default" w:ascii="Times New Roman" w:hAnsi="Times New Roman" w:eastAsia="宋体" w:cs="Times New Roman"/>
                <w:b/>
                <w:bCs/>
                <w:color w:val="auto"/>
                <w:szCs w:val="21"/>
                <w:highlight w:val="none"/>
              </w:rPr>
              <w:t xml:space="preserve">   原项目</w:t>
            </w:r>
            <w:r>
              <w:rPr>
                <w:rFonts w:hint="default" w:ascii="Times New Roman" w:hAnsi="Times New Roman" w:eastAsia="宋体" w:cs="Times New Roman"/>
                <w:b/>
                <w:bCs/>
                <w:color w:val="auto"/>
                <w:szCs w:val="21"/>
                <w:highlight w:val="none"/>
                <w:lang w:val="en-US" w:eastAsia="zh-CN"/>
              </w:rPr>
              <w:t>实际</w:t>
            </w:r>
            <w:r>
              <w:rPr>
                <w:rFonts w:hint="default" w:ascii="Times New Roman" w:hAnsi="Times New Roman" w:eastAsia="宋体" w:cs="Times New Roman"/>
                <w:b/>
                <w:bCs/>
                <w:color w:val="auto"/>
                <w:szCs w:val="21"/>
                <w:highlight w:val="none"/>
              </w:rPr>
              <w:t>工程组成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74"/>
              <w:gridCol w:w="1341"/>
              <w:gridCol w:w="7031"/>
            </w:tblGrid>
            <w:tr w14:paraId="6A90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14:paraId="1822386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cs="Times New Roman"/>
                      <w:b/>
                      <w:bCs/>
                      <w:color w:val="auto"/>
                      <w:highlight w:val="none"/>
                    </w:rPr>
                    <w:t>项目</w:t>
                  </w:r>
                </w:p>
              </w:tc>
              <w:tc>
                <w:tcPr>
                  <w:tcW w:w="0" w:type="auto"/>
                  <w:vAlign w:val="center"/>
                </w:tcPr>
                <w:p w14:paraId="4F3A0DD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建设内容及规模</w:t>
                  </w:r>
                </w:p>
              </w:tc>
            </w:tr>
            <w:tr w14:paraId="6DD7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7F4D7AB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cs="Times New Roman"/>
                      <w:color w:val="auto"/>
                      <w:highlight w:val="none"/>
                    </w:rPr>
                    <w:t>主体工程</w:t>
                  </w:r>
                </w:p>
              </w:tc>
              <w:tc>
                <w:tcPr>
                  <w:tcW w:w="0" w:type="auto"/>
                  <w:vMerge w:val="restart"/>
                  <w:vAlign w:val="center"/>
                </w:tcPr>
                <w:p w14:paraId="4A0BDA1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25万吨混</w:t>
                  </w:r>
                  <w:r>
                    <w:rPr>
                      <w:rFonts w:hint="eastAsia" w:ascii="Times New Roman" w:hAnsi="Times New Roman" w:eastAsia="Times New Roman" w:cs="Times New Roman"/>
                      <w:color w:val="auto"/>
                      <w:kern w:val="2"/>
                      <w:sz w:val="21"/>
                      <w:szCs w:val="21"/>
                      <w:highlight w:val="none"/>
                      <w:lang w:val="en-US" w:eastAsia="zh-CN" w:bidi="ar-SA"/>
                    </w:rPr>
                    <w:t>凝</w:t>
                  </w:r>
                  <w:r>
                    <w:rPr>
                      <w:rFonts w:hint="default" w:ascii="Times New Roman" w:hAnsi="Times New Roman" w:eastAsia="Times New Roman" w:cs="Times New Roman"/>
                      <w:color w:val="auto"/>
                      <w:kern w:val="2"/>
                      <w:sz w:val="21"/>
                      <w:szCs w:val="21"/>
                      <w:highlight w:val="none"/>
                      <w:lang w:val="en-US" w:eastAsia="zh-CN" w:bidi="ar-SA"/>
                    </w:rPr>
                    <w:t>土生产线</w:t>
                  </w:r>
                </w:p>
              </w:tc>
              <w:tc>
                <w:tcPr>
                  <w:tcW w:w="0" w:type="auto"/>
                  <w:vAlign w:val="center"/>
                </w:tcPr>
                <w:p w14:paraId="5F2CF0B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拌合站</w:t>
                  </w:r>
                </w:p>
              </w:tc>
              <w:tc>
                <w:tcPr>
                  <w:tcW w:w="0" w:type="auto"/>
                  <w:vAlign w:val="center"/>
                </w:tcPr>
                <w:p w14:paraId="12711DAE">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拌合站</w:t>
                  </w:r>
                  <w:r>
                    <w:rPr>
                      <w:rFonts w:hint="default" w:ascii="Times New Roman" w:hAnsi="Times New Roman" w:eastAsia="Times New Roman" w:cs="Times New Roman"/>
                      <w:color w:val="auto"/>
                      <w:kern w:val="2"/>
                      <w:sz w:val="21"/>
                      <w:szCs w:val="21"/>
                      <w:highlight w:val="none"/>
                      <w:lang w:val="en-US" w:eastAsia="zh-CN" w:bidi="ar-SA"/>
                    </w:rPr>
                    <w:t>建筑面积142.8m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，配套品控楼建筑面积114m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，设置1条HZS180型生产线，生产率180m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/h。</w:t>
                  </w:r>
                </w:p>
              </w:tc>
            </w:tr>
            <w:tr w14:paraId="0F6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0" w:type="auto"/>
                  <w:vMerge w:val="continue"/>
                  <w:vAlign w:val="center"/>
                </w:tcPr>
                <w:p w14:paraId="392C903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0" w:type="auto"/>
                  <w:vMerge w:val="continue"/>
                  <w:vAlign w:val="center"/>
                </w:tcPr>
                <w:p w14:paraId="4A3C0FB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p>
              </w:tc>
              <w:tc>
                <w:tcPr>
                  <w:tcW w:w="0" w:type="auto"/>
                  <w:vAlign w:val="center"/>
                </w:tcPr>
                <w:p w14:paraId="52A455C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筒仓</w:t>
                  </w:r>
                </w:p>
              </w:tc>
              <w:tc>
                <w:tcPr>
                  <w:tcW w:w="0" w:type="auto"/>
                  <w:vAlign w:val="center"/>
                </w:tcPr>
                <w:p w14:paraId="7E5E144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eastAsia="Times New Roman" w:cs="Times New Roman"/>
                      <w:color w:val="auto"/>
                      <w:kern w:val="2"/>
                      <w:sz w:val="21"/>
                      <w:szCs w:val="21"/>
                      <w:highlight w:val="none"/>
                      <w:lang w:val="en-US" w:eastAsia="zh-CN" w:bidi="ar-SA"/>
                    </w:rPr>
                    <w:t>1</w:t>
                  </w:r>
                  <w:r>
                    <w:rPr>
                      <w:rFonts w:hint="default" w:ascii="Times New Roman" w:hAnsi="Times New Roman" w:eastAsia="Times New Roman" w:cs="Times New Roman"/>
                      <w:color w:val="auto"/>
                      <w:kern w:val="2"/>
                      <w:sz w:val="21"/>
                      <w:szCs w:val="21"/>
                      <w:highlight w:val="none"/>
                      <w:lang w:val="en-US" w:eastAsia="zh-CN" w:bidi="ar-SA"/>
                    </w:rPr>
                    <w:t>#、</w:t>
                  </w:r>
                  <w:r>
                    <w:rPr>
                      <w:rFonts w:hint="eastAsia" w:ascii="Times New Roman" w:hAnsi="Times New Roman" w:eastAsia="Times New Roman" w:cs="Times New Roman"/>
                      <w:color w:val="auto"/>
                      <w:kern w:val="2"/>
                      <w:sz w:val="21"/>
                      <w:szCs w:val="21"/>
                      <w:highlight w:val="none"/>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#筒仓为水泥筒仓，</w:t>
                  </w:r>
                  <w:r>
                    <w:rPr>
                      <w:rFonts w:hint="eastAsia" w:ascii="Times New Roman" w:hAnsi="Times New Roman" w:eastAsia="Times New Roman" w:cs="Times New Roman"/>
                      <w:color w:val="auto"/>
                      <w:kern w:val="2"/>
                      <w:sz w:val="21"/>
                      <w:szCs w:val="21"/>
                      <w:highlight w:val="none"/>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#筒仓为粉煤灰筒仓</w:t>
                  </w:r>
                  <w:r>
                    <w:rPr>
                      <w:rFonts w:hint="eastAsia" w:ascii="Times New Roman" w:hAnsi="Times New Roman" w:eastAsia="Times New Roman" w:cs="Times New Roman"/>
                      <w:color w:val="auto"/>
                      <w:kern w:val="2"/>
                      <w:sz w:val="21"/>
                      <w:szCs w:val="21"/>
                      <w:highlight w:val="none"/>
                      <w:lang w:val="en-US" w:eastAsia="zh-CN" w:bidi="ar-SA"/>
                    </w:rPr>
                    <w:t>，4</w:t>
                  </w:r>
                  <w:r>
                    <w:rPr>
                      <w:rFonts w:hint="default" w:ascii="Times New Roman" w:hAnsi="Times New Roman" w:eastAsia="Times New Roman" w:cs="Times New Roman"/>
                      <w:color w:val="auto"/>
                      <w:kern w:val="2"/>
                      <w:sz w:val="21"/>
                      <w:szCs w:val="21"/>
                      <w:highlight w:val="none"/>
                      <w:lang w:val="en-US" w:eastAsia="zh-CN" w:bidi="ar-SA"/>
                    </w:rPr>
                    <w:t>#筒仓为矿粉筒仓。</w:t>
                  </w:r>
                </w:p>
              </w:tc>
            </w:tr>
            <w:tr w14:paraId="4382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2ED16C2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vertAlign w:val="baseline"/>
                    </w:rPr>
                  </w:pPr>
                </w:p>
              </w:tc>
              <w:tc>
                <w:tcPr>
                  <w:tcW w:w="0" w:type="auto"/>
                  <w:gridSpan w:val="2"/>
                  <w:vAlign w:val="center"/>
                </w:tcPr>
                <w:p w14:paraId="1ED2C447">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堆料仓库</w:t>
                  </w:r>
                </w:p>
              </w:tc>
              <w:tc>
                <w:tcPr>
                  <w:tcW w:w="0" w:type="auto"/>
                  <w:vAlign w:val="center"/>
                </w:tcPr>
                <w:p w14:paraId="220C67C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位于</w:t>
                  </w:r>
                  <w:r>
                    <w:rPr>
                      <w:rFonts w:hint="default" w:ascii="Times New Roman" w:hAnsi="Times New Roman" w:eastAsia="宋体" w:cs="Times New Roman"/>
                      <w:color w:val="auto"/>
                      <w:kern w:val="0"/>
                      <w:sz w:val="21"/>
                      <w:szCs w:val="21"/>
                      <w:highlight w:val="none"/>
                      <w:lang w:val="en-US" w:eastAsia="zh-CN"/>
                    </w:rPr>
                    <w:t>整个项目区</w:t>
                  </w:r>
                  <w:r>
                    <w:rPr>
                      <w:rFonts w:hint="default" w:ascii="Times New Roman" w:hAnsi="Times New Roman" w:cs="Times New Roman"/>
                      <w:color w:val="auto"/>
                      <w:kern w:val="0"/>
                      <w:sz w:val="21"/>
                      <w:szCs w:val="21"/>
                      <w:highlight w:val="none"/>
                      <w:lang w:val="en-US" w:eastAsia="zh-CN"/>
                    </w:rPr>
                    <w:t>东北</w:t>
                  </w:r>
                  <w:r>
                    <w:rPr>
                      <w:rFonts w:hint="default" w:ascii="Times New Roman" w:hAnsi="Times New Roman" w:eastAsia="宋体" w:cs="Times New Roman"/>
                      <w:color w:val="auto"/>
                      <w:kern w:val="0"/>
                      <w:sz w:val="21"/>
                      <w:szCs w:val="21"/>
                      <w:highlight w:val="none"/>
                      <w:lang w:val="en-US" w:eastAsia="zh-CN"/>
                    </w:rPr>
                    <w:t>侧</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总</w:t>
                  </w:r>
                  <w:r>
                    <w:rPr>
                      <w:rFonts w:hint="default" w:ascii="Times New Roman" w:hAnsi="Times New Roman" w:eastAsia="宋体" w:cs="Times New Roman"/>
                      <w:color w:val="auto"/>
                      <w:kern w:val="0"/>
                      <w:sz w:val="21"/>
                      <w:szCs w:val="21"/>
                      <w:highlight w:val="none"/>
                    </w:rPr>
                    <w:t>建筑面积为1500m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vertAlign w:val="baseline"/>
                      <w:lang w:eastAsia="zh-CN"/>
                    </w:rPr>
                    <w:t>，</w:t>
                  </w:r>
                  <w:r>
                    <w:rPr>
                      <w:rFonts w:hint="default" w:ascii="Times New Roman" w:hAnsi="Times New Roman" w:cs="Times New Roman"/>
                      <w:color w:val="auto"/>
                      <w:kern w:val="0"/>
                      <w:sz w:val="21"/>
                      <w:szCs w:val="21"/>
                      <w:highlight w:val="none"/>
                      <w:vertAlign w:val="baseline"/>
                      <w:lang w:val="en-US" w:eastAsia="zh-CN"/>
                    </w:rPr>
                    <w:t>仓库</w:t>
                  </w:r>
                  <w:r>
                    <w:rPr>
                      <w:rFonts w:hint="default" w:ascii="Times New Roman" w:hAnsi="Times New Roman" w:cs="Times New Roman" w:eastAsiaTheme="minorEastAsia"/>
                      <w:color w:val="auto"/>
                      <w:sz w:val="21"/>
                      <w:szCs w:val="21"/>
                      <w:lang w:eastAsia="zh-CN"/>
                    </w:rPr>
                    <w:t>地面水泥固化，三面密闭，设施顶盖</w:t>
                  </w:r>
                </w:p>
              </w:tc>
            </w:tr>
            <w:tr w14:paraId="25AE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3DBD472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辅助工程</w:t>
                  </w:r>
                </w:p>
              </w:tc>
              <w:tc>
                <w:tcPr>
                  <w:tcW w:w="0" w:type="auto"/>
                  <w:gridSpan w:val="2"/>
                  <w:vAlign w:val="center"/>
                </w:tcPr>
                <w:p w14:paraId="62F7A0E7">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综合住房楼</w:t>
                  </w:r>
                </w:p>
              </w:tc>
              <w:tc>
                <w:tcPr>
                  <w:tcW w:w="0" w:type="auto"/>
                  <w:vAlign w:val="center"/>
                </w:tcPr>
                <w:p w14:paraId="726C582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1栋2层的砖混结构综合楼和1栋2层的彩钢瓦结构住宿楼位于项目地块西部，总建筑面积为2000m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，高度为12.1m；综合楼主要包含办公室、危废暂存间，住宿楼包含宿舍、食堂。</w:t>
                  </w:r>
                </w:p>
              </w:tc>
            </w:tr>
            <w:tr w14:paraId="7108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vMerge w:val="continue"/>
                  <w:vAlign w:val="center"/>
                </w:tcPr>
                <w:p w14:paraId="4C5203C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77FC3153">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办公楼</w:t>
                  </w:r>
                </w:p>
              </w:tc>
              <w:tc>
                <w:tcPr>
                  <w:tcW w:w="0" w:type="auto"/>
                  <w:vAlign w:val="center"/>
                </w:tcPr>
                <w:p w14:paraId="52EE9596">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位于综合楼的1F，主要作为办公及会议使用。</w:t>
                  </w:r>
                </w:p>
              </w:tc>
            </w:tr>
            <w:tr w14:paraId="25F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4B9762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38685D24">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宿舍</w:t>
                  </w:r>
                </w:p>
              </w:tc>
              <w:tc>
                <w:tcPr>
                  <w:tcW w:w="0" w:type="auto"/>
                  <w:vAlign w:val="center"/>
                </w:tcPr>
                <w:p w14:paraId="10A61097">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位于综合楼1楼、住宿楼2层，用于员工日常生活。</w:t>
                  </w:r>
                </w:p>
              </w:tc>
            </w:tr>
            <w:tr w14:paraId="35FA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B2B400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4455D68B">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食堂</w:t>
                  </w:r>
                </w:p>
              </w:tc>
              <w:tc>
                <w:tcPr>
                  <w:tcW w:w="0" w:type="auto"/>
                  <w:vAlign w:val="center"/>
                </w:tcPr>
                <w:p w14:paraId="1B8E9FE3">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位于住宿楼1层</w:t>
                  </w:r>
                </w:p>
              </w:tc>
            </w:tr>
            <w:tr w14:paraId="282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F038AA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19CBEF2B">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门卫室</w:t>
                  </w:r>
                </w:p>
              </w:tc>
              <w:tc>
                <w:tcPr>
                  <w:tcW w:w="0" w:type="auto"/>
                  <w:vAlign w:val="center"/>
                </w:tcPr>
                <w:p w14:paraId="6802D0C5">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项目区出入口旁设置1栋门卫室</w:t>
                  </w:r>
                </w:p>
              </w:tc>
            </w:tr>
            <w:tr w14:paraId="4DAD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8A44A6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0D63D640">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物资仓库</w:t>
                  </w:r>
                </w:p>
              </w:tc>
              <w:tc>
                <w:tcPr>
                  <w:tcW w:w="0" w:type="auto"/>
                  <w:vAlign w:val="center"/>
                </w:tcPr>
                <w:p w14:paraId="0A1BE69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设置1间物资仓库，位于项目区西北部，储存机油、润滑油等。</w:t>
                  </w:r>
                </w:p>
              </w:tc>
            </w:tr>
            <w:tr w14:paraId="4BB4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0" w:type="auto"/>
                  <w:vMerge w:val="continue"/>
                  <w:vAlign w:val="center"/>
                </w:tcPr>
                <w:p w14:paraId="5B294AA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79B7A227">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厂区运输道路</w:t>
                  </w:r>
                </w:p>
              </w:tc>
              <w:tc>
                <w:tcPr>
                  <w:tcW w:w="0" w:type="auto"/>
                  <w:vAlign w:val="center"/>
                </w:tcPr>
                <w:p w14:paraId="3CB6975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用于厂区内运输道路。</w:t>
                  </w:r>
                </w:p>
              </w:tc>
            </w:tr>
            <w:tr w14:paraId="0DE0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B5EEEC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33C45AA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停车区</w:t>
                  </w:r>
                </w:p>
              </w:tc>
              <w:tc>
                <w:tcPr>
                  <w:tcW w:w="0" w:type="auto"/>
                  <w:vAlign w:val="center"/>
                </w:tcPr>
                <w:p w14:paraId="5DB957D6">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停放运输车辆及员工车辆。</w:t>
                  </w:r>
                </w:p>
              </w:tc>
            </w:tr>
            <w:tr w14:paraId="7D04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F4CE54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0FD6D49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输送皮带</w:t>
                  </w:r>
                </w:p>
              </w:tc>
              <w:tc>
                <w:tcPr>
                  <w:tcW w:w="0" w:type="auto"/>
                  <w:vAlign w:val="center"/>
                </w:tcPr>
                <w:p w14:paraId="4C87D7D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生产过程物料输送使用密闭皮带运输</w:t>
                  </w:r>
                  <w:r>
                    <w:rPr>
                      <w:rFonts w:hint="eastAsia" w:ascii="Times New Roman" w:eastAsia="Times New Roman" w:cs="Times New Roman"/>
                      <w:color w:val="auto"/>
                      <w:kern w:val="2"/>
                      <w:sz w:val="21"/>
                      <w:szCs w:val="21"/>
                      <w:highlight w:val="none"/>
                      <w:lang w:val="en-US" w:eastAsia="zh-CN" w:bidi="ar-SA"/>
                    </w:rPr>
                    <w:t>约50m。</w:t>
                  </w:r>
                </w:p>
              </w:tc>
            </w:tr>
            <w:tr w14:paraId="1A4C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1BB7B2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公用工程</w:t>
                  </w:r>
                </w:p>
              </w:tc>
              <w:tc>
                <w:tcPr>
                  <w:tcW w:w="0" w:type="auto"/>
                  <w:gridSpan w:val="2"/>
                  <w:vAlign w:val="center"/>
                </w:tcPr>
                <w:p w14:paraId="7902C6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供水</w:t>
                  </w:r>
                </w:p>
              </w:tc>
              <w:tc>
                <w:tcPr>
                  <w:tcW w:w="0" w:type="auto"/>
                  <w:vAlign w:val="center"/>
                </w:tcPr>
                <w:p w14:paraId="42CDAA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由哨上大村供水管网供给。</w:t>
                  </w:r>
                </w:p>
              </w:tc>
            </w:tr>
            <w:tr w14:paraId="15CE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C89361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4CDD3C0F">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排水</w:t>
                  </w:r>
                </w:p>
              </w:tc>
              <w:tc>
                <w:tcPr>
                  <w:tcW w:w="0" w:type="auto"/>
                  <w:vAlign w:val="center"/>
                </w:tcPr>
                <w:p w14:paraId="46D8754D">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采取雨污分流系统</w:t>
                  </w:r>
                </w:p>
                <w:p w14:paraId="389F889C">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①雨水：厂区硬化地上雨水经地势北高南低汇入“沉淀池”系统处理后回用于项目生产过程，厂区周边设有雨水沟，厂区周边降雨经过雨水沟直接外排，不参与生产使用。</w:t>
                  </w:r>
                </w:p>
                <w:p w14:paraId="06F77A7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②污水：项目食堂废水先经隔油池处理后，再同生活污水排入化粪池处理后，用于农田堆肥；项目搅拌机清洗废水混凝土运输车辆罐体内部及罐车外部清洗废水、厂区硬化地面冲洗废水经沉淀池处理后回用于项目生产过程，不外排。</w:t>
                  </w:r>
                </w:p>
              </w:tc>
            </w:tr>
            <w:tr w14:paraId="29D3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C0E337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7D181C27">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道路、地面硬化区</w:t>
                  </w:r>
                </w:p>
              </w:tc>
              <w:tc>
                <w:tcPr>
                  <w:tcW w:w="0" w:type="auto"/>
                  <w:vAlign w:val="center"/>
                </w:tcPr>
                <w:p w14:paraId="3BBFD0A8">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占地面积3800m</w:t>
                  </w:r>
                  <w:r>
                    <w:rPr>
                      <w:rFonts w:hint="default" w:ascii="Times New Roman" w:hAnsi="Times New Roman" w:eastAsia="Times New Roman" w:cs="Times New Roman"/>
                      <w:color w:val="auto"/>
                      <w:kern w:val="2"/>
                      <w:sz w:val="21"/>
                      <w:szCs w:val="21"/>
                      <w:highlight w:val="none"/>
                      <w:vertAlign w:val="superscript"/>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w:t>
                  </w:r>
                </w:p>
              </w:tc>
            </w:tr>
            <w:tr w14:paraId="33A4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09791E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526950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供电</w:t>
                  </w:r>
                </w:p>
              </w:tc>
              <w:tc>
                <w:tcPr>
                  <w:tcW w:w="0" w:type="auto"/>
                  <w:vAlign w:val="center"/>
                </w:tcPr>
                <w:p w14:paraId="1BB838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从</w:t>
                  </w:r>
                  <w:r>
                    <w:rPr>
                      <w:rFonts w:hint="default" w:ascii="Times New Roman" w:hAnsi="Times New Roman" w:cs="Times New Roman"/>
                      <w:color w:val="auto"/>
                      <w:lang w:val="en-US" w:eastAsia="zh-CN"/>
                    </w:rPr>
                    <w:t>金所乡哨上大村</w:t>
                  </w:r>
                  <w:r>
                    <w:rPr>
                      <w:rFonts w:hint="default" w:ascii="Times New Roman" w:hAnsi="Times New Roman" w:cs="Times New Roman"/>
                      <w:color w:val="auto"/>
                    </w:rPr>
                    <w:t>输电线路，</w:t>
                  </w:r>
                  <w:r>
                    <w:rPr>
                      <w:rFonts w:hint="default" w:ascii="Times New Roman" w:hAnsi="Times New Roman" w:cs="Times New Roman"/>
                      <w:color w:val="auto"/>
                      <w:lang w:val="en-US" w:eastAsia="zh-CN"/>
                    </w:rPr>
                    <w:t>输电线</w:t>
                  </w:r>
                  <w:r>
                    <w:rPr>
                      <w:rFonts w:hint="default" w:ascii="Times New Roman" w:hAnsi="Times New Roman" w:cs="Times New Roman"/>
                      <w:color w:val="auto"/>
                    </w:rPr>
                    <w:t>缆引入电力变压器，再经电力变压器降压后为380/220V供项目用电</w:t>
                  </w:r>
                  <w:r>
                    <w:rPr>
                      <w:rFonts w:hint="default" w:ascii="Times New Roman" w:hAnsi="Times New Roman" w:cs="Times New Roman"/>
                      <w:color w:val="auto"/>
                      <w:lang w:eastAsia="zh-CN"/>
                    </w:rPr>
                    <w:t>。</w:t>
                  </w:r>
                </w:p>
              </w:tc>
            </w:tr>
            <w:tr w14:paraId="6A54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D27CA1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3D0D6B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0" w:type="auto"/>
                  <w:vAlign w:val="center"/>
                </w:tcPr>
                <w:p w14:paraId="5B8551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cs="Times New Roman"/>
                      <w:color w:val="auto"/>
                      <w:kern w:val="0"/>
                      <w:sz w:val="21"/>
                      <w:szCs w:val="21"/>
                      <w:highlight w:val="none"/>
                      <w:lang w:eastAsia="zh-CN"/>
                    </w:rPr>
                    <w:t>配有</w:t>
                  </w:r>
                  <w:r>
                    <w:rPr>
                      <w:rFonts w:hint="default" w:ascii="Times New Roman" w:hAnsi="Times New Roman" w:eastAsia="宋体" w:cs="Times New Roman"/>
                      <w:color w:val="auto"/>
                      <w:kern w:val="0"/>
                      <w:sz w:val="21"/>
                      <w:szCs w:val="21"/>
                      <w:highlight w:val="none"/>
                    </w:rPr>
                    <w:t>灭火器</w:t>
                  </w:r>
                </w:p>
              </w:tc>
            </w:tr>
            <w:tr w14:paraId="73E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F6A649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环保工程</w:t>
                  </w:r>
                </w:p>
              </w:tc>
              <w:tc>
                <w:tcPr>
                  <w:tcW w:w="0" w:type="auto"/>
                  <w:vAlign w:val="center"/>
                </w:tcPr>
                <w:p w14:paraId="40E58D4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生活污水处理设施</w:t>
                  </w:r>
                </w:p>
              </w:tc>
              <w:tc>
                <w:tcPr>
                  <w:tcW w:w="0" w:type="auto"/>
                  <w:vAlign w:val="center"/>
                </w:tcPr>
                <w:p w14:paraId="2CB43580">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隔油池</w:t>
                  </w:r>
                </w:p>
              </w:tc>
              <w:tc>
                <w:tcPr>
                  <w:tcW w:w="0" w:type="auto"/>
                  <w:vAlign w:val="center"/>
                </w:tcPr>
                <w:p w14:paraId="51E96B2F">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容积2m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的三级隔油池1座，用于含油废水隔油预处理。</w:t>
                  </w:r>
                </w:p>
              </w:tc>
            </w:tr>
            <w:tr w14:paraId="4FAB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41ABFDD">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7C08957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生产废水处理设施</w:t>
                  </w:r>
                </w:p>
              </w:tc>
              <w:tc>
                <w:tcPr>
                  <w:tcW w:w="0" w:type="auto"/>
                  <w:vAlign w:val="center"/>
                </w:tcPr>
                <w:p w14:paraId="0EDD2AB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沉淀池</w:t>
                  </w:r>
                </w:p>
              </w:tc>
              <w:tc>
                <w:tcPr>
                  <w:tcW w:w="0" w:type="auto"/>
                  <w:vAlign w:val="center"/>
                </w:tcPr>
                <w:p w14:paraId="0E617F64">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设置1个三级沉淀池：容积150m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w:t>
                  </w:r>
                </w:p>
              </w:tc>
            </w:tr>
            <w:tr w14:paraId="1BBB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E6F6D6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39204081">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化粪池</w:t>
                  </w:r>
                </w:p>
              </w:tc>
              <w:tc>
                <w:tcPr>
                  <w:tcW w:w="0" w:type="auto"/>
                  <w:vAlign w:val="center"/>
                </w:tcPr>
                <w:p w14:paraId="1ADCF009">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卫生间</w:t>
                  </w:r>
                </w:p>
              </w:tc>
              <w:tc>
                <w:tcPr>
                  <w:tcW w:w="0" w:type="auto"/>
                  <w:vAlign w:val="center"/>
                </w:tcPr>
                <w:p w14:paraId="7D01F751">
                  <w:pPr>
                    <w:pStyle w:val="38"/>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eastAsia="Times New Roman" w:cs="Times New Roman"/>
                      <w:color w:val="auto"/>
                      <w:kern w:val="2"/>
                      <w:sz w:val="21"/>
                      <w:szCs w:val="21"/>
                      <w:highlight w:val="none"/>
                      <w:lang w:val="en-US" w:eastAsia="zh-CN" w:bidi="ar-SA"/>
                    </w:rPr>
                    <w:t>在项目地块南侧，用于处理排泄污染物</w:t>
                  </w:r>
                  <w:r>
                    <w:rPr>
                      <w:rFonts w:hint="eastAsia" w:ascii="Times New Roman" w:eastAsia="Times New Roman" w:cs="Times New Roman"/>
                      <w:color w:val="auto"/>
                      <w:kern w:val="2"/>
                      <w:sz w:val="21"/>
                      <w:szCs w:val="21"/>
                      <w:highlight w:val="none"/>
                      <w:lang w:val="en-US" w:eastAsia="zh-CN" w:bidi="ar-SA"/>
                    </w:rPr>
                    <w:t>，化粪池容积</w:t>
                  </w:r>
                  <w:r>
                    <w:rPr>
                      <w:rFonts w:hint="eastAsia" w:ascii="Times New Roman" w:hAnsi="Times New Roman" w:eastAsia="Times New Roman" w:cs="Times New Roman"/>
                      <w:color w:val="auto"/>
                      <w:kern w:val="2"/>
                      <w:sz w:val="21"/>
                      <w:szCs w:val="21"/>
                      <w:highlight w:val="none"/>
                      <w:lang w:val="en-US" w:eastAsia="zh-CN" w:bidi="ar-SA"/>
                    </w:rPr>
                    <w:t>5</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Times New Roman" w:cs="Times New Roman"/>
                      <w:color w:val="auto"/>
                      <w:kern w:val="2"/>
                      <w:sz w:val="21"/>
                      <w:szCs w:val="21"/>
                      <w:highlight w:val="none"/>
                      <w:lang w:val="en-US" w:eastAsia="zh-CN" w:bidi="ar-SA"/>
                    </w:rPr>
                    <w:t>。</w:t>
                  </w:r>
                </w:p>
              </w:tc>
            </w:tr>
            <w:tr w14:paraId="4B5D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3DE3F17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restart"/>
                  <w:vAlign w:val="center"/>
                </w:tcPr>
                <w:p w14:paraId="021FD663">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有组织</w:t>
                  </w:r>
                </w:p>
                <w:p w14:paraId="08D71B99">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粉尘治理设施</w:t>
                  </w:r>
                </w:p>
              </w:tc>
              <w:tc>
                <w:tcPr>
                  <w:tcW w:w="0" w:type="auto"/>
                  <w:vMerge w:val="restart"/>
                  <w:vAlign w:val="center"/>
                </w:tcPr>
                <w:p w14:paraId="26B7953C">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筒仓</w:t>
                  </w:r>
                </w:p>
              </w:tc>
              <w:tc>
                <w:tcPr>
                  <w:tcW w:w="0" w:type="auto"/>
                  <w:vAlign w:val="center"/>
                </w:tcPr>
                <w:p w14:paraId="2550024D">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eastAsia="Times New Roman" w:cs="Times New Roman"/>
                      <w:color w:val="auto"/>
                      <w:kern w:val="2"/>
                      <w:sz w:val="21"/>
                      <w:szCs w:val="21"/>
                      <w:highlight w:val="none"/>
                      <w:lang w:val="en-US" w:eastAsia="zh-CN" w:bidi="ar-SA"/>
                    </w:rPr>
                    <w:t>1#</w:t>
                  </w:r>
                  <w:r>
                    <w:rPr>
                      <w:rFonts w:hint="default" w:ascii="Times New Roman" w:hAnsi="Times New Roman" w:eastAsia="Times New Roman" w:cs="Times New Roman"/>
                      <w:color w:val="auto"/>
                      <w:kern w:val="2"/>
                      <w:sz w:val="21"/>
                      <w:szCs w:val="21"/>
                      <w:highlight w:val="none"/>
                      <w:lang w:val="en-US" w:eastAsia="zh-CN" w:bidi="ar-SA"/>
                    </w:rPr>
                    <w:t>水泥筒仓顶部设置脉冲布袋除尘器</w:t>
                  </w:r>
                  <w:r>
                    <w:rPr>
                      <w:rFonts w:hint="eastAsia" w:ascii="Times New Roman" w:eastAsia="Times New Roman" w:cs="Times New Roman"/>
                      <w:color w:val="auto"/>
                      <w:kern w:val="2"/>
                      <w:sz w:val="21"/>
                      <w:szCs w:val="21"/>
                      <w:highlight w:val="none"/>
                      <w:lang w:val="en-US" w:eastAsia="zh-CN" w:bidi="ar-SA"/>
                    </w:rPr>
                    <w:t>（1#），处理后的废气经仓顶呼吸口（DA001）排放。</w:t>
                  </w:r>
                </w:p>
              </w:tc>
            </w:tr>
            <w:tr w14:paraId="45A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1E12EFA4">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61D942F3">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0" w:type="auto"/>
                  <w:vMerge w:val="continue"/>
                  <w:vAlign w:val="center"/>
                </w:tcPr>
                <w:p w14:paraId="5A80647F">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5F49A947">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2#</w:t>
                  </w:r>
                  <w:r>
                    <w:rPr>
                      <w:rFonts w:hint="default" w:ascii="Times New Roman" w:hAnsi="Times New Roman" w:eastAsia="Times New Roman" w:cs="Times New Roman"/>
                      <w:color w:val="auto"/>
                      <w:kern w:val="2"/>
                      <w:sz w:val="21"/>
                      <w:szCs w:val="21"/>
                      <w:highlight w:val="none"/>
                      <w:lang w:val="en-US" w:eastAsia="zh-CN" w:bidi="ar-SA"/>
                    </w:rPr>
                    <w:t>水泥筒仓顶部设置脉冲布袋除尘器</w:t>
                  </w:r>
                  <w:r>
                    <w:rPr>
                      <w:rFonts w:hint="eastAsia" w:ascii="Times New Roman" w:eastAsia="Times New Roman" w:cs="Times New Roman"/>
                      <w:color w:val="auto"/>
                      <w:kern w:val="2"/>
                      <w:sz w:val="21"/>
                      <w:szCs w:val="21"/>
                      <w:highlight w:val="none"/>
                      <w:lang w:val="en-US" w:eastAsia="zh-CN" w:bidi="ar-SA"/>
                    </w:rPr>
                    <w:t>（2#），处理后的废气经仓顶呼吸口（DA003）排放。</w:t>
                  </w:r>
                </w:p>
              </w:tc>
            </w:tr>
            <w:tr w14:paraId="2E0B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18986DF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0FBB30E9">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0" w:type="auto"/>
                  <w:vMerge w:val="continue"/>
                  <w:vAlign w:val="center"/>
                </w:tcPr>
                <w:p w14:paraId="041C651B">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4B5FCE9A">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3#粉煤灰</w:t>
                  </w:r>
                  <w:r>
                    <w:rPr>
                      <w:rFonts w:hint="default" w:ascii="Times New Roman" w:hAnsi="Times New Roman" w:eastAsia="Times New Roman" w:cs="Times New Roman"/>
                      <w:color w:val="auto"/>
                      <w:kern w:val="2"/>
                      <w:sz w:val="21"/>
                      <w:szCs w:val="21"/>
                      <w:highlight w:val="none"/>
                      <w:lang w:val="en-US" w:eastAsia="zh-CN" w:bidi="ar-SA"/>
                    </w:rPr>
                    <w:t>筒仓顶部设置脉冲布袋除尘器</w:t>
                  </w:r>
                  <w:r>
                    <w:rPr>
                      <w:rFonts w:hint="eastAsia" w:ascii="Times New Roman" w:eastAsia="Times New Roman" w:cs="Times New Roman"/>
                      <w:color w:val="auto"/>
                      <w:kern w:val="2"/>
                      <w:sz w:val="21"/>
                      <w:szCs w:val="21"/>
                      <w:highlight w:val="none"/>
                      <w:lang w:val="en-US" w:eastAsia="zh-CN" w:bidi="ar-SA"/>
                    </w:rPr>
                    <w:t>（3#），处理后的废气经仓顶呼吸口（DA003）排放。</w:t>
                  </w:r>
                </w:p>
              </w:tc>
            </w:tr>
            <w:tr w14:paraId="4BBC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0" w:type="auto"/>
                  <w:vMerge w:val="continue"/>
                  <w:vAlign w:val="center"/>
                </w:tcPr>
                <w:p w14:paraId="2F87580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18A70498">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highlight w:val="none"/>
                    </w:rPr>
                  </w:pPr>
                </w:p>
              </w:tc>
              <w:tc>
                <w:tcPr>
                  <w:tcW w:w="0" w:type="auto"/>
                  <w:vMerge w:val="continue"/>
                  <w:vAlign w:val="center"/>
                </w:tcPr>
                <w:p w14:paraId="1AC68BA3">
                  <w:pPr>
                    <w:pStyle w:val="4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141895F8">
                  <w:pPr>
                    <w:pStyle w:val="38"/>
                    <w:keepNext w:val="0"/>
                    <w:keepLines w:val="0"/>
                    <w:pageBreakBefore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eastAsia="Times New Roman" w:cs="Times New Roman"/>
                      <w:color w:val="auto"/>
                      <w:kern w:val="2"/>
                      <w:sz w:val="21"/>
                      <w:szCs w:val="21"/>
                      <w:highlight w:val="none"/>
                      <w:lang w:val="en-US" w:eastAsia="zh-CN" w:bidi="ar-SA"/>
                    </w:rPr>
                    <w:t>4#</w:t>
                  </w:r>
                  <w:r>
                    <w:rPr>
                      <w:rFonts w:hint="eastAsia"/>
                      <w:color w:val="auto"/>
                      <w:sz w:val="21"/>
                      <w:szCs w:val="21"/>
                      <w:lang w:val="en-US" w:eastAsia="zh-CN"/>
                    </w:rPr>
                    <w:t>矿粉</w:t>
                  </w:r>
                  <w:r>
                    <w:rPr>
                      <w:rFonts w:hint="default" w:ascii="Times New Roman" w:hAnsi="Times New Roman" w:eastAsia="Times New Roman" w:cs="Times New Roman"/>
                      <w:color w:val="auto"/>
                      <w:kern w:val="2"/>
                      <w:sz w:val="21"/>
                      <w:szCs w:val="21"/>
                      <w:highlight w:val="none"/>
                      <w:lang w:val="en-US" w:eastAsia="zh-CN" w:bidi="ar-SA"/>
                    </w:rPr>
                    <w:t>筒仓顶部设置脉冲布袋除尘器</w:t>
                  </w:r>
                  <w:r>
                    <w:rPr>
                      <w:rFonts w:hint="eastAsia" w:ascii="Times New Roman" w:eastAsia="Times New Roman" w:cs="Times New Roman"/>
                      <w:color w:val="auto"/>
                      <w:kern w:val="2"/>
                      <w:sz w:val="21"/>
                      <w:szCs w:val="21"/>
                      <w:highlight w:val="none"/>
                      <w:lang w:val="en-US" w:eastAsia="zh-CN" w:bidi="ar-SA"/>
                    </w:rPr>
                    <w:t>（4#），处理后的废气经仓顶呼吸口（DA004）排放。</w:t>
                  </w:r>
                </w:p>
              </w:tc>
            </w:tr>
            <w:tr w14:paraId="69D6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0" w:type="auto"/>
                  <w:vMerge w:val="continue"/>
                  <w:vAlign w:val="center"/>
                </w:tcPr>
                <w:p w14:paraId="286500A0">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restart"/>
                  <w:vAlign w:val="center"/>
                </w:tcPr>
                <w:p w14:paraId="145D39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无组织</w:t>
                  </w:r>
                </w:p>
                <w:p w14:paraId="2B91BB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粉尘治理</w:t>
                  </w:r>
                </w:p>
              </w:tc>
              <w:tc>
                <w:tcPr>
                  <w:tcW w:w="0" w:type="auto"/>
                  <w:vAlign w:val="center"/>
                </w:tcPr>
                <w:p w14:paraId="0AC4390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混凝土</w:t>
                  </w:r>
                  <w:r>
                    <w:rPr>
                      <w:rFonts w:hint="eastAsia" w:cs="Times New Roman"/>
                      <w:color w:val="auto"/>
                      <w:kern w:val="0"/>
                      <w:szCs w:val="21"/>
                      <w:highlight w:val="none"/>
                      <w:lang w:eastAsia="zh-CN" w:bidi="ar"/>
                    </w:rPr>
                    <w:t>拌合站</w:t>
                  </w:r>
                  <w:r>
                    <w:rPr>
                      <w:rFonts w:hint="default" w:ascii="Times New Roman" w:hAnsi="Times New Roman" w:cs="Times New Roman"/>
                      <w:color w:val="auto"/>
                      <w:kern w:val="0"/>
                      <w:szCs w:val="21"/>
                      <w:highlight w:val="none"/>
                      <w:lang w:bidi="ar"/>
                    </w:rPr>
                    <w:t>封闭措施</w:t>
                  </w:r>
                </w:p>
              </w:tc>
              <w:tc>
                <w:tcPr>
                  <w:tcW w:w="0" w:type="auto"/>
                  <w:vAlign w:val="center"/>
                </w:tcPr>
                <w:p w14:paraId="41724FA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Cs w:val="21"/>
                      <w:highlight w:val="none"/>
                      <w:lang w:eastAsia="zh-CN" w:bidi="ar"/>
                    </w:rPr>
                    <w:t>拌合站</w:t>
                  </w:r>
                  <w:r>
                    <w:rPr>
                      <w:rFonts w:hint="default" w:ascii="Times New Roman" w:hAnsi="Times New Roman" w:cs="Times New Roman"/>
                      <w:color w:val="auto"/>
                      <w:kern w:val="0"/>
                      <w:szCs w:val="21"/>
                      <w:highlight w:val="none"/>
                      <w:lang w:bidi="ar"/>
                    </w:rPr>
                    <w:t>主体二层及以上部分、原材料上料、配料、搅拌等设施、设备均进行封闭处理。</w:t>
                  </w:r>
                </w:p>
              </w:tc>
            </w:tr>
            <w:tr w14:paraId="0D1F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0654936">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4D73054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339F76D4">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lang w:val="en-US" w:eastAsia="zh-CN"/>
                    </w:rPr>
                    <w:t>制砂车间</w:t>
                  </w:r>
                  <w:r>
                    <w:rPr>
                      <w:rFonts w:hint="default" w:ascii="Times New Roman" w:hAnsi="Times New Roman" w:cs="Times New Roman"/>
                      <w:color w:val="auto"/>
                      <w:kern w:val="0"/>
                      <w:szCs w:val="21"/>
                      <w:highlight w:val="none"/>
                      <w:lang w:bidi="ar"/>
                    </w:rPr>
                    <w:t>封闭措施及物料加湿措施</w:t>
                  </w:r>
                </w:p>
              </w:tc>
              <w:tc>
                <w:tcPr>
                  <w:tcW w:w="0" w:type="auto"/>
                  <w:vAlign w:val="center"/>
                </w:tcPr>
                <w:p w14:paraId="7E28461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lang w:val="en-US" w:eastAsia="zh-CN"/>
                    </w:rPr>
                    <w:t>对制砂车间</w:t>
                  </w:r>
                  <w:r>
                    <w:rPr>
                      <w:rFonts w:hint="default" w:ascii="Times New Roman" w:hAnsi="Times New Roman" w:cs="Times New Roman"/>
                      <w:color w:val="auto"/>
                      <w:kern w:val="0"/>
                      <w:szCs w:val="21"/>
                      <w:highlight w:val="none"/>
                      <w:lang w:bidi="ar"/>
                    </w:rPr>
                    <w:t>进行</w:t>
                  </w:r>
                  <w:r>
                    <w:rPr>
                      <w:rFonts w:hint="default" w:ascii="Times New Roman" w:hAnsi="Times New Roman" w:cs="Times New Roman"/>
                      <w:color w:val="auto"/>
                      <w:kern w:val="0"/>
                      <w:szCs w:val="21"/>
                      <w:highlight w:val="none"/>
                      <w:lang w:val="en-US" w:eastAsia="zh-CN" w:bidi="ar"/>
                    </w:rPr>
                    <w:t>彩钢瓦去</w:t>
                  </w:r>
                  <w:r>
                    <w:rPr>
                      <w:rFonts w:hint="default" w:ascii="Times New Roman" w:hAnsi="Times New Roman" w:cs="Times New Roman"/>
                      <w:color w:val="auto"/>
                      <w:kern w:val="0"/>
                      <w:szCs w:val="21"/>
                      <w:highlight w:val="none"/>
                      <w:lang w:bidi="ar"/>
                    </w:rPr>
                    <w:t>封闭</w:t>
                  </w:r>
                  <w:r>
                    <w:rPr>
                      <w:rFonts w:hint="default" w:ascii="Times New Roman" w:hAnsi="Times New Roman" w:cs="Times New Roman"/>
                      <w:color w:val="auto"/>
                      <w:kern w:val="0"/>
                      <w:szCs w:val="21"/>
                      <w:highlight w:val="none"/>
                      <w:lang w:val="en-US" w:eastAsia="zh-CN" w:bidi="ar"/>
                    </w:rPr>
                    <w:t>处理</w:t>
                  </w:r>
                  <w:r>
                    <w:rPr>
                      <w:rFonts w:hint="eastAsia" w:ascii="Times New Roman" w:hAnsi="Times New Roman" w:cs="Times New Roman"/>
                      <w:color w:val="auto"/>
                      <w:kern w:val="0"/>
                      <w:szCs w:val="21"/>
                      <w:highlight w:val="none"/>
                      <w:lang w:val="en-US" w:eastAsia="zh-CN" w:bidi="ar"/>
                    </w:rPr>
                    <w:t>，并设置车间喷雾降尘措施</w:t>
                  </w:r>
                  <w:r>
                    <w:rPr>
                      <w:rFonts w:hint="default" w:ascii="Times New Roman" w:hAnsi="Times New Roman" w:cs="Times New Roman"/>
                      <w:color w:val="auto"/>
                      <w:kern w:val="0"/>
                      <w:szCs w:val="21"/>
                      <w:highlight w:val="none"/>
                      <w:lang w:val="en-US" w:eastAsia="zh-CN" w:bidi="ar"/>
                    </w:rPr>
                    <w:t>。</w:t>
                  </w:r>
                </w:p>
              </w:tc>
            </w:tr>
            <w:tr w14:paraId="04D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8F768CB">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2DFC65D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083C583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骨料皮带输送机抑尘措施</w:t>
                  </w:r>
                </w:p>
              </w:tc>
              <w:tc>
                <w:tcPr>
                  <w:tcW w:w="0" w:type="auto"/>
                  <w:vAlign w:val="center"/>
                </w:tcPr>
                <w:p w14:paraId="4533409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皮带输送机廊道</w:t>
                  </w:r>
                  <w:r>
                    <w:rPr>
                      <w:rFonts w:hint="default" w:ascii="Times New Roman" w:hAnsi="Times New Roman" w:cs="Times New Roman"/>
                      <w:color w:val="auto"/>
                      <w:kern w:val="0"/>
                      <w:szCs w:val="21"/>
                      <w:highlight w:val="none"/>
                      <w:lang w:val="en-US" w:eastAsia="zh-CN" w:bidi="ar"/>
                    </w:rPr>
                    <w:t>设置全封闭皮带输送系统</w:t>
                  </w:r>
                  <w:r>
                    <w:rPr>
                      <w:rFonts w:hint="default" w:ascii="Times New Roman" w:hAnsi="Times New Roman" w:cs="Times New Roman"/>
                      <w:color w:val="auto"/>
                      <w:kern w:val="0"/>
                      <w:szCs w:val="21"/>
                      <w:highlight w:val="none"/>
                      <w:lang w:bidi="ar"/>
                    </w:rPr>
                    <w:t>。</w:t>
                  </w:r>
                </w:p>
              </w:tc>
            </w:tr>
            <w:tr w14:paraId="4A7C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7C8729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6201CC5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5761C4B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骨料料仓抑尘措施</w:t>
                  </w:r>
                </w:p>
              </w:tc>
              <w:tc>
                <w:tcPr>
                  <w:tcW w:w="0" w:type="auto"/>
                  <w:vAlign w:val="center"/>
                </w:tcPr>
                <w:p w14:paraId="3CE78D6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骨料料仓采用彩钢瓦进行整体封闭，仅将进出物料口设置为敞开式</w:t>
                  </w:r>
                  <w:r>
                    <w:rPr>
                      <w:rFonts w:hint="eastAsia" w:ascii="Times New Roman" w:hAnsi="Times New Roman" w:cs="Times New Roman"/>
                      <w:color w:val="auto"/>
                      <w:kern w:val="0"/>
                      <w:szCs w:val="21"/>
                      <w:highlight w:val="none"/>
                      <w:lang w:eastAsia="zh-CN" w:bidi="ar"/>
                    </w:rPr>
                    <w:t>，</w:t>
                  </w:r>
                  <w:r>
                    <w:rPr>
                      <w:rFonts w:hint="eastAsia" w:ascii="Times New Roman" w:hAnsi="Times New Roman" w:cs="Times New Roman"/>
                      <w:color w:val="auto"/>
                      <w:kern w:val="0"/>
                      <w:szCs w:val="21"/>
                      <w:highlight w:val="none"/>
                      <w:lang w:val="en-US" w:eastAsia="zh-CN" w:bidi="ar"/>
                    </w:rPr>
                    <w:t>并设置车间喷雾降尘措施</w:t>
                  </w:r>
                  <w:r>
                    <w:rPr>
                      <w:rFonts w:hint="default" w:ascii="Times New Roman" w:hAnsi="Times New Roman" w:cs="Times New Roman"/>
                      <w:color w:val="auto"/>
                      <w:kern w:val="0"/>
                      <w:szCs w:val="21"/>
                      <w:highlight w:val="none"/>
                      <w:lang w:bidi="ar"/>
                    </w:rPr>
                    <w:t>。</w:t>
                  </w:r>
                </w:p>
              </w:tc>
            </w:tr>
            <w:tr w14:paraId="5A7E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D4033B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5DD1AE7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55ECA4E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车辆清洗设施</w:t>
                  </w:r>
                </w:p>
              </w:tc>
              <w:tc>
                <w:tcPr>
                  <w:tcW w:w="0" w:type="auto"/>
                  <w:vAlign w:val="center"/>
                </w:tcPr>
                <w:p w14:paraId="18BD9F43">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在搅拌机主楼前方设1个车辆清洗设施，配套2个高压水枪，对运输罐车外部进行清洗。</w:t>
                  </w:r>
                </w:p>
              </w:tc>
            </w:tr>
            <w:tr w14:paraId="3111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D1C9BFC">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36F5B3EA">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084622CF">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厂区粉尘、运输粉尘</w:t>
                  </w:r>
                  <w:r>
                    <w:rPr>
                      <w:rFonts w:hint="default" w:ascii="Times New Roman" w:hAnsi="Times New Roman" w:cs="Times New Roman"/>
                      <w:color w:val="auto"/>
                      <w:kern w:val="0"/>
                      <w:szCs w:val="21"/>
                      <w:highlight w:val="none"/>
                      <w:lang w:bidi="ar"/>
                    </w:rPr>
                    <w:t>抑尘措施</w:t>
                  </w:r>
                </w:p>
              </w:tc>
              <w:tc>
                <w:tcPr>
                  <w:tcW w:w="0" w:type="auto"/>
                  <w:vAlign w:val="center"/>
                </w:tcPr>
                <w:p w14:paraId="1FC064C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文明装卸，物料输送采用封闭式输送带，加强绿化，加强厂区内的清扫工作，定时洒水，建立健全科学的操作规章和制度，加强管理。</w:t>
                  </w:r>
                </w:p>
              </w:tc>
            </w:tr>
            <w:tr w14:paraId="7AA5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52DEBD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473F94A2">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食堂油烟治理</w:t>
                  </w:r>
                </w:p>
              </w:tc>
              <w:tc>
                <w:tcPr>
                  <w:tcW w:w="0" w:type="auto"/>
                  <w:vAlign w:val="center"/>
                </w:tcPr>
                <w:p w14:paraId="73D715B3">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油烟净化器</w:t>
                  </w:r>
                </w:p>
              </w:tc>
              <w:tc>
                <w:tcPr>
                  <w:tcW w:w="0" w:type="auto"/>
                  <w:vAlign w:val="center"/>
                </w:tcPr>
                <w:p w14:paraId="10223551">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配备了一台型号为FNT-JD-6A，风量为6000</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sz w:val="21"/>
                      <w:szCs w:val="21"/>
                      <w:highlight w:val="none"/>
                      <w:lang w:val="en-US" w:eastAsia="zh-CN"/>
                    </w:rPr>
                    <w:t>/h的静点式饮食业油烟净化器</w:t>
                  </w:r>
                  <w:r>
                    <w:rPr>
                      <w:rFonts w:hint="default" w:ascii="Times New Roman" w:hAnsi="Times New Roman" w:cs="Times New Roman"/>
                      <w:color w:val="auto"/>
                      <w:sz w:val="21"/>
                      <w:szCs w:val="21"/>
                      <w:highlight w:val="none"/>
                      <w:lang w:val="en-US" w:eastAsia="zh-CN"/>
                    </w:rPr>
                    <w:t>，则油烟排放浓度能够达到《饮食业油烟排放标准》（GB18483-2001）中≤2.0mg/</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cs="Times New Roman"/>
                      <w:color w:val="auto"/>
                      <w:sz w:val="21"/>
                      <w:szCs w:val="21"/>
                      <w:highlight w:val="none"/>
                      <w:lang w:val="en-US" w:eastAsia="zh-CN"/>
                    </w:rPr>
                    <w:t>的要求后排放。</w:t>
                  </w:r>
                </w:p>
              </w:tc>
            </w:tr>
            <w:tr w14:paraId="5887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E21E235">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gridSpan w:val="2"/>
                  <w:vAlign w:val="center"/>
                </w:tcPr>
                <w:p w14:paraId="194567A4">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设备噪声</w:t>
                  </w:r>
                </w:p>
              </w:tc>
              <w:tc>
                <w:tcPr>
                  <w:tcW w:w="0" w:type="auto"/>
                  <w:vAlign w:val="center"/>
                </w:tcPr>
                <w:p w14:paraId="1DAE67A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设置减震垫、隔声设施。</w:t>
                  </w:r>
                </w:p>
              </w:tc>
            </w:tr>
            <w:tr w14:paraId="7635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3505419">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restart"/>
                  <w:vAlign w:val="center"/>
                </w:tcPr>
                <w:p w14:paraId="389122D4">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固废处置</w:t>
                  </w:r>
                </w:p>
              </w:tc>
              <w:tc>
                <w:tcPr>
                  <w:tcW w:w="0" w:type="auto"/>
                  <w:vAlign w:val="center"/>
                </w:tcPr>
                <w:p w14:paraId="20237C6F">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生活垃圾</w:t>
                  </w:r>
                  <w:r>
                    <w:rPr>
                      <w:rFonts w:hint="default" w:ascii="Times New Roman" w:hAnsi="Times New Roman" w:cs="Times New Roman"/>
                      <w:color w:val="auto"/>
                      <w:kern w:val="0"/>
                      <w:szCs w:val="21"/>
                      <w:highlight w:val="none"/>
                      <w:lang w:val="en-US" w:eastAsia="zh-CN" w:bidi="ar"/>
                    </w:rPr>
                    <w:t>箱</w:t>
                  </w:r>
                </w:p>
              </w:tc>
              <w:tc>
                <w:tcPr>
                  <w:tcW w:w="0" w:type="auto"/>
                  <w:vAlign w:val="center"/>
                </w:tcPr>
                <w:p w14:paraId="2EBB3FA5">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Cs w:val="21"/>
                      <w:highlight w:val="none"/>
                      <w:lang w:bidi="ar"/>
                    </w:rPr>
                    <w:t>若干，分布设置于办公生活区。</w:t>
                  </w:r>
                </w:p>
              </w:tc>
            </w:tr>
            <w:tr w14:paraId="07EB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19235B2">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5F3DBD4E">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4F70056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生产固废</w:t>
                  </w:r>
                </w:p>
              </w:tc>
              <w:tc>
                <w:tcPr>
                  <w:tcW w:w="0" w:type="auto"/>
                  <w:vAlign w:val="center"/>
                </w:tcPr>
                <w:p w14:paraId="34B960F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不合格的砂石料、剩余的混凝土、沉淀池沉淀渣等。沉淀池的沉渣晾干后可作为填方材料，可用于铺设次要道路等。</w:t>
                  </w:r>
                </w:p>
              </w:tc>
            </w:tr>
            <w:tr w14:paraId="2731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67736718">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Merge w:val="continue"/>
                  <w:vAlign w:val="center"/>
                </w:tcPr>
                <w:p w14:paraId="1E447943">
                  <w:pPr>
                    <w:pStyle w:val="20"/>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0" w:type="auto"/>
                  <w:vAlign w:val="center"/>
                </w:tcPr>
                <w:p w14:paraId="5B2A3DF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bidi="ar"/>
                    </w:rPr>
                    <w:t>危险废物</w:t>
                  </w:r>
                </w:p>
              </w:tc>
              <w:tc>
                <w:tcPr>
                  <w:tcW w:w="0" w:type="auto"/>
                  <w:vAlign w:val="center"/>
                </w:tcPr>
                <w:p w14:paraId="2FEFFC6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项目车辆维修、设备维护委托外部专业维修单位进行，维修产生的废机油及其包装桶由维修单位带走处置，不在厂区暂存。</w:t>
                  </w:r>
                </w:p>
              </w:tc>
            </w:tr>
          </w:tbl>
          <w:p w14:paraId="0B11BFF8">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p>
          <w:p w14:paraId="0D56F148">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3、原</w:t>
            </w:r>
            <w:r>
              <w:rPr>
                <w:rFonts w:hint="default" w:ascii="Times New Roman" w:hAnsi="Times New Roman" w:eastAsia="宋体" w:cs="Times New Roman"/>
                <w:b/>
                <w:bCs/>
                <w:color w:val="auto"/>
                <w:sz w:val="24"/>
                <w:highlight w:val="none"/>
                <w:lang w:val="en-US" w:eastAsia="zh-CN"/>
              </w:rPr>
              <w:t>项目</w:t>
            </w:r>
            <w:r>
              <w:rPr>
                <w:rFonts w:hint="default" w:ascii="Times New Roman" w:hAnsi="Times New Roman" w:eastAsia="宋体" w:cs="Times New Roman"/>
                <w:b/>
                <w:bCs/>
                <w:color w:val="auto"/>
                <w:sz w:val="24"/>
                <w:highlight w:val="none"/>
              </w:rPr>
              <w:t>主要生产设备</w:t>
            </w:r>
          </w:p>
          <w:p w14:paraId="47E1259B">
            <w:pPr>
              <w:tabs>
                <w:tab w:val="left" w:pos="450"/>
              </w:tabs>
              <w:adjustRightInd w:val="0"/>
              <w:snapToGrid w:val="0"/>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原项目实际主要生产设备如下表所示。</w:t>
            </w:r>
          </w:p>
          <w:p w14:paraId="2FC4183D">
            <w:pPr>
              <w:keepNext w:val="0"/>
              <w:keepLines w:val="0"/>
              <w:pageBreakBefore w:val="0"/>
              <w:widowControl w:val="0"/>
              <w:tabs>
                <w:tab w:val="left" w:pos="45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rPr>
              <w:t>表</w:t>
            </w:r>
            <w:r>
              <w:rPr>
                <w:rFonts w:hint="default" w:ascii="Times New Roman" w:hAnsi="Times New Roman" w:eastAsia="宋体" w:cs="Times New Roman"/>
                <w:b/>
                <w:bCs/>
                <w:color w:val="auto"/>
                <w:sz w:val="21"/>
                <w:szCs w:val="21"/>
                <w:highlight w:val="none"/>
                <w:lang w:val="en-US" w:eastAsia="zh-CN"/>
              </w:rPr>
              <w:t>2-1</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   原项目</w:t>
            </w:r>
            <w:r>
              <w:rPr>
                <w:rFonts w:hint="default" w:ascii="Times New Roman" w:hAnsi="Times New Roman" w:eastAsia="宋体" w:cs="Times New Roman"/>
                <w:b/>
                <w:bCs/>
                <w:color w:val="auto"/>
                <w:sz w:val="21"/>
                <w:szCs w:val="21"/>
                <w:highlight w:val="none"/>
                <w:lang w:val="en-US" w:eastAsia="zh-CN"/>
              </w:rPr>
              <w:t>实际主要生产设备一览表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4969"/>
              <w:gridCol w:w="1621"/>
              <w:gridCol w:w="1621"/>
            </w:tblGrid>
            <w:tr w14:paraId="0103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3FC817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序号</w:t>
                  </w:r>
                </w:p>
              </w:tc>
              <w:tc>
                <w:tcPr>
                  <w:tcW w:w="2526" w:type="pct"/>
                  <w:vAlign w:val="center"/>
                </w:tcPr>
                <w:p w14:paraId="1751BF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设备名称</w:t>
                  </w:r>
                </w:p>
              </w:tc>
              <w:tc>
                <w:tcPr>
                  <w:tcW w:w="824" w:type="pct"/>
                  <w:vAlign w:val="center"/>
                </w:tcPr>
                <w:p w14:paraId="67567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单位</w:t>
                  </w:r>
                </w:p>
              </w:tc>
              <w:tc>
                <w:tcPr>
                  <w:tcW w:w="824" w:type="pct"/>
                  <w:vAlign w:val="center"/>
                </w:tcPr>
                <w:p w14:paraId="63D62C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数量</w:t>
                  </w:r>
                </w:p>
              </w:tc>
            </w:tr>
            <w:tr w14:paraId="5AD3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pct"/>
                  <w:vAlign w:val="center"/>
                </w:tcPr>
                <w:p w14:paraId="413ED9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2526" w:type="pct"/>
                  <w:vAlign w:val="center"/>
                </w:tcPr>
                <w:p w14:paraId="262C98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10m³混</w:t>
                  </w:r>
                  <w:r>
                    <w:rPr>
                      <w:rFonts w:hint="eastAsia" w:cs="Times New Roman" w:eastAsiaTheme="minorEastAsia"/>
                      <w:color w:val="auto"/>
                      <w:sz w:val="21"/>
                      <w:szCs w:val="21"/>
                      <w:lang w:val="en-US" w:eastAsia="zh-CN"/>
                    </w:rPr>
                    <w:t>凝</w:t>
                  </w:r>
                  <w:r>
                    <w:rPr>
                      <w:rFonts w:hint="default" w:ascii="Times New Roman" w:hAnsi="Times New Roman" w:cs="Times New Roman" w:eastAsiaTheme="minorEastAsia"/>
                      <w:color w:val="auto"/>
                      <w:sz w:val="21"/>
                      <w:szCs w:val="21"/>
                      <w:lang w:val="en-US" w:eastAsia="zh-CN"/>
                    </w:rPr>
                    <w:t>土运输车</w:t>
                  </w:r>
                </w:p>
              </w:tc>
              <w:tc>
                <w:tcPr>
                  <w:tcW w:w="824" w:type="pct"/>
                  <w:vAlign w:val="center"/>
                </w:tcPr>
                <w:p w14:paraId="23989E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辆</w:t>
                  </w:r>
                </w:p>
              </w:tc>
              <w:tc>
                <w:tcPr>
                  <w:tcW w:w="824" w:type="pct"/>
                  <w:vAlign w:val="center"/>
                </w:tcPr>
                <w:p w14:paraId="3ABDAE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w:t>
                  </w:r>
                </w:p>
              </w:tc>
            </w:tr>
            <w:tr w14:paraId="617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3569B6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526" w:type="pct"/>
                  <w:vAlign w:val="center"/>
                </w:tcPr>
                <w:p w14:paraId="773D95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37m泵车</w:t>
                  </w:r>
                </w:p>
              </w:tc>
              <w:tc>
                <w:tcPr>
                  <w:tcW w:w="824" w:type="pct"/>
                  <w:vAlign w:val="center"/>
                </w:tcPr>
                <w:p w14:paraId="01971E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台</w:t>
                  </w:r>
                </w:p>
              </w:tc>
              <w:tc>
                <w:tcPr>
                  <w:tcW w:w="824" w:type="pct"/>
                  <w:vAlign w:val="center"/>
                </w:tcPr>
                <w:p w14:paraId="735932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r>
            <w:tr w14:paraId="5BD3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pct"/>
                  <w:vAlign w:val="center"/>
                </w:tcPr>
                <w:p w14:paraId="679693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526" w:type="pct"/>
                  <w:vAlign w:val="center"/>
                </w:tcPr>
                <w:p w14:paraId="74F4EA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80吨地磅</w:t>
                  </w:r>
                </w:p>
              </w:tc>
              <w:tc>
                <w:tcPr>
                  <w:tcW w:w="824" w:type="pct"/>
                  <w:vAlign w:val="center"/>
                </w:tcPr>
                <w:p w14:paraId="52127A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套</w:t>
                  </w:r>
                </w:p>
              </w:tc>
              <w:tc>
                <w:tcPr>
                  <w:tcW w:w="824" w:type="pct"/>
                  <w:vAlign w:val="center"/>
                </w:tcPr>
                <w:p w14:paraId="3C377A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r>
            <w:tr w14:paraId="7FAF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35F038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2526" w:type="pct"/>
                  <w:vAlign w:val="center"/>
                </w:tcPr>
                <w:p w14:paraId="1B24FF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ZL50装载机</w:t>
                  </w:r>
                </w:p>
              </w:tc>
              <w:tc>
                <w:tcPr>
                  <w:tcW w:w="824" w:type="pct"/>
                  <w:vAlign w:val="center"/>
                </w:tcPr>
                <w:p w14:paraId="399308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台</w:t>
                  </w:r>
                </w:p>
              </w:tc>
              <w:tc>
                <w:tcPr>
                  <w:tcW w:w="824" w:type="pct"/>
                  <w:vAlign w:val="center"/>
                </w:tcPr>
                <w:p w14:paraId="6ECCD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r>
            <w:tr w14:paraId="0315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32AF04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w:t>
                  </w:r>
                </w:p>
              </w:tc>
              <w:tc>
                <w:tcPr>
                  <w:tcW w:w="2526" w:type="pct"/>
                  <w:vAlign w:val="center"/>
                </w:tcPr>
                <w:p w14:paraId="1892E2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HBT混</w:t>
                  </w:r>
                  <w:r>
                    <w:rPr>
                      <w:rFonts w:hint="eastAsia" w:cs="Times New Roman" w:eastAsiaTheme="minorEastAsia"/>
                      <w:color w:val="auto"/>
                      <w:sz w:val="21"/>
                      <w:szCs w:val="21"/>
                      <w:lang w:val="en-US" w:eastAsia="zh-CN"/>
                    </w:rPr>
                    <w:t>凝</w:t>
                  </w:r>
                  <w:r>
                    <w:rPr>
                      <w:rFonts w:hint="default" w:ascii="Times New Roman" w:hAnsi="Times New Roman" w:cs="Times New Roman" w:eastAsiaTheme="minorEastAsia"/>
                      <w:color w:val="auto"/>
                      <w:sz w:val="21"/>
                      <w:szCs w:val="21"/>
                      <w:lang w:val="en-US" w:eastAsia="zh-CN"/>
                    </w:rPr>
                    <w:t>土运输泵</w:t>
                  </w:r>
                </w:p>
              </w:tc>
              <w:tc>
                <w:tcPr>
                  <w:tcW w:w="824" w:type="pct"/>
                  <w:vAlign w:val="center"/>
                </w:tcPr>
                <w:p w14:paraId="75FA35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台</w:t>
                  </w:r>
                </w:p>
              </w:tc>
              <w:tc>
                <w:tcPr>
                  <w:tcW w:w="824" w:type="pct"/>
                  <w:vAlign w:val="center"/>
                </w:tcPr>
                <w:p w14:paraId="2D6A35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r>
            <w:tr w14:paraId="72B5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3CDE9E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w:t>
                  </w:r>
                </w:p>
              </w:tc>
              <w:tc>
                <w:tcPr>
                  <w:tcW w:w="2526" w:type="pct"/>
                  <w:vAlign w:val="center"/>
                </w:tcPr>
                <w:p w14:paraId="068542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电子秤</w:t>
                  </w:r>
                </w:p>
              </w:tc>
              <w:tc>
                <w:tcPr>
                  <w:tcW w:w="824" w:type="pct"/>
                  <w:vAlign w:val="center"/>
                </w:tcPr>
                <w:p w14:paraId="0EAF0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个</w:t>
                  </w:r>
                </w:p>
              </w:tc>
              <w:tc>
                <w:tcPr>
                  <w:tcW w:w="824" w:type="pct"/>
                  <w:vAlign w:val="center"/>
                </w:tcPr>
                <w:p w14:paraId="5059CE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r>
            <w:tr w14:paraId="6FB7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2AD42E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2526" w:type="pct"/>
                  <w:vAlign w:val="center"/>
                </w:tcPr>
                <w:p w14:paraId="1E7C9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HZS搅拌站</w:t>
                  </w:r>
                </w:p>
              </w:tc>
              <w:tc>
                <w:tcPr>
                  <w:tcW w:w="824" w:type="pct"/>
                  <w:vAlign w:val="center"/>
                </w:tcPr>
                <w:p w14:paraId="413D54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个</w:t>
                  </w:r>
                </w:p>
              </w:tc>
              <w:tc>
                <w:tcPr>
                  <w:tcW w:w="824" w:type="pct"/>
                  <w:vAlign w:val="center"/>
                </w:tcPr>
                <w:p w14:paraId="3120BF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r>
            <w:tr w14:paraId="08A2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5BEC18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w:t>
                  </w:r>
                </w:p>
              </w:tc>
              <w:tc>
                <w:tcPr>
                  <w:tcW w:w="2526" w:type="pct"/>
                  <w:vAlign w:val="center"/>
                </w:tcPr>
                <w:p w14:paraId="46F2B7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输送皮带</w:t>
                  </w:r>
                </w:p>
              </w:tc>
              <w:tc>
                <w:tcPr>
                  <w:tcW w:w="824" w:type="pct"/>
                  <w:vAlign w:val="center"/>
                </w:tcPr>
                <w:p w14:paraId="290F7B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套</w:t>
                  </w:r>
                </w:p>
              </w:tc>
              <w:tc>
                <w:tcPr>
                  <w:tcW w:w="824" w:type="pct"/>
                  <w:vAlign w:val="center"/>
                </w:tcPr>
                <w:p w14:paraId="20EEBF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w:t>
                  </w:r>
                </w:p>
              </w:tc>
            </w:tr>
            <w:tr w14:paraId="2330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68873D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w:t>
                  </w:r>
                </w:p>
              </w:tc>
              <w:tc>
                <w:tcPr>
                  <w:tcW w:w="2526" w:type="pct"/>
                  <w:vAlign w:val="center"/>
                </w:tcPr>
                <w:p w14:paraId="7BC6F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进料系统</w:t>
                  </w:r>
                </w:p>
              </w:tc>
              <w:tc>
                <w:tcPr>
                  <w:tcW w:w="824" w:type="pct"/>
                  <w:vAlign w:val="center"/>
                </w:tcPr>
                <w:p w14:paraId="7E1695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套</w:t>
                  </w:r>
                </w:p>
              </w:tc>
              <w:tc>
                <w:tcPr>
                  <w:tcW w:w="824" w:type="pct"/>
                  <w:vAlign w:val="center"/>
                </w:tcPr>
                <w:p w14:paraId="01E192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r>
            <w:tr w14:paraId="5BBA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4B1FF1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w:t>
                  </w:r>
                </w:p>
              </w:tc>
              <w:tc>
                <w:tcPr>
                  <w:tcW w:w="2526" w:type="pct"/>
                  <w:vAlign w:val="center"/>
                </w:tcPr>
                <w:p w14:paraId="72B0D1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筒库</w:t>
                  </w:r>
                </w:p>
              </w:tc>
              <w:tc>
                <w:tcPr>
                  <w:tcW w:w="824" w:type="pct"/>
                  <w:vAlign w:val="center"/>
                </w:tcPr>
                <w:p w14:paraId="5554BE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个</w:t>
                  </w:r>
                </w:p>
              </w:tc>
              <w:tc>
                <w:tcPr>
                  <w:tcW w:w="824" w:type="pct"/>
                  <w:vAlign w:val="center"/>
                </w:tcPr>
                <w:p w14:paraId="716524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r>
            <w:tr w14:paraId="6521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14:paraId="029BED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w:t>
                  </w:r>
                </w:p>
              </w:tc>
              <w:tc>
                <w:tcPr>
                  <w:tcW w:w="2526" w:type="pct"/>
                  <w:vAlign w:val="center"/>
                </w:tcPr>
                <w:p w14:paraId="056F05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水泥运输车</w:t>
                  </w:r>
                </w:p>
              </w:tc>
              <w:tc>
                <w:tcPr>
                  <w:tcW w:w="824" w:type="pct"/>
                  <w:vAlign w:val="center"/>
                </w:tcPr>
                <w:p w14:paraId="038B96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辆</w:t>
                  </w:r>
                </w:p>
              </w:tc>
              <w:tc>
                <w:tcPr>
                  <w:tcW w:w="824" w:type="pct"/>
                  <w:vAlign w:val="center"/>
                </w:tcPr>
                <w:p w14:paraId="71FE3F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r>
          </w:tbl>
          <w:p w14:paraId="5E438D8F">
            <w:pPr>
              <w:keepNext w:val="0"/>
              <w:keepLines w:val="0"/>
              <w:pageBreakBefore w:val="0"/>
              <w:widowControl w:val="0"/>
              <w:tabs>
                <w:tab w:val="left" w:pos="45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14:paraId="69140A18">
            <w:pPr>
              <w:adjustRightInd w:val="0"/>
              <w:snapToGrid w:val="0"/>
              <w:spacing w:before="156" w:beforeLines="50"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、原</w:t>
            </w:r>
            <w:r>
              <w:rPr>
                <w:rFonts w:hint="default" w:ascii="Times New Roman" w:hAnsi="Times New Roman" w:eastAsia="宋体" w:cs="Times New Roman"/>
                <w:b/>
                <w:bCs/>
                <w:color w:val="auto"/>
                <w:sz w:val="24"/>
                <w:highlight w:val="none"/>
                <w:lang w:val="en-US" w:eastAsia="zh-CN"/>
              </w:rPr>
              <w:t>项目产品方案</w:t>
            </w:r>
          </w:p>
          <w:p w14:paraId="73D968D4">
            <w:pPr>
              <w:pStyle w:val="20"/>
              <w:adjustRightInd w:val="0"/>
              <w:snapToGrid w:val="0"/>
              <w:spacing w:line="360" w:lineRule="auto"/>
              <w:ind w:firstLine="480" w:firstLineChars="200"/>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val="0"/>
                <w:color w:val="auto"/>
                <w:sz w:val="24"/>
                <w:highlight w:val="none"/>
              </w:rPr>
              <w:t>原</w:t>
            </w:r>
            <w:r>
              <w:rPr>
                <w:rFonts w:hint="default" w:ascii="Times New Roman" w:hAnsi="Times New Roman" w:eastAsia="宋体" w:cs="Times New Roman"/>
                <w:b w:val="0"/>
                <w:bCs w:val="0"/>
                <w:color w:val="auto"/>
                <w:sz w:val="24"/>
                <w:highlight w:val="none"/>
                <w:lang w:val="en-US" w:eastAsia="zh-CN"/>
              </w:rPr>
              <w:t>项目实际产品方案</w:t>
            </w:r>
            <w:r>
              <w:rPr>
                <w:rFonts w:hint="default" w:ascii="Times New Roman" w:hAnsi="Times New Roman" w:eastAsia="宋体" w:cs="Times New Roman"/>
                <w:b w:val="0"/>
                <w:bCs/>
                <w:color w:val="auto"/>
                <w:sz w:val="24"/>
                <w:highlight w:val="none"/>
                <w:lang w:val="en-US" w:eastAsia="zh-CN"/>
              </w:rPr>
              <w:t>表2-1</w:t>
            </w:r>
            <w:r>
              <w:rPr>
                <w:rFonts w:hint="eastAsia" w:ascii="Times New Roman" w:hAnsi="Times New Roman"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en-US" w:eastAsia="zh-CN"/>
              </w:rPr>
              <w:t>所示。</w:t>
            </w:r>
          </w:p>
          <w:p w14:paraId="1E6FAF3D">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表2-1</w:t>
            </w:r>
            <w:r>
              <w:rPr>
                <w:rFonts w:hint="eastAsia" w:ascii="Times New Roman" w:hAnsi="Times New Roman" w:cs="Times New Roman"/>
                <w:b/>
                <w:color w:val="auto"/>
                <w:kern w:val="2"/>
                <w:sz w:val="21"/>
                <w:szCs w:val="21"/>
                <w:highlight w:val="none"/>
                <w:lang w:val="en-US" w:eastAsia="zh-CN" w:bidi="ar-SA"/>
              </w:rPr>
              <w:t>3</w:t>
            </w:r>
            <w:r>
              <w:rPr>
                <w:rFonts w:hint="default" w:ascii="Times New Roman" w:hAnsi="Times New Roman" w:eastAsia="宋体" w:cs="Times New Roman"/>
                <w:b/>
                <w:color w:val="auto"/>
                <w:kern w:val="2"/>
                <w:sz w:val="21"/>
                <w:szCs w:val="21"/>
                <w:highlight w:val="none"/>
                <w:lang w:val="en-US" w:eastAsia="zh-CN" w:bidi="ar-SA"/>
              </w:rPr>
              <w:t xml:space="preserve">   原项目实际产品方案一览表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2427"/>
              <w:gridCol w:w="1621"/>
              <w:gridCol w:w="2024"/>
              <w:gridCol w:w="2138"/>
            </w:tblGrid>
            <w:tr w14:paraId="490B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pct"/>
                  <w:noWrap/>
                  <w:vAlign w:val="center"/>
                </w:tcPr>
                <w:p w14:paraId="1BCB31EF">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234" w:type="pct"/>
                  <w:noWrap/>
                  <w:vAlign w:val="center"/>
                </w:tcPr>
                <w:p w14:paraId="5D5BBB90">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产品名称</w:t>
                  </w:r>
                </w:p>
              </w:tc>
              <w:tc>
                <w:tcPr>
                  <w:tcW w:w="824" w:type="pct"/>
                  <w:noWrap/>
                  <w:vAlign w:val="center"/>
                </w:tcPr>
                <w:p w14:paraId="010B643E">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1029" w:type="pct"/>
                  <w:noWrap/>
                  <w:vAlign w:val="center"/>
                </w:tcPr>
                <w:p w14:paraId="1CFFD7BF">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年产量</w:t>
                  </w:r>
                </w:p>
              </w:tc>
              <w:tc>
                <w:tcPr>
                  <w:tcW w:w="1087" w:type="pct"/>
                  <w:noWrap w:val="0"/>
                  <w:vAlign w:val="center"/>
                </w:tcPr>
                <w:p w14:paraId="03D2F719">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14:paraId="3C29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4" w:type="pct"/>
                  <w:noWrap/>
                  <w:vAlign w:val="center"/>
                </w:tcPr>
                <w:p w14:paraId="4B03CEDA">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34" w:type="pct"/>
                  <w:noWrap/>
                  <w:vAlign w:val="center"/>
                </w:tcPr>
                <w:p w14:paraId="18BCC42F">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商品混</w:t>
                  </w:r>
                  <w:r>
                    <w:rPr>
                      <w:rFonts w:hint="eastAsia" w:ascii="Times New Roman" w:cs="Times New Roman"/>
                      <w:color w:val="auto"/>
                      <w:sz w:val="21"/>
                      <w:szCs w:val="21"/>
                      <w:highlight w:val="none"/>
                      <w:lang w:val="en-US" w:eastAsia="zh-CN"/>
                    </w:rPr>
                    <w:t>凝</w:t>
                  </w:r>
                  <w:r>
                    <w:rPr>
                      <w:rFonts w:hint="default" w:ascii="Times New Roman" w:hAnsi="Times New Roman" w:cs="Times New Roman"/>
                      <w:color w:val="auto"/>
                      <w:sz w:val="21"/>
                      <w:szCs w:val="21"/>
                      <w:highlight w:val="none"/>
                      <w:lang w:val="en-US" w:eastAsia="zh-CN"/>
                    </w:rPr>
                    <w:t>土</w:t>
                  </w:r>
                </w:p>
              </w:tc>
              <w:tc>
                <w:tcPr>
                  <w:tcW w:w="824" w:type="pct"/>
                  <w:noWrap/>
                  <w:vAlign w:val="center"/>
                </w:tcPr>
                <w:p w14:paraId="1DB20B37">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t>
                  </w:r>
                </w:p>
              </w:tc>
              <w:tc>
                <w:tcPr>
                  <w:tcW w:w="1029" w:type="pct"/>
                  <w:noWrap/>
                  <w:vAlign w:val="center"/>
                </w:tcPr>
                <w:p w14:paraId="3B9A19EC">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087" w:type="pct"/>
                  <w:noWrap w:val="0"/>
                  <w:vAlign w:val="center"/>
                </w:tcPr>
                <w:p w14:paraId="0F01394F">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外售</w:t>
                  </w:r>
                </w:p>
              </w:tc>
            </w:tr>
          </w:tbl>
          <w:p w14:paraId="2B8D3A29">
            <w:pPr>
              <w:adjustRightInd w:val="0"/>
              <w:snapToGrid w:val="0"/>
              <w:spacing w:line="240" w:lineRule="auto"/>
              <w:ind w:firstLine="482" w:firstLineChars="200"/>
              <w:rPr>
                <w:rFonts w:hint="default" w:ascii="Times New Roman" w:hAnsi="Times New Roman" w:eastAsia="宋体" w:cs="Times New Roman"/>
                <w:b/>
                <w:bCs/>
                <w:color w:val="auto"/>
                <w:sz w:val="24"/>
                <w:highlight w:val="none"/>
                <w:lang w:val="en-US" w:eastAsia="zh-CN"/>
              </w:rPr>
            </w:pPr>
          </w:p>
          <w:p w14:paraId="783A74E9">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、原</w:t>
            </w:r>
            <w:r>
              <w:rPr>
                <w:rFonts w:hint="default" w:ascii="Times New Roman" w:hAnsi="Times New Roman" w:eastAsia="宋体" w:cs="Times New Roman"/>
                <w:b/>
                <w:bCs/>
                <w:color w:val="auto"/>
                <w:sz w:val="24"/>
                <w:highlight w:val="none"/>
                <w:lang w:val="en-US" w:eastAsia="zh-CN"/>
              </w:rPr>
              <w:t>项目原辅材料</w:t>
            </w:r>
          </w:p>
          <w:p w14:paraId="53B1B0EC">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原项目实际原辅材料一览表。</w:t>
            </w:r>
          </w:p>
          <w:p w14:paraId="14A01913">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表2-1</w:t>
            </w:r>
            <w:r>
              <w:rPr>
                <w:rFonts w:hint="eastAsia" w:eastAsia="宋体" w:cs="Times New Roman"/>
                <w:b/>
                <w:color w:val="auto"/>
                <w:kern w:val="2"/>
                <w:sz w:val="21"/>
                <w:szCs w:val="21"/>
                <w:highlight w:val="none"/>
                <w:lang w:val="en-US" w:eastAsia="zh-CN" w:bidi="ar-SA"/>
              </w:rPr>
              <w:t>4</w:t>
            </w:r>
            <w:r>
              <w:rPr>
                <w:rFonts w:hint="default" w:ascii="Times New Roman" w:hAnsi="Times New Roman" w:eastAsia="宋体" w:cs="Times New Roman"/>
                <w:b/>
                <w:color w:val="auto"/>
                <w:kern w:val="2"/>
                <w:sz w:val="21"/>
                <w:szCs w:val="21"/>
                <w:highlight w:val="none"/>
                <w:lang w:val="en-US" w:eastAsia="zh-CN" w:bidi="ar-SA"/>
              </w:rPr>
              <w:t xml:space="preserve">   原项目主要原辅材料及能源消耗</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180"/>
              <w:gridCol w:w="1589"/>
              <w:gridCol w:w="1385"/>
              <w:gridCol w:w="3220"/>
              <w:gridCol w:w="1249"/>
            </w:tblGrid>
            <w:tr w14:paraId="60C3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67802E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序号</w:t>
                  </w:r>
                </w:p>
              </w:tc>
              <w:tc>
                <w:tcPr>
                  <w:tcW w:w="600" w:type="pct"/>
                  <w:vAlign w:val="center"/>
                </w:tcPr>
                <w:p w14:paraId="5E328B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材料</w:t>
                  </w:r>
                  <w:r>
                    <w:rPr>
                      <w:rFonts w:hint="default" w:ascii="Times New Roman" w:hAnsi="Times New Roman" w:eastAsia="宋体" w:cs="Times New Roman"/>
                      <w:b/>
                      <w:bCs/>
                      <w:color w:val="auto"/>
                      <w:sz w:val="21"/>
                      <w:szCs w:val="21"/>
                      <w:highlight w:val="none"/>
                    </w:rPr>
                    <w:t>名称</w:t>
                  </w:r>
                </w:p>
              </w:tc>
              <w:tc>
                <w:tcPr>
                  <w:tcW w:w="808" w:type="pct"/>
                  <w:vAlign w:val="center"/>
                </w:tcPr>
                <w:p w14:paraId="3FFB01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1"/>
                      <w:szCs w:val="21"/>
                      <w:highlight w:val="none"/>
                    </w:rPr>
                    <w:t>年耗量</w:t>
                  </w:r>
                  <w:r>
                    <w:rPr>
                      <w:rFonts w:hint="default" w:ascii="Times New Roman" w:hAnsi="Times New Roman" w:eastAsia="宋体" w:cs="Times New Roman"/>
                      <w:b/>
                      <w:bCs/>
                      <w:color w:val="auto"/>
                      <w:sz w:val="21"/>
                      <w:szCs w:val="21"/>
                      <w:highlight w:val="none"/>
                      <w:lang w:val="en-US" w:eastAsia="zh-CN"/>
                    </w:rPr>
                    <w:t>（t/a）</w:t>
                  </w:r>
                </w:p>
              </w:tc>
              <w:tc>
                <w:tcPr>
                  <w:tcW w:w="704" w:type="pct"/>
                  <w:vAlign w:val="center"/>
                </w:tcPr>
                <w:p w14:paraId="1A4856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cs="Times New Roman"/>
                      <w:b/>
                      <w:bCs/>
                      <w:color w:val="auto"/>
                      <w:sz w:val="21"/>
                      <w:szCs w:val="21"/>
                      <w:highlight w:val="none"/>
                      <w:lang w:val="en-US" w:eastAsia="zh-CN"/>
                    </w:rPr>
                    <w:t>来源</w:t>
                  </w:r>
                </w:p>
              </w:tc>
              <w:tc>
                <w:tcPr>
                  <w:tcW w:w="1637" w:type="pct"/>
                  <w:vAlign w:val="center"/>
                </w:tcPr>
                <w:p w14:paraId="59945A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cs="Times New Roman"/>
                      <w:b/>
                      <w:bCs/>
                      <w:color w:val="auto"/>
                      <w:sz w:val="21"/>
                      <w:szCs w:val="21"/>
                      <w:highlight w:val="none"/>
                      <w:lang w:val="en-US" w:eastAsia="zh-CN"/>
                    </w:rPr>
                    <w:t>原料质量控制标准</w:t>
                  </w:r>
                </w:p>
              </w:tc>
              <w:tc>
                <w:tcPr>
                  <w:tcW w:w="635" w:type="pct"/>
                  <w:vAlign w:val="center"/>
                </w:tcPr>
                <w:p w14:paraId="20E0C5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1"/>
                      <w:szCs w:val="21"/>
                      <w:highlight w:val="none"/>
                      <w:lang w:val="en-US" w:eastAsia="zh-CN"/>
                    </w:rPr>
                    <w:t>储存方式</w:t>
                  </w:r>
                </w:p>
              </w:tc>
            </w:tr>
            <w:tr w14:paraId="3F0B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7D41189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1</w:t>
                  </w:r>
                </w:p>
              </w:tc>
              <w:tc>
                <w:tcPr>
                  <w:tcW w:w="600" w:type="pct"/>
                  <w:vAlign w:val="center"/>
                </w:tcPr>
                <w:p w14:paraId="1A1433B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碎石</w:t>
                  </w:r>
                </w:p>
              </w:tc>
              <w:tc>
                <w:tcPr>
                  <w:tcW w:w="808" w:type="pct"/>
                  <w:vAlign w:val="center"/>
                </w:tcPr>
                <w:p w14:paraId="6262ADC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125000</w:t>
                  </w:r>
                </w:p>
              </w:tc>
              <w:tc>
                <w:tcPr>
                  <w:tcW w:w="704" w:type="pct"/>
                  <w:vAlign w:val="center"/>
                </w:tcPr>
                <w:p w14:paraId="14155579">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外购</w:t>
                  </w:r>
                </w:p>
              </w:tc>
              <w:tc>
                <w:tcPr>
                  <w:tcW w:w="1637" w:type="pct"/>
                  <w:vAlign w:val="center"/>
                </w:tcPr>
                <w:p w14:paraId="3E90444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JGJ52-2006《普通混凝土用砂、石质量及检验方法标准》</w:t>
                  </w:r>
                </w:p>
              </w:tc>
              <w:tc>
                <w:tcPr>
                  <w:tcW w:w="635" w:type="pct"/>
                  <w:vAlign w:val="center"/>
                </w:tcPr>
                <w:p w14:paraId="5D3B2658">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rPr>
                    <w:t>原料堆场</w:t>
                  </w:r>
                </w:p>
              </w:tc>
            </w:tr>
            <w:tr w14:paraId="2B7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655CFFC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2</w:t>
                  </w:r>
                </w:p>
              </w:tc>
              <w:tc>
                <w:tcPr>
                  <w:tcW w:w="600" w:type="pct"/>
                  <w:vAlign w:val="center"/>
                </w:tcPr>
                <w:p w14:paraId="0D26298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机制砂</w:t>
                  </w:r>
                </w:p>
              </w:tc>
              <w:tc>
                <w:tcPr>
                  <w:tcW w:w="808" w:type="pct"/>
                  <w:vAlign w:val="center"/>
                </w:tcPr>
                <w:p w14:paraId="5359DEB5">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83000</w:t>
                  </w:r>
                </w:p>
              </w:tc>
              <w:tc>
                <w:tcPr>
                  <w:tcW w:w="704" w:type="pct"/>
                  <w:vAlign w:val="center"/>
                </w:tcPr>
                <w:p w14:paraId="126B46E0">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外购</w:t>
                  </w:r>
                </w:p>
              </w:tc>
              <w:tc>
                <w:tcPr>
                  <w:tcW w:w="1637" w:type="pct"/>
                  <w:vAlign w:val="center"/>
                </w:tcPr>
                <w:p w14:paraId="1C3AAD0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w:t>
                  </w:r>
                </w:p>
              </w:tc>
              <w:tc>
                <w:tcPr>
                  <w:tcW w:w="635" w:type="pct"/>
                  <w:vAlign w:val="center"/>
                </w:tcPr>
                <w:p w14:paraId="15E24EB7">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原料堆场</w:t>
                  </w:r>
                </w:p>
              </w:tc>
            </w:tr>
            <w:tr w14:paraId="2058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2068F09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3</w:t>
                  </w:r>
                </w:p>
              </w:tc>
              <w:tc>
                <w:tcPr>
                  <w:tcW w:w="600" w:type="pct"/>
                  <w:vAlign w:val="center"/>
                </w:tcPr>
                <w:p w14:paraId="701F108F">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水泥</w:t>
                  </w:r>
                </w:p>
              </w:tc>
              <w:tc>
                <w:tcPr>
                  <w:tcW w:w="808" w:type="pct"/>
                  <w:vAlign w:val="center"/>
                </w:tcPr>
                <w:p w14:paraId="18C86DB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31000</w:t>
                  </w:r>
                </w:p>
              </w:tc>
              <w:tc>
                <w:tcPr>
                  <w:tcW w:w="704" w:type="pct"/>
                  <w:vAlign w:val="center"/>
                </w:tcPr>
                <w:p w14:paraId="77736B9D">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外购</w:t>
                  </w:r>
                </w:p>
              </w:tc>
              <w:tc>
                <w:tcPr>
                  <w:tcW w:w="1637" w:type="pct"/>
                  <w:vAlign w:val="center"/>
                </w:tcPr>
                <w:p w14:paraId="1BB10C33">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GB175-2007《通用硅酸盐水泥》、GB200-2017《中热硅酸盐水泥低热硅酸盐水泥》</w:t>
                  </w:r>
                </w:p>
              </w:tc>
              <w:tc>
                <w:tcPr>
                  <w:tcW w:w="635" w:type="pct"/>
                  <w:vAlign w:val="center"/>
                </w:tcPr>
                <w:p w14:paraId="35C48A94">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水泥筒仓</w:t>
                  </w:r>
                </w:p>
              </w:tc>
            </w:tr>
            <w:tr w14:paraId="35AD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2EF4706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4</w:t>
                  </w:r>
                </w:p>
              </w:tc>
              <w:tc>
                <w:tcPr>
                  <w:tcW w:w="600" w:type="pct"/>
                  <w:vAlign w:val="center"/>
                </w:tcPr>
                <w:p w14:paraId="19654DA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rPr>
                    <w:t>粉煤灰</w:t>
                  </w:r>
                </w:p>
              </w:tc>
              <w:tc>
                <w:tcPr>
                  <w:tcW w:w="808" w:type="pct"/>
                  <w:vAlign w:val="center"/>
                </w:tcPr>
                <w:p w14:paraId="0E10D390">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8250</w:t>
                  </w:r>
                </w:p>
              </w:tc>
              <w:tc>
                <w:tcPr>
                  <w:tcW w:w="704" w:type="pct"/>
                  <w:vAlign w:val="center"/>
                </w:tcPr>
                <w:p w14:paraId="731FC5C7">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外购</w:t>
                  </w:r>
                </w:p>
              </w:tc>
              <w:tc>
                <w:tcPr>
                  <w:tcW w:w="1637" w:type="pct"/>
                  <w:vAlign w:val="center"/>
                </w:tcPr>
                <w:p w14:paraId="4E43F0F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cs="Times New Roman"/>
                      <w:color w:val="auto"/>
                      <w:highlight w:val="none"/>
                    </w:rPr>
                    <w:t>GB/T1596-2017《用于水泥和混凝土中的粉煤灰》</w:t>
                  </w:r>
                </w:p>
              </w:tc>
              <w:tc>
                <w:tcPr>
                  <w:tcW w:w="635" w:type="pct"/>
                  <w:vAlign w:val="center"/>
                </w:tcPr>
                <w:p w14:paraId="4F82981A">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粉煤灰筒仓</w:t>
                  </w:r>
                </w:p>
              </w:tc>
            </w:tr>
            <w:tr w14:paraId="04D6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61FA2C5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5</w:t>
                  </w:r>
                </w:p>
              </w:tc>
              <w:tc>
                <w:tcPr>
                  <w:tcW w:w="600" w:type="pct"/>
                  <w:vAlign w:val="center"/>
                </w:tcPr>
                <w:p w14:paraId="6D81D53E">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rPr>
                    <w:t>矿粉</w:t>
                  </w:r>
                </w:p>
              </w:tc>
              <w:tc>
                <w:tcPr>
                  <w:tcW w:w="808" w:type="pct"/>
                  <w:vAlign w:val="center"/>
                </w:tcPr>
                <w:p w14:paraId="3F891769">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2750</w:t>
                  </w:r>
                </w:p>
              </w:tc>
              <w:tc>
                <w:tcPr>
                  <w:tcW w:w="704" w:type="pct"/>
                  <w:vAlign w:val="center"/>
                </w:tcPr>
                <w:p w14:paraId="7368FBE7">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外购</w:t>
                  </w:r>
                </w:p>
              </w:tc>
              <w:tc>
                <w:tcPr>
                  <w:tcW w:w="1637" w:type="pct"/>
                  <w:vAlign w:val="center"/>
                </w:tcPr>
                <w:p w14:paraId="1DBD27DC">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cs="Times New Roman"/>
                      <w:color w:val="auto"/>
                      <w:highlight w:val="none"/>
                    </w:rPr>
                    <w:t>GB/T18046-2000《用于水泥和混凝土中的粒化高炉矿渣粉》</w:t>
                  </w:r>
                </w:p>
              </w:tc>
              <w:tc>
                <w:tcPr>
                  <w:tcW w:w="635" w:type="pct"/>
                  <w:vAlign w:val="center"/>
                </w:tcPr>
                <w:p w14:paraId="2E075F7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矿粉筒仓</w:t>
                  </w:r>
                </w:p>
              </w:tc>
            </w:tr>
            <w:tr w14:paraId="46ED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14:paraId="1289DEF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eastAsia" w:cs="Times New Roman"/>
                      <w:color w:val="auto"/>
                      <w:kern w:val="0"/>
                      <w:sz w:val="21"/>
                      <w:szCs w:val="21"/>
                      <w:highlight w:val="none"/>
                      <w:lang w:val="en-US" w:eastAsia="zh-CN" w:bidi="ar"/>
                    </w:rPr>
                    <w:t>6</w:t>
                  </w:r>
                </w:p>
              </w:tc>
              <w:tc>
                <w:tcPr>
                  <w:tcW w:w="600" w:type="pct"/>
                  <w:vAlign w:val="center"/>
                </w:tcPr>
                <w:p w14:paraId="731FAD9D">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eastAsia" w:ascii="Times New Roman" w:cs="Times New Roman"/>
                      <w:color w:val="auto"/>
                      <w:szCs w:val="21"/>
                      <w:lang w:val="en-US" w:eastAsia="zh-CN"/>
                    </w:rPr>
                    <w:t>外加剂</w:t>
                  </w:r>
                </w:p>
              </w:tc>
              <w:tc>
                <w:tcPr>
                  <w:tcW w:w="808" w:type="pct"/>
                  <w:vAlign w:val="center"/>
                </w:tcPr>
                <w:p w14:paraId="2DD0926B">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eastAsia" w:ascii="Times New Roman" w:cs="Times New Roman"/>
                      <w:color w:val="auto"/>
                      <w:szCs w:val="21"/>
                      <w:lang w:val="en-US" w:eastAsia="zh-CN"/>
                    </w:rPr>
                    <w:t>35</w:t>
                  </w:r>
                </w:p>
              </w:tc>
              <w:tc>
                <w:tcPr>
                  <w:tcW w:w="704" w:type="pct"/>
                  <w:vAlign w:val="center"/>
                </w:tcPr>
                <w:p w14:paraId="21C60032">
                  <w:pPr>
                    <w:pStyle w:val="41"/>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color w:val="auto"/>
                      <w:szCs w:val="21"/>
                      <w:lang w:val="en-US" w:eastAsia="zh-CN"/>
                    </w:rPr>
                    <w:t>外购</w:t>
                  </w:r>
                </w:p>
              </w:tc>
              <w:tc>
                <w:tcPr>
                  <w:tcW w:w="1637" w:type="pct"/>
                  <w:vAlign w:val="center"/>
                </w:tcPr>
                <w:p w14:paraId="10360686">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eastAsia" w:ascii="Times New Roman" w:cs="Times New Roman"/>
                      <w:color w:val="auto"/>
                      <w:highlight w:val="none"/>
                      <w:lang w:val="en-US" w:eastAsia="zh-CN"/>
                    </w:rPr>
                    <w:t>/</w:t>
                  </w:r>
                </w:p>
              </w:tc>
              <w:tc>
                <w:tcPr>
                  <w:tcW w:w="635" w:type="pct"/>
                  <w:vAlign w:val="center"/>
                </w:tcPr>
                <w:p w14:paraId="4DA5CB11">
                  <w:pPr>
                    <w:pStyle w:val="41"/>
                    <w:keepNext w:val="0"/>
                    <w:keepLines w:val="0"/>
                    <w:pageBreakBefore w:val="0"/>
                    <w:kinsoku/>
                    <w:wordWrap/>
                    <w:overflowPunct/>
                    <w:topLinePunct w:val="0"/>
                    <w:autoSpaceDE/>
                    <w:autoSpaceDN/>
                    <w:bidi w:val="0"/>
                    <w:spacing w:beforeLines="0" w:afterLines="0" w:line="240" w:lineRule="auto"/>
                    <w:ind w:firstLine="0" w:firstLineChars="0"/>
                    <w:textAlignment w:val="auto"/>
                    <w:rPr>
                      <w:rFonts w:hint="default" w:ascii="Times New Roman" w:hAnsi="Times New Roman" w:eastAsia="宋体" w:cs="Times New Roman"/>
                      <w:b/>
                      <w:bCs/>
                      <w:color w:val="auto"/>
                      <w:sz w:val="24"/>
                      <w:highlight w:val="none"/>
                      <w:vertAlign w:val="baseline"/>
                      <w:lang w:val="en-US" w:eastAsia="zh-CN"/>
                    </w:rPr>
                  </w:pPr>
                  <w:r>
                    <w:rPr>
                      <w:rFonts w:hint="eastAsia" w:ascii="Times New Roman" w:cs="Times New Roman"/>
                      <w:color w:val="auto"/>
                      <w:szCs w:val="21"/>
                      <w:lang w:val="en-US" w:eastAsia="zh-CN"/>
                    </w:rPr>
                    <w:t>外加剂存放桶</w:t>
                  </w:r>
                </w:p>
              </w:tc>
            </w:tr>
          </w:tbl>
          <w:p w14:paraId="158076CA">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rPr>
              <w:t>、原项目劳动定员及工作制度</w:t>
            </w:r>
          </w:p>
          <w:p w14:paraId="57F0EA75">
            <w:pPr>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 w:val="0"/>
                <w:bCs w:val="0"/>
                <w:color w:val="auto"/>
                <w:sz w:val="24"/>
                <w:highlight w:val="none"/>
              </w:rPr>
              <w:t>工作制</w:t>
            </w:r>
            <w:r>
              <w:rPr>
                <w:rFonts w:hint="default" w:ascii="Times New Roman" w:hAnsi="Times New Roman" w:eastAsia="宋体" w:cs="Times New Roman"/>
                <w:color w:val="auto"/>
                <w:sz w:val="24"/>
                <w:highlight w:val="none"/>
              </w:rPr>
              <w:t>度：原项目年工作</w:t>
            </w:r>
            <w:r>
              <w:rPr>
                <w:rFonts w:hint="default" w:ascii="Times New Roman" w:hAnsi="Times New Roman" w:eastAsia="宋体" w:cs="Times New Roman"/>
                <w:color w:val="auto"/>
                <w:sz w:val="24"/>
                <w:highlight w:val="none"/>
                <w:lang w:val="en-US" w:eastAsia="zh-CN"/>
              </w:rPr>
              <w:t>300</w:t>
            </w:r>
            <w:r>
              <w:rPr>
                <w:rFonts w:hint="default" w:ascii="Times New Roman" w:hAnsi="Times New Roman" w:eastAsia="宋体" w:cs="Times New Roman"/>
                <w:color w:val="auto"/>
                <w:sz w:val="24"/>
                <w:highlight w:val="none"/>
              </w:rPr>
              <w:t>天，采取三班工作制，每班工作8h</w:t>
            </w:r>
            <w:r>
              <w:rPr>
                <w:rFonts w:hint="default" w:ascii="Times New Roman" w:hAnsi="Times New Roman" w:eastAsia="宋体" w:cs="Times New Roman"/>
                <w:color w:val="auto"/>
                <w:sz w:val="24"/>
                <w:highlight w:val="none"/>
                <w:lang w:eastAsia="zh-CN"/>
              </w:rPr>
              <w:t>。</w:t>
            </w:r>
          </w:p>
          <w:p w14:paraId="20E144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劳动定员：</w:t>
            </w:r>
            <w:r>
              <w:rPr>
                <w:rFonts w:hint="default" w:ascii="Times New Roman" w:hAnsi="Times New Roman" w:eastAsia="宋体" w:cs="Times New Roman"/>
                <w:color w:val="auto"/>
                <w:sz w:val="24"/>
                <w:highlight w:val="none"/>
                <w:lang w:val="en-US" w:eastAsia="zh-CN"/>
              </w:rPr>
              <w:t>原项目设置</w:t>
            </w:r>
            <w:r>
              <w:rPr>
                <w:rFonts w:hint="default"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0人</w:t>
            </w:r>
            <w:r>
              <w:rPr>
                <w:rFonts w:hint="default" w:ascii="Times New Roman" w:hAnsi="Times New Roman" w:eastAsia="宋体" w:cs="Times New Roman"/>
                <w:color w:val="auto"/>
                <w:spacing w:val="-5"/>
                <w:sz w:val="24"/>
                <w:highlight w:val="none"/>
              </w:rPr>
              <w:t>，</w:t>
            </w:r>
            <w:r>
              <w:rPr>
                <w:rFonts w:hint="default" w:ascii="Times New Roman" w:hAnsi="Times New Roman" w:eastAsia="宋体" w:cs="Times New Roman"/>
                <w:color w:val="auto"/>
                <w:spacing w:val="-5"/>
                <w:sz w:val="24"/>
                <w:highlight w:val="none"/>
                <w:lang w:val="en-US" w:eastAsia="zh-CN"/>
              </w:rPr>
              <w:t>项区内食宿</w:t>
            </w:r>
            <w:r>
              <w:rPr>
                <w:rFonts w:hint="default" w:ascii="Times New Roman" w:hAnsi="Times New Roman" w:eastAsia="宋体" w:cs="Times New Roman"/>
                <w:color w:val="auto"/>
                <w:sz w:val="24"/>
                <w:highlight w:val="none"/>
                <w:lang w:val="en-US" w:eastAsia="zh-CN"/>
              </w:rPr>
              <w:t>职工人数15人，不</w:t>
            </w:r>
            <w:r>
              <w:rPr>
                <w:rFonts w:hint="default" w:ascii="Times New Roman" w:hAnsi="Times New Roman" w:eastAsia="宋体" w:cs="Times New Roman"/>
                <w:color w:val="auto"/>
                <w:spacing w:val="-5"/>
                <w:sz w:val="24"/>
                <w:highlight w:val="none"/>
                <w:lang w:val="en-US" w:eastAsia="zh-CN"/>
              </w:rPr>
              <w:t>项区内食宿</w:t>
            </w:r>
            <w:r>
              <w:rPr>
                <w:rFonts w:hint="default" w:ascii="Times New Roman" w:hAnsi="Times New Roman" w:eastAsia="宋体" w:cs="Times New Roman"/>
                <w:color w:val="auto"/>
                <w:sz w:val="24"/>
                <w:highlight w:val="none"/>
                <w:lang w:val="en-US" w:eastAsia="zh-CN"/>
              </w:rPr>
              <w:t>职工人数15人</w:t>
            </w:r>
            <w:r>
              <w:rPr>
                <w:rFonts w:hint="default" w:ascii="Times New Roman" w:hAnsi="Times New Roman" w:eastAsia="宋体" w:cs="Times New Roman"/>
                <w:color w:val="auto"/>
                <w:sz w:val="24"/>
                <w:highlight w:val="none"/>
              </w:rPr>
              <w:t>。</w:t>
            </w:r>
          </w:p>
          <w:p w14:paraId="552E94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7、原项目工艺流程</w:t>
            </w:r>
          </w:p>
          <w:p w14:paraId="3887A26C">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原项目</w:t>
            </w:r>
            <w:r>
              <w:rPr>
                <w:rFonts w:hint="default" w:ascii="Times New Roman" w:hAnsi="Times New Roman" w:eastAsia="宋体" w:cs="Times New Roman"/>
                <w:b w:val="0"/>
                <w:bCs w:val="0"/>
                <w:color w:val="auto"/>
                <w:sz w:val="24"/>
                <w:highlight w:val="none"/>
              </w:rPr>
              <w:t>主要生产</w:t>
            </w:r>
            <w:r>
              <w:rPr>
                <w:rFonts w:hint="default" w:ascii="Times New Roman" w:hAnsi="Times New Roman" w:eastAsia="宋体" w:cs="Times New Roman"/>
                <w:b w:val="0"/>
                <w:bCs w:val="0"/>
                <w:color w:val="auto"/>
                <w:sz w:val="24"/>
                <w:highlight w:val="none"/>
                <w:lang w:val="en-US" w:eastAsia="zh-CN"/>
              </w:rPr>
              <w:t>商品混凝土由骨料、水泥、粉煤灰、矿粉混合拌制而成。进入拌缸的骨料、水泥、粉煤灰、矿粉等经拌合后才成为成品，</w:t>
            </w:r>
            <w:r>
              <w:rPr>
                <w:rFonts w:hint="default" w:ascii="Times New Roman" w:hAnsi="Times New Roman" w:eastAsia="宋体" w:cs="Times New Roman"/>
                <w:b w:val="0"/>
                <w:bCs w:val="0"/>
                <w:color w:val="auto"/>
                <w:sz w:val="24"/>
                <w:highlight w:val="none"/>
              </w:rPr>
              <w:t>生产工艺流程及产污环节见图2-</w:t>
            </w:r>
            <w:r>
              <w:rPr>
                <w:rFonts w:hint="default" w:ascii="Times New Roman" w:hAnsi="Times New Roman" w:eastAsia="宋体" w:cs="Times New Roman"/>
                <w:b w:val="0"/>
                <w:bCs w:val="0"/>
                <w:color w:val="auto"/>
                <w:sz w:val="24"/>
                <w:highlight w:val="none"/>
                <w:lang w:val="en-US" w:eastAsia="zh-CN"/>
              </w:rPr>
              <w:t>5。</w:t>
            </w:r>
          </w:p>
          <w:p w14:paraId="5C858D4A">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p>
          <w:p w14:paraId="0D3D97D4">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p>
          <w:p w14:paraId="5366A10E">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p>
          <w:p w14:paraId="249FF018">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p>
          <w:p w14:paraId="06F3B771">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p>
          <w:p w14:paraId="4E562051">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p>
          <w:p w14:paraId="006EF1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2"/>
                <w:sz w:val="24"/>
                <w:szCs w:val="24"/>
                <w:highlight w:val="none"/>
                <w:lang w:eastAsia="zh-CN"/>
              </w:rPr>
              <w:object>
                <v:shape id="_x0000_i1029" o:spt="75" type="#_x0000_t75" style="height:337.45pt;width:492.25pt;" o:ole="t" filled="f" o:preferrelative="t" stroked="f" coordsize="21600,21600">
                  <v:path/>
                  <v:fill on="f" focussize="0,0"/>
                  <v:stroke on="f"/>
                  <v:imagedata r:id="rId16" o:title=""/>
                  <o:lock v:ext="edit" aspectratio="t"/>
                  <w10:wrap type="none"/>
                  <w10:anchorlock/>
                </v:shape>
                <o:OLEObject Type="Embed" ProgID="Visio.Drawing.11" ShapeID="_x0000_i1029" DrawAspect="Content" ObjectID="_1468075729" r:id="rId15">
                  <o:LockedField>false</o:LockedField>
                </o:OLEObject>
              </w:object>
            </w:r>
          </w:p>
          <w:p w14:paraId="2DABE7FF">
            <w:pPr>
              <w:spacing w:line="360" w:lineRule="auto"/>
              <w:ind w:firstLine="422" w:firstLineChars="200"/>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b/>
                <w:bCs/>
                <w:color w:val="auto"/>
                <w:sz w:val="21"/>
                <w:szCs w:val="21"/>
                <w:highlight w:val="none"/>
                <w:lang w:val="en-US" w:eastAsia="zh-CN"/>
              </w:rPr>
              <w:t xml:space="preserve">图2-5   </w:t>
            </w:r>
            <w:r>
              <w:rPr>
                <w:rFonts w:hint="default" w:ascii="Times New Roman" w:hAnsi="Times New Roman" w:cs="Times New Roman"/>
                <w:b/>
                <w:bCs/>
                <w:color w:val="auto"/>
                <w:highlight w:val="none"/>
              </w:rPr>
              <w:t>运营期商品混凝土工艺流程及产污节点图</w:t>
            </w:r>
          </w:p>
          <w:p w14:paraId="72430525">
            <w:pPr>
              <w:keepNext w:val="0"/>
              <w:keepLines w:val="0"/>
              <w:pageBreakBefore w:val="0"/>
              <w:widowControl w:val="0"/>
              <w:wordWrap/>
              <w:topLinePunct w:val="0"/>
              <w:autoSpaceDE/>
              <w:autoSpaceDN/>
              <w:bidi w:val="0"/>
              <w:adjustRightInd w:val="0"/>
              <w:snapToGrid w:val="0"/>
              <w:spacing w:line="356" w:lineRule="auto"/>
              <w:ind w:firstLine="482" w:firstLineChars="200"/>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14:paraId="3C8E95E6">
            <w:pPr>
              <w:autoSpaceDE w:val="0"/>
              <w:autoSpaceDN w:val="0"/>
              <w:spacing w:line="360" w:lineRule="auto"/>
              <w:ind w:firstLine="480" w:firstLineChars="200"/>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sz w:val="24"/>
                <w:lang w:val="en-US" w:eastAsia="zh-CN"/>
              </w:rPr>
              <w:t>本项目生产工艺是比较成熟和简单的，首先通过物流把关，外购合格的石子和砂料由运输车辆运至项目内分别堆存于石仓和砂仓备用；通过装载机将砂石料运至计量槽中，砂石料由电脑进行控制并计算配送；水泥和粉煤灰置于筒库内，通过水泵将生产用水提升进入水槽由电脑微机控制水量的添加量；粉状料由放料阀进入搅拌仓，水由水泵打入搅拌仓，与砂石料一同进入搅拌生产，粉料和水均由电脑进行配比计算严格控制比例。原料添加过程同时搅拌，搅拌完成之后由计算泵送入</w:t>
            </w:r>
            <w:r>
              <w:rPr>
                <w:rFonts w:hint="eastAsia" w:cs="Times New Roman"/>
                <w:color w:val="auto"/>
                <w:sz w:val="24"/>
                <w:lang w:val="en-US" w:eastAsia="zh-CN"/>
              </w:rPr>
              <w:t>混凝土</w:t>
            </w:r>
            <w:r>
              <w:rPr>
                <w:rFonts w:hint="default" w:ascii="Times New Roman" w:hAnsi="Times New Roman" w:cs="Times New Roman"/>
                <w:color w:val="auto"/>
                <w:sz w:val="24"/>
                <w:lang w:val="en-US" w:eastAsia="zh-CN"/>
              </w:rPr>
              <w:t>车运输车，最后运送至工地。</w:t>
            </w:r>
          </w:p>
          <w:p w14:paraId="6A04E54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三、原项目污染物实际排放情况</w:t>
            </w:r>
          </w:p>
          <w:p w14:paraId="7D05C77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highlight w:val="none"/>
              </w:rPr>
              <w:t>根据</w:t>
            </w:r>
            <w:r>
              <w:rPr>
                <w:rFonts w:hint="default" w:ascii="Times New Roman" w:hAnsi="Times New Roman" w:eastAsia="宋体" w:cs="Times New Roman"/>
                <w:b w:val="0"/>
                <w:bCs w:val="0"/>
                <w:color w:val="auto"/>
                <w:sz w:val="24"/>
                <w:highlight w:val="none"/>
                <w:lang w:val="en-US" w:eastAsia="zh-CN"/>
              </w:rPr>
              <w:t>202</w:t>
            </w:r>
            <w:r>
              <w:rPr>
                <w:rFonts w:hint="default" w:ascii="Times New Roman" w:hAnsi="Times New Roman" w:cs="Times New Roman"/>
                <w:b w:val="0"/>
                <w:bCs w:val="0"/>
                <w:color w:val="auto"/>
                <w:sz w:val="24"/>
                <w:highlight w:val="none"/>
                <w:lang w:val="en-US" w:eastAsia="zh-CN"/>
              </w:rPr>
              <w:t>0</w:t>
            </w:r>
            <w:r>
              <w:rPr>
                <w:rFonts w:hint="default" w:ascii="Times New Roman" w:hAnsi="Times New Roman" w:eastAsia="宋体" w:cs="Times New Roman"/>
                <w:b w:val="0"/>
                <w:bCs w:val="0"/>
                <w:color w:val="auto"/>
                <w:sz w:val="24"/>
                <w:highlight w:val="none"/>
                <w:lang w:val="en-US" w:eastAsia="zh-CN"/>
              </w:rPr>
              <w:t>年</w:t>
            </w:r>
            <w:r>
              <w:rPr>
                <w:rFonts w:hint="default" w:ascii="Times New Roman" w:hAnsi="Times New Roman" w:cs="Times New Roman"/>
                <w:b w:val="0"/>
                <w:bCs w:val="0"/>
                <w:color w:val="auto"/>
                <w:sz w:val="24"/>
                <w:highlight w:val="none"/>
                <w:lang w:val="en-US" w:eastAsia="zh-CN"/>
              </w:rPr>
              <w:t>2</w:t>
            </w:r>
            <w:r>
              <w:rPr>
                <w:rFonts w:hint="default" w:ascii="Times New Roman" w:hAnsi="Times New Roman" w:eastAsia="宋体" w:cs="Times New Roman"/>
                <w:color w:val="auto"/>
                <w:spacing w:val="-5"/>
                <w:kern w:val="2"/>
                <w:sz w:val="24"/>
                <w:szCs w:val="24"/>
                <w:highlight w:val="none"/>
                <w:lang w:val="en-US" w:eastAsia="zh-CN" w:bidi="ar-SA"/>
              </w:rPr>
              <w:t>月云南环绿环境检测技术有限公司编制的《年产25万吨商品混凝土生产线建设项目竣工环境保护验收监测报告表》</w:t>
            </w:r>
            <w:r>
              <w:rPr>
                <w:rFonts w:hint="default" w:ascii="Times New Roman" w:hAnsi="Times New Roman" w:eastAsia="宋体" w:cs="Times New Roman"/>
                <w:b w:val="0"/>
                <w:bCs w:val="0"/>
                <w:color w:val="auto"/>
                <w:sz w:val="24"/>
                <w:szCs w:val="24"/>
                <w:highlight w:val="none"/>
              </w:rPr>
              <w:t>及业主实际</w:t>
            </w:r>
            <w:r>
              <w:rPr>
                <w:rFonts w:hint="default" w:ascii="Times New Roman" w:hAnsi="Times New Roman" w:eastAsia="宋体" w:cs="Times New Roman"/>
                <w:b w:val="0"/>
                <w:bCs w:val="0"/>
                <w:color w:val="auto"/>
                <w:sz w:val="24"/>
                <w:szCs w:val="24"/>
                <w:highlight w:val="none"/>
                <w:lang w:val="en-US" w:eastAsia="zh-CN"/>
              </w:rPr>
              <w:t>试</w:t>
            </w:r>
            <w:r>
              <w:rPr>
                <w:rFonts w:hint="default" w:ascii="Times New Roman" w:hAnsi="Times New Roman" w:eastAsia="宋体" w:cs="Times New Roman"/>
                <w:b w:val="0"/>
                <w:bCs w:val="0"/>
                <w:color w:val="auto"/>
                <w:sz w:val="24"/>
                <w:szCs w:val="24"/>
                <w:highlight w:val="none"/>
              </w:rPr>
              <w:t>运营经验可知，与本项目有关的原有污染物具体产排情况如下：</w:t>
            </w:r>
          </w:p>
          <w:p w14:paraId="74A36EBD">
            <w:pPr>
              <w:pStyle w:val="46"/>
              <w:keepNext w:val="0"/>
              <w:keepLines w:val="0"/>
              <w:pageBreakBefore w:val="0"/>
              <w:widowControl w:val="0"/>
              <w:tabs>
                <w:tab w:val="left" w:pos="1310"/>
              </w:tabs>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14:paraId="0EDCCD53">
            <w:pPr>
              <w:pStyle w:val="36"/>
              <w:keepNext w:val="0"/>
              <w:keepLines w:val="0"/>
              <w:pageBreakBefore w:val="0"/>
              <w:widowControl w:val="0"/>
              <w:kinsoku/>
              <w:wordWrap/>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rPr>
              <w:t>项目运营期废气主要有</w:t>
            </w:r>
            <w:r>
              <w:rPr>
                <w:rFonts w:hint="default" w:ascii="Times New Roman" w:hAnsi="Times New Roman" w:cs="Times New Roman"/>
                <w:color w:val="auto"/>
                <w:sz w:val="24"/>
                <w:szCs w:val="24"/>
                <w:highlight w:val="none"/>
                <w:lang w:val="en-US" w:eastAsia="zh-CN"/>
              </w:rPr>
              <w:t>生产运输过程中产生的无组织粉尘和食堂油烟</w:t>
            </w:r>
            <w:r>
              <w:rPr>
                <w:rFonts w:hint="default" w:ascii="Times New Roman" w:hAnsi="Times New Roman" w:eastAsia="宋体" w:cs="Times New Roman"/>
                <w:color w:val="auto"/>
                <w:sz w:val="24"/>
                <w:szCs w:val="24"/>
                <w:highlight w:val="none"/>
              </w:rPr>
              <w:t>。</w:t>
            </w:r>
          </w:p>
          <w:p w14:paraId="67A5EC80">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（1）工艺废气</w:t>
            </w:r>
          </w:p>
          <w:p w14:paraId="18D51152">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cs="Times New Roman"/>
                <w:color w:val="auto"/>
                <w:sz w:val="24"/>
                <w:lang w:val="en-US" w:eastAsia="zh-CN"/>
              </w:rPr>
              <w:t>项目生产过程主要使用电，不使用锅炉，因此不产生锅炉废气。本项目大气污染物主要是粉尘，其来源为在输送、计量、投料过程产生的粉尘，运输车辆动力起尘，筒库呼吸孔和库底粉尘，筒库抽料时放空口产生的粉尘及堆场风起尘。</w:t>
            </w:r>
          </w:p>
          <w:p w14:paraId="1200A949">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①输送、计量、投料粉尘</w:t>
            </w:r>
          </w:p>
          <w:p w14:paraId="2C18A41D">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cs="Times New Roman"/>
                <w:color w:val="auto"/>
                <w:sz w:val="24"/>
                <w:lang w:val="en-US" w:eastAsia="zh-CN"/>
              </w:rPr>
              <w:t>项目砂、石提升以搅拌站配套的皮带输送方式完成，各生产工序均采用电脑集中控制，皮带输送过程设置了防尘罩密闭，水泥、粉煤灰以压缩空气吹入水泥筒仓，辅以螺旋输送机给水泥秤供料。原料的输送、计量、投料等过程均为密闭式，在生产过程中有极少的粉尘溢出，产生的粉尘量不大，对周围环境影响不大。</w:t>
            </w:r>
          </w:p>
          <w:p w14:paraId="08D5AB29">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②汽车动力起尘</w:t>
            </w:r>
          </w:p>
          <w:p w14:paraId="6A4A1293">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cs="Times New Roman"/>
                <w:color w:val="auto"/>
                <w:sz w:val="24"/>
                <w:lang w:val="en-US" w:eastAsia="zh-CN"/>
              </w:rPr>
              <w:t>项目运输车辆行驶，产生的粉尘。</w:t>
            </w:r>
          </w:p>
          <w:p w14:paraId="16EBF57B">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cs="Times New Roman"/>
                <w:color w:val="auto"/>
                <w:sz w:val="24"/>
                <w:lang w:val="en-US" w:eastAsia="zh-CN"/>
              </w:rPr>
              <w:t>项目区内定期有专人进行路面的清扫、洒水，以减少道路扬尘。同时加强管理，严禁超载，车辆进出厂区时采样水枪对轮胎冲洗等措施，达到抑制扬尘的作用。</w:t>
            </w:r>
          </w:p>
          <w:p w14:paraId="6324369D">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③筒库顶呼吸孔及库底粉尘</w:t>
            </w:r>
          </w:p>
          <w:p w14:paraId="08CB263C">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cs="Times New Roman"/>
                <w:color w:val="auto"/>
                <w:sz w:val="24"/>
                <w:lang w:val="en-US" w:eastAsia="zh-CN"/>
              </w:rPr>
              <w:t>项目水泥、粉煤灰均为筒库储藏，筒库库顶呼吸孔及库底产生粉尘。库底采用负压吸风收尘装置，与库顶呼吸孔共用一套除尘器，通过除尘器降低粉尘的排放量。</w:t>
            </w:r>
          </w:p>
          <w:p w14:paraId="647821C7">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④筒库放空口粉尘</w:t>
            </w:r>
          </w:p>
          <w:p w14:paraId="713A91B5">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cs="Times New Roman"/>
                <w:color w:val="auto"/>
                <w:sz w:val="24"/>
                <w:lang w:val="en-US" w:eastAsia="zh-CN"/>
              </w:rPr>
              <w:t>筒库放空口在抽料时产生的粉尘，项目在筒库放空口处安装了自动衔接输料口，出料车辆接料口也相应配套了自动衔接口，每次放料结束后先关闭筒库放料口阀门，然后出料车辆再行驶，从而降低了粉尘的产生量。</w:t>
            </w:r>
          </w:p>
          <w:p w14:paraId="56F444FF">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⑤砂石料仓起尘</w:t>
            </w:r>
          </w:p>
          <w:p w14:paraId="53DAEA45">
            <w:pPr>
              <w:pStyle w:val="36"/>
              <w:keepNext w:val="0"/>
              <w:keepLines w:val="0"/>
              <w:pageBreakBefore w:val="0"/>
              <w:widowControl w:val="0"/>
              <w:kinsoku/>
              <w:wordWrap/>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lang w:val="en-US" w:eastAsia="zh-CN"/>
              </w:rPr>
              <w:t>砂石料仓三面设置了围墙，只留一面取料面，堆场顶部加设了顶盖，并对地面进行了水泥固化处理，从而</w:t>
            </w:r>
            <w:r>
              <w:rPr>
                <w:rFonts w:hint="eastAsia" w:cs="Times New Roman"/>
                <w:color w:val="auto"/>
                <w:sz w:val="24"/>
                <w:lang w:val="en-US" w:eastAsia="zh-CN"/>
              </w:rPr>
              <w:t>有效地降低</w:t>
            </w:r>
            <w:r>
              <w:rPr>
                <w:rFonts w:hint="default" w:ascii="Times New Roman" w:hAnsi="Times New Roman" w:cs="Times New Roman"/>
                <w:color w:val="auto"/>
                <w:sz w:val="24"/>
                <w:lang w:val="en-US" w:eastAsia="zh-CN"/>
              </w:rPr>
              <w:t>堆场的起尘量；在生产过程中进行洒水</w:t>
            </w:r>
            <w:r>
              <w:rPr>
                <w:rFonts w:hint="eastAsia" w:cs="Times New Roman"/>
                <w:color w:val="auto"/>
                <w:sz w:val="24"/>
                <w:lang w:val="en-US" w:eastAsia="zh-CN"/>
              </w:rPr>
              <w:t>砂石</w:t>
            </w:r>
            <w:r>
              <w:rPr>
                <w:rFonts w:hint="default" w:ascii="Times New Roman" w:hAnsi="Times New Roman" w:cs="Times New Roman"/>
                <w:color w:val="auto"/>
                <w:sz w:val="24"/>
                <w:lang w:val="en-US" w:eastAsia="zh-CN"/>
              </w:rPr>
              <w:t>堆场表面结成硬壳，也可起到防尘的作用。</w:t>
            </w:r>
          </w:p>
          <w:p w14:paraId="08C5D5E8">
            <w:pPr>
              <w:keepNext w:val="0"/>
              <w:keepLines w:val="0"/>
              <w:pageBreakBefore w:val="0"/>
              <w:widowControl w:val="0"/>
              <w:kinsoku/>
              <w:wordWrap/>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bCs/>
                <w:color w:val="auto"/>
                <w:sz w:val="24"/>
                <w:szCs w:val="24"/>
                <w:highlight w:val="none"/>
              </w:rPr>
              <w:t>云南环绿环境检测技术有限公司</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lang w:val="en-US" w:eastAsia="zh-CN"/>
              </w:rPr>
              <w:t>年</w:t>
            </w:r>
            <w:r>
              <w:rPr>
                <w:rFonts w:hint="default"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月</w:t>
            </w:r>
            <w:r>
              <w:rPr>
                <w:rFonts w:hint="default"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lang w:val="en-US" w:eastAsia="zh-CN"/>
              </w:rPr>
              <w:t>日</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日对项目区下风向</w:t>
            </w:r>
            <w:r>
              <w:rPr>
                <w:rFonts w:hint="default" w:ascii="Times New Roman" w:hAnsi="Times New Roman" w:cs="Times New Roman"/>
                <w:color w:val="auto"/>
                <w:sz w:val="24"/>
                <w:szCs w:val="24"/>
                <w:highlight w:val="none"/>
                <w:lang w:val="en-US" w:eastAsia="zh-CN"/>
              </w:rPr>
              <w:t>两个点位</w:t>
            </w:r>
            <w:r>
              <w:rPr>
                <w:rFonts w:hint="default" w:ascii="Times New Roman" w:hAnsi="Times New Roman" w:eastAsia="宋体" w:cs="Times New Roman"/>
                <w:color w:val="auto"/>
                <w:sz w:val="24"/>
                <w:szCs w:val="24"/>
                <w:highlight w:val="none"/>
                <w:lang w:val="en-US" w:eastAsia="zh-CN"/>
              </w:rPr>
              <w:t>进行的</w:t>
            </w:r>
            <w:r>
              <w:rPr>
                <w:rFonts w:hint="default" w:ascii="Times New Roman" w:hAnsi="Times New Roman" w:eastAsia="宋体" w:cs="Times New Roman"/>
                <w:color w:val="auto"/>
                <w:sz w:val="24"/>
                <w:szCs w:val="24"/>
                <w:highlight w:val="none"/>
              </w:rPr>
              <w:t>无组织废气（TSP）检测结果</w:t>
            </w:r>
            <w:r>
              <w:rPr>
                <w:rFonts w:hint="default" w:ascii="Times New Roman" w:hAnsi="Times New Roman" w:eastAsia="宋体" w:cs="Times New Roman"/>
                <w:color w:val="auto"/>
                <w:sz w:val="24"/>
                <w:szCs w:val="24"/>
                <w:highlight w:val="none"/>
                <w:lang w:val="en-US" w:eastAsia="zh-CN"/>
              </w:rPr>
              <w:t>可知</w:t>
            </w:r>
            <w:r>
              <w:rPr>
                <w:rFonts w:hint="default" w:ascii="Times New Roman" w:hAnsi="Times New Roman" w:eastAsia="宋体" w:cs="Times New Roman"/>
                <w:color w:val="auto"/>
                <w:sz w:val="24"/>
                <w:szCs w:val="24"/>
                <w:highlight w:val="none"/>
              </w:rPr>
              <w:t>，项目产生的无组织颗粒物</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能</w:t>
            </w:r>
            <w:r>
              <w:rPr>
                <w:rFonts w:hint="default"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szCs w:val="24"/>
                <w:highlight w:val="none"/>
              </w:rPr>
              <w:t>《大气污染物综合排放标准》GB16297-1996表2限值要求，即：颗粒物≤1.0</w:t>
            </w:r>
            <w:r>
              <w:rPr>
                <w:rFonts w:hint="default" w:ascii="Times New Roman" w:hAnsi="Times New Roman" w:eastAsia="宋体" w:cs="Times New Roman"/>
                <w:bCs/>
                <w:color w:val="auto"/>
                <w:sz w:val="24"/>
                <w:szCs w:val="24"/>
                <w:highlight w:val="none"/>
              </w:rPr>
              <w:t>mg/m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w:t>
            </w:r>
          </w:p>
          <w:p w14:paraId="74AD1127">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（2）食堂油烟废气</w:t>
            </w:r>
          </w:p>
          <w:p w14:paraId="491EF8E5">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color w:val="auto"/>
                <w:sz w:val="24"/>
                <w:lang w:val="en-US" w:eastAsia="zh-CN"/>
              </w:rPr>
              <w:t>项目油烟废气主要由职工食堂运营时产生，配备了一台型号为FNT-JD-6A，风量为6000</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cs="Times New Roman"/>
                <w:color w:val="auto"/>
                <w:sz w:val="24"/>
                <w:lang w:val="en-US" w:eastAsia="zh-CN"/>
              </w:rPr>
              <w:t>/h的静点式饮食业油烟净化器。油烟净化器属于博兴县方耐特商用厨具有限公司生产，具有中国环境保护产品认证证书，满足饮食业油烟净化设备技术要求及检测技术规范，则油烟排放浓度能够达到《饮食业油烟排放标准》（GB18483-2001）中≤2.0mg/</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cs="Times New Roman"/>
                <w:color w:val="auto"/>
                <w:sz w:val="24"/>
                <w:lang w:val="en-US" w:eastAsia="zh-CN"/>
              </w:rPr>
              <w:t>的要求，产生的油烟废气对周围环境影响较小。</w:t>
            </w:r>
          </w:p>
          <w:p w14:paraId="4F5F9DEF">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 w:val="0"/>
                <w:bCs w:val="0"/>
                <w:color w:val="auto"/>
                <w:kern w:val="2"/>
                <w:sz w:val="24"/>
                <w:szCs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
              </w:rPr>
              <w:t>现有项目无组织废气主要包括颗粒物。</w:t>
            </w:r>
            <w:r>
              <w:rPr>
                <w:rFonts w:hint="eastAsia" w:ascii="Times New Roman" w:hAnsi="Times New Roman" w:eastAsia="宋体" w:cs="Times New Roman"/>
                <w:b w:val="0"/>
                <w:bCs w:val="0"/>
                <w:color w:val="auto"/>
                <w:kern w:val="2"/>
                <w:sz w:val="24"/>
                <w:szCs w:val="24"/>
                <w:highlight w:val="none"/>
                <w:lang w:val="en-US" w:eastAsia="zh-CN" w:bidi="ar"/>
              </w:rPr>
              <w:t>根据</w:t>
            </w:r>
            <w:r>
              <w:rPr>
                <w:rFonts w:hint="default" w:ascii="Times New Roman" w:hAnsi="Times New Roman" w:eastAsia="宋体" w:cs="Times New Roman"/>
                <w:b w:val="0"/>
                <w:bCs w:val="0"/>
                <w:color w:val="auto"/>
                <w:kern w:val="2"/>
                <w:sz w:val="24"/>
                <w:szCs w:val="24"/>
                <w:highlight w:val="none"/>
                <w:lang w:val="en-US" w:eastAsia="zh-CN" w:bidi="ar"/>
              </w:rPr>
              <w:t>《年产25万吨商品混凝土生产线建设项目竣工环境保护验收监测报告表》（</w:t>
            </w:r>
            <w:r>
              <w:rPr>
                <w:rFonts w:hint="eastAsia" w:ascii="Times New Roman" w:hAnsi="Times New Roman" w:eastAsia="宋体" w:cs="Times New Roman"/>
                <w:b w:val="0"/>
                <w:bCs w:val="0"/>
                <w:color w:val="auto"/>
                <w:kern w:val="2"/>
                <w:sz w:val="24"/>
                <w:szCs w:val="24"/>
                <w:highlight w:val="none"/>
                <w:lang w:val="en-US" w:eastAsia="zh-CN" w:bidi="ar"/>
              </w:rPr>
              <w:t>2020年2月</w:t>
            </w:r>
            <w:r>
              <w:rPr>
                <w:rFonts w:hint="default" w:ascii="Times New Roman" w:hAnsi="Times New Roman" w:eastAsia="宋体" w:cs="Times New Roman"/>
                <w:b w:val="0"/>
                <w:bCs w:val="0"/>
                <w:color w:val="auto"/>
                <w:kern w:val="2"/>
                <w:sz w:val="24"/>
                <w:szCs w:val="24"/>
                <w:highlight w:val="none"/>
                <w:lang w:val="en-US" w:eastAsia="zh-CN" w:bidi="ar"/>
              </w:rPr>
              <w:t>），现有项目无组织废气排放情况监测结果如下：</w:t>
            </w:r>
          </w:p>
          <w:p w14:paraId="6B797054">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w:t>
            </w:r>
            <w:r>
              <w:rPr>
                <w:rFonts w:hint="eastAsia" w:ascii="Times New Roman" w:hAnsi="Times New Roman" w:eastAsia="宋体" w:cs="Times New Roman"/>
                <w:b/>
                <w:color w:val="auto"/>
                <w:kern w:val="2"/>
                <w:sz w:val="21"/>
                <w:szCs w:val="21"/>
                <w:highlight w:val="none"/>
                <w:lang w:val="en-US" w:eastAsia="zh-CN" w:bidi="ar-SA"/>
              </w:rPr>
              <w:t>2-1</w:t>
            </w:r>
            <w:r>
              <w:rPr>
                <w:rFonts w:hint="eastAsia" w:eastAsia="宋体" w:cs="Times New Roman"/>
                <w:b/>
                <w:color w:val="auto"/>
                <w:kern w:val="2"/>
                <w:sz w:val="21"/>
                <w:szCs w:val="21"/>
                <w:highlight w:val="none"/>
                <w:lang w:val="en-US" w:eastAsia="zh-CN" w:bidi="ar-SA"/>
              </w:rPr>
              <w:t>5</w:t>
            </w:r>
            <w:r>
              <w:rPr>
                <w:rFonts w:hint="default" w:ascii="Times New Roman" w:hAnsi="Times New Roman" w:eastAsia="宋体" w:cs="Times New Roman"/>
                <w:b/>
                <w:color w:val="auto"/>
                <w:kern w:val="2"/>
                <w:sz w:val="21"/>
                <w:szCs w:val="21"/>
                <w:highlight w:val="none"/>
                <w:lang w:val="en-US" w:eastAsia="zh-CN" w:bidi="ar-SA"/>
              </w:rPr>
              <w:t xml:space="preserve"> </w:t>
            </w:r>
            <w:r>
              <w:rPr>
                <w:rFonts w:hint="eastAsia" w:ascii="Times New Roman" w:hAnsi="Times New Roman" w:eastAsia="宋体" w:cs="Times New Roman"/>
                <w:b/>
                <w:color w:val="auto"/>
                <w:kern w:val="2"/>
                <w:sz w:val="21"/>
                <w:szCs w:val="21"/>
                <w:highlight w:val="none"/>
                <w:lang w:val="en-US" w:eastAsia="zh-CN" w:bidi="ar-SA"/>
              </w:rPr>
              <w:t xml:space="preserve">  </w:t>
            </w:r>
            <w:r>
              <w:rPr>
                <w:rFonts w:hint="default" w:ascii="Times New Roman" w:hAnsi="Times New Roman" w:eastAsia="宋体" w:cs="Times New Roman"/>
                <w:b/>
                <w:color w:val="auto"/>
                <w:kern w:val="2"/>
                <w:sz w:val="21"/>
                <w:szCs w:val="21"/>
                <w:highlight w:val="none"/>
                <w:lang w:val="en-US" w:eastAsia="zh-CN" w:bidi="ar-SA"/>
              </w:rPr>
              <w:t>无组织废气检测结果与评价</w:t>
            </w:r>
          </w:p>
          <w:tbl>
            <w:tblPr>
              <w:tblStyle w:val="37"/>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9"/>
              <w:gridCol w:w="1125"/>
              <w:gridCol w:w="1876"/>
              <w:gridCol w:w="1939"/>
              <w:gridCol w:w="1532"/>
              <w:gridCol w:w="1867"/>
            </w:tblGrid>
            <w:tr w14:paraId="337ED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 w:hRule="atLeast"/>
              </w:trPr>
              <w:tc>
                <w:tcPr>
                  <w:tcW w:w="757" w:type="pct"/>
                  <w:vAlign w:val="center"/>
                </w:tcPr>
                <w:p w14:paraId="1434F6E8">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监测时间</w:t>
                  </w:r>
                </w:p>
              </w:tc>
              <w:tc>
                <w:tcPr>
                  <w:tcW w:w="572" w:type="pct"/>
                  <w:vAlign w:val="center"/>
                </w:tcPr>
                <w:p w14:paraId="029EA307">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污染物</w:t>
                  </w:r>
                </w:p>
              </w:tc>
              <w:tc>
                <w:tcPr>
                  <w:tcW w:w="954" w:type="pct"/>
                  <w:vAlign w:val="center"/>
                </w:tcPr>
                <w:p w14:paraId="1A95A971">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监测点位</w:t>
                  </w:r>
                </w:p>
              </w:tc>
              <w:tc>
                <w:tcPr>
                  <w:tcW w:w="986" w:type="pct"/>
                  <w:vAlign w:val="center"/>
                </w:tcPr>
                <w:p w14:paraId="5DE49600">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监测值（范围）mg/m</w:t>
                  </w:r>
                  <w:r>
                    <w:rPr>
                      <w:rFonts w:hint="eastAsia" w:ascii="Times New Roman" w:hAnsi="Times New Roman" w:eastAsia="宋体" w:cs="Times New Roman"/>
                      <w:color w:val="auto"/>
                      <w:szCs w:val="21"/>
                      <w:vertAlign w:val="superscript"/>
                      <w:lang w:val="en-US" w:eastAsia="zh-CN"/>
                    </w:rPr>
                    <w:t>3</w:t>
                  </w:r>
                </w:p>
              </w:tc>
              <w:tc>
                <w:tcPr>
                  <w:tcW w:w="779" w:type="pct"/>
                  <w:vAlign w:val="center"/>
                </w:tcPr>
                <w:p w14:paraId="75B45B91">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标准值mg/m</w:t>
                  </w:r>
                  <w:r>
                    <w:rPr>
                      <w:rFonts w:hint="eastAsia" w:ascii="Times New Roman" w:hAnsi="Times New Roman" w:eastAsia="宋体" w:cs="Times New Roman"/>
                      <w:color w:val="auto"/>
                      <w:szCs w:val="21"/>
                      <w:vertAlign w:val="superscript"/>
                      <w:lang w:val="en-US" w:eastAsia="zh-CN"/>
                    </w:rPr>
                    <w:t>3</w:t>
                  </w:r>
                </w:p>
              </w:tc>
              <w:tc>
                <w:tcPr>
                  <w:tcW w:w="949" w:type="pct"/>
                  <w:vAlign w:val="center"/>
                </w:tcPr>
                <w:p w14:paraId="6AAC8A2B">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达标情况</w:t>
                  </w:r>
                </w:p>
              </w:tc>
            </w:tr>
            <w:tr w14:paraId="15CE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57" w:type="pct"/>
                  <w:vMerge w:val="restart"/>
                  <w:tcBorders>
                    <w:bottom w:val="nil"/>
                  </w:tcBorders>
                  <w:vAlign w:val="center"/>
                </w:tcPr>
                <w:p w14:paraId="423D5270">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2019/12/25</w:t>
                  </w:r>
                </w:p>
              </w:tc>
              <w:tc>
                <w:tcPr>
                  <w:tcW w:w="572" w:type="pct"/>
                  <w:vMerge w:val="restart"/>
                  <w:tcBorders>
                    <w:bottom w:val="nil"/>
                  </w:tcBorders>
                  <w:vAlign w:val="center"/>
                </w:tcPr>
                <w:p w14:paraId="6CA2062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w:t>
                  </w:r>
                </w:p>
              </w:tc>
              <w:tc>
                <w:tcPr>
                  <w:tcW w:w="954" w:type="pct"/>
                  <w:vAlign w:val="center"/>
                </w:tcPr>
                <w:p w14:paraId="6F0DA196">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上风向</w:t>
                  </w:r>
                </w:p>
              </w:tc>
              <w:tc>
                <w:tcPr>
                  <w:tcW w:w="986" w:type="pct"/>
                  <w:vAlign w:val="center"/>
                </w:tcPr>
                <w:p w14:paraId="202A1049">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0.017-0.050</w:t>
                  </w:r>
                </w:p>
              </w:tc>
              <w:tc>
                <w:tcPr>
                  <w:tcW w:w="779" w:type="pct"/>
                  <w:vMerge w:val="restart"/>
                  <w:tcBorders>
                    <w:bottom w:val="nil"/>
                  </w:tcBorders>
                  <w:vAlign w:val="center"/>
                </w:tcPr>
                <w:p w14:paraId="742D868B">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c>
                <w:tcPr>
                  <w:tcW w:w="949" w:type="pct"/>
                  <w:vAlign w:val="center"/>
                </w:tcPr>
                <w:p w14:paraId="1324D620">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744D5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57" w:type="pct"/>
                  <w:vMerge w:val="continue"/>
                  <w:tcBorders>
                    <w:top w:val="nil"/>
                    <w:bottom w:val="nil"/>
                  </w:tcBorders>
                  <w:vAlign w:val="center"/>
                </w:tcPr>
                <w:p w14:paraId="658B4F19">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2" w:type="pct"/>
                  <w:vMerge w:val="continue"/>
                  <w:tcBorders>
                    <w:top w:val="nil"/>
                    <w:bottom w:val="nil"/>
                  </w:tcBorders>
                  <w:vAlign w:val="center"/>
                </w:tcPr>
                <w:p w14:paraId="0F105162">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54" w:type="pct"/>
                  <w:vAlign w:val="center"/>
                </w:tcPr>
                <w:p w14:paraId="5D471385">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下风向1#</w:t>
                  </w:r>
                </w:p>
              </w:tc>
              <w:tc>
                <w:tcPr>
                  <w:tcW w:w="986" w:type="pct"/>
                  <w:vAlign w:val="center"/>
                </w:tcPr>
                <w:p w14:paraId="5351978D">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0.283-0.317</w:t>
                  </w:r>
                </w:p>
              </w:tc>
              <w:tc>
                <w:tcPr>
                  <w:tcW w:w="779" w:type="pct"/>
                  <w:vMerge w:val="continue"/>
                  <w:tcBorders>
                    <w:top w:val="nil"/>
                    <w:bottom w:val="nil"/>
                  </w:tcBorders>
                  <w:vAlign w:val="center"/>
                </w:tcPr>
                <w:p w14:paraId="5A83D708">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49" w:type="pct"/>
                  <w:vAlign w:val="center"/>
                </w:tcPr>
                <w:p w14:paraId="4EFFB207">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1985C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57" w:type="pct"/>
                  <w:vMerge w:val="continue"/>
                  <w:tcBorders>
                    <w:top w:val="nil"/>
                    <w:bottom w:val="nil"/>
                  </w:tcBorders>
                  <w:vAlign w:val="center"/>
                </w:tcPr>
                <w:p w14:paraId="5A25E5E8">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2" w:type="pct"/>
                  <w:vMerge w:val="continue"/>
                  <w:tcBorders>
                    <w:top w:val="nil"/>
                    <w:bottom w:val="nil"/>
                  </w:tcBorders>
                  <w:vAlign w:val="center"/>
                </w:tcPr>
                <w:p w14:paraId="445334A1">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54" w:type="pct"/>
                  <w:vAlign w:val="center"/>
                </w:tcPr>
                <w:p w14:paraId="2CC528E3">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下风向2#</w:t>
                  </w:r>
                </w:p>
              </w:tc>
              <w:tc>
                <w:tcPr>
                  <w:tcW w:w="986" w:type="pct"/>
                  <w:vAlign w:val="center"/>
                </w:tcPr>
                <w:p w14:paraId="5933128F">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0.617-0.650</w:t>
                  </w:r>
                </w:p>
              </w:tc>
              <w:tc>
                <w:tcPr>
                  <w:tcW w:w="779" w:type="pct"/>
                  <w:vMerge w:val="continue"/>
                  <w:tcBorders>
                    <w:top w:val="nil"/>
                    <w:bottom w:val="nil"/>
                  </w:tcBorders>
                  <w:vAlign w:val="center"/>
                </w:tcPr>
                <w:p w14:paraId="5E7861E5">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49" w:type="pct"/>
                  <w:vAlign w:val="center"/>
                </w:tcPr>
                <w:p w14:paraId="2F646661">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0CE38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57" w:type="pct"/>
                  <w:vMerge w:val="continue"/>
                  <w:tcBorders>
                    <w:top w:val="nil"/>
                  </w:tcBorders>
                  <w:vAlign w:val="center"/>
                </w:tcPr>
                <w:p w14:paraId="1E083A9A">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2" w:type="pct"/>
                  <w:vMerge w:val="continue"/>
                  <w:tcBorders>
                    <w:top w:val="nil"/>
                  </w:tcBorders>
                  <w:vAlign w:val="center"/>
                </w:tcPr>
                <w:p w14:paraId="77217BB2">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54" w:type="pct"/>
                  <w:vAlign w:val="center"/>
                </w:tcPr>
                <w:p w14:paraId="4C850E28">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下风向3#</w:t>
                  </w:r>
                </w:p>
              </w:tc>
              <w:tc>
                <w:tcPr>
                  <w:tcW w:w="986" w:type="pct"/>
                  <w:vAlign w:val="center"/>
                </w:tcPr>
                <w:p w14:paraId="4D391F1D">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0.833-0.867</w:t>
                  </w:r>
                </w:p>
              </w:tc>
              <w:tc>
                <w:tcPr>
                  <w:tcW w:w="779" w:type="pct"/>
                  <w:vMerge w:val="continue"/>
                  <w:tcBorders>
                    <w:top w:val="nil"/>
                  </w:tcBorders>
                  <w:vAlign w:val="center"/>
                </w:tcPr>
                <w:p w14:paraId="03FF2BA7">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49" w:type="pct"/>
                  <w:vAlign w:val="center"/>
                </w:tcPr>
                <w:p w14:paraId="57973374">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30221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57" w:type="pct"/>
                  <w:vMerge w:val="restart"/>
                  <w:tcBorders>
                    <w:bottom w:val="nil"/>
                  </w:tcBorders>
                  <w:vAlign w:val="center"/>
                </w:tcPr>
                <w:p w14:paraId="55A71191">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2019/12/26</w:t>
                  </w:r>
                </w:p>
              </w:tc>
              <w:tc>
                <w:tcPr>
                  <w:tcW w:w="572" w:type="pct"/>
                  <w:vMerge w:val="restart"/>
                  <w:tcBorders>
                    <w:bottom w:val="nil"/>
                  </w:tcBorders>
                  <w:vAlign w:val="center"/>
                </w:tcPr>
                <w:p w14:paraId="40701543">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w:t>
                  </w:r>
                </w:p>
              </w:tc>
              <w:tc>
                <w:tcPr>
                  <w:tcW w:w="954" w:type="pct"/>
                  <w:vAlign w:val="center"/>
                </w:tcPr>
                <w:p w14:paraId="3D04ADF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上风向</w:t>
                  </w:r>
                </w:p>
              </w:tc>
              <w:tc>
                <w:tcPr>
                  <w:tcW w:w="986" w:type="pct"/>
                  <w:vAlign w:val="center"/>
                </w:tcPr>
                <w:p w14:paraId="34AAC738">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0.050-0.083</w:t>
                  </w:r>
                </w:p>
              </w:tc>
              <w:tc>
                <w:tcPr>
                  <w:tcW w:w="779" w:type="pct"/>
                  <w:vMerge w:val="restart"/>
                  <w:tcBorders>
                    <w:bottom w:val="nil"/>
                  </w:tcBorders>
                  <w:vAlign w:val="center"/>
                </w:tcPr>
                <w:p w14:paraId="3177CAFD">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c>
                <w:tcPr>
                  <w:tcW w:w="949" w:type="pct"/>
                  <w:vAlign w:val="center"/>
                </w:tcPr>
                <w:p w14:paraId="121E9822">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3261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57" w:type="pct"/>
                  <w:vMerge w:val="continue"/>
                  <w:tcBorders>
                    <w:top w:val="nil"/>
                    <w:bottom w:val="nil"/>
                  </w:tcBorders>
                  <w:vAlign w:val="center"/>
                </w:tcPr>
                <w:p w14:paraId="50B2E48B">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2" w:type="pct"/>
                  <w:vMerge w:val="continue"/>
                  <w:tcBorders>
                    <w:top w:val="nil"/>
                    <w:bottom w:val="nil"/>
                  </w:tcBorders>
                  <w:vAlign w:val="center"/>
                </w:tcPr>
                <w:p w14:paraId="6D86B854">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1876" w:type="dxa"/>
                  <w:vAlign w:val="center"/>
                </w:tcPr>
                <w:p w14:paraId="07EA1D0C">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下风向1#</w:t>
                  </w:r>
                </w:p>
              </w:tc>
              <w:tc>
                <w:tcPr>
                  <w:tcW w:w="986" w:type="pct"/>
                  <w:vAlign w:val="center"/>
                </w:tcPr>
                <w:p w14:paraId="6C7498C1">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0.333-0.367</w:t>
                  </w:r>
                </w:p>
              </w:tc>
              <w:tc>
                <w:tcPr>
                  <w:tcW w:w="779" w:type="pct"/>
                  <w:vMerge w:val="continue"/>
                  <w:tcBorders>
                    <w:top w:val="nil"/>
                    <w:bottom w:val="nil"/>
                  </w:tcBorders>
                  <w:vAlign w:val="center"/>
                </w:tcPr>
                <w:p w14:paraId="4CA42750">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49" w:type="pct"/>
                  <w:vAlign w:val="center"/>
                </w:tcPr>
                <w:p w14:paraId="7FBC94AC">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0EDD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57" w:type="pct"/>
                  <w:vMerge w:val="continue"/>
                  <w:tcBorders>
                    <w:top w:val="nil"/>
                    <w:bottom w:val="nil"/>
                  </w:tcBorders>
                  <w:vAlign w:val="center"/>
                </w:tcPr>
                <w:p w14:paraId="6C9EA85B">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2" w:type="pct"/>
                  <w:vMerge w:val="continue"/>
                  <w:tcBorders>
                    <w:top w:val="nil"/>
                    <w:bottom w:val="nil"/>
                  </w:tcBorders>
                  <w:vAlign w:val="center"/>
                </w:tcPr>
                <w:p w14:paraId="22B5AC06">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1876" w:type="dxa"/>
                  <w:vAlign w:val="center"/>
                </w:tcPr>
                <w:p w14:paraId="5309ADB1">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下风向2#</w:t>
                  </w:r>
                </w:p>
              </w:tc>
              <w:tc>
                <w:tcPr>
                  <w:tcW w:w="986" w:type="pct"/>
                  <w:vAlign w:val="center"/>
                </w:tcPr>
                <w:p w14:paraId="6FDB6985">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0.667-0.700</w:t>
                  </w:r>
                </w:p>
              </w:tc>
              <w:tc>
                <w:tcPr>
                  <w:tcW w:w="779" w:type="pct"/>
                  <w:vMerge w:val="continue"/>
                  <w:tcBorders>
                    <w:top w:val="nil"/>
                    <w:bottom w:val="nil"/>
                  </w:tcBorders>
                  <w:vAlign w:val="center"/>
                </w:tcPr>
                <w:p w14:paraId="7975896E">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49" w:type="pct"/>
                  <w:vAlign w:val="center"/>
                </w:tcPr>
                <w:p w14:paraId="63829923">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62BEB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57" w:type="pct"/>
                  <w:vMerge w:val="continue"/>
                  <w:tcBorders>
                    <w:top w:val="nil"/>
                  </w:tcBorders>
                  <w:vAlign w:val="center"/>
                </w:tcPr>
                <w:p w14:paraId="00D5B771">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2" w:type="pct"/>
                  <w:vMerge w:val="continue"/>
                  <w:tcBorders>
                    <w:top w:val="nil"/>
                  </w:tcBorders>
                  <w:vAlign w:val="center"/>
                </w:tcPr>
                <w:p w14:paraId="3503CFA6">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1876" w:type="dxa"/>
                  <w:vAlign w:val="center"/>
                </w:tcPr>
                <w:p w14:paraId="1D209D37">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下风向3#</w:t>
                  </w:r>
                </w:p>
              </w:tc>
              <w:tc>
                <w:tcPr>
                  <w:tcW w:w="986" w:type="pct"/>
                  <w:vAlign w:val="center"/>
                </w:tcPr>
                <w:p w14:paraId="2CFD13EE">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0.883-0.917</w:t>
                  </w:r>
                </w:p>
              </w:tc>
              <w:tc>
                <w:tcPr>
                  <w:tcW w:w="779" w:type="pct"/>
                  <w:vMerge w:val="continue"/>
                  <w:tcBorders>
                    <w:top w:val="nil"/>
                  </w:tcBorders>
                  <w:vAlign w:val="center"/>
                </w:tcPr>
                <w:p w14:paraId="575A8440">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949" w:type="pct"/>
                  <w:vAlign w:val="center"/>
                </w:tcPr>
                <w:p w14:paraId="67DD5689">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bl>
          <w:p w14:paraId="6B39A8B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
              </w:rPr>
            </w:pPr>
          </w:p>
          <w:p w14:paraId="703CF339">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 w:val="0"/>
                <w:bCs w:val="0"/>
                <w:color w:val="auto"/>
                <w:kern w:val="2"/>
                <w:sz w:val="24"/>
                <w:szCs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
              </w:rPr>
              <w:t>根据检测结果，现有项目厂界无组织废气颗粒物达到GB16297-1996《大气污染物综合排放标准》表2标准的要求</w:t>
            </w:r>
            <w:r>
              <w:rPr>
                <w:rFonts w:hint="eastAsia" w:ascii="Times New Roman" w:hAnsi="Times New Roman" w:eastAsia="宋体" w:cs="Times New Roman"/>
                <w:b w:val="0"/>
                <w:bCs w:val="0"/>
                <w:color w:val="auto"/>
                <w:kern w:val="2"/>
                <w:sz w:val="24"/>
                <w:szCs w:val="24"/>
                <w:highlight w:val="none"/>
                <w:lang w:val="en-US" w:eastAsia="zh-CN" w:bidi="ar"/>
              </w:rPr>
              <w:t>。</w:t>
            </w:r>
          </w:p>
          <w:p w14:paraId="6E070DD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2、用排</w:t>
            </w:r>
            <w:r>
              <w:rPr>
                <w:rFonts w:hint="default" w:ascii="Times New Roman" w:hAnsi="Times New Roman" w:eastAsia="宋体" w:cs="Times New Roman"/>
                <w:b/>
                <w:bCs/>
                <w:color w:val="auto"/>
                <w:sz w:val="24"/>
                <w:szCs w:val="24"/>
                <w:highlight w:val="none"/>
              </w:rPr>
              <w:t>水</w:t>
            </w:r>
          </w:p>
          <w:p w14:paraId="3D03081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用水</w:t>
            </w:r>
            <w:r>
              <w:rPr>
                <w:rFonts w:hint="default" w:ascii="Times New Roman" w:hAnsi="Times New Roman" w:cs="Times New Roman"/>
                <w:color w:val="auto"/>
                <w:sz w:val="24"/>
                <w:lang w:eastAsia="zh-CN"/>
              </w:rPr>
              <w:t>主要为</w:t>
            </w:r>
            <w:r>
              <w:rPr>
                <w:rFonts w:hint="eastAsia" w:cs="Times New Roman"/>
                <w:color w:val="auto"/>
                <w:sz w:val="24"/>
                <w:lang w:eastAsia="zh-CN"/>
              </w:rPr>
              <w:t>生活污水</w:t>
            </w:r>
            <w:r>
              <w:rPr>
                <w:rFonts w:hint="default" w:ascii="Times New Roman" w:hAnsi="Times New Roman" w:cs="Times New Roman"/>
                <w:color w:val="auto"/>
                <w:sz w:val="24"/>
                <w:lang w:eastAsia="zh-CN"/>
              </w:rPr>
              <w:t>和生产废水：</w:t>
            </w:r>
          </w:p>
          <w:p w14:paraId="0533FB8A">
            <w:pPr>
              <w:autoSpaceDE w:val="0"/>
              <w:autoSpaceDN w:val="0"/>
              <w:spacing w:line="360" w:lineRule="auto"/>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lang w:eastAsia="zh-CN"/>
              </w:rPr>
              <w:t>）生产废水</w:t>
            </w:r>
          </w:p>
          <w:p w14:paraId="5B32D0CE">
            <w:pPr>
              <w:autoSpaceDE w:val="0"/>
              <w:autoSpaceDN w:val="0"/>
              <w:spacing w:line="360" w:lineRule="auto"/>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生产废水主要是</w:t>
            </w:r>
            <w:r>
              <w:rPr>
                <w:rFonts w:hint="default" w:ascii="Times New Roman" w:hAnsi="Times New Roman" w:cs="Times New Roman"/>
                <w:color w:val="auto"/>
                <w:sz w:val="24"/>
                <w:lang w:val="en-US" w:eastAsia="zh-CN"/>
              </w:rPr>
              <w:t>搅拌机清洗用废水，混凝土运输车辆清洗废水，商品混凝土作业区地面冲洗废水，搅拌用水，绿化用水。</w:t>
            </w:r>
          </w:p>
          <w:p w14:paraId="35D1DB72">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eastAsia="zh-CN"/>
              </w:rPr>
              <w:t>①搅拌机清洗废水：</w:t>
            </w:r>
            <w:r>
              <w:rPr>
                <w:rFonts w:hint="eastAsia" w:cs="Times New Roman"/>
                <w:color w:val="auto"/>
                <w:sz w:val="24"/>
                <w:lang w:val="en-US" w:eastAsia="zh-CN"/>
              </w:rPr>
              <w:t>根据建设单位实际运行情况，</w:t>
            </w:r>
            <w:r>
              <w:rPr>
                <w:rFonts w:hint="default" w:ascii="Times New Roman" w:hAnsi="Times New Roman" w:cs="Times New Roman"/>
                <w:color w:val="auto"/>
                <w:sz w:val="24"/>
                <w:lang w:eastAsia="zh-CN"/>
              </w:rPr>
              <w:t>搅拌机平均每</w:t>
            </w:r>
            <w:r>
              <w:rPr>
                <w:rFonts w:hint="default" w:ascii="Times New Roman" w:hAnsi="Times New Roman" w:cs="Times New Roman"/>
                <w:color w:val="auto"/>
                <w:sz w:val="24"/>
                <w:lang w:val="en-US" w:eastAsia="zh-CN"/>
              </w:rPr>
              <w:t>2天冲洗1次，每次冲洗水5.0t计算，产污率以0.8计算，搅拌机冲洗水产生量为2t/d</w:t>
            </w:r>
            <w:r>
              <w:rPr>
                <w:rFonts w:hint="eastAsia" w:cs="Times New Roman"/>
                <w:color w:val="auto"/>
                <w:sz w:val="24"/>
                <w:lang w:val="en-US" w:eastAsia="zh-CN"/>
              </w:rPr>
              <w:t>，</w:t>
            </w:r>
            <w:r>
              <w:rPr>
                <w:rFonts w:hint="default" w:ascii="Times New Roman" w:hAnsi="Times New Roman" w:cs="Times New Roman"/>
                <w:color w:val="auto"/>
                <w:sz w:val="24"/>
                <w:lang w:val="en-US" w:eastAsia="zh-CN"/>
              </w:rPr>
              <w:t>即750t/a。</w:t>
            </w:r>
          </w:p>
          <w:p w14:paraId="50ADB636">
            <w:pPr>
              <w:autoSpaceDE w:val="0"/>
              <w:autoSpaceDN w:val="0"/>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lang w:eastAsia="zh-CN"/>
              </w:rPr>
              <w:t>②运输清洗废水：</w:t>
            </w:r>
            <w:r>
              <w:rPr>
                <w:rFonts w:hint="eastAsia" w:cs="Times New Roman"/>
                <w:color w:val="auto"/>
                <w:sz w:val="24"/>
                <w:lang w:val="en-US" w:eastAsia="zh-CN"/>
              </w:rPr>
              <w:t>根据建设单位实际运行情况，</w:t>
            </w:r>
            <w:r>
              <w:rPr>
                <w:rFonts w:hint="default" w:ascii="Times New Roman" w:hAnsi="Times New Roman" w:cs="Times New Roman"/>
                <w:color w:val="auto"/>
                <w:sz w:val="24"/>
                <w:highlight w:val="none"/>
                <w:lang w:eastAsia="zh-CN"/>
              </w:rPr>
              <w:t>本项目设计规模为</w:t>
            </w:r>
            <w:r>
              <w:rPr>
                <w:rFonts w:hint="default" w:ascii="Times New Roman" w:hAnsi="Times New Roman" w:cs="Times New Roman"/>
                <w:color w:val="auto"/>
                <w:sz w:val="24"/>
                <w:highlight w:val="none"/>
                <w:lang w:val="en-US" w:eastAsia="zh-CN"/>
              </w:rPr>
              <w:t>25万t/a，</w:t>
            </w:r>
            <w:r>
              <w:rPr>
                <w:rFonts w:hint="eastAsia" w:cs="Times New Roman"/>
                <w:color w:val="auto"/>
                <w:sz w:val="24"/>
                <w:highlight w:val="none"/>
                <w:lang w:val="en-US" w:eastAsia="zh-CN"/>
              </w:rPr>
              <w:t>平均</w:t>
            </w:r>
            <w:r>
              <w:rPr>
                <w:rFonts w:hint="default" w:ascii="Times New Roman" w:hAnsi="Times New Roman" w:cs="Times New Roman"/>
                <w:color w:val="auto"/>
                <w:sz w:val="24"/>
                <w:highlight w:val="none"/>
                <w:lang w:val="en-US" w:eastAsia="zh-CN"/>
              </w:rPr>
              <w:t>每天约运输102辆</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次，车辆冲洗水量大致为0.4m³/辆</w:t>
            </w:r>
            <w:r>
              <w:rPr>
                <w:rFonts w:hint="eastAsia" w:ascii="微软雅黑" w:hAnsi="微软雅黑" w:eastAsia="微软雅黑" w:cs="微软雅黑"/>
                <w:color w:val="auto"/>
                <w:sz w:val="24"/>
                <w:highlight w:val="none"/>
                <w:lang w:val="en-US" w:eastAsia="zh-CN"/>
              </w:rPr>
              <w:t>·</w:t>
            </w:r>
            <w:r>
              <w:rPr>
                <w:rFonts w:hint="default" w:ascii="Times New Roman" w:hAnsi="Times New Roman" w:cs="Times New Roman"/>
                <w:color w:val="auto"/>
                <w:sz w:val="24"/>
                <w:highlight w:val="none"/>
                <w:lang w:val="en-US" w:eastAsia="zh-CN"/>
              </w:rPr>
              <w:t>次计算，因此每天的冲洗用水约40.8m³，产污率以0.8计，车辆清洗废水产生量为32.6m³/d，现阶段规模为21.25万t/a，运输清洗废水产生量为27.7m³/d。</w:t>
            </w:r>
          </w:p>
          <w:p w14:paraId="4099C435">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③搅拌作业区地面清洗废水：</w:t>
            </w:r>
            <w:r>
              <w:rPr>
                <w:rFonts w:hint="eastAsia" w:cs="Times New Roman"/>
                <w:color w:val="auto"/>
                <w:sz w:val="24"/>
                <w:lang w:val="en-US" w:eastAsia="zh-CN"/>
              </w:rPr>
              <w:t>根据建设单位实际运行情况，</w:t>
            </w:r>
            <w:r>
              <w:rPr>
                <w:rFonts w:hint="default" w:ascii="Times New Roman" w:hAnsi="Times New Roman" w:cs="Times New Roman"/>
                <w:color w:val="auto"/>
                <w:sz w:val="24"/>
                <w:lang w:val="en-US" w:eastAsia="zh-CN"/>
              </w:rPr>
              <w:t>搅拌作业区约2000</w:t>
            </w:r>
            <w:r>
              <w:rPr>
                <w:rFonts w:hint="eastAsia" w:cs="Times New Roman"/>
                <w:color w:val="auto"/>
                <w:sz w:val="24"/>
                <w:lang w:val="en-US" w:eastAsia="zh-CN"/>
              </w:rPr>
              <w:t>m</w:t>
            </w:r>
            <w:r>
              <w:rPr>
                <w:rFonts w:hint="eastAsia" w:cs="Times New Roman"/>
                <w:color w:val="auto"/>
                <w:sz w:val="24"/>
                <w:vertAlign w:val="superscript"/>
                <w:lang w:val="en-US" w:eastAsia="zh-CN"/>
              </w:rPr>
              <w:t>2</w:t>
            </w:r>
            <w:r>
              <w:rPr>
                <w:rFonts w:hint="eastAsia" w:cs="Times New Roman"/>
                <w:color w:val="auto"/>
                <w:sz w:val="24"/>
                <w:vertAlign w:val="baseline"/>
                <w:lang w:val="en-US" w:eastAsia="zh-CN"/>
              </w:rPr>
              <w:t>，</w:t>
            </w:r>
            <w:r>
              <w:rPr>
                <w:rFonts w:hint="default" w:ascii="Times New Roman" w:hAnsi="Times New Roman" w:cs="Times New Roman"/>
                <w:color w:val="auto"/>
                <w:sz w:val="24"/>
                <w:lang w:val="en-US" w:eastAsia="zh-CN"/>
              </w:rPr>
              <w:t>搅拌作业区地面</w:t>
            </w:r>
            <w:r>
              <w:rPr>
                <w:rFonts w:hint="eastAsia" w:cs="Times New Roman"/>
                <w:color w:val="auto"/>
                <w:sz w:val="24"/>
                <w:vertAlign w:val="baseline"/>
                <w:lang w:val="en-US" w:eastAsia="zh-CN"/>
              </w:rPr>
              <w:t>平均每天冲洗1次，</w:t>
            </w:r>
            <w:r>
              <w:rPr>
                <w:rFonts w:hint="default" w:ascii="Times New Roman" w:hAnsi="Times New Roman" w:cs="Times New Roman"/>
                <w:color w:val="auto"/>
                <w:sz w:val="24"/>
                <w:lang w:val="en-US" w:eastAsia="zh-CN"/>
              </w:rPr>
              <w:t>废水产生量为16m³/d</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4800</w:t>
            </w:r>
            <w:r>
              <w:rPr>
                <w:rFonts w:hint="default" w:ascii="Times New Roman" w:hAnsi="Times New Roman" w:cs="Times New Roman"/>
                <w:color w:val="auto"/>
                <w:sz w:val="24"/>
                <w:lang w:val="en-US" w:eastAsia="zh-CN"/>
              </w:rPr>
              <w:t>m³/</w:t>
            </w:r>
            <w:r>
              <w:rPr>
                <w:rFonts w:hint="eastAsia" w:ascii="Times New Roman" w:hAnsi="Times New Roman" w:cs="Times New Roman"/>
                <w:color w:val="auto"/>
                <w:sz w:val="24"/>
                <w:lang w:val="en-US" w:eastAsia="zh-CN"/>
              </w:rPr>
              <w:t>a</w:t>
            </w:r>
            <w:r>
              <w:rPr>
                <w:rFonts w:hint="default" w:ascii="Times New Roman" w:hAnsi="Times New Roman" w:cs="Times New Roman"/>
                <w:color w:val="auto"/>
                <w:sz w:val="24"/>
                <w:lang w:val="en-US" w:eastAsia="zh-CN"/>
              </w:rPr>
              <w:t>。</w:t>
            </w:r>
          </w:p>
          <w:p w14:paraId="05ECEBC2">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④搅拌用水：</w:t>
            </w:r>
            <w:r>
              <w:rPr>
                <w:rFonts w:hint="eastAsia" w:cs="Times New Roman"/>
                <w:color w:val="auto"/>
                <w:sz w:val="24"/>
                <w:lang w:val="en-US" w:eastAsia="zh-CN"/>
              </w:rPr>
              <w:t>根据建设单位实际运行情况，</w:t>
            </w:r>
            <w:r>
              <w:rPr>
                <w:rFonts w:hint="default" w:ascii="Times New Roman" w:hAnsi="Times New Roman" w:cs="Times New Roman"/>
                <w:color w:val="auto"/>
                <w:sz w:val="24"/>
                <w:lang w:val="en-US" w:eastAsia="zh-CN"/>
              </w:rPr>
              <w:t>搅拌用水约333.3t/d，</w:t>
            </w:r>
            <w:r>
              <w:rPr>
                <w:rFonts w:hint="default" w:ascii="Times New Roman" w:hAnsi="Times New Roman" w:cs="Times New Roman"/>
                <w:color w:val="auto"/>
                <w:sz w:val="24"/>
                <w:lang w:eastAsia="zh-CN"/>
              </w:rPr>
              <w:t>项目搅拌用水为消耗性用水，无废水产生。</w:t>
            </w:r>
          </w:p>
          <w:p w14:paraId="410F3C16">
            <w:pPr>
              <w:autoSpaceDE w:val="0"/>
              <w:autoSpaceDN w:val="0"/>
              <w:spacing w:line="360" w:lineRule="auto"/>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val="en-US" w:eastAsia="zh-CN"/>
              </w:rPr>
              <w:t>⑤绿化用水：项目绿化面积约2000㎡，根据建设单位实际运行情况，</w:t>
            </w:r>
            <w:r>
              <w:rPr>
                <w:rFonts w:hint="default" w:ascii="Times New Roman" w:hAnsi="Times New Roman" w:cs="Times New Roman"/>
                <w:color w:val="auto"/>
                <w:sz w:val="24"/>
                <w:lang w:eastAsia="zh-CN"/>
              </w:rPr>
              <w:t>项目绿化用水量</w:t>
            </w:r>
            <w:r>
              <w:rPr>
                <w:rFonts w:hint="eastAsia" w:cs="Times New Roman"/>
                <w:color w:val="auto"/>
                <w:sz w:val="24"/>
                <w:lang w:val="en-US" w:eastAsia="zh-CN"/>
              </w:rPr>
              <w:t>约</w:t>
            </w:r>
            <w:r>
              <w:rPr>
                <w:rFonts w:hint="default" w:ascii="Times New Roman" w:hAnsi="Times New Roman" w:cs="Times New Roman"/>
                <w:color w:val="auto"/>
                <w:sz w:val="24"/>
                <w:lang w:eastAsia="zh-CN"/>
              </w:rPr>
              <w:t>为</w:t>
            </w:r>
            <w:r>
              <w:rPr>
                <w:rFonts w:hint="default" w:ascii="Times New Roman" w:hAnsi="Times New Roman" w:cs="Times New Roman"/>
                <w:color w:val="auto"/>
                <w:sz w:val="24"/>
                <w:lang w:val="en-US" w:eastAsia="zh-CN"/>
              </w:rPr>
              <w:t>5m³</w:t>
            </w:r>
            <w:r>
              <w:rPr>
                <w:rFonts w:hint="default" w:ascii="Times New Roman" w:hAnsi="Times New Roman" w:cs="Times New Roman"/>
                <w:color w:val="auto"/>
                <w:sz w:val="24"/>
                <w:lang w:eastAsia="zh-CN"/>
              </w:rPr>
              <w:t>/d，项目绿化用水为消耗性用水，无废水产生。</w:t>
            </w:r>
          </w:p>
          <w:p w14:paraId="14416BC4">
            <w:pPr>
              <w:autoSpaceDE w:val="0"/>
              <w:autoSpaceDN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lang w:val="en-US" w:eastAsia="zh-CN"/>
              </w:rPr>
              <w:t>根据</w:t>
            </w:r>
            <w:r>
              <w:rPr>
                <w:rFonts w:hint="eastAsia" w:cs="Times New Roman"/>
                <w:color w:val="auto"/>
                <w:sz w:val="24"/>
                <w:lang w:val="en-US" w:eastAsia="zh-CN"/>
              </w:rPr>
              <w:t>统计，</w:t>
            </w:r>
            <w:r>
              <w:rPr>
                <w:rFonts w:hint="default" w:ascii="Times New Roman" w:hAnsi="Times New Roman" w:cs="Times New Roman"/>
                <w:color w:val="auto"/>
                <w:sz w:val="24"/>
                <w:lang w:val="en-US" w:eastAsia="zh-CN"/>
              </w:rPr>
              <w:t>项目生产清洗废水排放量共计50.6m³/d，</w:t>
            </w:r>
            <w:r>
              <w:rPr>
                <w:rFonts w:hint="eastAsia" w:ascii="Times New Roman" w:hAnsi="Times New Roman" w:cs="Times New Roman"/>
                <w:color w:val="auto"/>
                <w:sz w:val="24"/>
                <w:lang w:val="en-US" w:eastAsia="zh-CN"/>
              </w:rPr>
              <w:t>15180</w:t>
            </w:r>
            <w:r>
              <w:rPr>
                <w:rFonts w:hint="default" w:ascii="Times New Roman" w:hAnsi="Times New Roman" w:cs="Times New Roman"/>
                <w:color w:val="auto"/>
                <w:sz w:val="24"/>
                <w:lang w:val="en-US" w:eastAsia="zh-CN"/>
              </w:rPr>
              <w:t>m³/</w:t>
            </w:r>
            <w:r>
              <w:rPr>
                <w:rFonts w:hint="eastAsia" w:ascii="Times New Roman" w:hAnsi="Times New Roman" w:cs="Times New Roman"/>
                <w:color w:val="auto"/>
                <w:sz w:val="24"/>
                <w:lang w:val="en-US" w:eastAsia="zh-CN"/>
              </w:rPr>
              <w:t>a，</w:t>
            </w:r>
            <w:r>
              <w:rPr>
                <w:rFonts w:hint="default" w:ascii="Times New Roman" w:hAnsi="Times New Roman" w:cs="Times New Roman"/>
                <w:color w:val="auto"/>
                <w:sz w:val="24"/>
                <w:lang w:val="en-US" w:eastAsia="zh-CN"/>
              </w:rPr>
              <w:t>经过</w:t>
            </w:r>
            <w:r>
              <w:rPr>
                <w:rFonts w:hint="default" w:ascii="Times New Roman" w:hAnsi="Times New Roman" w:cs="Times New Roman"/>
                <w:color w:val="auto"/>
                <w:sz w:val="24"/>
                <w:highlight w:val="none"/>
                <w:lang w:val="en-US" w:eastAsia="zh-CN"/>
              </w:rPr>
              <w:t>地势北高南低</w:t>
            </w:r>
            <w:r>
              <w:rPr>
                <w:rFonts w:hint="default" w:ascii="Times New Roman" w:hAnsi="Times New Roman" w:cs="Times New Roman"/>
                <w:color w:val="auto"/>
                <w:sz w:val="24"/>
                <w:lang w:val="en-US" w:eastAsia="zh-CN"/>
              </w:rPr>
              <w:t>进入沉淀池沉淀处理后，用于搅拌用水。</w:t>
            </w:r>
          </w:p>
          <w:p w14:paraId="480F0B0C">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w:t>
            </w:r>
            <w:r>
              <w:rPr>
                <w:rFonts w:hint="eastAsia" w:cs="Times New Roman"/>
                <w:color w:val="auto"/>
                <w:sz w:val="24"/>
                <w:lang w:val="en-US" w:eastAsia="zh-CN"/>
              </w:rPr>
              <w:t>生活污水</w:t>
            </w:r>
          </w:p>
          <w:p w14:paraId="291732F2">
            <w:pPr>
              <w:autoSpaceDE w:val="0"/>
              <w:autoSpaceDN w:val="0"/>
              <w:spacing w:line="360" w:lineRule="auto"/>
              <w:ind w:firstLine="480" w:firstLineChars="200"/>
              <w:rPr>
                <w:rFonts w:hint="default" w:ascii="Times New Roman" w:hAnsi="Times New Roman" w:cs="Times New Roman"/>
                <w:color w:val="auto"/>
                <w:sz w:val="24"/>
                <w:lang w:val="en-US" w:eastAsia="zh-CN"/>
              </w:rPr>
            </w:pPr>
            <w:r>
              <w:rPr>
                <w:rFonts w:hint="eastAsia" w:cs="Times New Roman"/>
                <w:color w:val="auto"/>
                <w:sz w:val="24"/>
                <w:lang w:val="en-US" w:eastAsia="zh-CN"/>
              </w:rPr>
              <w:t>根据建设单位实际运行情况，原项目生活用水量约为2.25</w:t>
            </w:r>
            <w:r>
              <w:rPr>
                <w:rFonts w:hint="default" w:ascii="Times New Roman" w:hAnsi="Times New Roman" w:cs="Times New Roman"/>
                <w:color w:val="auto"/>
                <w:sz w:val="24"/>
                <w:lang w:val="en-US" w:eastAsia="zh-CN"/>
              </w:rPr>
              <w:t>m³/d</w:t>
            </w:r>
            <w:r>
              <w:rPr>
                <w:rFonts w:hint="eastAsia" w:ascii="Times New Roman" w:hAnsi="Times New Roman" w:cs="Times New Roman"/>
                <w:color w:val="auto"/>
                <w:sz w:val="24"/>
                <w:lang w:val="en-US" w:eastAsia="zh-CN"/>
              </w:rPr>
              <w:t>，675</w:t>
            </w:r>
            <w:r>
              <w:rPr>
                <w:rFonts w:hint="default" w:ascii="Times New Roman" w:hAnsi="Times New Roman" w:cs="Times New Roman"/>
                <w:color w:val="auto"/>
                <w:sz w:val="24"/>
                <w:lang w:val="en-US" w:eastAsia="zh-CN"/>
              </w:rPr>
              <w:t>m³/</w:t>
            </w:r>
            <w:r>
              <w:rPr>
                <w:rFonts w:hint="eastAsia" w:ascii="Times New Roman" w:hAnsi="Times New Roman" w:cs="Times New Roman"/>
                <w:color w:val="auto"/>
                <w:sz w:val="24"/>
                <w:lang w:val="en-US" w:eastAsia="zh-CN"/>
              </w:rPr>
              <w:t>a，</w:t>
            </w:r>
            <w:r>
              <w:rPr>
                <w:rFonts w:hint="default" w:ascii="Times New Roman" w:hAnsi="Times New Roman" w:cs="Times New Roman"/>
                <w:color w:val="auto"/>
                <w:sz w:val="24"/>
                <w:lang w:val="en-US" w:eastAsia="zh-CN"/>
              </w:rPr>
              <w:t>产污率以0.8计，项目</w:t>
            </w:r>
            <w:r>
              <w:rPr>
                <w:rFonts w:hint="eastAsia" w:cs="Times New Roman"/>
                <w:color w:val="auto"/>
                <w:sz w:val="24"/>
                <w:lang w:val="en-US" w:eastAsia="zh-CN"/>
              </w:rPr>
              <w:t>生活污水</w:t>
            </w:r>
            <w:r>
              <w:rPr>
                <w:rFonts w:hint="default" w:ascii="Times New Roman" w:hAnsi="Times New Roman" w:cs="Times New Roman"/>
                <w:color w:val="auto"/>
                <w:sz w:val="24"/>
                <w:lang w:val="en-US" w:eastAsia="zh-CN"/>
              </w:rPr>
              <w:t>排放量共计1.8m³/d，即540m³/a。其中餐饮废水先经隔油池处理，</w:t>
            </w:r>
            <w:r>
              <w:rPr>
                <w:rFonts w:hint="eastAsia" w:cs="Times New Roman"/>
                <w:color w:val="auto"/>
                <w:sz w:val="24"/>
                <w:lang w:val="en-US" w:eastAsia="zh-CN"/>
              </w:rPr>
              <w:t>处理后与其他生活污水排入化粪池处理后用于农田堆肥</w:t>
            </w:r>
            <w:r>
              <w:rPr>
                <w:rFonts w:hint="default" w:ascii="Times New Roman" w:hAnsi="Times New Roman" w:cs="Times New Roman"/>
                <w:color w:val="auto"/>
                <w:sz w:val="24"/>
                <w:lang w:val="en-US" w:eastAsia="zh-CN"/>
              </w:rPr>
              <w:t>。</w:t>
            </w:r>
          </w:p>
          <w:p w14:paraId="2C8B8B40">
            <w:pPr>
              <w:pStyle w:val="14"/>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3、噪声</w:t>
            </w:r>
          </w:p>
          <w:p w14:paraId="1AC41BE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原项目噪声主要</w:t>
            </w:r>
            <w:r>
              <w:rPr>
                <w:rFonts w:hint="default" w:ascii="Times New Roman" w:hAnsi="Times New Roman" w:cs="Times New Roman"/>
                <w:color w:val="auto"/>
                <w:kern w:val="2"/>
                <w:sz w:val="24"/>
                <w:szCs w:val="24"/>
                <w:highlight w:val="none"/>
                <w:lang w:val="en-US" w:eastAsia="zh-CN" w:bidi="ar-SA"/>
              </w:rPr>
              <w:t>来自搅拌</w:t>
            </w:r>
            <w:r>
              <w:rPr>
                <w:rFonts w:hint="default" w:ascii="Times New Roman" w:hAnsi="Times New Roman" w:eastAsia="宋体" w:cs="Times New Roman"/>
                <w:color w:val="auto"/>
                <w:kern w:val="2"/>
                <w:sz w:val="24"/>
                <w:szCs w:val="24"/>
                <w:highlight w:val="none"/>
                <w:lang w:val="en-US" w:eastAsia="zh-CN" w:bidi="ar-SA"/>
              </w:rPr>
              <w:t>机、</w:t>
            </w:r>
            <w:r>
              <w:rPr>
                <w:rFonts w:hint="default" w:ascii="Times New Roman" w:hAnsi="Times New Roman" w:cs="Times New Roman"/>
                <w:color w:val="auto"/>
                <w:kern w:val="2"/>
                <w:sz w:val="24"/>
                <w:szCs w:val="24"/>
                <w:highlight w:val="none"/>
                <w:lang w:val="en-US" w:eastAsia="zh-CN" w:bidi="ar-SA"/>
              </w:rPr>
              <w:t>破碎机、装载</w:t>
            </w:r>
            <w:r>
              <w:rPr>
                <w:rFonts w:hint="default" w:ascii="Times New Roman" w:hAnsi="Times New Roman" w:eastAsia="宋体" w:cs="Times New Roman"/>
                <w:color w:val="auto"/>
                <w:kern w:val="2"/>
                <w:sz w:val="24"/>
                <w:szCs w:val="24"/>
                <w:highlight w:val="none"/>
                <w:lang w:val="en-US" w:eastAsia="zh-CN" w:bidi="ar-SA"/>
              </w:rPr>
              <w:t>机等生产设备，通过采用低噪声优质生产设备，并将产噪设备设置基础减震和安装于半封闭式生产车间内等措施进行隔音，噪声通过厂房隔声、距离衰减等措施进行防治。现有项目噪声排放监测结果如下：</w:t>
            </w:r>
          </w:p>
          <w:p w14:paraId="04457F1E">
            <w:pPr>
              <w:widowControl w:val="0"/>
              <w:spacing w:after="0"/>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表2-</w:t>
            </w:r>
            <w:r>
              <w:rPr>
                <w:rFonts w:hint="eastAsia" w:ascii="Times New Roman" w:hAnsi="Times New Roman" w:eastAsia="黑体" w:cs="Times New Roman"/>
                <w:color w:val="auto"/>
                <w:kern w:val="2"/>
                <w:sz w:val="21"/>
                <w:szCs w:val="21"/>
                <w:highlight w:val="none"/>
                <w:lang w:val="en-US" w:eastAsia="zh-CN" w:bidi="ar-SA"/>
              </w:rPr>
              <w:t>1</w:t>
            </w:r>
            <w:r>
              <w:rPr>
                <w:rFonts w:hint="eastAsia" w:eastAsia="黑体" w:cs="Times New Roman"/>
                <w:color w:val="auto"/>
                <w:kern w:val="2"/>
                <w:sz w:val="21"/>
                <w:szCs w:val="21"/>
                <w:highlight w:val="none"/>
                <w:lang w:val="en-US" w:eastAsia="zh-CN" w:bidi="ar-SA"/>
              </w:rPr>
              <w:t>6</w:t>
            </w:r>
            <w:r>
              <w:rPr>
                <w:rFonts w:hint="default" w:ascii="Times New Roman" w:hAnsi="Times New Roman" w:eastAsia="黑体" w:cs="Times New Roman"/>
                <w:color w:val="auto"/>
                <w:kern w:val="2"/>
                <w:sz w:val="21"/>
                <w:szCs w:val="21"/>
                <w:highlight w:val="none"/>
                <w:lang w:val="en-US" w:eastAsia="zh-CN" w:bidi="ar-SA"/>
              </w:rPr>
              <w:t xml:space="preserve">   现有项目厂界噪声</w:t>
            </w:r>
            <w:r>
              <w:rPr>
                <w:rFonts w:hint="eastAsia" w:eastAsia="黑体" w:cs="Times New Roman"/>
                <w:color w:val="auto"/>
                <w:kern w:val="2"/>
                <w:sz w:val="21"/>
                <w:szCs w:val="21"/>
                <w:highlight w:val="none"/>
                <w:lang w:val="en-US" w:eastAsia="zh-CN" w:bidi="ar-SA"/>
              </w:rPr>
              <w:t>监测</w:t>
            </w:r>
            <w:r>
              <w:rPr>
                <w:rFonts w:hint="default" w:ascii="Times New Roman" w:hAnsi="Times New Roman" w:eastAsia="黑体" w:cs="Times New Roman"/>
                <w:color w:val="auto"/>
                <w:kern w:val="2"/>
                <w:sz w:val="21"/>
                <w:szCs w:val="21"/>
                <w:highlight w:val="none"/>
                <w:lang w:val="en-US" w:eastAsia="zh-CN" w:bidi="ar-SA"/>
              </w:rPr>
              <w:t>结果与评价  单位：dB（A）</w:t>
            </w:r>
          </w:p>
          <w:tbl>
            <w:tblPr>
              <w:tblStyle w:val="3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56"/>
              <w:gridCol w:w="1029"/>
              <w:gridCol w:w="1301"/>
              <w:gridCol w:w="1301"/>
              <w:gridCol w:w="1063"/>
              <w:gridCol w:w="1128"/>
              <w:gridCol w:w="1128"/>
              <w:gridCol w:w="1130"/>
            </w:tblGrid>
            <w:tr w14:paraId="69099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92" w:type="pct"/>
                  <w:vMerge w:val="restart"/>
                  <w:tcBorders>
                    <w:bottom w:val="nil"/>
                  </w:tcBorders>
                  <w:vAlign w:val="center"/>
                </w:tcPr>
                <w:p w14:paraId="2C4689F5">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检测时间</w:t>
                  </w:r>
                </w:p>
              </w:tc>
              <w:tc>
                <w:tcPr>
                  <w:tcW w:w="523" w:type="pct"/>
                  <w:vMerge w:val="restart"/>
                  <w:tcBorders>
                    <w:bottom w:val="nil"/>
                  </w:tcBorders>
                  <w:vAlign w:val="center"/>
                </w:tcPr>
                <w:p w14:paraId="0504D6F9">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点位名称</w:t>
                  </w:r>
                </w:p>
              </w:tc>
              <w:tc>
                <w:tcPr>
                  <w:tcW w:w="661" w:type="pct"/>
                  <w:vMerge w:val="restart"/>
                  <w:tcBorders>
                    <w:bottom w:val="nil"/>
                  </w:tcBorders>
                  <w:vAlign w:val="center"/>
                </w:tcPr>
                <w:p w14:paraId="53FDDDC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昼间</w:t>
                  </w:r>
                </w:p>
                <w:p w14:paraId="137CCA6C">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Leq[dB(A)]</w:t>
                  </w:r>
                </w:p>
              </w:tc>
              <w:tc>
                <w:tcPr>
                  <w:tcW w:w="661" w:type="pct"/>
                  <w:vMerge w:val="restart"/>
                  <w:tcBorders>
                    <w:bottom w:val="nil"/>
                  </w:tcBorders>
                  <w:vAlign w:val="center"/>
                </w:tcPr>
                <w:p w14:paraId="62A7A5BB">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夜间</w:t>
                  </w:r>
                </w:p>
                <w:p w14:paraId="0D5142EF">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Leq[dB(A)]</w:t>
                  </w:r>
                </w:p>
              </w:tc>
              <w:tc>
                <w:tcPr>
                  <w:tcW w:w="540" w:type="pct"/>
                  <w:vMerge w:val="restart"/>
                  <w:tcBorders>
                    <w:bottom w:val="nil"/>
                  </w:tcBorders>
                  <w:vAlign w:val="center"/>
                </w:tcPr>
                <w:p w14:paraId="04068E9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主要声源</w:t>
                  </w:r>
                </w:p>
              </w:tc>
              <w:tc>
                <w:tcPr>
                  <w:tcW w:w="1146" w:type="pct"/>
                  <w:gridSpan w:val="2"/>
                  <w:vAlign w:val="center"/>
                </w:tcPr>
                <w:p w14:paraId="4308E4E9">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标准/Leq[dB(A)]</w:t>
                  </w:r>
                </w:p>
              </w:tc>
              <w:tc>
                <w:tcPr>
                  <w:tcW w:w="574" w:type="pct"/>
                  <w:vMerge w:val="restart"/>
                  <w:tcBorders>
                    <w:bottom w:val="nil"/>
                  </w:tcBorders>
                  <w:vAlign w:val="center"/>
                </w:tcPr>
                <w:p w14:paraId="737E3722">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达标情况</w:t>
                  </w:r>
                </w:p>
              </w:tc>
            </w:tr>
            <w:tr w14:paraId="01DA3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2" w:type="pct"/>
                  <w:vMerge w:val="continue"/>
                  <w:tcBorders>
                    <w:top w:val="nil"/>
                  </w:tcBorders>
                  <w:vAlign w:val="center"/>
                </w:tcPr>
                <w:p w14:paraId="00A2EFD1">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Merge w:val="continue"/>
                  <w:tcBorders>
                    <w:top w:val="nil"/>
                  </w:tcBorders>
                  <w:vAlign w:val="center"/>
                </w:tcPr>
                <w:p w14:paraId="0F7B2950">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661" w:type="pct"/>
                  <w:vMerge w:val="continue"/>
                  <w:tcBorders>
                    <w:top w:val="nil"/>
                  </w:tcBorders>
                  <w:vAlign w:val="center"/>
                </w:tcPr>
                <w:p w14:paraId="4632E877">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661" w:type="pct"/>
                  <w:vMerge w:val="continue"/>
                  <w:tcBorders>
                    <w:top w:val="nil"/>
                  </w:tcBorders>
                  <w:vAlign w:val="center"/>
                </w:tcPr>
                <w:p w14:paraId="67DFE225">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40" w:type="pct"/>
                  <w:vMerge w:val="continue"/>
                  <w:tcBorders>
                    <w:top w:val="nil"/>
                  </w:tcBorders>
                  <w:vAlign w:val="center"/>
                </w:tcPr>
                <w:p w14:paraId="2589843C">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Align w:val="center"/>
                </w:tcPr>
                <w:p w14:paraId="7C5C8065">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昼间</w:t>
                  </w:r>
                </w:p>
              </w:tc>
              <w:tc>
                <w:tcPr>
                  <w:tcW w:w="573" w:type="pct"/>
                  <w:vAlign w:val="center"/>
                </w:tcPr>
                <w:p w14:paraId="0B3D0D5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夜间</w:t>
                  </w:r>
                </w:p>
              </w:tc>
              <w:tc>
                <w:tcPr>
                  <w:tcW w:w="574" w:type="pct"/>
                  <w:vMerge w:val="continue"/>
                  <w:tcBorders>
                    <w:top w:val="nil"/>
                  </w:tcBorders>
                  <w:vAlign w:val="center"/>
                </w:tcPr>
                <w:p w14:paraId="7C277FE8">
                  <w:pPr>
                    <w:ind w:left="0" w:leftChars="0" w:right="0" w:rightChars="0" w:firstLine="0" w:firstLineChars="0"/>
                    <w:jc w:val="center"/>
                    <w:rPr>
                      <w:rFonts w:hint="eastAsia" w:ascii="Times New Roman" w:hAnsi="Times New Roman" w:eastAsia="宋体" w:cs="Times New Roman"/>
                      <w:color w:val="auto"/>
                      <w:szCs w:val="21"/>
                      <w:lang w:val="en-US" w:eastAsia="zh-CN"/>
                    </w:rPr>
                  </w:pPr>
                </w:p>
              </w:tc>
            </w:tr>
            <w:tr w14:paraId="1C33B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97" w:type="dxa"/>
                  <w:vMerge w:val="restart"/>
                  <w:tcBorders>
                    <w:bottom w:val="nil"/>
                  </w:tcBorders>
                  <w:vAlign w:val="center"/>
                </w:tcPr>
                <w:p w14:paraId="54CC7BBD">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2019/12/25</w:t>
                  </w:r>
                </w:p>
              </w:tc>
              <w:tc>
                <w:tcPr>
                  <w:tcW w:w="523" w:type="pct"/>
                  <w:vAlign w:val="center"/>
                </w:tcPr>
                <w:p w14:paraId="6B5A74C0">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厂界东</w:t>
                  </w:r>
                </w:p>
              </w:tc>
              <w:tc>
                <w:tcPr>
                  <w:tcW w:w="661" w:type="pct"/>
                  <w:vAlign w:val="center"/>
                </w:tcPr>
                <w:p w14:paraId="48DBF9BB">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heme="minorEastAsia" w:hAnsiTheme="minorEastAsia" w:eastAsiaTheme="minorEastAsia" w:cstheme="minorEastAsia"/>
                      <w:color w:val="auto"/>
                      <w:sz w:val="21"/>
                      <w:szCs w:val="21"/>
                      <w:lang w:val="en-US" w:eastAsia="zh-CN"/>
                    </w:rPr>
                    <w:t>55</w:t>
                  </w:r>
                </w:p>
              </w:tc>
              <w:tc>
                <w:tcPr>
                  <w:tcW w:w="661" w:type="pct"/>
                  <w:vAlign w:val="center"/>
                </w:tcPr>
                <w:p w14:paraId="72D7CB7B">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47</w:t>
                  </w:r>
                </w:p>
              </w:tc>
              <w:tc>
                <w:tcPr>
                  <w:tcW w:w="540" w:type="pct"/>
                  <w:vMerge w:val="restart"/>
                  <w:tcBorders>
                    <w:bottom w:val="nil"/>
                  </w:tcBorders>
                  <w:vAlign w:val="center"/>
                </w:tcPr>
                <w:p w14:paraId="0C62C23F">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生产设备、环境</w:t>
                  </w:r>
                </w:p>
              </w:tc>
              <w:tc>
                <w:tcPr>
                  <w:tcW w:w="573" w:type="pct"/>
                  <w:vMerge w:val="restart"/>
                  <w:tcBorders>
                    <w:bottom w:val="nil"/>
                  </w:tcBorders>
                  <w:vAlign w:val="center"/>
                </w:tcPr>
                <w:p w14:paraId="14AD94FB">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w:t>
                  </w:r>
                </w:p>
              </w:tc>
              <w:tc>
                <w:tcPr>
                  <w:tcW w:w="573" w:type="pct"/>
                  <w:vMerge w:val="restart"/>
                  <w:tcBorders>
                    <w:bottom w:val="nil"/>
                  </w:tcBorders>
                  <w:vAlign w:val="center"/>
                </w:tcPr>
                <w:p w14:paraId="51475C39">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p>
              </w:tc>
              <w:tc>
                <w:tcPr>
                  <w:tcW w:w="574" w:type="pct"/>
                  <w:vAlign w:val="center"/>
                </w:tcPr>
                <w:p w14:paraId="0A6DAA52">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63F4F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92" w:type="pct"/>
                  <w:vMerge w:val="continue"/>
                  <w:tcBorders>
                    <w:top w:val="nil"/>
                    <w:bottom w:val="nil"/>
                  </w:tcBorders>
                  <w:vAlign w:val="center"/>
                </w:tcPr>
                <w:p w14:paraId="1786A4DE">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Align w:val="center"/>
                </w:tcPr>
                <w:p w14:paraId="02BA8145">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厂界南</w:t>
                  </w:r>
                </w:p>
              </w:tc>
              <w:tc>
                <w:tcPr>
                  <w:tcW w:w="661" w:type="pct"/>
                  <w:vAlign w:val="center"/>
                </w:tcPr>
                <w:p w14:paraId="7005BAF5">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w:t>
                  </w:r>
                </w:p>
              </w:tc>
              <w:tc>
                <w:tcPr>
                  <w:tcW w:w="661" w:type="pct"/>
                  <w:vAlign w:val="center"/>
                </w:tcPr>
                <w:p w14:paraId="4D5322D7">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44</w:t>
                  </w:r>
                </w:p>
              </w:tc>
              <w:tc>
                <w:tcPr>
                  <w:tcW w:w="540" w:type="pct"/>
                  <w:vMerge w:val="continue"/>
                  <w:tcBorders>
                    <w:top w:val="nil"/>
                    <w:bottom w:val="nil"/>
                  </w:tcBorders>
                  <w:vAlign w:val="center"/>
                </w:tcPr>
                <w:p w14:paraId="1D56EF96">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15AD96EC">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0CB775EC">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4A90F26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0C5A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2" w:type="pct"/>
                  <w:vMerge w:val="continue"/>
                  <w:tcBorders>
                    <w:top w:val="nil"/>
                    <w:bottom w:val="nil"/>
                  </w:tcBorders>
                  <w:vAlign w:val="center"/>
                </w:tcPr>
                <w:p w14:paraId="4CE5A8AD">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Align w:val="center"/>
                </w:tcPr>
                <w:p w14:paraId="7106FA4E">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厂界西</w:t>
                  </w:r>
                </w:p>
              </w:tc>
              <w:tc>
                <w:tcPr>
                  <w:tcW w:w="661" w:type="pct"/>
                  <w:vAlign w:val="center"/>
                </w:tcPr>
                <w:p w14:paraId="09078A17">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57</w:t>
                  </w:r>
                </w:p>
              </w:tc>
              <w:tc>
                <w:tcPr>
                  <w:tcW w:w="661" w:type="pct"/>
                  <w:vAlign w:val="center"/>
                </w:tcPr>
                <w:p w14:paraId="7A2CBF51">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w:t>
                  </w:r>
                </w:p>
              </w:tc>
              <w:tc>
                <w:tcPr>
                  <w:tcW w:w="540" w:type="pct"/>
                  <w:vMerge w:val="continue"/>
                  <w:tcBorders>
                    <w:top w:val="nil"/>
                    <w:bottom w:val="nil"/>
                  </w:tcBorders>
                  <w:vAlign w:val="center"/>
                </w:tcPr>
                <w:p w14:paraId="193521D3">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2AD9F8F1">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086770AC">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03622EB3">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3449A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92" w:type="pct"/>
                  <w:vMerge w:val="continue"/>
                  <w:tcBorders>
                    <w:top w:val="nil"/>
                  </w:tcBorders>
                  <w:vAlign w:val="center"/>
                </w:tcPr>
                <w:p w14:paraId="0A78C6FD">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Align w:val="center"/>
                </w:tcPr>
                <w:p w14:paraId="20E256C1">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厂界北</w:t>
                  </w:r>
                </w:p>
              </w:tc>
              <w:tc>
                <w:tcPr>
                  <w:tcW w:w="661" w:type="pct"/>
                  <w:vAlign w:val="center"/>
                </w:tcPr>
                <w:p w14:paraId="72B23F01">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w:t>
                  </w:r>
                </w:p>
              </w:tc>
              <w:tc>
                <w:tcPr>
                  <w:tcW w:w="661" w:type="pct"/>
                  <w:vAlign w:val="center"/>
                </w:tcPr>
                <w:p w14:paraId="5E355A69">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43</w:t>
                  </w:r>
                </w:p>
              </w:tc>
              <w:tc>
                <w:tcPr>
                  <w:tcW w:w="540" w:type="pct"/>
                  <w:vMerge w:val="continue"/>
                  <w:tcBorders>
                    <w:top w:val="nil"/>
                    <w:bottom w:val="nil"/>
                  </w:tcBorders>
                  <w:vAlign w:val="center"/>
                </w:tcPr>
                <w:p w14:paraId="141466FC">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5B986D7F">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4EC8C5ED">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1D35D01C">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1FDD7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97" w:type="dxa"/>
                  <w:vMerge w:val="restart"/>
                  <w:tcBorders>
                    <w:bottom w:val="nil"/>
                  </w:tcBorders>
                  <w:vAlign w:val="center"/>
                </w:tcPr>
                <w:p w14:paraId="224E3DF5">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2019/12/26</w:t>
                  </w:r>
                </w:p>
              </w:tc>
              <w:tc>
                <w:tcPr>
                  <w:tcW w:w="523" w:type="pct"/>
                  <w:vAlign w:val="center"/>
                </w:tcPr>
                <w:p w14:paraId="4295A21D">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厂界东</w:t>
                  </w:r>
                </w:p>
              </w:tc>
              <w:tc>
                <w:tcPr>
                  <w:tcW w:w="661" w:type="pct"/>
                  <w:vAlign w:val="center"/>
                </w:tcPr>
                <w:p w14:paraId="4ACA1302">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w:t>
                  </w:r>
                </w:p>
              </w:tc>
              <w:tc>
                <w:tcPr>
                  <w:tcW w:w="661" w:type="pct"/>
                  <w:vAlign w:val="center"/>
                </w:tcPr>
                <w:p w14:paraId="2321DE69">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w:t>
                  </w:r>
                </w:p>
              </w:tc>
              <w:tc>
                <w:tcPr>
                  <w:tcW w:w="540" w:type="pct"/>
                  <w:vMerge w:val="continue"/>
                  <w:tcBorders>
                    <w:top w:val="nil"/>
                    <w:bottom w:val="nil"/>
                  </w:tcBorders>
                  <w:vAlign w:val="center"/>
                </w:tcPr>
                <w:p w14:paraId="417B7345">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3E87C93B">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194A8131">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11F8C069">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3B7F5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2" w:type="pct"/>
                  <w:vMerge w:val="continue"/>
                  <w:tcBorders>
                    <w:top w:val="nil"/>
                    <w:bottom w:val="nil"/>
                  </w:tcBorders>
                  <w:vAlign w:val="center"/>
                </w:tcPr>
                <w:p w14:paraId="54E7558A">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Align w:val="center"/>
                </w:tcPr>
                <w:p w14:paraId="336D18B2">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厂界南</w:t>
                  </w:r>
                </w:p>
              </w:tc>
              <w:tc>
                <w:tcPr>
                  <w:tcW w:w="1301" w:type="dxa"/>
                  <w:vAlign w:val="center"/>
                </w:tcPr>
                <w:p w14:paraId="0D2C5728">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w:t>
                  </w:r>
                </w:p>
              </w:tc>
              <w:tc>
                <w:tcPr>
                  <w:tcW w:w="1301" w:type="dxa"/>
                  <w:vAlign w:val="center"/>
                </w:tcPr>
                <w:p w14:paraId="0B6DC2E3">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46</w:t>
                  </w:r>
                </w:p>
              </w:tc>
              <w:tc>
                <w:tcPr>
                  <w:tcW w:w="540" w:type="pct"/>
                  <w:vMerge w:val="continue"/>
                  <w:tcBorders>
                    <w:top w:val="nil"/>
                    <w:bottom w:val="nil"/>
                  </w:tcBorders>
                  <w:vAlign w:val="center"/>
                </w:tcPr>
                <w:p w14:paraId="321D0B2A">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32A666AA">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08B761DB">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29E02F4A">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77C0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92" w:type="pct"/>
                  <w:vMerge w:val="continue"/>
                  <w:tcBorders>
                    <w:top w:val="nil"/>
                    <w:bottom w:val="nil"/>
                  </w:tcBorders>
                  <w:vAlign w:val="center"/>
                </w:tcPr>
                <w:p w14:paraId="4AA36B72">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Align w:val="center"/>
                </w:tcPr>
                <w:p w14:paraId="0589978E">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厂界西</w:t>
                  </w:r>
                </w:p>
              </w:tc>
              <w:tc>
                <w:tcPr>
                  <w:tcW w:w="1301" w:type="dxa"/>
                  <w:vAlign w:val="center"/>
                </w:tcPr>
                <w:p w14:paraId="22DB16AE">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w:t>
                  </w:r>
                </w:p>
              </w:tc>
              <w:tc>
                <w:tcPr>
                  <w:tcW w:w="1301" w:type="dxa"/>
                  <w:vAlign w:val="center"/>
                </w:tcPr>
                <w:p w14:paraId="742988F5">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46</w:t>
                  </w:r>
                </w:p>
              </w:tc>
              <w:tc>
                <w:tcPr>
                  <w:tcW w:w="540" w:type="pct"/>
                  <w:vMerge w:val="continue"/>
                  <w:tcBorders>
                    <w:top w:val="nil"/>
                    <w:bottom w:val="nil"/>
                  </w:tcBorders>
                  <w:vAlign w:val="center"/>
                </w:tcPr>
                <w:p w14:paraId="519F3CB6">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1209B661">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bottom w:val="nil"/>
                  </w:tcBorders>
                  <w:vAlign w:val="center"/>
                </w:tcPr>
                <w:p w14:paraId="22893152">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54D0C742">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r w14:paraId="0ABD5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92" w:type="pct"/>
                  <w:vMerge w:val="continue"/>
                  <w:tcBorders>
                    <w:top w:val="nil"/>
                  </w:tcBorders>
                  <w:vAlign w:val="center"/>
                </w:tcPr>
                <w:p w14:paraId="66F8DCA6">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23" w:type="pct"/>
                  <w:vAlign w:val="center"/>
                </w:tcPr>
                <w:p w14:paraId="0EDC4440">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厂界北</w:t>
                  </w:r>
                </w:p>
              </w:tc>
              <w:tc>
                <w:tcPr>
                  <w:tcW w:w="661" w:type="pct"/>
                  <w:vAlign w:val="center"/>
                </w:tcPr>
                <w:p w14:paraId="48658091">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w:t>
                  </w:r>
                </w:p>
              </w:tc>
              <w:tc>
                <w:tcPr>
                  <w:tcW w:w="661" w:type="pct"/>
                  <w:vAlign w:val="center"/>
                </w:tcPr>
                <w:p w14:paraId="60AC5F5F">
                  <w:pPr>
                    <w:ind w:left="0" w:leftChars="0" w:right="0" w:rightChars="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43</w:t>
                  </w:r>
                </w:p>
              </w:tc>
              <w:tc>
                <w:tcPr>
                  <w:tcW w:w="540" w:type="pct"/>
                  <w:vMerge w:val="continue"/>
                  <w:tcBorders>
                    <w:top w:val="nil"/>
                  </w:tcBorders>
                  <w:vAlign w:val="center"/>
                </w:tcPr>
                <w:p w14:paraId="25D45ED4">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tcBorders>
                  <w:vAlign w:val="center"/>
                </w:tcPr>
                <w:p w14:paraId="6D0CB038">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3" w:type="pct"/>
                  <w:vMerge w:val="continue"/>
                  <w:tcBorders>
                    <w:top w:val="nil"/>
                  </w:tcBorders>
                  <w:vAlign w:val="center"/>
                </w:tcPr>
                <w:p w14:paraId="0D2F1DB2">
                  <w:pPr>
                    <w:ind w:left="0" w:leftChars="0" w:right="0" w:rightChars="0" w:firstLine="0" w:firstLineChars="0"/>
                    <w:jc w:val="center"/>
                    <w:rPr>
                      <w:rFonts w:hint="eastAsia" w:ascii="Times New Roman" w:hAnsi="Times New Roman" w:eastAsia="宋体" w:cs="Times New Roman"/>
                      <w:color w:val="auto"/>
                      <w:szCs w:val="21"/>
                      <w:lang w:val="en-US" w:eastAsia="zh-CN"/>
                    </w:rPr>
                  </w:pPr>
                </w:p>
              </w:tc>
              <w:tc>
                <w:tcPr>
                  <w:tcW w:w="574" w:type="pct"/>
                  <w:vAlign w:val="center"/>
                </w:tcPr>
                <w:p w14:paraId="7FF501EB">
                  <w:pPr>
                    <w:ind w:left="0" w:leftChars="0" w:right="0" w:righ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达标</w:t>
                  </w:r>
                </w:p>
              </w:tc>
            </w:tr>
          </w:tbl>
          <w:p w14:paraId="0356213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bCs/>
                <w:color w:val="auto"/>
                <w:sz w:val="24"/>
                <w:szCs w:val="24"/>
                <w:highlight w:val="none"/>
              </w:rPr>
              <w:t>云南环绿环境检测技术有限公司2019年12月25日</w:t>
            </w:r>
            <w:r>
              <w:rPr>
                <w:rFonts w:hint="eastAsia"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26日连续2天厂界噪声的检测结果，项目四周厂界昼间、夜间噪声均能满足《工业企业厂界环境噪声排放标准》（GB12348-2008）2类标准限值要求</w:t>
            </w:r>
            <w:r>
              <w:rPr>
                <w:rFonts w:hint="default" w:ascii="Times New Roman" w:hAnsi="Times New Roman" w:eastAsia="宋体" w:cs="Times New Roman"/>
                <w:color w:val="auto"/>
                <w:sz w:val="24"/>
                <w:szCs w:val="24"/>
                <w:highlight w:val="none"/>
              </w:rPr>
              <w:t>。</w:t>
            </w:r>
          </w:p>
          <w:p w14:paraId="1EF0CFF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4、固体废物</w:t>
            </w:r>
          </w:p>
          <w:p w14:paraId="3B5CE629">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原项目运营期产生的固体废弃物主要为生活垃圾、生产固废。</w:t>
            </w:r>
          </w:p>
          <w:p w14:paraId="70AAA618">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（1）生活垃圾</w:t>
            </w:r>
          </w:p>
          <w:p w14:paraId="0B3F4510">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①项目运营过程中产生的生活垃圾量约为9t/a，生活垃圾分类袋装后由当地环卫部门清运，不随意排放，对环境影响不大。</w:t>
            </w:r>
          </w:p>
          <w:p w14:paraId="3D9D3B2B">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②项目区建有旱厕，旱厕污泥委托当地农户定期清运用于周边农田施肥。</w:t>
            </w:r>
          </w:p>
          <w:p w14:paraId="3E88C055">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（2）生产固废</w:t>
            </w:r>
          </w:p>
          <w:p w14:paraId="781A30E4">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项目运营期生产固废主要有不合格的砂石料、剩余的混凝土、沉淀池沉淀渣等。通过调查不合格的砂石料和剩余的</w:t>
            </w:r>
            <w:r>
              <w:rPr>
                <w:rFonts w:hint="eastAsia" w:cs="Times New Roman"/>
                <w:color w:val="auto"/>
                <w:sz w:val="24"/>
                <w:lang w:val="en-US" w:eastAsia="zh-CN"/>
              </w:rPr>
              <w:t>混凝土</w:t>
            </w:r>
            <w:r>
              <w:rPr>
                <w:rFonts w:hint="default" w:ascii="Times New Roman" w:hAnsi="Times New Roman" w:eastAsia="宋体" w:cs="Times New Roman"/>
                <w:color w:val="auto"/>
                <w:sz w:val="24"/>
                <w:lang w:val="en-US" w:eastAsia="zh-CN"/>
              </w:rPr>
              <w:t>年产生量在100t左右，可用于路面的铺垫料，或者路面的平整料。</w:t>
            </w:r>
          </w:p>
          <w:p w14:paraId="2E46DD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5、原项目污染物汇总</w:t>
            </w:r>
          </w:p>
          <w:p w14:paraId="1C46AC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综上，原项目污染物产排情况详见下表所示。</w:t>
            </w:r>
          </w:p>
          <w:p w14:paraId="68C633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表2-1</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原项目污染物排放情况一览表</w:t>
            </w:r>
          </w:p>
          <w:tbl>
            <w:tblPr>
              <w:tblStyle w:val="29"/>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285"/>
              <w:gridCol w:w="1721"/>
              <w:gridCol w:w="5068"/>
            </w:tblGrid>
            <w:tr w14:paraId="6883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F897F5B">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内容</w:t>
                  </w:r>
                </w:p>
              </w:tc>
              <w:tc>
                <w:tcPr>
                  <w:tcW w:w="1162" w:type="pct"/>
                  <w:vAlign w:val="center"/>
                </w:tcPr>
                <w:p w14:paraId="65FF8208">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排放源</w:t>
                  </w:r>
                </w:p>
              </w:tc>
              <w:tc>
                <w:tcPr>
                  <w:tcW w:w="875" w:type="pct"/>
                  <w:vAlign w:val="center"/>
                </w:tcPr>
                <w:p w14:paraId="113157ED">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污染物排放量</w:t>
                  </w:r>
                </w:p>
              </w:tc>
              <w:tc>
                <w:tcPr>
                  <w:tcW w:w="2577" w:type="pct"/>
                  <w:vAlign w:val="center"/>
                </w:tcPr>
                <w:p w14:paraId="6B069633">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处置措施</w:t>
                  </w:r>
                </w:p>
              </w:tc>
            </w:tr>
            <w:tr w14:paraId="1C95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restart"/>
                  <w:vAlign w:val="center"/>
                </w:tcPr>
                <w:p w14:paraId="0EC2B1B3">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废水</w:t>
                  </w:r>
                </w:p>
              </w:tc>
              <w:tc>
                <w:tcPr>
                  <w:tcW w:w="1162" w:type="pct"/>
                  <w:vAlign w:val="center"/>
                </w:tcPr>
                <w:p w14:paraId="7AB89A95">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生活污水</w:t>
                  </w:r>
                </w:p>
              </w:tc>
              <w:tc>
                <w:tcPr>
                  <w:tcW w:w="875" w:type="pct"/>
                  <w:vAlign w:val="center"/>
                </w:tcPr>
                <w:p w14:paraId="32BD8806">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540m³/a</w:t>
                  </w:r>
                </w:p>
              </w:tc>
              <w:tc>
                <w:tcPr>
                  <w:tcW w:w="2577" w:type="pct"/>
                  <w:vAlign w:val="center"/>
                </w:tcPr>
                <w:p w14:paraId="24C82F2E">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生活废水经隔油池处理后用于混凝土的搅拌。项目区厕所污水化粪池处理后委托周边农户用于周边农田施肥。</w:t>
                  </w:r>
                </w:p>
              </w:tc>
            </w:tr>
            <w:tr w14:paraId="2B2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vAlign w:val="center"/>
                </w:tcPr>
                <w:p w14:paraId="7D91FE43">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162" w:type="pct"/>
                  <w:vAlign w:val="center"/>
                </w:tcPr>
                <w:p w14:paraId="24E19A60">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生产废水</w:t>
                  </w:r>
                </w:p>
              </w:tc>
              <w:tc>
                <w:tcPr>
                  <w:tcW w:w="875" w:type="pct"/>
                  <w:vAlign w:val="center"/>
                </w:tcPr>
                <w:p w14:paraId="0037DE2E">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15180m³/a</w:t>
                  </w:r>
                </w:p>
              </w:tc>
              <w:tc>
                <w:tcPr>
                  <w:tcW w:w="2577" w:type="pct"/>
                  <w:vAlign w:val="center"/>
                </w:tcPr>
                <w:p w14:paraId="714AD43D">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生产清洗废水经地势北高南低，进入沉淀池沉淀处理，返回生产使用。</w:t>
                  </w:r>
                </w:p>
              </w:tc>
            </w:tr>
            <w:tr w14:paraId="45C3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84" w:type="pct"/>
                  <w:vMerge w:val="restart"/>
                  <w:vAlign w:val="center"/>
                </w:tcPr>
                <w:p w14:paraId="150208FA">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废气</w:t>
                  </w:r>
                </w:p>
              </w:tc>
              <w:tc>
                <w:tcPr>
                  <w:tcW w:w="1162" w:type="pct"/>
                  <w:vAlign w:val="center"/>
                </w:tcPr>
                <w:p w14:paraId="0FF03F6E">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工艺废气</w:t>
                  </w:r>
                </w:p>
              </w:tc>
              <w:tc>
                <w:tcPr>
                  <w:tcW w:w="875" w:type="pct"/>
                  <w:vAlign w:val="center"/>
                </w:tcPr>
                <w:p w14:paraId="3100B9B3">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无组织颗粒物≤1.0mg/m</w:t>
                  </w:r>
                  <w:r>
                    <w:rPr>
                      <w:rFonts w:hint="default" w:ascii="Times New Roman" w:hAnsi="Times New Roman" w:eastAsia="宋体" w:cs="Times New Roman"/>
                      <w:color w:val="auto"/>
                      <w:sz w:val="21"/>
                      <w:szCs w:val="21"/>
                      <w:highlight w:val="none"/>
                      <w:vertAlign w:val="superscript"/>
                      <w:lang w:val="en-US" w:eastAsia="zh-CN"/>
                    </w:rPr>
                    <w:t>3</w:t>
                  </w:r>
                </w:p>
              </w:tc>
              <w:tc>
                <w:tcPr>
                  <w:tcW w:w="2577" w:type="pct"/>
                  <w:vAlign w:val="center"/>
                </w:tcPr>
                <w:p w14:paraId="6D63477E">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经自带除尘器处理，确保设备正常运转，加强物料运输和装卸管理。文明装卸，物料输送采用封闭式输送带，加强绿化，加强厂区内的清扫工作，定时洒水，建立健全科学的操作规章和制度，加强管理。</w:t>
                  </w:r>
                </w:p>
              </w:tc>
            </w:tr>
            <w:tr w14:paraId="764A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84" w:type="pct"/>
                  <w:vMerge w:val="continue"/>
                  <w:vAlign w:val="center"/>
                </w:tcPr>
                <w:p w14:paraId="594944EB">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162" w:type="pct"/>
                  <w:vAlign w:val="center"/>
                </w:tcPr>
                <w:p w14:paraId="49A56B04">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食堂油烟</w:t>
                  </w:r>
                </w:p>
              </w:tc>
              <w:tc>
                <w:tcPr>
                  <w:tcW w:w="875" w:type="pct"/>
                  <w:vAlign w:val="center"/>
                </w:tcPr>
                <w:p w14:paraId="080CA9EA">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≤2.0mg/m</w:t>
                  </w:r>
                  <w:r>
                    <w:rPr>
                      <w:rFonts w:hint="default" w:ascii="Times New Roman" w:hAnsi="Times New Roman" w:eastAsia="宋体" w:cs="Times New Roman"/>
                      <w:color w:val="auto"/>
                      <w:sz w:val="21"/>
                      <w:szCs w:val="21"/>
                      <w:highlight w:val="none"/>
                      <w:vertAlign w:val="superscript"/>
                      <w:lang w:val="en-US" w:eastAsia="zh-CN"/>
                    </w:rPr>
                    <w:t>3</w:t>
                  </w:r>
                </w:p>
              </w:tc>
              <w:tc>
                <w:tcPr>
                  <w:tcW w:w="2577" w:type="pct"/>
                  <w:vAlign w:val="center"/>
                </w:tcPr>
                <w:p w14:paraId="315FA0E9">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油烟净化器处理，达到GB18483-2001《饮食业油烟排放标准》表2标准。</w:t>
                  </w:r>
                </w:p>
              </w:tc>
            </w:tr>
            <w:tr w14:paraId="046B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19DD54D6">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噪声</w:t>
                  </w:r>
                </w:p>
              </w:tc>
              <w:tc>
                <w:tcPr>
                  <w:tcW w:w="1162" w:type="pct"/>
                  <w:vAlign w:val="center"/>
                </w:tcPr>
                <w:p w14:paraId="2BAE6CBE">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生产设备噪声</w:t>
                  </w:r>
                </w:p>
              </w:tc>
              <w:tc>
                <w:tcPr>
                  <w:tcW w:w="875" w:type="pct"/>
                  <w:vAlign w:val="center"/>
                </w:tcPr>
                <w:p w14:paraId="591D9203">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77" w:type="pct"/>
                  <w:vAlign w:val="center"/>
                </w:tcPr>
                <w:p w14:paraId="751E73B6">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消声、减震，厂房隔音，距离衰减。</w:t>
                  </w:r>
                </w:p>
              </w:tc>
            </w:tr>
            <w:tr w14:paraId="3A61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restart"/>
                  <w:vAlign w:val="center"/>
                </w:tcPr>
                <w:p w14:paraId="589D45EA">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固废</w:t>
                  </w:r>
                </w:p>
              </w:tc>
              <w:tc>
                <w:tcPr>
                  <w:tcW w:w="1162" w:type="pct"/>
                  <w:vAlign w:val="center"/>
                </w:tcPr>
                <w:p w14:paraId="5C08E2C5">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生活垃圾</w:t>
                  </w:r>
                </w:p>
              </w:tc>
              <w:tc>
                <w:tcPr>
                  <w:tcW w:w="875" w:type="pct"/>
                  <w:vAlign w:val="center"/>
                </w:tcPr>
                <w:p w14:paraId="5C683BCA">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0.9t/a</w:t>
                  </w:r>
                </w:p>
              </w:tc>
              <w:tc>
                <w:tcPr>
                  <w:tcW w:w="2577" w:type="pct"/>
                  <w:vAlign w:val="center"/>
                </w:tcPr>
                <w:p w14:paraId="77B0B52D">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生活垃圾：由环卫部门清运。</w:t>
                  </w:r>
                </w:p>
              </w:tc>
            </w:tr>
            <w:tr w14:paraId="2694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vAlign w:val="center"/>
                </w:tcPr>
                <w:p w14:paraId="79E3D9F5">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162" w:type="pct"/>
                  <w:vAlign w:val="center"/>
                </w:tcPr>
                <w:p w14:paraId="0F1EECF7">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生产固废</w:t>
                  </w:r>
                </w:p>
              </w:tc>
              <w:tc>
                <w:tcPr>
                  <w:tcW w:w="875" w:type="pct"/>
                  <w:vAlign w:val="center"/>
                </w:tcPr>
                <w:p w14:paraId="6B3F059F">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100t/a</w:t>
                  </w:r>
                </w:p>
              </w:tc>
              <w:tc>
                <w:tcPr>
                  <w:tcW w:w="2577" w:type="pct"/>
                  <w:vAlign w:val="center"/>
                </w:tcPr>
                <w:p w14:paraId="1BC9A13D">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用作道路建设的路面铺垫料。</w:t>
                  </w:r>
                </w:p>
              </w:tc>
            </w:tr>
          </w:tbl>
          <w:p w14:paraId="7386E7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四、与本项目有关的主要环境问题及整改措施</w:t>
            </w:r>
          </w:p>
          <w:p w14:paraId="26F72080">
            <w:pPr>
              <w:pStyle w:val="27"/>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1、与本项目有关的主要环境问题</w:t>
            </w:r>
          </w:p>
          <w:p w14:paraId="6F728B4F">
            <w:pPr>
              <w:pStyle w:val="27"/>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①根据昆生环改字〔2023﹞11-30号，昆明市生态环境局于2023年11月24日对本公司进行了检查，发现本公司存在部分砂石料露天堆放，未采取覆盖、围挡、密闭等有效的防扬尘措施的环境违法行为</w:t>
            </w:r>
            <w:r>
              <w:rPr>
                <w:rFonts w:hint="default" w:cs="Times New Roman"/>
                <w:b w:val="0"/>
                <w:bCs w:val="0"/>
                <w:color w:val="auto"/>
                <w:sz w:val="24"/>
                <w:szCs w:val="24"/>
                <w:highlight w:val="none"/>
                <w:lang w:val="en-US" w:eastAsia="zh-CN"/>
              </w:rPr>
              <w:t>；</w:t>
            </w:r>
          </w:p>
          <w:p w14:paraId="04C333D4">
            <w:pPr>
              <w:pStyle w:val="27"/>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hint="default"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②</w:t>
            </w:r>
            <w:r>
              <w:rPr>
                <w:rFonts w:hint="default" w:cs="Times New Roman"/>
                <w:b w:val="0"/>
                <w:bCs w:val="0"/>
                <w:color w:val="auto"/>
                <w:sz w:val="24"/>
                <w:szCs w:val="24"/>
                <w:highlight w:val="none"/>
                <w:lang w:val="en-US" w:eastAsia="zh-CN"/>
              </w:rPr>
              <w:t>项目运营期间会产生废机油等危险废物，目前项目区</w:t>
            </w:r>
            <w:r>
              <w:rPr>
                <w:rFonts w:hint="eastAsia" w:cs="Times New Roman"/>
                <w:b w:val="0"/>
                <w:bCs w:val="0"/>
                <w:color w:val="auto"/>
                <w:sz w:val="24"/>
                <w:szCs w:val="24"/>
                <w:highlight w:val="none"/>
                <w:lang w:val="en-US" w:eastAsia="zh-CN"/>
              </w:rPr>
              <w:t>未</w:t>
            </w:r>
            <w:r>
              <w:rPr>
                <w:rFonts w:hint="default" w:cs="Times New Roman"/>
                <w:b w:val="0"/>
                <w:bCs w:val="0"/>
                <w:color w:val="auto"/>
                <w:sz w:val="24"/>
                <w:szCs w:val="24"/>
                <w:highlight w:val="none"/>
                <w:lang w:val="en-US" w:eastAsia="zh-CN"/>
              </w:rPr>
              <w:t>设置危险废物暂存间，</w:t>
            </w:r>
            <w:r>
              <w:rPr>
                <w:rFonts w:hint="eastAsia" w:cs="Times New Roman"/>
                <w:b w:val="0"/>
                <w:bCs w:val="0"/>
                <w:color w:val="auto"/>
                <w:sz w:val="24"/>
                <w:szCs w:val="24"/>
                <w:highlight w:val="none"/>
                <w:lang w:val="en-US" w:eastAsia="zh-CN"/>
              </w:rPr>
              <w:t>项目区产生的废</w:t>
            </w:r>
            <w:r>
              <w:rPr>
                <w:rFonts w:hint="eastAsia" w:eastAsia="宋体" w:cs="Times New Roman"/>
                <w:b w:val="0"/>
                <w:bCs w:val="0"/>
                <w:color w:val="auto"/>
                <w:sz w:val="24"/>
                <w:szCs w:val="24"/>
                <w:highlight w:val="none"/>
                <w:lang w:val="en-US" w:eastAsia="zh-CN"/>
              </w:rPr>
              <w:t>机油及含油抹布等暂时交由维修单位带走处置</w:t>
            </w:r>
            <w:r>
              <w:rPr>
                <w:rFonts w:hint="default" w:eastAsia="宋体" w:cs="Times New Roman"/>
                <w:b w:val="0"/>
                <w:bCs w:val="0"/>
                <w:color w:val="auto"/>
                <w:sz w:val="24"/>
                <w:szCs w:val="24"/>
                <w:highlight w:val="none"/>
                <w:lang w:val="en-US" w:eastAsia="zh-CN"/>
              </w:rPr>
              <w:t>；</w:t>
            </w:r>
          </w:p>
          <w:p w14:paraId="69FB1513">
            <w:pPr>
              <w:pStyle w:val="27"/>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hint="eastAsia"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③项目已建成拌合站未安装布袋除尘器；</w:t>
            </w:r>
          </w:p>
          <w:p w14:paraId="1FD33B84">
            <w:pPr>
              <w:pStyle w:val="27"/>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hint="default"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en-US" w:eastAsia="zh-CN"/>
              </w:rPr>
              <w:t>《年产25万吨商品混凝土生产线建设项目突发环境事件应急预案》（第一版）于2020年1月1日发布</w:t>
            </w:r>
            <w:r>
              <w:rPr>
                <w:rFonts w:hint="eastAsia" w:eastAsia="宋体" w:cs="Times New Roman"/>
                <w:color w:val="auto"/>
                <w:sz w:val="24"/>
                <w:szCs w:val="24"/>
                <w:highlight w:val="none"/>
                <w:lang w:val="en-US" w:eastAsia="zh-CN"/>
              </w:rPr>
              <w:t>，根据《突发事件应急预案管理办法》（2024年1月31日），应急预案原则上每3年评估一次，随着改扩建项目的实施，该版本预案应尽快重新修订。</w:t>
            </w:r>
          </w:p>
          <w:p w14:paraId="24837F51">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2、整改措施</w:t>
            </w:r>
          </w:p>
          <w:p w14:paraId="1BF3DED4">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①</w:t>
            </w:r>
            <w:r>
              <w:rPr>
                <w:rFonts w:hint="eastAsia" w:cs="Times New Roman"/>
                <w:b w:val="0"/>
                <w:bCs w:val="0"/>
                <w:color w:val="auto"/>
                <w:sz w:val="24"/>
                <w:highlight w:val="none"/>
                <w:lang w:val="en-US" w:eastAsia="zh-CN"/>
              </w:rPr>
              <w:t>建设单位目前已完成了原料库三面围挡；</w:t>
            </w:r>
          </w:p>
          <w:p w14:paraId="38E0D13F">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②</w:t>
            </w:r>
            <w:r>
              <w:rPr>
                <w:rFonts w:hint="default" w:ascii="Times New Roman" w:hAnsi="Times New Roman" w:eastAsia="宋体" w:cs="Times New Roman"/>
                <w:color w:val="auto"/>
                <w:sz w:val="24"/>
                <w:highlight w:val="none"/>
                <w:lang w:eastAsia="zh-CN"/>
              </w:rPr>
              <w:t>建设单位需要按照《危险废物贮存污染控制标准》（GB18597-2023）要求新建一座危废暂存间，对危险废物进行分区贮存，并设置相应</w:t>
            </w:r>
            <w:r>
              <w:rPr>
                <w:rFonts w:hint="eastAsia" w:cs="Times New Roman"/>
                <w:color w:val="auto"/>
                <w:sz w:val="24"/>
                <w:highlight w:val="none"/>
                <w:lang w:eastAsia="zh-CN"/>
              </w:rPr>
              <w:t>标识</w:t>
            </w:r>
            <w:r>
              <w:rPr>
                <w:rFonts w:hint="default" w:ascii="Times New Roman" w:hAnsi="Times New Roman" w:eastAsia="宋体" w:cs="Times New Roman"/>
                <w:color w:val="auto"/>
                <w:sz w:val="24"/>
                <w:highlight w:val="none"/>
                <w:lang w:eastAsia="zh-CN"/>
              </w:rPr>
              <w:t>标牌</w:t>
            </w:r>
            <w:r>
              <w:rPr>
                <w:rFonts w:hint="eastAsia" w:cs="Times New Roman"/>
                <w:color w:val="auto"/>
                <w:sz w:val="24"/>
                <w:highlight w:val="none"/>
                <w:lang w:eastAsia="zh-CN"/>
              </w:rPr>
              <w:t>；</w:t>
            </w:r>
          </w:p>
          <w:p w14:paraId="1FDF9FE7">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③</w:t>
            </w:r>
            <w:r>
              <w:rPr>
                <w:rFonts w:hint="default" w:ascii="Times New Roman" w:hAnsi="Times New Roman" w:eastAsia="宋体" w:cs="Times New Roman"/>
                <w:b w:val="0"/>
                <w:bCs w:val="0"/>
                <w:color w:val="auto"/>
                <w:sz w:val="24"/>
                <w:highlight w:val="none"/>
                <w:lang w:val="en-US" w:eastAsia="zh-CN"/>
              </w:rPr>
              <w:t>建设单位需要做好危险废物情况的记录，记录内容包括危险废物的名称、来源、数量、性质和包装容器的类别、入库日期、存放库位、出库日期及接收单位。该记录应保存3年</w:t>
            </w:r>
            <w:r>
              <w:rPr>
                <w:rFonts w:hint="eastAsia" w:ascii="Times New Roman" w:hAnsi="Times New Roman" w:eastAsia="宋体" w:cs="Times New Roman"/>
                <w:b w:val="0"/>
                <w:bCs w:val="0"/>
                <w:color w:val="auto"/>
                <w:sz w:val="24"/>
                <w:highlight w:val="none"/>
                <w:lang w:val="en-US" w:eastAsia="zh-CN"/>
              </w:rPr>
              <w:t>；</w:t>
            </w:r>
          </w:p>
          <w:p w14:paraId="5DF35597">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④</w:t>
            </w:r>
            <w:r>
              <w:rPr>
                <w:rFonts w:hint="default" w:ascii="Times New Roman" w:hAnsi="Times New Roman" w:eastAsia="宋体" w:cs="Times New Roman"/>
                <w:b w:val="0"/>
                <w:bCs w:val="0"/>
                <w:color w:val="auto"/>
                <w:sz w:val="24"/>
                <w:highlight w:val="none"/>
                <w:lang w:val="en-US" w:eastAsia="zh-CN"/>
              </w:rPr>
              <w:t>建设单位需要</w:t>
            </w:r>
            <w:r>
              <w:rPr>
                <w:rFonts w:hint="eastAsia" w:ascii="Times New Roman" w:hAnsi="Times New Roman" w:eastAsia="宋体" w:cs="Times New Roman"/>
                <w:b w:val="0"/>
                <w:bCs w:val="0"/>
                <w:color w:val="auto"/>
                <w:sz w:val="24"/>
                <w:highlight w:val="none"/>
                <w:lang w:val="en-US" w:eastAsia="zh-CN"/>
              </w:rPr>
              <w:t>尽快完成拌合站布袋除尘器的安装；</w:t>
            </w:r>
          </w:p>
          <w:p w14:paraId="6B28860B">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⑤</w:t>
            </w:r>
            <w:r>
              <w:rPr>
                <w:rFonts w:hint="default" w:ascii="Times New Roman" w:hAnsi="Times New Roman" w:eastAsia="宋体" w:cs="Times New Roman"/>
                <w:color w:val="auto"/>
                <w:sz w:val="24"/>
                <w:highlight w:val="none"/>
                <w:lang w:val="en-US" w:eastAsia="zh-CN"/>
              </w:rPr>
              <w:t>扩建项目建成后尽快</w:t>
            </w:r>
            <w:r>
              <w:rPr>
                <w:rFonts w:hint="default" w:ascii="Times New Roman" w:hAnsi="Times New Roman" w:cs="Times New Roman"/>
                <w:color w:val="auto"/>
                <w:sz w:val="24"/>
                <w:highlight w:val="none"/>
                <w:lang w:val="en-US" w:eastAsia="zh-CN"/>
              </w:rPr>
              <w:t>修编</w:t>
            </w:r>
            <w:r>
              <w:rPr>
                <w:rFonts w:hint="default" w:ascii="Times New Roman" w:hAnsi="Times New Roman" w:eastAsia="宋体" w:cs="Times New Roman"/>
                <w:color w:val="auto"/>
                <w:sz w:val="24"/>
                <w:highlight w:val="none"/>
                <w:lang w:val="zh-CN" w:eastAsia="zh-CN"/>
              </w:rPr>
              <w:t>突发环境事件应急预案</w:t>
            </w:r>
            <w:r>
              <w:rPr>
                <w:rFonts w:hint="default" w:ascii="Times New Roman" w:hAnsi="Times New Roman" w:eastAsia="宋体" w:cs="Times New Roman"/>
                <w:color w:val="auto"/>
                <w:sz w:val="24"/>
                <w:highlight w:val="none"/>
                <w:lang w:val="en-US" w:eastAsia="zh-CN"/>
              </w:rPr>
              <w:t>及变更排污登记</w:t>
            </w:r>
            <w:r>
              <w:rPr>
                <w:rFonts w:hint="eastAsia" w:eastAsia="宋体" w:cs="Times New Roman"/>
                <w:color w:val="auto"/>
                <w:sz w:val="24"/>
                <w:highlight w:val="none"/>
                <w:lang w:val="en-US" w:eastAsia="zh-CN"/>
              </w:rPr>
              <w:t>。</w:t>
            </w:r>
          </w:p>
          <w:p w14:paraId="30D5693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3、手续办理</w:t>
            </w:r>
          </w:p>
          <w:p w14:paraId="2CD50132">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①扩建项目建成后尽快</w:t>
            </w:r>
            <w:r>
              <w:rPr>
                <w:rFonts w:hint="default" w:ascii="Times New Roman" w:hAnsi="Times New Roman" w:cs="Times New Roman"/>
                <w:color w:val="auto"/>
                <w:sz w:val="24"/>
                <w:highlight w:val="none"/>
                <w:lang w:val="en-US" w:eastAsia="zh-CN"/>
              </w:rPr>
              <w:t>修编</w:t>
            </w:r>
            <w:r>
              <w:rPr>
                <w:rFonts w:hint="default" w:ascii="Times New Roman" w:hAnsi="Times New Roman" w:eastAsia="宋体" w:cs="Times New Roman"/>
                <w:color w:val="auto"/>
                <w:sz w:val="24"/>
                <w:highlight w:val="none"/>
                <w:lang w:val="zh-CN" w:eastAsia="zh-CN"/>
              </w:rPr>
              <w:t>突发环境事件应急预案</w:t>
            </w:r>
            <w:r>
              <w:rPr>
                <w:rFonts w:hint="default" w:ascii="Times New Roman" w:hAnsi="Times New Roman" w:eastAsia="宋体" w:cs="Times New Roman"/>
                <w:color w:val="auto"/>
                <w:sz w:val="24"/>
                <w:highlight w:val="none"/>
                <w:lang w:val="en-US" w:eastAsia="zh-CN"/>
              </w:rPr>
              <w:t>及变更排污登记；</w:t>
            </w:r>
          </w:p>
          <w:p w14:paraId="361A084A">
            <w:pPr>
              <w:pStyle w:val="27"/>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②扩建项目建成须进行“三同时”竣工环境保护验收方可投入运营</w:t>
            </w:r>
            <w:r>
              <w:rPr>
                <w:rFonts w:hint="default" w:ascii="Times New Roman" w:hAnsi="Times New Roman" w:eastAsia="宋体" w:cs="Times New Roman"/>
                <w:color w:val="auto"/>
                <w:sz w:val="24"/>
                <w:highlight w:val="none"/>
                <w:lang w:val="zh-CN" w:eastAsia="zh-CN"/>
              </w:rPr>
              <w:t>。</w:t>
            </w:r>
          </w:p>
          <w:p w14:paraId="738B544B">
            <w:pPr>
              <w:ind w:left="0" w:leftChars="0" w:firstLine="0" w:firstLineChars="0"/>
              <w:rPr>
                <w:rFonts w:hint="default" w:ascii="Times New Roman" w:hAnsi="Times New Roman" w:eastAsia="宋体" w:cs="Times New Roman"/>
                <w:color w:val="auto"/>
                <w:sz w:val="24"/>
                <w:szCs w:val="24"/>
                <w:highlight w:val="none"/>
                <w:lang w:val="zh-CN" w:eastAsia="zh-CN"/>
              </w:rPr>
            </w:pPr>
          </w:p>
          <w:p w14:paraId="092D161F">
            <w:pPr>
              <w:pStyle w:val="20"/>
              <w:ind w:left="0" w:leftChars="0" w:firstLine="0" w:firstLineChars="0"/>
              <w:rPr>
                <w:rFonts w:hint="default" w:ascii="Times New Roman" w:hAnsi="Times New Roman" w:eastAsia="宋体" w:cs="Times New Roman"/>
                <w:color w:val="auto"/>
                <w:sz w:val="24"/>
                <w:szCs w:val="24"/>
                <w:highlight w:val="none"/>
                <w:lang w:val="zh-CN" w:eastAsia="zh-CN"/>
              </w:rPr>
            </w:pPr>
          </w:p>
          <w:p w14:paraId="32E63D1A">
            <w:pPr>
              <w:pStyle w:val="21"/>
              <w:ind w:left="0" w:leftChars="0" w:firstLine="0" w:firstLineChars="0"/>
              <w:rPr>
                <w:rFonts w:hint="default" w:ascii="Times New Roman" w:hAnsi="Times New Roman" w:eastAsia="宋体" w:cs="Times New Roman"/>
                <w:color w:val="auto"/>
                <w:sz w:val="24"/>
                <w:szCs w:val="24"/>
                <w:highlight w:val="none"/>
                <w:lang w:val="zh-CN" w:eastAsia="zh-CN"/>
              </w:rPr>
            </w:pPr>
          </w:p>
          <w:p w14:paraId="5862F814">
            <w:pPr>
              <w:pStyle w:val="47"/>
              <w:rPr>
                <w:rFonts w:hint="default" w:ascii="Times New Roman" w:hAnsi="Times New Roman" w:eastAsia="宋体" w:cs="Times New Roman"/>
                <w:color w:val="auto"/>
                <w:sz w:val="24"/>
                <w:szCs w:val="24"/>
                <w:highlight w:val="none"/>
                <w:lang w:val="zh-CN" w:eastAsia="zh-CN"/>
              </w:rPr>
            </w:pPr>
          </w:p>
          <w:p w14:paraId="3F83BFFE">
            <w:pPr>
              <w:pStyle w:val="48"/>
              <w:rPr>
                <w:rFonts w:hint="default" w:ascii="Times New Roman" w:hAnsi="Times New Roman" w:eastAsia="宋体" w:cs="Times New Roman"/>
                <w:color w:val="auto"/>
                <w:sz w:val="24"/>
                <w:szCs w:val="24"/>
                <w:highlight w:val="none"/>
                <w:lang w:val="zh-CN" w:eastAsia="zh-CN"/>
              </w:rPr>
            </w:pPr>
          </w:p>
          <w:p w14:paraId="45F84B81">
            <w:pPr>
              <w:pStyle w:val="24"/>
              <w:rPr>
                <w:rFonts w:hint="default" w:ascii="Times New Roman" w:hAnsi="Times New Roman" w:eastAsia="宋体" w:cs="Times New Roman"/>
                <w:color w:val="auto"/>
                <w:sz w:val="24"/>
                <w:szCs w:val="24"/>
                <w:highlight w:val="none"/>
                <w:lang w:val="zh-CN" w:eastAsia="zh-CN"/>
              </w:rPr>
            </w:pPr>
          </w:p>
          <w:p w14:paraId="1268A6C4">
            <w:pPr>
              <w:pStyle w:val="4"/>
              <w:rPr>
                <w:rFonts w:hint="default" w:ascii="Times New Roman" w:hAnsi="Times New Roman" w:eastAsia="宋体" w:cs="Times New Roman"/>
                <w:color w:val="auto"/>
                <w:sz w:val="24"/>
                <w:szCs w:val="24"/>
                <w:highlight w:val="none"/>
                <w:lang w:val="zh-CN" w:eastAsia="zh-CN"/>
              </w:rPr>
            </w:pPr>
          </w:p>
          <w:p w14:paraId="5D9F768A">
            <w:pPr>
              <w:pStyle w:val="5"/>
              <w:rPr>
                <w:rFonts w:hint="default" w:ascii="Times New Roman" w:hAnsi="Times New Roman" w:eastAsia="宋体" w:cs="Times New Roman"/>
                <w:color w:val="auto"/>
                <w:sz w:val="24"/>
                <w:szCs w:val="24"/>
                <w:highlight w:val="none"/>
                <w:lang w:val="zh-CN" w:eastAsia="zh-CN"/>
              </w:rPr>
            </w:pPr>
          </w:p>
          <w:p w14:paraId="6EFA127F">
            <w:pPr>
              <w:pStyle w:val="6"/>
              <w:rPr>
                <w:rFonts w:hint="default" w:ascii="Times New Roman" w:hAnsi="Times New Roman" w:eastAsia="宋体" w:cs="Times New Roman"/>
                <w:color w:val="auto"/>
                <w:sz w:val="24"/>
                <w:szCs w:val="24"/>
                <w:highlight w:val="none"/>
                <w:lang w:val="zh-CN" w:eastAsia="zh-CN"/>
              </w:rPr>
            </w:pPr>
          </w:p>
          <w:p w14:paraId="1088F86D">
            <w:pPr>
              <w:pStyle w:val="7"/>
              <w:numPr>
                <w:ilvl w:val="0"/>
                <w:numId w:val="0"/>
              </w:numPr>
              <w:ind w:leftChars="200"/>
              <w:rPr>
                <w:rFonts w:hint="default"/>
                <w:color w:val="auto"/>
                <w:lang w:val="zh-CN" w:eastAsia="zh-CN"/>
              </w:rPr>
            </w:pPr>
          </w:p>
          <w:p w14:paraId="27621769">
            <w:pPr>
              <w:pStyle w:val="8"/>
              <w:rPr>
                <w:rFonts w:hint="default" w:ascii="Times New Roman" w:hAnsi="Times New Roman" w:eastAsia="宋体" w:cs="Times New Roman"/>
                <w:color w:val="auto"/>
                <w:sz w:val="24"/>
                <w:szCs w:val="24"/>
                <w:highlight w:val="none"/>
                <w:lang w:val="zh-CN" w:eastAsia="zh-CN"/>
              </w:rPr>
            </w:pPr>
          </w:p>
          <w:p w14:paraId="46F37519">
            <w:pPr>
              <w:pStyle w:val="9"/>
              <w:rPr>
                <w:rFonts w:hint="default" w:ascii="Times New Roman" w:hAnsi="Times New Roman" w:eastAsia="宋体" w:cs="Times New Roman"/>
                <w:color w:val="auto"/>
                <w:sz w:val="24"/>
                <w:szCs w:val="24"/>
                <w:highlight w:val="none"/>
                <w:lang w:val="zh-CN" w:eastAsia="zh-CN"/>
              </w:rPr>
            </w:pPr>
          </w:p>
          <w:p w14:paraId="28EA4F64">
            <w:pPr>
              <w:pStyle w:val="10"/>
              <w:ind w:left="0" w:leftChars="0" w:firstLine="0" w:firstLineChars="0"/>
              <w:rPr>
                <w:rFonts w:hint="default" w:ascii="Times New Roman" w:hAnsi="Times New Roman" w:eastAsia="宋体" w:cs="Times New Roman"/>
                <w:color w:val="auto"/>
                <w:sz w:val="24"/>
                <w:szCs w:val="24"/>
                <w:highlight w:val="none"/>
                <w:lang w:val="zh-CN" w:eastAsia="zh-CN"/>
              </w:rPr>
            </w:pPr>
          </w:p>
          <w:p w14:paraId="2A621D44">
            <w:pPr>
              <w:rPr>
                <w:rFonts w:hint="default" w:ascii="Times New Roman" w:hAnsi="Times New Roman" w:eastAsia="宋体" w:cs="Times New Roman"/>
                <w:color w:val="auto"/>
                <w:sz w:val="24"/>
                <w:szCs w:val="24"/>
                <w:highlight w:val="none"/>
                <w:lang w:val="zh-CN" w:eastAsia="zh-CN"/>
              </w:rPr>
            </w:pPr>
          </w:p>
          <w:p w14:paraId="25EA4DFE">
            <w:pPr>
              <w:rPr>
                <w:rFonts w:hint="default" w:ascii="Times New Roman" w:hAnsi="Times New Roman" w:eastAsia="宋体" w:cs="Times New Roman"/>
                <w:color w:val="auto"/>
                <w:sz w:val="24"/>
                <w:szCs w:val="24"/>
                <w:highlight w:val="none"/>
                <w:lang w:val="zh-CN" w:eastAsia="zh-CN"/>
              </w:rPr>
            </w:pPr>
          </w:p>
          <w:p w14:paraId="34309664">
            <w:pPr>
              <w:pStyle w:val="3"/>
              <w:rPr>
                <w:rFonts w:hint="default" w:ascii="Times New Roman" w:hAnsi="Times New Roman" w:eastAsia="宋体" w:cs="Times New Roman"/>
                <w:color w:val="auto"/>
                <w:sz w:val="24"/>
                <w:szCs w:val="24"/>
                <w:highlight w:val="none"/>
                <w:lang w:val="zh-CN" w:eastAsia="zh-CN"/>
              </w:rPr>
            </w:pPr>
          </w:p>
          <w:p w14:paraId="5E36DA1A">
            <w:pPr>
              <w:rPr>
                <w:rFonts w:hint="default" w:ascii="Times New Roman" w:hAnsi="Times New Roman" w:eastAsia="宋体" w:cs="Times New Roman"/>
                <w:color w:val="auto"/>
                <w:sz w:val="24"/>
                <w:szCs w:val="24"/>
                <w:highlight w:val="none"/>
                <w:lang w:val="zh-CN" w:eastAsia="zh-CN"/>
              </w:rPr>
            </w:pPr>
          </w:p>
          <w:p w14:paraId="6D3A6EEB">
            <w:pPr>
              <w:pStyle w:val="24"/>
              <w:ind w:left="0" w:leftChars="0" w:firstLine="0" w:firstLineChars="0"/>
              <w:rPr>
                <w:rFonts w:hint="default" w:ascii="Times New Roman" w:hAnsi="Times New Roman" w:cs="Times New Roman"/>
                <w:color w:val="auto"/>
                <w:lang w:val="en-US" w:eastAsia="zh-CN"/>
              </w:rPr>
            </w:pPr>
          </w:p>
        </w:tc>
      </w:tr>
    </w:tbl>
    <w:p w14:paraId="410D1443">
      <w:pPr>
        <w:pStyle w:val="25"/>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B4BB79F">
      <w:pPr>
        <w:pStyle w:val="25"/>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14:paraId="3490F061">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3" w:name="_Toc7404"/>
      <w:bookmarkStart w:id="14"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3"/>
      <w:bookmarkEnd w:id="14"/>
    </w:p>
    <w:tbl>
      <w:tblPr>
        <w:tblStyle w:val="28"/>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86"/>
      </w:tblGrid>
      <w:tr w14:paraId="4DEC1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5DCFD0F5">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14:paraId="194532CB">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29D6C428">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14:paraId="4FAA2F78">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14:paraId="6F5D8184">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14:paraId="216BC122">
            <w:pPr>
              <w:autoSpaceDE w:val="0"/>
              <w:autoSpaceDN w:val="0"/>
              <w:spacing w:line="360" w:lineRule="auto"/>
              <w:ind w:firstLine="480" w:firstLineChars="200"/>
              <w:rPr>
                <w:rFonts w:hint="default" w:ascii="Times New Roman" w:hAnsi="Times New Roman" w:eastAsia="宋体" w:cs="Times New Roman"/>
                <w:color w:val="auto"/>
                <w:sz w:val="24"/>
                <w:lang w:val="zh-CN" w:eastAsia="zh-CN"/>
              </w:rPr>
            </w:pPr>
            <w:r>
              <w:rPr>
                <w:rFonts w:hint="default" w:ascii="Times New Roman" w:hAnsi="Times New Roman" w:eastAsia="宋体" w:cs="Times New Roman"/>
                <w:color w:val="auto"/>
                <w:sz w:val="24"/>
                <w:lang w:val="en-US" w:eastAsia="zh-CN"/>
              </w:rPr>
              <w:t>本项目位于寻甸金所乡哨上大村，</w:t>
            </w:r>
            <w:r>
              <w:rPr>
                <w:rFonts w:hint="default" w:ascii="Times New Roman" w:hAnsi="Times New Roman" w:eastAsia="宋体" w:cs="Times New Roman"/>
                <w:color w:val="auto"/>
                <w:sz w:val="24"/>
                <w:lang w:val="zh-CN" w:eastAsia="zh-CN"/>
              </w:rPr>
              <w:t>该区域环境空气质量功能区划为二类区，执行《环境空气质量标准》</w:t>
            </w:r>
            <w:r>
              <w:rPr>
                <w:rFonts w:hint="default" w:ascii="Times New Roman" w:hAnsi="Times New Roman" w:eastAsia="宋体" w:cs="Times New Roman"/>
                <w:color w:val="auto"/>
                <w:sz w:val="24"/>
                <w:lang w:val="en-US" w:eastAsia="zh-CN"/>
              </w:rPr>
              <w:t>（GB3095-2012）</w:t>
            </w:r>
            <w:r>
              <w:rPr>
                <w:rFonts w:hint="default" w:ascii="Times New Roman" w:hAnsi="Times New Roman" w:eastAsia="宋体" w:cs="Times New Roman"/>
                <w:color w:val="auto"/>
                <w:sz w:val="24"/>
                <w:lang w:val="zh-CN" w:eastAsia="zh-CN"/>
              </w:rPr>
              <w:t>二级标准。</w:t>
            </w:r>
          </w:p>
          <w:p w14:paraId="17B48C04">
            <w:pPr>
              <w:autoSpaceDE w:val="0"/>
              <w:autoSpaceDN w:val="0"/>
              <w:spacing w:line="360" w:lineRule="auto"/>
              <w:ind w:firstLine="482" w:firstLineChars="200"/>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zh-CN" w:eastAsia="zh-CN"/>
              </w:rPr>
              <w:t>（</w:t>
            </w:r>
            <w:r>
              <w:rPr>
                <w:rFonts w:hint="default"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lang w:val="zh-CN" w:eastAsia="zh-CN"/>
              </w:rPr>
              <w:t>）</w:t>
            </w:r>
            <w:r>
              <w:rPr>
                <w:rFonts w:hint="default" w:ascii="Times New Roman" w:hAnsi="Times New Roman" w:eastAsia="宋体" w:cs="Times New Roman"/>
                <w:b/>
                <w:bCs/>
                <w:color w:val="auto"/>
                <w:sz w:val="24"/>
                <w:lang w:val="en-US" w:eastAsia="zh-CN"/>
              </w:rPr>
              <w:t>区域基本污染物环境质量现状</w:t>
            </w:r>
          </w:p>
          <w:p w14:paraId="384D782C">
            <w:pPr>
              <w:autoSpaceDE w:val="0"/>
              <w:autoSpaceDN w:val="0"/>
              <w:spacing w:line="360" w:lineRule="auto"/>
              <w:ind w:firstLine="480" w:firstLineChars="200"/>
              <w:rPr>
                <w:rFonts w:hint="default" w:ascii="Times New Roman" w:hAnsi="Times New Roman" w:eastAsia="宋体" w:cs="Times New Roman"/>
                <w:color w:val="auto"/>
                <w:sz w:val="24"/>
                <w:lang w:val="zh-CN" w:eastAsia="zh-CN"/>
              </w:rPr>
            </w:pPr>
            <w:r>
              <w:rPr>
                <w:rFonts w:hint="default" w:ascii="Times New Roman" w:hAnsi="Times New Roman" w:eastAsia="宋体" w:cs="Times New Roman"/>
                <w:color w:val="auto"/>
                <w:sz w:val="24"/>
                <w:lang w:val="zh-CN" w:eastAsia="zh-CN"/>
              </w:rPr>
              <w:t>根据政府部门公开发布的资料《2022年度昆明市生态环境状况公报》，2022年，昆明市主城区环境空气优良率达100%，其中优246天、良119天。与2021年相比，优级天数增加37天，环境空气污染综合指数降低13.68%，空气质量大幅改善。各县（市）区环境空气质量总体保持良好。与2021年相比，安宁市、禄劝县、石林县、嵩明县、富民县、宜良县、寻甸县环境空气综合污染指数有所下降，东川区环境空气综合污染指数有所上升。根据环境主管部门发布的数据可知，项目所在区域环境空气六项基本污染物全年统计结果，均能达到《环境空气质量标准》（GB3095-2012）二级标准要求，属于环境空气质量达标区。</w:t>
            </w:r>
          </w:p>
          <w:p w14:paraId="4B2F0D65">
            <w:pPr>
              <w:autoSpaceDE w:val="0"/>
              <w:autoSpaceDN w:val="0"/>
              <w:spacing w:line="360" w:lineRule="auto"/>
              <w:ind w:firstLine="480" w:firstLineChars="200"/>
              <w:rPr>
                <w:rFonts w:hint="default" w:ascii="Times New Roman" w:hAnsi="Times New Roman" w:eastAsia="宋体" w:cs="Times New Roman"/>
                <w:color w:val="auto"/>
                <w:sz w:val="24"/>
                <w:lang w:val="zh-CN" w:eastAsia="zh-CN"/>
              </w:rPr>
            </w:pPr>
            <w:r>
              <w:rPr>
                <w:rFonts w:hint="default" w:ascii="Times New Roman" w:hAnsi="Times New Roman" w:eastAsia="宋体" w:cs="Times New Roman"/>
                <w:color w:val="auto"/>
                <w:sz w:val="24"/>
                <w:lang w:val="zh-CN" w:eastAsia="zh-CN"/>
              </w:rPr>
              <w:t>因此，判定拟建项目大气环境影响评价范围内均属于环境空气质量达标区。</w:t>
            </w:r>
          </w:p>
          <w:p w14:paraId="71AA114B">
            <w:pPr>
              <w:autoSpaceDE w:val="0"/>
              <w:autoSpaceDN w:val="0"/>
              <w:spacing w:line="360" w:lineRule="auto"/>
              <w:ind w:firstLine="482" w:firstLineChars="200"/>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（2）特征因子环境质量现状</w:t>
            </w:r>
          </w:p>
          <w:p w14:paraId="35B5A14A">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本项目其他污染物为TSP，本次评价委托中博源检测（云南）有限公司于2024年4月17日</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20日在项目地当季主导风向下风向设置1个监测点位，监测结果见表3-1。</w:t>
            </w:r>
          </w:p>
          <w:p w14:paraId="0F40AD20">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GB" w:eastAsia="zh-CN"/>
              </w:rPr>
              <w:t>表</w:t>
            </w:r>
            <w:r>
              <w:rPr>
                <w:rFonts w:hint="default" w:ascii="Times New Roman" w:hAnsi="Times New Roman" w:eastAsia="宋体" w:cs="Times New Roman"/>
                <w:b/>
                <w:bCs/>
                <w:color w:val="auto"/>
                <w:sz w:val="21"/>
                <w:szCs w:val="21"/>
                <w:highlight w:val="none"/>
                <w:lang w:val="en-US" w:eastAsia="zh-CN"/>
              </w:rPr>
              <w:t>3-1</w:t>
            </w:r>
            <w:r>
              <w:rPr>
                <w:rFonts w:hint="default" w:ascii="Times New Roman" w:hAnsi="Times New Roman" w:eastAsia="宋体" w:cs="Times New Roman"/>
                <w:b/>
                <w:bCs/>
                <w:color w:val="auto"/>
                <w:sz w:val="21"/>
                <w:szCs w:val="21"/>
                <w:highlight w:val="none"/>
                <w:lang w:val="en-GB" w:eastAsia="zh-CN"/>
              </w:rPr>
              <w:t xml:space="preserve">  环境空气监测结果</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2"/>
              <w:gridCol w:w="1553"/>
              <w:gridCol w:w="3189"/>
              <w:gridCol w:w="1553"/>
            </w:tblGrid>
            <w:tr w14:paraId="18AB9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78" w:type="pct"/>
                  <w:vMerge w:val="restart"/>
                  <w:noWrap w:val="0"/>
                  <w:vAlign w:val="center"/>
                </w:tcPr>
                <w:p w14:paraId="6C91A5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rPr>
                  </w:pPr>
                  <w:r>
                    <w:rPr>
                      <w:rFonts w:hint="default" w:ascii="Times New Roman" w:hAnsi="Times New Roman" w:eastAsia="宋体" w:cs="Times New Roman"/>
                      <w:b/>
                      <w:bCs/>
                      <w:i w:val="0"/>
                      <w:iCs w:val="0"/>
                      <w:caps w:val="0"/>
                      <w:color w:val="auto"/>
                      <w:spacing w:val="0"/>
                      <w:sz w:val="21"/>
                      <w:szCs w:val="21"/>
                      <w:shd w:val="clear" w:fill="FFFFFF"/>
                    </w:rPr>
                    <w:t>监测点位</w:t>
                  </w:r>
                </w:p>
              </w:tc>
              <w:tc>
                <w:tcPr>
                  <w:tcW w:w="918" w:type="pct"/>
                  <w:vMerge w:val="restart"/>
                  <w:noWrap w:val="0"/>
                  <w:vAlign w:val="center"/>
                </w:tcPr>
                <w:p w14:paraId="5D241D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rPr>
                  </w:pPr>
                  <w:r>
                    <w:rPr>
                      <w:rFonts w:hint="default" w:ascii="Times New Roman" w:hAnsi="Times New Roman" w:eastAsia="宋体" w:cs="Times New Roman"/>
                      <w:b/>
                      <w:bCs/>
                      <w:i w:val="0"/>
                      <w:iCs w:val="0"/>
                      <w:caps w:val="0"/>
                      <w:color w:val="auto"/>
                      <w:spacing w:val="0"/>
                      <w:sz w:val="21"/>
                      <w:szCs w:val="21"/>
                      <w:shd w:val="clear" w:fill="FFFFFF"/>
                    </w:rPr>
                    <w:t>监测因子</w:t>
                  </w:r>
                </w:p>
              </w:tc>
              <w:tc>
                <w:tcPr>
                  <w:tcW w:w="1885" w:type="pct"/>
                  <w:vMerge w:val="restart"/>
                  <w:noWrap w:val="0"/>
                  <w:vAlign w:val="center"/>
                </w:tcPr>
                <w:p w14:paraId="277443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lang w:val="en-US" w:eastAsia="zh-CN"/>
                    </w:rPr>
                  </w:pPr>
                  <w:r>
                    <w:rPr>
                      <w:rFonts w:hint="default" w:ascii="Times New Roman" w:hAnsi="Times New Roman" w:eastAsia="宋体" w:cs="Times New Roman"/>
                      <w:b/>
                      <w:bCs/>
                      <w:i w:val="0"/>
                      <w:iCs w:val="0"/>
                      <w:caps w:val="0"/>
                      <w:color w:val="auto"/>
                      <w:spacing w:val="0"/>
                      <w:sz w:val="21"/>
                      <w:szCs w:val="21"/>
                      <w:shd w:val="clear" w:fill="FFFFFF"/>
                      <w:lang w:eastAsia="zh-CN"/>
                    </w:rPr>
                    <w:t>采样</w:t>
                  </w:r>
                  <w:r>
                    <w:rPr>
                      <w:rFonts w:hint="default" w:ascii="Times New Roman" w:hAnsi="Times New Roman" w:eastAsia="宋体" w:cs="Times New Roman"/>
                      <w:b/>
                      <w:bCs/>
                      <w:i w:val="0"/>
                      <w:iCs w:val="0"/>
                      <w:caps w:val="0"/>
                      <w:color w:val="auto"/>
                      <w:spacing w:val="0"/>
                      <w:sz w:val="21"/>
                      <w:szCs w:val="21"/>
                      <w:shd w:val="clear" w:fill="FFFFFF"/>
                    </w:rPr>
                    <w:t>日期</w:t>
                  </w:r>
                </w:p>
              </w:tc>
              <w:tc>
                <w:tcPr>
                  <w:tcW w:w="918" w:type="pct"/>
                  <w:noWrap w:val="0"/>
                  <w:vAlign w:val="center"/>
                </w:tcPr>
                <w:p w14:paraId="229B94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lang w:val="en-US" w:eastAsia="zh-CN"/>
                    </w:rPr>
                  </w:pPr>
                  <w:r>
                    <w:rPr>
                      <w:rFonts w:hint="default" w:ascii="Times New Roman" w:hAnsi="Times New Roman" w:eastAsia="宋体" w:cs="Times New Roman"/>
                      <w:b/>
                      <w:bCs/>
                      <w:i w:val="0"/>
                      <w:iCs w:val="0"/>
                      <w:caps w:val="0"/>
                      <w:color w:val="auto"/>
                      <w:spacing w:val="0"/>
                      <w:sz w:val="21"/>
                      <w:szCs w:val="21"/>
                      <w:shd w:val="clear" w:fill="FFFFFF"/>
                    </w:rPr>
                    <w:t>监测</w:t>
                  </w:r>
                  <w:r>
                    <w:rPr>
                      <w:rFonts w:hint="default" w:ascii="Times New Roman" w:hAnsi="Times New Roman" w:eastAsia="宋体" w:cs="Times New Roman"/>
                      <w:b/>
                      <w:bCs/>
                      <w:i w:val="0"/>
                      <w:iCs w:val="0"/>
                      <w:caps w:val="0"/>
                      <w:color w:val="auto"/>
                      <w:spacing w:val="0"/>
                      <w:sz w:val="21"/>
                      <w:szCs w:val="21"/>
                      <w:shd w:val="clear" w:fill="FFFFFF"/>
                      <w:lang w:val="en-US" w:eastAsia="zh-CN"/>
                    </w:rPr>
                    <w:t>数据</w:t>
                  </w:r>
                </w:p>
              </w:tc>
            </w:tr>
            <w:tr w14:paraId="2AD04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78" w:type="pct"/>
                  <w:vMerge w:val="continue"/>
                  <w:noWrap w:val="0"/>
                  <w:vAlign w:val="center"/>
                </w:tcPr>
                <w:p w14:paraId="766C83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rPr>
                  </w:pPr>
                </w:p>
              </w:tc>
              <w:tc>
                <w:tcPr>
                  <w:tcW w:w="918" w:type="pct"/>
                  <w:vMerge w:val="continue"/>
                  <w:noWrap w:val="0"/>
                  <w:vAlign w:val="center"/>
                </w:tcPr>
                <w:p w14:paraId="117C6B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rPr>
                  </w:pPr>
                </w:p>
              </w:tc>
              <w:tc>
                <w:tcPr>
                  <w:tcW w:w="1885" w:type="pct"/>
                  <w:vMerge w:val="continue"/>
                  <w:noWrap w:val="0"/>
                  <w:vAlign w:val="center"/>
                </w:tcPr>
                <w:p w14:paraId="20EF28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rPr>
                  </w:pPr>
                </w:p>
              </w:tc>
              <w:tc>
                <w:tcPr>
                  <w:tcW w:w="918" w:type="pct"/>
                  <w:noWrap w:val="0"/>
                  <w:vAlign w:val="center"/>
                </w:tcPr>
                <w:p w14:paraId="470233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i w:val="0"/>
                      <w:iCs w:val="0"/>
                      <w:caps w:val="0"/>
                      <w:color w:val="auto"/>
                      <w:spacing w:val="0"/>
                      <w:sz w:val="21"/>
                      <w:szCs w:val="21"/>
                      <w:shd w:val="clear" w:fill="FFFFFF"/>
                    </w:rPr>
                  </w:pPr>
                  <w:r>
                    <w:rPr>
                      <w:rFonts w:hint="eastAsia" w:cs="Times New Roman"/>
                      <w:b/>
                      <w:bCs/>
                      <w:i w:val="0"/>
                      <w:iCs w:val="0"/>
                      <w:caps w:val="0"/>
                      <w:color w:val="auto"/>
                      <w:spacing w:val="0"/>
                      <w:sz w:val="21"/>
                      <w:szCs w:val="21"/>
                      <w:shd w:val="clear" w:fill="FFFFFF"/>
                      <w:lang w:eastAsia="zh-CN"/>
                    </w:rPr>
                    <w:t>μg/m3</w:t>
                  </w:r>
                </w:p>
              </w:tc>
            </w:tr>
            <w:tr w14:paraId="6CCF8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78" w:type="pct"/>
                  <w:vMerge w:val="restart"/>
                  <w:noWrap w:val="0"/>
                  <w:vAlign w:val="center"/>
                </w:tcPr>
                <w:p w14:paraId="667F80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eastAsia="宋体" w:cs="Times New Roman"/>
                      <w:i w:val="0"/>
                      <w:iCs w:val="0"/>
                      <w:caps w:val="0"/>
                      <w:color w:val="auto"/>
                      <w:spacing w:val="0"/>
                      <w:sz w:val="21"/>
                      <w:szCs w:val="21"/>
                      <w:shd w:val="clear" w:fill="FFFFFF"/>
                    </w:rPr>
                    <w:t>项目地下风向</w:t>
                  </w:r>
                </w:p>
              </w:tc>
              <w:tc>
                <w:tcPr>
                  <w:tcW w:w="918" w:type="pct"/>
                  <w:vMerge w:val="restart"/>
                  <w:noWrap w:val="0"/>
                  <w:vAlign w:val="center"/>
                </w:tcPr>
                <w:p w14:paraId="43D67D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eastAsia="宋体" w:cs="Times New Roman"/>
                      <w:i w:val="0"/>
                      <w:iCs w:val="0"/>
                      <w:caps w:val="0"/>
                      <w:color w:val="auto"/>
                      <w:spacing w:val="0"/>
                      <w:sz w:val="21"/>
                      <w:szCs w:val="21"/>
                      <w:shd w:val="clear" w:fill="FFFFFF"/>
                    </w:rPr>
                    <w:t>TSP</w:t>
                  </w:r>
                </w:p>
              </w:tc>
              <w:tc>
                <w:tcPr>
                  <w:tcW w:w="1885" w:type="pct"/>
                  <w:noWrap w:val="0"/>
                  <w:vAlign w:val="center"/>
                </w:tcPr>
                <w:p w14:paraId="7D024401">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cs="Times New Roman"/>
                      <w:b w:val="0"/>
                      <w:bCs w:val="0"/>
                      <w:color w:val="auto"/>
                      <w:sz w:val="21"/>
                      <w:szCs w:val="21"/>
                      <w:lang w:val="en-US" w:eastAsia="zh-CN"/>
                    </w:rPr>
                    <w:t>2024.04.17-2024.04.18</w:t>
                  </w:r>
                </w:p>
              </w:tc>
              <w:tc>
                <w:tcPr>
                  <w:tcW w:w="918" w:type="pct"/>
                  <w:noWrap w:val="0"/>
                  <w:vAlign w:val="center"/>
                </w:tcPr>
                <w:p w14:paraId="2A24F177">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148</w:t>
                  </w:r>
                </w:p>
              </w:tc>
            </w:tr>
            <w:tr w14:paraId="0AB33D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78" w:type="pct"/>
                  <w:vMerge w:val="continue"/>
                  <w:noWrap w:val="0"/>
                  <w:vAlign w:val="center"/>
                </w:tcPr>
                <w:p w14:paraId="77B5EE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p>
              </w:tc>
              <w:tc>
                <w:tcPr>
                  <w:tcW w:w="918" w:type="pct"/>
                  <w:vMerge w:val="continue"/>
                  <w:noWrap w:val="0"/>
                  <w:vAlign w:val="center"/>
                </w:tcPr>
                <w:p w14:paraId="7AE53F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p>
              </w:tc>
              <w:tc>
                <w:tcPr>
                  <w:tcW w:w="1885" w:type="pct"/>
                  <w:noWrap w:val="0"/>
                  <w:vAlign w:val="center"/>
                </w:tcPr>
                <w:p w14:paraId="78B22CB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cs="Times New Roman"/>
                      <w:b w:val="0"/>
                      <w:bCs w:val="0"/>
                      <w:color w:val="auto"/>
                      <w:sz w:val="21"/>
                      <w:szCs w:val="21"/>
                      <w:lang w:val="en-US" w:eastAsia="zh-CN"/>
                    </w:rPr>
                    <w:t>2024.04.18-2024.04.19</w:t>
                  </w:r>
                </w:p>
              </w:tc>
              <w:tc>
                <w:tcPr>
                  <w:tcW w:w="918" w:type="pct"/>
                  <w:noWrap w:val="0"/>
                  <w:vAlign w:val="center"/>
                </w:tcPr>
                <w:p w14:paraId="166D662B">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139</w:t>
                  </w:r>
                </w:p>
              </w:tc>
            </w:tr>
            <w:tr w14:paraId="45898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78" w:type="pct"/>
                  <w:vMerge w:val="continue"/>
                  <w:noWrap w:val="0"/>
                  <w:vAlign w:val="center"/>
                </w:tcPr>
                <w:p w14:paraId="799091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p>
              </w:tc>
              <w:tc>
                <w:tcPr>
                  <w:tcW w:w="918" w:type="pct"/>
                  <w:vMerge w:val="continue"/>
                  <w:noWrap w:val="0"/>
                  <w:vAlign w:val="center"/>
                </w:tcPr>
                <w:p w14:paraId="4CDD35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p>
              </w:tc>
              <w:tc>
                <w:tcPr>
                  <w:tcW w:w="1885" w:type="pct"/>
                  <w:noWrap w:val="0"/>
                  <w:vAlign w:val="center"/>
                </w:tcPr>
                <w:p w14:paraId="58553D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rPr>
                  </w:pPr>
                  <w:r>
                    <w:rPr>
                      <w:rFonts w:hint="default" w:ascii="Times New Roman" w:hAnsi="Times New Roman" w:cs="Times New Roman"/>
                      <w:b w:val="0"/>
                      <w:bCs w:val="0"/>
                      <w:color w:val="auto"/>
                      <w:sz w:val="21"/>
                      <w:szCs w:val="21"/>
                      <w:lang w:val="en-US" w:eastAsia="zh-CN"/>
                    </w:rPr>
                    <w:t>2024.04.19-2024.04.20</w:t>
                  </w:r>
                </w:p>
              </w:tc>
              <w:tc>
                <w:tcPr>
                  <w:tcW w:w="918" w:type="pct"/>
                  <w:noWrap w:val="0"/>
                  <w:vAlign w:val="center"/>
                </w:tcPr>
                <w:p w14:paraId="7297C7A2">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150</w:t>
                  </w:r>
                </w:p>
              </w:tc>
            </w:tr>
          </w:tbl>
          <w:p w14:paraId="44925FF5">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rPr>
              <w:t>根据监测结果，TSP浓度监测值满足</w:t>
            </w:r>
            <w:r>
              <w:rPr>
                <w:rFonts w:hint="default" w:ascii="Times New Roman" w:hAnsi="Times New Roman" w:cs="Times New Roman"/>
                <w:color w:val="auto"/>
                <w:sz w:val="24"/>
              </w:rPr>
              <w:t>《环境空气质量标准》（GB3095-2012）二级标准要求</w:t>
            </w:r>
            <w:r>
              <w:rPr>
                <w:rFonts w:hint="default" w:ascii="Times New Roman" w:hAnsi="Times New Roman" w:cs="Times New Roman"/>
                <w:color w:val="auto"/>
                <w:kern w:val="0"/>
                <w:sz w:val="24"/>
              </w:rPr>
              <w:t>中24小时平均值。</w:t>
            </w:r>
          </w:p>
          <w:p w14:paraId="6888E499">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14:paraId="424FDDD7">
            <w:pPr>
              <w:adjustRightInd w:val="0"/>
              <w:snapToGrid w:val="0"/>
              <w:spacing w:line="348"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rPr>
              <w:t>根据项目区域水系图可知，</w:t>
            </w:r>
            <w:r>
              <w:rPr>
                <w:rFonts w:hint="default" w:ascii="Times New Roman" w:hAnsi="Times New Roman" w:eastAsia="宋体" w:cs="Times New Roman"/>
                <w:color w:val="auto"/>
                <w:kern w:val="0"/>
                <w:sz w:val="24"/>
                <w:highlight w:val="none"/>
                <w:lang w:val="zh-CN"/>
              </w:rPr>
              <w:t>本项目距离最近的地表水体为</w:t>
            </w:r>
            <w:r>
              <w:rPr>
                <w:rFonts w:hint="default" w:ascii="Times New Roman" w:hAnsi="Times New Roman" w:cs="Times New Roman"/>
                <w:color w:val="auto"/>
                <w:kern w:val="0"/>
                <w:sz w:val="24"/>
                <w:highlight w:val="none"/>
                <w:lang w:val="en-US" w:eastAsia="zh-CN"/>
              </w:rPr>
              <w:t>东</w:t>
            </w:r>
            <w:r>
              <w:rPr>
                <w:rFonts w:hint="default" w:ascii="Times New Roman" w:hAnsi="Times New Roman" w:eastAsia="宋体" w:cs="Times New Roman"/>
                <w:color w:val="auto"/>
                <w:kern w:val="0"/>
                <w:sz w:val="24"/>
                <w:highlight w:val="none"/>
              </w:rPr>
              <w:t>南侧</w:t>
            </w:r>
            <w:r>
              <w:rPr>
                <w:rFonts w:hint="default" w:ascii="Times New Roman" w:hAnsi="Times New Roman" w:cs="Times New Roman"/>
                <w:color w:val="auto"/>
                <w:kern w:val="0"/>
                <w:sz w:val="24"/>
                <w:highlight w:val="none"/>
                <w:lang w:val="en-US" w:eastAsia="zh-CN"/>
              </w:rPr>
              <w:t>1966</w:t>
            </w:r>
            <w:r>
              <w:rPr>
                <w:rFonts w:hint="default" w:ascii="Times New Roman" w:hAnsi="Times New Roman" w:eastAsia="宋体" w:cs="Times New Roman"/>
                <w:color w:val="auto"/>
                <w:kern w:val="0"/>
                <w:sz w:val="24"/>
                <w:highlight w:val="none"/>
              </w:rPr>
              <w:t>m处的</w:t>
            </w:r>
            <w:r>
              <w:rPr>
                <w:rFonts w:hint="default" w:ascii="Times New Roman" w:hAnsi="Times New Roman" w:eastAsia="宋体" w:cs="Times New Roman"/>
                <w:color w:val="auto"/>
                <w:sz w:val="24"/>
                <w:highlight w:val="none"/>
                <w:shd w:val="clear" w:color="auto" w:fill="auto"/>
                <w:lang w:val="en-US" w:eastAsia="zh-CN"/>
              </w:rPr>
              <w:t>三月三水库；项目</w:t>
            </w:r>
            <w:r>
              <w:rPr>
                <w:rFonts w:hint="default" w:ascii="Times New Roman" w:hAnsi="Times New Roman" w:eastAsia="宋体" w:cs="Times New Roman"/>
                <w:color w:val="auto"/>
                <w:sz w:val="24"/>
                <w:highlight w:val="none"/>
                <w:shd w:val="clear" w:color="auto" w:fill="auto"/>
              </w:rPr>
              <w:t>西南侧</w:t>
            </w:r>
            <w:r>
              <w:rPr>
                <w:rFonts w:hint="default" w:ascii="Times New Roman" w:hAnsi="Times New Roman" w:cs="Times New Roman"/>
                <w:color w:val="auto"/>
                <w:sz w:val="24"/>
                <w:highlight w:val="none"/>
                <w:shd w:val="clear" w:color="auto" w:fill="auto"/>
                <w:lang w:val="en-US" w:eastAsia="zh-CN"/>
              </w:rPr>
              <w:t>2109</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，最终汇入牛栏江，属牛栏江支流。根据《云南省水功能区划（2014年修订）》，牛栏江（源头—德泽水库坝址段），水功能区划牛栏江</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滇池补水水源保护区，20</w:t>
            </w:r>
            <w:r>
              <w:rPr>
                <w:rFonts w:hint="default" w:ascii="Times New Roman" w:hAnsi="Times New Roman" w:cs="Times New Roman"/>
                <w:color w:val="auto"/>
                <w:sz w:val="24"/>
                <w:highlight w:val="none"/>
                <w:lang w:val="en-US" w:eastAsia="zh-CN"/>
              </w:rPr>
              <w:t>30</w:t>
            </w:r>
            <w:r>
              <w:rPr>
                <w:rFonts w:hint="default" w:ascii="Times New Roman" w:hAnsi="Times New Roman" w:eastAsia="宋体" w:cs="Times New Roman"/>
                <w:color w:val="auto"/>
                <w:sz w:val="24"/>
                <w:highlight w:val="none"/>
              </w:rPr>
              <w:t>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由于《云南省水功能区划（2014年修订）》中未列出</w:t>
            </w:r>
            <w:r>
              <w:rPr>
                <w:rFonts w:hint="default" w:ascii="Times New Roman" w:hAnsi="Times New Roman" w:eastAsia="宋体" w:cs="Times New Roman"/>
                <w:color w:val="auto"/>
                <w:sz w:val="24"/>
                <w:highlight w:val="none"/>
                <w:shd w:val="clear" w:color="auto" w:fill="auto"/>
              </w:rPr>
              <w:t>潘所海</w:t>
            </w:r>
            <w:r>
              <w:rPr>
                <w:rFonts w:hint="default" w:ascii="Times New Roman" w:hAnsi="Times New Roman" w:eastAsia="宋体" w:cs="Times New Roman"/>
                <w:color w:val="auto"/>
                <w:sz w:val="24"/>
                <w:highlight w:val="none"/>
                <w:shd w:val="clear" w:color="auto" w:fill="auto"/>
                <w:lang w:eastAsia="zh-CN"/>
              </w:rPr>
              <w:t>、三月三水库</w:t>
            </w:r>
            <w:r>
              <w:rPr>
                <w:rFonts w:hint="default" w:ascii="Times New Roman" w:hAnsi="Times New Roman" w:eastAsia="宋体" w:cs="Times New Roman"/>
                <w:color w:val="auto"/>
                <w:sz w:val="24"/>
                <w:highlight w:val="none"/>
                <w:lang w:val="zh-CN"/>
              </w:rPr>
              <w:t>的水环境功能区划，按照支流服从干流的原则，</w:t>
            </w:r>
            <w:r>
              <w:rPr>
                <w:rFonts w:hint="default" w:ascii="Times New Roman" w:hAnsi="Times New Roman" w:eastAsia="宋体" w:cs="Times New Roman"/>
                <w:color w:val="auto"/>
                <w:sz w:val="24"/>
                <w:highlight w:val="none"/>
                <w:shd w:val="clear" w:color="auto" w:fill="auto"/>
              </w:rPr>
              <w:t>潘所海</w:t>
            </w:r>
            <w:r>
              <w:rPr>
                <w:rFonts w:hint="default" w:ascii="Times New Roman" w:hAnsi="Times New Roman" w:eastAsia="宋体" w:cs="Times New Roman"/>
                <w:color w:val="auto"/>
                <w:sz w:val="24"/>
                <w:highlight w:val="none"/>
                <w:shd w:val="clear" w:color="auto" w:fill="auto"/>
                <w:lang w:eastAsia="zh-CN"/>
              </w:rPr>
              <w:t>、三月三水库</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w:t>
            </w:r>
            <w:r>
              <w:rPr>
                <w:rFonts w:hint="default" w:ascii="Times New Roman" w:hAnsi="Times New Roman" w:eastAsia="宋体" w:cs="Times New Roman"/>
                <w:color w:val="auto"/>
                <w:sz w:val="24"/>
                <w:highlight w:val="none"/>
                <w:lang w:val="zh-CN"/>
              </w:rPr>
              <w:t>执行《地表水环境质量标准》</w:t>
            </w:r>
            <w:r>
              <w:rPr>
                <w:rFonts w:hint="default" w:ascii="Times New Roman" w:hAnsi="Times New Roman" w:eastAsia="宋体" w:cs="Times New Roman"/>
                <w:color w:val="auto"/>
                <w:kern w:val="0"/>
                <w:sz w:val="24"/>
                <w:highlight w:val="none"/>
                <w:lang w:val="zh-CN"/>
              </w:rPr>
              <w:t>（GB3838-2002）中Ⅲ类水质标准。</w:t>
            </w:r>
          </w:p>
          <w:p w14:paraId="74E66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imes New Roman" w:hAnsi="Times New Roman" w:eastAsia="宋体" w:cs="Times New Roman"/>
                <w:b w:val="0"/>
                <w:bCs/>
                <w:i w:val="0"/>
                <w:iCs w:val="0"/>
                <w:caps w:val="0"/>
                <w:color w:val="auto"/>
                <w:spacing w:val="0"/>
                <w:kern w:val="2"/>
                <w:sz w:val="24"/>
                <w:szCs w:val="24"/>
                <w:highlight w:val="none"/>
              </w:rPr>
            </w:pPr>
            <w:r>
              <w:rPr>
                <w:rFonts w:hint="default" w:ascii="Times New Roman" w:hAnsi="Times New Roman" w:eastAsia="宋体" w:cs="Times New Roman"/>
                <w:b w:val="0"/>
                <w:bCs/>
                <w:color w:val="auto"/>
                <w:kern w:val="2"/>
                <w:sz w:val="24"/>
                <w:szCs w:val="24"/>
                <w:highlight w:val="none"/>
                <w:lang w:val="en-US" w:eastAsia="zh-CN"/>
              </w:rPr>
              <w:t>根据</w:t>
            </w:r>
            <w:r>
              <w:rPr>
                <w:rFonts w:hint="default" w:ascii="Times New Roman" w:hAnsi="Times New Roman" w:eastAsia="宋体" w:cs="Times New Roman"/>
                <w:b w:val="0"/>
                <w:bCs/>
                <w:color w:val="auto"/>
                <w:sz w:val="24"/>
                <w:highlight w:val="none"/>
                <w:lang w:val="zh-CN"/>
              </w:rPr>
              <w:t>《2023年07月寻甸县水环境质量监测月报（二零二三年第七期）》</w:t>
            </w:r>
            <w:r>
              <w:rPr>
                <w:rFonts w:hint="default" w:ascii="Times New Roman" w:hAnsi="Times New Roman" w:eastAsia="宋体" w:cs="Times New Roman"/>
                <w:b w:val="0"/>
                <w:bCs/>
                <w:color w:val="auto"/>
                <w:sz w:val="24"/>
                <w:highlight w:val="none"/>
                <w:lang w:val="en-US" w:eastAsia="zh-CN"/>
              </w:rPr>
              <w:t>可知，</w:t>
            </w:r>
            <w:r>
              <w:rPr>
                <w:rFonts w:hint="default" w:ascii="Times New Roman" w:hAnsi="Times New Roman" w:eastAsia="宋体" w:cs="Times New Roman"/>
                <w:b w:val="0"/>
                <w:bCs w:val="0"/>
                <w:i w:val="0"/>
                <w:iCs w:val="0"/>
                <w:caps w:val="0"/>
                <w:color w:val="auto"/>
                <w:spacing w:val="0"/>
                <w:kern w:val="2"/>
                <w:sz w:val="24"/>
                <w:szCs w:val="24"/>
                <w:highlight w:val="none"/>
                <w:shd w:val="clear"/>
                <w:lang w:val="zh-CN"/>
              </w:rPr>
              <w:t>2023年0</w:t>
            </w:r>
            <w:r>
              <w:rPr>
                <w:rFonts w:hint="default" w:ascii="Times New Roman" w:hAnsi="Times New Roman" w:eastAsia="宋体" w:cs="Times New Roman"/>
                <w:b w:val="0"/>
                <w:bCs w:val="0"/>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b w:val="0"/>
                <w:bCs w:val="0"/>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 w:val="0"/>
                <w:bCs w:val="0"/>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hint="default" w:ascii="Times New Roman" w:hAnsi="Times New Roman" w:eastAsia="宋体" w:cs="Times New Roman"/>
                <w:b w:val="0"/>
                <w:bCs w:val="0"/>
                <w:i w:val="0"/>
                <w:iCs w:val="0"/>
                <w:caps w:val="0"/>
                <w:color w:val="auto"/>
                <w:spacing w:val="0"/>
                <w:kern w:val="2"/>
                <w:sz w:val="24"/>
                <w:szCs w:val="24"/>
                <w:highlight w:val="none"/>
                <w:shd w:val="clear"/>
              </w:rPr>
              <w:t>湖库7个，共设7个监测点位，依据监测数据，7个监测断面中新田河干涸无水，达到Ⅲ类以上水质标准的有</w:t>
            </w:r>
            <w:r>
              <w:rPr>
                <w:rFonts w:hint="default" w:ascii="Times New Roman" w:hAnsi="Times New Roman" w:eastAsia="宋体" w:cs="Times New Roman"/>
                <w:b w:val="0"/>
                <w:bCs w:val="0"/>
                <w:i w:val="0"/>
                <w:iCs w:val="0"/>
                <w:caps w:val="0"/>
                <w:color w:val="auto"/>
                <w:spacing w:val="0"/>
                <w:kern w:val="2"/>
                <w:sz w:val="24"/>
                <w:szCs w:val="24"/>
                <w:highlight w:val="none"/>
                <w:shd w:val="clear"/>
                <w:lang w:val="en-US" w:eastAsia="zh-CN"/>
              </w:rPr>
              <w:t>5</w:t>
            </w:r>
            <w:r>
              <w:rPr>
                <w:rFonts w:hint="default" w:ascii="Times New Roman" w:hAnsi="Times New Roman" w:eastAsia="宋体" w:cs="Times New Roman"/>
                <w:b w:val="0"/>
                <w:bCs w:val="0"/>
                <w:i w:val="0"/>
                <w:iCs w:val="0"/>
                <w:caps w:val="0"/>
                <w:color w:val="auto"/>
                <w:spacing w:val="0"/>
                <w:kern w:val="2"/>
                <w:sz w:val="24"/>
                <w:szCs w:val="24"/>
                <w:highlight w:val="none"/>
                <w:shd w:val="clear"/>
              </w:rPr>
              <w:t>个，水质达标率为71.43%</w:t>
            </w:r>
            <w:r>
              <w:rPr>
                <w:rFonts w:hint="default" w:ascii="Times New Roman" w:hAnsi="Times New Roman" w:eastAsia="宋体" w:cs="Times New Roman"/>
                <w:b w:val="0"/>
                <w:bCs w:val="0"/>
                <w:i w:val="0"/>
                <w:iCs w:val="0"/>
                <w:caps w:val="0"/>
                <w:color w:val="auto"/>
                <w:spacing w:val="0"/>
                <w:kern w:val="2"/>
                <w:sz w:val="24"/>
                <w:szCs w:val="24"/>
                <w:highlight w:val="none"/>
                <w:shd w:val="clear"/>
                <w:lang w:eastAsia="zh-CN"/>
              </w:rPr>
              <w:t>，</w:t>
            </w:r>
            <w:r>
              <w:rPr>
                <w:rFonts w:hint="default" w:ascii="Times New Roman" w:hAnsi="Times New Roman" w:eastAsia="宋体" w:cs="Times New Roman"/>
                <w:b w:val="0"/>
                <w:bCs w:val="0"/>
                <w:i w:val="0"/>
                <w:iCs w:val="0"/>
                <w:caps w:val="0"/>
                <w:color w:val="auto"/>
                <w:spacing w:val="0"/>
                <w:kern w:val="2"/>
                <w:sz w:val="24"/>
                <w:szCs w:val="24"/>
                <w:highlight w:val="none"/>
                <w:shd w:val="clear"/>
                <w:lang w:val="en-US" w:eastAsia="zh-CN"/>
              </w:rPr>
              <w:t>监测结果如下表所示。</w:t>
            </w:r>
          </w:p>
          <w:p w14:paraId="5B7C29CA">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default"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w:t>
            </w:r>
            <w:r>
              <w:rPr>
                <w:rStyle w:val="31"/>
                <w:rFonts w:hint="default" w:ascii="Times New Roman" w:hAnsi="Times New Roman" w:eastAsia="宋体" w:cs="Times New Roman"/>
                <w:b/>
                <w:bCs/>
                <w:i w:val="0"/>
                <w:iCs w:val="0"/>
                <w:caps w:val="0"/>
                <w:color w:val="auto"/>
                <w:spacing w:val="0"/>
                <w:sz w:val="21"/>
                <w:szCs w:val="21"/>
                <w:shd w:val="clear" w:fill="FFFFFF"/>
              </w:rPr>
              <w:t>2023年0</w:t>
            </w:r>
            <w:r>
              <w:rPr>
                <w:rStyle w:val="31"/>
                <w:rFonts w:hint="default" w:ascii="Times New Roman" w:hAnsi="Times New Roman" w:eastAsia="宋体" w:cs="Times New Roman"/>
                <w:b/>
                <w:bCs/>
                <w:i w:val="0"/>
                <w:iCs w:val="0"/>
                <w:caps w:val="0"/>
                <w:color w:val="auto"/>
                <w:spacing w:val="0"/>
                <w:sz w:val="21"/>
                <w:szCs w:val="21"/>
                <w:shd w:val="clear" w:fill="FFFFFF"/>
                <w:lang w:val="en-US" w:eastAsia="zh-CN"/>
              </w:rPr>
              <w:t>5</w:t>
            </w:r>
            <w:r>
              <w:rPr>
                <w:rStyle w:val="31"/>
                <w:rFonts w:hint="default" w:ascii="Times New Roman" w:hAnsi="Times New Roman" w:eastAsia="宋体" w:cs="Times New Roman"/>
                <w:b/>
                <w:bCs/>
                <w:i w:val="0"/>
                <w:iCs w:val="0"/>
                <w:caps w:val="0"/>
                <w:color w:val="auto"/>
                <w:spacing w:val="0"/>
                <w:sz w:val="21"/>
                <w:szCs w:val="21"/>
                <w:shd w:val="clear" w:fill="FFFFFF"/>
              </w:rPr>
              <w:t>月寻甸境内湖库质状况统计表</w:t>
            </w:r>
          </w:p>
          <w:tbl>
            <w:tblPr>
              <w:tblStyle w:val="2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77"/>
              <w:gridCol w:w="651"/>
              <w:gridCol w:w="606"/>
              <w:gridCol w:w="1132"/>
              <w:gridCol w:w="4053"/>
            </w:tblGrid>
            <w:tr w14:paraId="3AF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76C5BF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77" w:type="dxa"/>
                  <w:vAlign w:val="center"/>
                </w:tcPr>
                <w:p w14:paraId="42A73E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51" w:type="dxa"/>
                  <w:vAlign w:val="center"/>
                </w:tcPr>
                <w:p w14:paraId="0EF35E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606" w:type="dxa"/>
                  <w:vAlign w:val="center"/>
                </w:tcPr>
                <w:p w14:paraId="50DDB9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132" w:type="dxa"/>
                  <w:vAlign w:val="center"/>
                </w:tcPr>
                <w:p w14:paraId="02C8C2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4053" w:type="dxa"/>
                  <w:vAlign w:val="center"/>
                </w:tcPr>
                <w:p w14:paraId="1CCDDE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1"/>
                      <w:rFonts w:hint="eastAsia" w:cs="Times New Roman"/>
                      <w:b/>
                      <w:bCs/>
                      <w:i w:val="0"/>
                      <w:iCs w:val="0"/>
                      <w:caps w:val="0"/>
                      <w:color w:val="auto"/>
                      <w:spacing w:val="0"/>
                      <w:sz w:val="21"/>
                      <w:szCs w:val="21"/>
                      <w:shd w:val="clear" w:fill="FFFFFF"/>
                      <w:lang w:eastAsia="zh-CN"/>
                    </w:rPr>
                    <w:t>（</w:t>
                  </w:r>
                  <w:r>
                    <w:rPr>
                      <w:rStyle w:val="31"/>
                      <w:rFonts w:hint="default" w:ascii="Times New Roman" w:hAnsi="Times New Roman" w:eastAsia="宋体" w:cs="Times New Roman"/>
                      <w:b/>
                      <w:bCs/>
                      <w:i w:val="0"/>
                      <w:iCs w:val="0"/>
                      <w:caps w:val="0"/>
                      <w:color w:val="auto"/>
                      <w:spacing w:val="0"/>
                      <w:sz w:val="21"/>
                      <w:szCs w:val="21"/>
                      <w:shd w:val="clear" w:fill="FFFFFF"/>
                    </w:rPr>
                    <w:t>wpi</w:t>
                  </w:r>
                  <w:r>
                    <w:rPr>
                      <w:rStyle w:val="31"/>
                      <w:rFonts w:hint="eastAsia" w:cs="Times New Roman"/>
                      <w:b/>
                      <w:bCs/>
                      <w:i w:val="0"/>
                      <w:iCs w:val="0"/>
                      <w:caps w:val="0"/>
                      <w:color w:val="auto"/>
                      <w:spacing w:val="0"/>
                      <w:sz w:val="21"/>
                      <w:szCs w:val="21"/>
                      <w:shd w:val="clear" w:fill="FFFFFF"/>
                      <w:lang w:eastAsia="zh-CN"/>
                    </w:rPr>
                    <w:t>）</w:t>
                  </w:r>
                  <w:r>
                    <w:rPr>
                      <w:rStyle w:val="31"/>
                      <w:rFonts w:hint="default" w:ascii="Times New Roman" w:hAnsi="Times New Roman" w:eastAsia="宋体" w:cs="Times New Roman"/>
                      <w:b/>
                      <w:bCs/>
                      <w:i w:val="0"/>
                      <w:iCs w:val="0"/>
                      <w:caps w:val="0"/>
                      <w:color w:val="auto"/>
                      <w:spacing w:val="0"/>
                      <w:sz w:val="21"/>
                      <w:szCs w:val="21"/>
                      <w:shd w:val="clear" w:fill="FFFFFF"/>
                    </w:rPr>
                    <w:t>水质类别超标项目与超标倍数</w:t>
                  </w:r>
                </w:p>
              </w:tc>
            </w:tr>
            <w:tr w14:paraId="382F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51EC27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rPr>
                    <w:t>潘所海</w:t>
                  </w:r>
                </w:p>
              </w:tc>
              <w:tc>
                <w:tcPr>
                  <w:tcW w:w="677" w:type="dxa"/>
                  <w:vAlign w:val="center"/>
                </w:tcPr>
                <w:p w14:paraId="5A52AA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rPr>
                    <w:t>2023</w:t>
                  </w:r>
                </w:p>
              </w:tc>
              <w:tc>
                <w:tcPr>
                  <w:tcW w:w="651" w:type="dxa"/>
                  <w:vAlign w:val="center"/>
                </w:tcPr>
                <w:p w14:paraId="0E105E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rPr>
                    <w:t>07</w:t>
                  </w:r>
                </w:p>
              </w:tc>
              <w:tc>
                <w:tcPr>
                  <w:tcW w:w="606" w:type="dxa"/>
                  <w:vAlign w:val="center"/>
                </w:tcPr>
                <w:p w14:paraId="27945F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rPr>
                    <w:t>04</w:t>
                  </w:r>
                </w:p>
              </w:tc>
              <w:tc>
                <w:tcPr>
                  <w:tcW w:w="1132" w:type="dxa"/>
                  <w:vAlign w:val="center"/>
                </w:tcPr>
                <w:p w14:paraId="302F06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lang w:val="zh-CN" w:eastAsia="zh-CN"/>
                    </w:rPr>
                  </w:pPr>
                  <w:r>
                    <w:rPr>
                      <w:rFonts w:hint="default" w:ascii="Times New Roman" w:hAnsi="Times New Roman" w:eastAsia="宋体" w:cs="Times New Roman"/>
                      <w:i w:val="0"/>
                      <w:iCs w:val="0"/>
                      <w:caps w:val="0"/>
                      <w:color w:val="auto"/>
                      <w:spacing w:val="0"/>
                      <w:sz w:val="21"/>
                      <w:szCs w:val="21"/>
                      <w:shd w:val="clear" w:fill="FFFFFF"/>
                    </w:rPr>
                    <w:t>劣Ⅴ类</w:t>
                  </w:r>
                </w:p>
              </w:tc>
              <w:tc>
                <w:tcPr>
                  <w:tcW w:w="4053" w:type="dxa"/>
                  <w:vAlign w:val="center"/>
                </w:tcPr>
                <w:p w14:paraId="72B03A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aps w:val="0"/>
                      <w:color w:val="auto"/>
                      <w:spacing w:val="0"/>
                      <w:sz w:val="21"/>
                      <w:szCs w:val="21"/>
                      <w:shd w:val="clear" w:fill="FFFFFF"/>
                      <w:lang w:val="zh-CN" w:eastAsia="zh-CN"/>
                    </w:rPr>
                  </w:pPr>
                  <w:r>
                    <w:rPr>
                      <w:rFonts w:hint="default" w:ascii="Times New Roman" w:hAnsi="Times New Roman" w:eastAsia="宋体" w:cs="Times New Roman"/>
                      <w:i w:val="0"/>
                      <w:iCs w:val="0"/>
                      <w:caps w:val="0"/>
                      <w:color w:val="auto"/>
                      <w:spacing w:val="0"/>
                      <w:sz w:val="21"/>
                      <w:szCs w:val="21"/>
                      <w:shd w:val="clear" w:fill="FFFFFF"/>
                    </w:rPr>
                    <w:t>总磷</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4.0)</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劣Ⅴ类),化学需氧量</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2.2)</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劣Ⅴ类</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五日生化需氧量</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0.4)(Ⅳ类</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高锰酸盐指数</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0.2)(Ⅳ类</w:t>
                  </w:r>
                  <w:r>
                    <w:rPr>
                      <w:rFonts w:hint="eastAsia"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w:t>
                  </w:r>
                </w:p>
              </w:tc>
            </w:tr>
            <w:tr w14:paraId="690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26BC2C1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zh-CN"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三月三水库</w:t>
                  </w:r>
                </w:p>
              </w:tc>
              <w:tc>
                <w:tcPr>
                  <w:tcW w:w="677" w:type="dxa"/>
                  <w:vAlign w:val="center"/>
                </w:tcPr>
                <w:p w14:paraId="240ADAD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2023</w:t>
                  </w:r>
                </w:p>
              </w:tc>
              <w:tc>
                <w:tcPr>
                  <w:tcW w:w="651" w:type="dxa"/>
                  <w:vAlign w:val="center"/>
                </w:tcPr>
                <w:p w14:paraId="25CE498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07</w:t>
                  </w:r>
                </w:p>
              </w:tc>
              <w:tc>
                <w:tcPr>
                  <w:tcW w:w="606" w:type="dxa"/>
                  <w:vAlign w:val="center"/>
                </w:tcPr>
                <w:p w14:paraId="6B92E30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04</w:t>
                  </w:r>
                </w:p>
              </w:tc>
              <w:tc>
                <w:tcPr>
                  <w:tcW w:w="1132" w:type="dxa"/>
                  <w:vAlign w:val="center"/>
                </w:tcPr>
                <w:p w14:paraId="6853F0D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zh-CN"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劣Ⅴ类</w:t>
                  </w:r>
                </w:p>
              </w:tc>
              <w:tc>
                <w:tcPr>
                  <w:tcW w:w="4053" w:type="dxa"/>
                  <w:vAlign w:val="center"/>
                </w:tcPr>
                <w:p w14:paraId="102AA06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zh-CN"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化学需氧量</w:t>
                  </w:r>
                  <w:r>
                    <w:rPr>
                      <w:rFonts w:hint="eastAsia" w:ascii="Times New Roman" w:hAnsi="Times New Roman"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1.4)</w:t>
                  </w:r>
                  <w:r>
                    <w:rPr>
                      <w:rFonts w:hint="eastAsia" w:ascii="Times New Roman" w:hAnsi="Times New Roman"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劣Ⅴ类</w:t>
                  </w:r>
                  <w:r>
                    <w:rPr>
                      <w:rFonts w:hint="eastAsia" w:ascii="Times New Roman" w:hAnsi="Times New Roman" w:cs="Times New Roman"/>
                      <w:i w:val="0"/>
                      <w:iCs w:val="0"/>
                      <w:caps w:val="0"/>
                      <w:color w:val="auto"/>
                      <w:spacing w:val="0"/>
                      <w:kern w:val="2"/>
                      <w:sz w:val="21"/>
                      <w:szCs w:val="21"/>
                      <w:shd w:val="clear" w:fill="FFFFFF"/>
                      <w:lang w:val="en-US" w:eastAsia="zh-CN" w:bidi="ar-SA"/>
                    </w:rPr>
                    <w:t>）</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w:t>
                  </w:r>
                </w:p>
              </w:tc>
            </w:tr>
          </w:tbl>
          <w:p w14:paraId="1C7D1B5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i w:val="0"/>
                <w:iCs w:val="0"/>
                <w:caps w:val="0"/>
                <w:color w:val="auto"/>
                <w:spacing w:val="0"/>
                <w:sz w:val="24"/>
                <w:szCs w:val="24"/>
                <w:shd w:val="clear"/>
                <w:lang w:val="en-US" w:eastAsia="zh-CN"/>
              </w:rPr>
              <w:t>根据统计表中可知，潘所海为</w:t>
            </w:r>
            <w:r>
              <w:rPr>
                <w:rFonts w:hint="default" w:ascii="Times New Roman" w:hAnsi="Times New Roman" w:eastAsia="宋体" w:cs="Times New Roman"/>
                <w:i w:val="0"/>
                <w:iCs w:val="0"/>
                <w:caps w:val="0"/>
                <w:color w:val="auto"/>
                <w:spacing w:val="0"/>
                <w:sz w:val="24"/>
                <w:szCs w:val="24"/>
                <w:shd w:val="clear" w:fill="FFFFFF"/>
              </w:rPr>
              <w:t>Ⅴ类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4"/>
                <w:highlight w:val="none"/>
              </w:rPr>
              <w:t>监测指标中</w:t>
            </w:r>
            <w:r>
              <w:rPr>
                <w:rFonts w:hint="default" w:ascii="Times New Roman" w:hAnsi="Times New Roman" w:eastAsia="宋体" w:cs="Times New Roman"/>
                <w:i w:val="0"/>
                <w:iCs w:val="0"/>
                <w:caps w:val="0"/>
                <w:color w:val="auto"/>
                <w:spacing w:val="0"/>
                <w:sz w:val="24"/>
                <w:szCs w:val="24"/>
                <w:shd w:val="clear" w:fill="FFFFFF"/>
              </w:rPr>
              <w:t>总磷</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化学</w:t>
            </w:r>
            <w:r>
              <w:rPr>
                <w:rFonts w:hint="default" w:ascii="Times New Roman" w:hAnsi="Times New Roman" w:eastAsia="宋体" w:cs="Times New Roman"/>
                <w:i w:val="0"/>
                <w:iCs w:val="0"/>
                <w:caps w:val="0"/>
                <w:color w:val="auto"/>
                <w:spacing w:val="0"/>
                <w:sz w:val="24"/>
                <w:szCs w:val="24"/>
                <w:highlight w:val="none"/>
                <w:shd w:val="clear"/>
              </w:rPr>
              <w:t>需氧量</w:t>
            </w:r>
            <w:r>
              <w:rPr>
                <w:rFonts w:hint="default" w:ascii="Times New Roman" w:hAnsi="Times New Roman" w:eastAsia="宋体" w:cs="Times New Roman"/>
                <w:i w:val="0"/>
                <w:iCs w:val="0"/>
                <w:caps w:val="0"/>
                <w:color w:val="auto"/>
                <w:spacing w:val="0"/>
                <w:sz w:val="24"/>
                <w:szCs w:val="24"/>
                <w:highlight w:val="none"/>
                <w:shd w:val="clear"/>
                <w:lang w:eastAsia="zh-CN"/>
              </w:rPr>
              <w:t>、</w:t>
            </w:r>
            <w:r>
              <w:rPr>
                <w:rFonts w:hint="default" w:ascii="Times New Roman" w:hAnsi="Times New Roman" w:eastAsia="宋体" w:cs="Times New Roman"/>
                <w:i w:val="0"/>
                <w:iCs w:val="0"/>
                <w:caps w:val="0"/>
                <w:color w:val="auto"/>
                <w:spacing w:val="0"/>
                <w:sz w:val="24"/>
                <w:szCs w:val="24"/>
                <w:highlight w:val="none"/>
                <w:shd w:val="clear"/>
              </w:rPr>
              <w:t>高锰酸盐指数</w:t>
            </w:r>
            <w:r>
              <w:rPr>
                <w:rFonts w:hint="default" w:ascii="Times New Roman" w:hAnsi="Times New Roman" w:eastAsia="宋体" w:cs="Times New Roman"/>
                <w:i w:val="0"/>
                <w:iCs w:val="0"/>
                <w:caps w:val="0"/>
                <w:color w:val="auto"/>
                <w:spacing w:val="0"/>
                <w:sz w:val="24"/>
                <w:szCs w:val="24"/>
                <w:highlight w:val="none"/>
                <w:shd w:val="clear"/>
                <w:lang w:eastAsia="zh-CN"/>
              </w:rPr>
              <w:t>、</w:t>
            </w:r>
            <w:r>
              <w:rPr>
                <w:rFonts w:hint="default" w:ascii="Times New Roman" w:hAnsi="Times New Roman" w:eastAsia="宋体" w:cs="Times New Roman"/>
                <w:i w:val="0"/>
                <w:iCs w:val="0"/>
                <w:caps w:val="0"/>
                <w:color w:val="auto"/>
                <w:spacing w:val="0"/>
                <w:sz w:val="24"/>
                <w:szCs w:val="24"/>
                <w:highlight w:val="none"/>
                <w:shd w:val="clear"/>
              </w:rPr>
              <w:t>五日生化</w:t>
            </w:r>
            <w:r>
              <w:rPr>
                <w:rFonts w:hint="default" w:ascii="Times New Roman" w:hAnsi="Times New Roman" w:eastAsia="宋体" w:cs="Times New Roman"/>
                <w:i w:val="0"/>
                <w:iCs w:val="0"/>
                <w:caps w:val="0"/>
                <w:color w:val="auto"/>
                <w:spacing w:val="0"/>
                <w:sz w:val="24"/>
                <w:szCs w:val="24"/>
                <w:shd w:val="clear" w:fill="FFFFFF"/>
              </w:rPr>
              <w:t>需氧量</w:t>
            </w:r>
            <w:r>
              <w:rPr>
                <w:rFonts w:hint="default" w:ascii="Times New Roman" w:hAnsi="Times New Roman" w:eastAsia="宋体" w:cs="Times New Roman"/>
                <w:color w:val="auto"/>
                <w:sz w:val="24"/>
                <w:szCs w:val="24"/>
                <w:highlight w:val="none"/>
              </w:rPr>
              <w:t>超标，分别超标4.0倍、2.2倍、0.2倍、0.4倍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shd w:val="clear"/>
              </w:rPr>
              <w:t>三月三水库</w:t>
            </w:r>
            <w:r>
              <w:rPr>
                <w:rFonts w:hint="default" w:ascii="Times New Roman" w:hAnsi="Times New Roman" w:eastAsia="宋体" w:cs="Times New Roman"/>
                <w:bCs w:val="0"/>
                <w:i w:val="0"/>
                <w:iCs w:val="0"/>
                <w:caps w:val="0"/>
                <w:color w:val="auto"/>
                <w:spacing w:val="0"/>
                <w:sz w:val="24"/>
                <w:szCs w:val="24"/>
                <w:highlight w:val="none"/>
                <w:shd w:val="clear"/>
                <w:lang w:val="en-US" w:eastAsia="zh-CN"/>
              </w:rPr>
              <w:t>为</w:t>
            </w:r>
            <w:r>
              <w:rPr>
                <w:rFonts w:hint="default" w:ascii="Times New Roman" w:hAnsi="Times New Roman" w:eastAsia="宋体" w:cs="Times New Roman"/>
                <w:i w:val="0"/>
                <w:iCs w:val="0"/>
                <w:caps w:val="0"/>
                <w:color w:val="auto"/>
                <w:spacing w:val="0"/>
                <w:sz w:val="24"/>
                <w:szCs w:val="24"/>
                <w:highlight w:val="none"/>
                <w:shd w:val="clear"/>
              </w:rPr>
              <w:t>劣Ⅴ类</w:t>
            </w:r>
            <w:r>
              <w:rPr>
                <w:rFonts w:hint="default" w:ascii="Times New Roman" w:hAnsi="Times New Roman" w:eastAsia="宋体" w:cs="Times New Roman"/>
                <w:i w:val="0"/>
                <w:iCs w:val="0"/>
                <w:caps w:val="0"/>
                <w:color w:val="auto"/>
                <w:spacing w:val="0"/>
                <w:sz w:val="24"/>
                <w:szCs w:val="24"/>
                <w:highlight w:val="none"/>
                <w:shd w:val="clear"/>
                <w:lang w:eastAsia="zh-CN"/>
              </w:rPr>
              <w:t>，</w:t>
            </w:r>
            <w:r>
              <w:rPr>
                <w:rFonts w:hint="default" w:ascii="Times New Roman" w:hAnsi="Times New Roman" w:eastAsia="宋体" w:cs="Times New Roman"/>
                <w:color w:val="auto"/>
                <w:sz w:val="24"/>
                <w:szCs w:val="24"/>
                <w:highlight w:val="none"/>
              </w:rPr>
              <w:t>监测指标中</w:t>
            </w:r>
            <w:r>
              <w:rPr>
                <w:rFonts w:hint="default" w:ascii="Times New Roman" w:hAnsi="Times New Roman" w:eastAsia="宋体" w:cs="Times New Roman"/>
                <w:i w:val="0"/>
                <w:iCs w:val="0"/>
                <w:caps w:val="0"/>
                <w:color w:val="auto"/>
                <w:spacing w:val="0"/>
                <w:sz w:val="24"/>
                <w:szCs w:val="24"/>
                <w:highlight w:val="none"/>
                <w:shd w:val="clear"/>
              </w:rPr>
              <w:t>化学需氧量指数</w:t>
            </w:r>
            <w:r>
              <w:rPr>
                <w:rFonts w:hint="default" w:ascii="Times New Roman" w:hAnsi="Times New Roman" w:eastAsia="宋体" w:cs="Times New Roman"/>
                <w:color w:val="auto"/>
                <w:sz w:val="24"/>
                <w:szCs w:val="24"/>
                <w:highlight w:val="none"/>
              </w:rPr>
              <w:t>超标，超标</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潘所海</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i w:val="0"/>
                <w:iCs w:val="0"/>
                <w:caps w:val="0"/>
                <w:color w:val="auto"/>
                <w:spacing w:val="0"/>
                <w:sz w:val="24"/>
                <w:szCs w:val="24"/>
                <w:shd w:val="clear" w:fill="FFFFFF"/>
              </w:rPr>
              <w:t>三月三水库</w:t>
            </w:r>
            <w:r>
              <w:rPr>
                <w:rFonts w:hint="default" w:ascii="Times New Roman" w:hAnsi="Times New Roman" w:eastAsia="宋体" w:cs="Times New Roman"/>
                <w:color w:val="auto"/>
                <w:sz w:val="24"/>
                <w:szCs w:val="24"/>
                <w:highlight w:val="none"/>
              </w:rPr>
              <w:t>水质</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不能达到《地表水环境质量标准》（GB3838-2002）Ⅲ类标准限值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rPr>
              <w:t>不能满足相关功能区划要求</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根据本次环评调查分析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rPr>
              <w:t>超标原因主要是由于</w:t>
            </w:r>
            <w:r>
              <w:rPr>
                <w:rFonts w:hint="default" w:ascii="Times New Roman" w:hAnsi="Times New Roman" w:eastAsia="宋体" w:cs="Times New Roman"/>
                <w:color w:val="auto"/>
                <w:sz w:val="24"/>
                <w:highlight w:val="none"/>
                <w:lang w:val="en-US" w:eastAsia="zh-CN"/>
              </w:rPr>
              <w:t>入湖</w:t>
            </w:r>
            <w:r>
              <w:rPr>
                <w:rFonts w:hint="default" w:ascii="Times New Roman" w:hAnsi="Times New Roman" w:eastAsia="宋体" w:cs="Times New Roman"/>
                <w:color w:val="auto"/>
                <w:sz w:val="24"/>
                <w:highlight w:val="none"/>
              </w:rPr>
              <w:t>河道沿岸仍有生活污水汇入河道，生活面源污染导致水质变差，不能满足功能区划的要求。</w:t>
            </w:r>
          </w:p>
          <w:p w14:paraId="66D7452F">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14:paraId="30679E9C">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eastAsia="宋体" w:cs="Times New Roman"/>
                <w:color w:val="auto"/>
                <w:sz w:val="24"/>
                <w:szCs w:val="24"/>
                <w:highlight w:val="none"/>
                <w:u w:val="none"/>
                <w:lang w:val="en-US" w:eastAsia="zh-CN"/>
              </w:rPr>
              <w:t>寻甸金所乡哨上大村</w:t>
            </w:r>
            <w:r>
              <w:rPr>
                <w:rFonts w:hint="default" w:ascii="Times New Roman" w:hAnsi="Times New Roman" w:eastAsia="宋体" w:cs="Times New Roman"/>
                <w:color w:val="auto"/>
                <w:sz w:val="24"/>
                <w:szCs w:val="24"/>
                <w:highlight w:val="none"/>
                <w:lang w:val="en-US" w:eastAsia="zh-CN"/>
              </w:rPr>
              <w:t>，本项目区周边工业活动较多，西</w:t>
            </w:r>
            <w:r>
              <w:rPr>
                <w:rFonts w:hint="default" w:ascii="Times New Roman" w:hAnsi="Times New Roman" w:cs="Times New Roman"/>
                <w:color w:val="auto"/>
                <w:sz w:val="24"/>
                <w:szCs w:val="24"/>
                <w:highlight w:val="none"/>
                <w:lang w:val="en-US" w:eastAsia="zh-CN"/>
              </w:rPr>
              <w:t>南</w:t>
            </w:r>
            <w:r>
              <w:rPr>
                <w:rFonts w:hint="default" w:ascii="Times New Roman" w:hAnsi="Times New Roman" w:eastAsia="宋体" w:cs="Times New Roman"/>
                <w:color w:val="auto"/>
                <w:sz w:val="24"/>
                <w:szCs w:val="24"/>
                <w:highlight w:val="none"/>
                <w:lang w:val="en-US" w:eastAsia="zh-CN"/>
              </w:rPr>
              <w:t>侧</w:t>
            </w:r>
            <w:r>
              <w:rPr>
                <w:rFonts w:hint="default" w:ascii="Times New Roman" w:hAnsi="Times New Roman" w:cs="Times New Roman"/>
                <w:color w:val="auto"/>
                <w:sz w:val="24"/>
                <w:szCs w:val="24"/>
                <w:highlight w:val="none"/>
                <w:lang w:val="en-US" w:eastAsia="zh-CN"/>
              </w:rPr>
              <w:t>235m处为寻甸弘恒机械服务有限公司、165m处为寻甸回族彝族自治县水泥厂、84m处为洪盛建材有限责任公司，南侧146m处为云南逐梦商贸有限公司寻甸分部、166m处为汉三杯纯粮酒厂</w:t>
            </w:r>
            <w:r>
              <w:rPr>
                <w:rFonts w:hint="default" w:ascii="Times New Roman" w:hAnsi="Times New Roman" w:eastAsia="宋体" w:cs="Times New Roman"/>
                <w:color w:val="auto"/>
                <w:sz w:val="24"/>
                <w:szCs w:val="24"/>
                <w:highlight w:val="none"/>
                <w:lang w:val="en-US" w:eastAsia="zh-CN"/>
              </w:rPr>
              <w:t>，根据《声环境质量标准》（GB 3096-2008）7.2-b，村庄原则上执行1类声环境功能区要求，工业活动较多的村庄以及有交通干线经过的村庄（指执行4类声环境功能区要求以外的地区）可局部或全部执行2类声环境功能区要求。综上，项目所在区域声环境质量全部执行《声环境质量标准》（GB 3096-2008）中的2类标准，标准值详见下表。</w:t>
            </w:r>
          </w:p>
          <w:p w14:paraId="1D1D3FA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表3-3  声环境质量标准  单位：dBA</w:t>
            </w:r>
            <w:r>
              <w:rPr>
                <w:rFonts w:hint="eastAsia" w:cs="Times New Roman"/>
                <w:b/>
                <w:bCs/>
                <w:color w:val="auto"/>
                <w:sz w:val="21"/>
                <w:szCs w:val="21"/>
                <w:highlight w:val="none"/>
                <w:lang w:val="en-US"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2823"/>
              <w:gridCol w:w="2824"/>
            </w:tblGrid>
            <w:tr w14:paraId="34CE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3" w:type="dxa"/>
                </w:tcPr>
                <w:p w14:paraId="1B24B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kern w:val="0"/>
                      <w:sz w:val="21"/>
                      <w:szCs w:val="20"/>
                      <w:lang w:val="en-US" w:eastAsia="zh-CN" w:bidi="ar"/>
                    </w:rPr>
                    <w:t>类别</w:t>
                  </w:r>
                </w:p>
              </w:tc>
              <w:tc>
                <w:tcPr>
                  <w:tcW w:w="2823" w:type="dxa"/>
                </w:tcPr>
                <w:p w14:paraId="77E76F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kern w:val="0"/>
                      <w:sz w:val="21"/>
                      <w:szCs w:val="20"/>
                      <w:lang w:val="en-US" w:eastAsia="zh-CN" w:bidi="ar"/>
                    </w:rPr>
                    <w:t>昼间</w:t>
                  </w:r>
                </w:p>
              </w:tc>
              <w:tc>
                <w:tcPr>
                  <w:tcW w:w="2824" w:type="dxa"/>
                </w:tcPr>
                <w:p w14:paraId="449C6F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kern w:val="0"/>
                      <w:sz w:val="21"/>
                      <w:szCs w:val="20"/>
                      <w:lang w:val="en-US" w:eastAsia="zh-CN" w:bidi="ar"/>
                    </w:rPr>
                    <w:t>夜间</w:t>
                  </w:r>
                </w:p>
              </w:tc>
            </w:tr>
            <w:tr w14:paraId="473C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3" w:type="dxa"/>
                </w:tcPr>
                <w:p w14:paraId="0A4059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vertAlign w:val="baseline"/>
                      <w:lang w:val="en-US" w:eastAsia="zh-CN"/>
                    </w:rPr>
                  </w:pPr>
                  <w:r>
                    <w:rPr>
                      <w:rFonts w:hint="default" w:ascii="Times New Roman" w:hAnsi="Times New Roman" w:eastAsia="宋体" w:cs="Times New Roman"/>
                      <w:b w:val="0"/>
                      <w:bCs w:val="0"/>
                      <w:color w:val="auto"/>
                      <w:kern w:val="0"/>
                      <w:sz w:val="21"/>
                      <w:szCs w:val="20"/>
                      <w:lang w:val="en-US" w:eastAsia="zh-CN" w:bidi="ar"/>
                    </w:rPr>
                    <w:t>2</w:t>
                  </w:r>
                </w:p>
              </w:tc>
              <w:tc>
                <w:tcPr>
                  <w:tcW w:w="2823" w:type="dxa"/>
                </w:tcPr>
                <w:p w14:paraId="314D80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vertAlign w:val="baseline"/>
                      <w:lang w:val="en-US" w:eastAsia="zh-CN"/>
                    </w:rPr>
                  </w:pPr>
                  <w:r>
                    <w:rPr>
                      <w:rFonts w:hint="default" w:ascii="Times New Roman" w:hAnsi="Times New Roman" w:eastAsia="宋体" w:cs="Times New Roman"/>
                      <w:b w:val="0"/>
                      <w:bCs w:val="0"/>
                      <w:color w:val="auto"/>
                      <w:kern w:val="0"/>
                      <w:sz w:val="21"/>
                      <w:szCs w:val="20"/>
                      <w:lang w:val="en-US" w:eastAsia="zh-CN" w:bidi="ar"/>
                    </w:rPr>
                    <w:t>60</w:t>
                  </w:r>
                </w:p>
              </w:tc>
              <w:tc>
                <w:tcPr>
                  <w:tcW w:w="2824" w:type="dxa"/>
                </w:tcPr>
                <w:p w14:paraId="72A1B9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vertAlign w:val="baseline"/>
                      <w:lang w:val="en-US" w:eastAsia="zh-CN"/>
                    </w:rPr>
                  </w:pPr>
                  <w:r>
                    <w:rPr>
                      <w:rFonts w:hint="default" w:ascii="Times New Roman" w:hAnsi="Times New Roman" w:eastAsia="宋体" w:cs="Times New Roman"/>
                      <w:b w:val="0"/>
                      <w:bCs w:val="0"/>
                      <w:color w:val="auto"/>
                      <w:kern w:val="0"/>
                      <w:sz w:val="21"/>
                      <w:szCs w:val="20"/>
                      <w:lang w:val="en-US" w:eastAsia="zh-CN" w:bidi="ar"/>
                    </w:rPr>
                    <w:t>50</w:t>
                  </w:r>
                </w:p>
              </w:tc>
            </w:tr>
          </w:tbl>
          <w:p w14:paraId="319C3837">
            <w:pPr>
              <w:rPr>
                <w:rFonts w:hint="default" w:ascii="Times New Roman" w:hAnsi="Times New Roman" w:cs="Times New Roman"/>
                <w:color w:val="auto"/>
                <w:lang w:val="en-US" w:eastAsia="zh-CN"/>
              </w:rPr>
            </w:pPr>
          </w:p>
          <w:p w14:paraId="44993421">
            <w:pPr>
              <w:pStyle w:val="36"/>
              <w:snapToGrid w:val="0"/>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w:t>
            </w:r>
            <w:r>
              <w:rPr>
                <w:rFonts w:hint="eastAsia" w:cs="Times New Roman"/>
                <w:color w:val="auto"/>
                <w:kern w:val="0"/>
                <w:highlight w:val="none"/>
                <w:lang w:val="en-US" w:eastAsia="zh-CN"/>
              </w:rPr>
              <w:t>不</w:t>
            </w:r>
            <w:r>
              <w:rPr>
                <w:rFonts w:hint="default" w:ascii="Times New Roman" w:hAnsi="Times New Roman" w:eastAsia="宋体" w:cs="Times New Roman"/>
                <w:color w:val="auto"/>
                <w:kern w:val="0"/>
                <w:highlight w:val="none"/>
                <w:lang w:val="en-US" w:eastAsia="zh-CN"/>
              </w:rPr>
              <w:t>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p>
          <w:p w14:paraId="16FD8E12">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土壤、</w:t>
            </w:r>
            <w:r>
              <w:rPr>
                <w:rFonts w:hint="default" w:ascii="Times New Roman" w:hAnsi="Times New Roman" w:eastAsia="宋体" w:cs="Times New Roman"/>
                <w:b/>
                <w:bCs/>
                <w:color w:val="auto"/>
                <w:sz w:val="24"/>
                <w:highlight w:val="none"/>
              </w:rPr>
              <w:t>地下水环境质量现状</w:t>
            </w:r>
          </w:p>
          <w:p w14:paraId="77D3388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Cs/>
                <w:color w:val="auto"/>
                <w:sz w:val="24"/>
                <w:highlight w:val="none"/>
              </w:rPr>
              <w:t>本项目为</w:t>
            </w:r>
            <w:r>
              <w:rPr>
                <w:rFonts w:hint="default" w:ascii="Times New Roman" w:hAnsi="Times New Roman" w:cs="Times New Roman"/>
                <w:bCs/>
                <w:color w:val="auto"/>
                <w:sz w:val="24"/>
                <w:highlight w:val="none"/>
                <w:lang w:val="en-US" w:eastAsia="zh-CN"/>
              </w:rPr>
              <w:t>商品</w:t>
            </w:r>
            <w:r>
              <w:rPr>
                <w:rFonts w:hint="eastAsia" w:cs="Times New Roman"/>
                <w:bCs/>
                <w:color w:val="auto"/>
                <w:sz w:val="24"/>
                <w:highlight w:val="none"/>
                <w:lang w:val="en-US" w:eastAsia="zh-CN"/>
              </w:rPr>
              <w:t>混凝土</w:t>
            </w:r>
            <w:r>
              <w:rPr>
                <w:rFonts w:hint="default" w:ascii="Times New Roman" w:hAnsi="Times New Roman" w:cs="Times New Roman"/>
                <w:bCs/>
                <w:color w:val="auto"/>
                <w:sz w:val="24"/>
                <w:highlight w:val="none"/>
                <w:lang w:val="en-US" w:eastAsia="zh-CN"/>
              </w:rPr>
              <w:t>生产</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default" w:ascii="Times New Roman" w:hAnsi="Times New Roman" w:cs="Times New Roman"/>
                <w:color w:val="auto"/>
                <w:sz w:val="24"/>
                <w:highlight w:val="none"/>
                <w:lang w:val="en-US" w:eastAsia="zh-CN"/>
              </w:rPr>
              <w:t>本项目占地均已水泥硬化，不具备土壤、地下水环境污染途径，</w:t>
            </w:r>
            <w:r>
              <w:rPr>
                <w:rFonts w:hint="default" w:ascii="Times New Roman" w:hAnsi="Times New Roman" w:eastAsia="宋体" w:cs="Times New Roman"/>
                <w:color w:val="auto"/>
                <w:sz w:val="24"/>
                <w:highlight w:val="none"/>
              </w:rPr>
              <w:t>原则上不开展</w:t>
            </w:r>
            <w:r>
              <w:rPr>
                <w:rFonts w:hint="default" w:ascii="Times New Roman" w:hAnsi="Times New Roman" w:eastAsia="宋体" w:cs="Times New Roman"/>
                <w:color w:val="auto"/>
                <w:sz w:val="24"/>
                <w:highlight w:val="none"/>
                <w:lang w:val="en-US" w:eastAsia="zh-CN"/>
              </w:rPr>
              <w:t>土壤及地下水</w:t>
            </w:r>
            <w:r>
              <w:rPr>
                <w:rFonts w:hint="default" w:ascii="Times New Roman" w:hAnsi="Times New Roman" w:eastAsia="宋体" w:cs="Times New Roman"/>
                <w:color w:val="auto"/>
                <w:sz w:val="24"/>
                <w:highlight w:val="none"/>
              </w:rPr>
              <w:t>环境质量现状调查。</w:t>
            </w:r>
          </w:p>
          <w:p w14:paraId="6960EC8F">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5、生态环境质量现状</w:t>
            </w:r>
          </w:p>
          <w:p w14:paraId="14D189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4"/>
                <w:szCs w:val="24"/>
                <w:highlight w:val="none"/>
                <w:lang w:val="zh-CN" w:eastAsia="zh-CN" w:bidi="ar"/>
              </w:rPr>
              <w:t>项目所在区域</w:t>
            </w:r>
            <w:r>
              <w:rPr>
                <w:rFonts w:hint="default" w:ascii="Times New Roman" w:hAnsi="Times New Roman" w:eastAsia="宋体" w:cs="Times New Roman"/>
                <w:color w:val="auto"/>
                <w:kern w:val="2"/>
                <w:sz w:val="24"/>
                <w:szCs w:val="24"/>
                <w:highlight w:val="none"/>
                <w:lang w:val="en-US" w:eastAsia="zh-CN" w:bidi="ar"/>
              </w:rPr>
              <w:t>为金所乡哨上大村，根据现场踏勘，项目所在区域由于人类活动较为频繁，周边100m外已建成农村居住房，同时本项目为扩建项目，在原项目已建成厂房内安装设备后进行生产，区域</w:t>
            </w:r>
            <w:r>
              <w:rPr>
                <w:rFonts w:hint="default" w:ascii="Times New Roman" w:hAnsi="Times New Roman" w:eastAsia="宋体" w:cs="Times New Roman"/>
                <w:color w:val="auto"/>
                <w:kern w:val="2"/>
                <w:sz w:val="24"/>
                <w:szCs w:val="24"/>
                <w:highlight w:val="none"/>
                <w:lang w:val="zh-CN" w:eastAsia="zh-CN" w:bidi="ar"/>
              </w:rPr>
              <w:t>现状主要为水泥路面和人工绿化植被，</w:t>
            </w:r>
            <w:r>
              <w:rPr>
                <w:rFonts w:hint="default" w:ascii="Times New Roman" w:hAnsi="Times New Roman" w:eastAsia="宋体" w:cs="Times New Roman"/>
                <w:color w:val="auto"/>
                <w:kern w:val="2"/>
                <w:sz w:val="24"/>
                <w:szCs w:val="24"/>
                <w:highlight w:val="none"/>
                <w:lang w:val="en-US" w:eastAsia="zh-CN" w:bidi="ar"/>
              </w:rPr>
              <w:t>主要为厂内绿化及行道树，</w:t>
            </w:r>
            <w:r>
              <w:rPr>
                <w:rFonts w:hint="default" w:ascii="Times New Roman" w:hAnsi="Times New Roman" w:eastAsia="宋体" w:cs="Times New Roman"/>
                <w:color w:val="auto"/>
                <w:kern w:val="2"/>
                <w:sz w:val="24"/>
                <w:szCs w:val="24"/>
                <w:highlight w:val="none"/>
                <w:lang w:val="zh-CN" w:eastAsia="zh-CN" w:bidi="ar"/>
              </w:rPr>
              <w:t>无天然植被，生态环境自我调节能力低。调查范围内未涉及国家保护的珍贵野生动、植物。</w:t>
            </w:r>
            <w:r>
              <w:rPr>
                <w:rFonts w:hint="default" w:ascii="Times New Roman" w:hAnsi="Times New Roman" w:eastAsia="宋体" w:cs="Times New Roman"/>
                <w:color w:val="auto"/>
                <w:kern w:val="2"/>
                <w:sz w:val="24"/>
                <w:szCs w:val="24"/>
                <w:highlight w:val="none"/>
                <w:lang w:val="en-US" w:eastAsia="zh-CN" w:bidi="ar"/>
              </w:rPr>
              <w:t>评价范围</w:t>
            </w:r>
            <w:r>
              <w:rPr>
                <w:rFonts w:hint="default" w:ascii="Times New Roman" w:hAnsi="Times New Roman" w:eastAsia="宋体" w:cs="Times New Roman"/>
                <w:color w:val="auto"/>
                <w:kern w:val="2"/>
                <w:sz w:val="24"/>
                <w:szCs w:val="24"/>
                <w:highlight w:val="none"/>
                <w:lang w:val="zh-CN" w:eastAsia="zh-CN" w:bidi="ar"/>
              </w:rPr>
              <w:t>内无自然保护区、风景名胜区、森林公园、历史文化遗迹等需要特殊保护的生态敏感目标，无国家珍稀濒危保护物种、国家重点保护野生</w:t>
            </w:r>
            <w:r>
              <w:rPr>
                <w:rFonts w:hint="default" w:ascii="Times New Roman" w:hAnsi="Times New Roman" w:eastAsia="宋体" w:cs="Times New Roman"/>
                <w:color w:val="auto"/>
                <w:kern w:val="2"/>
                <w:sz w:val="24"/>
                <w:szCs w:val="24"/>
                <w:highlight w:val="none"/>
                <w:lang w:val="en-US" w:eastAsia="zh-CN" w:bidi="ar"/>
              </w:rPr>
              <w:t>动</w:t>
            </w:r>
            <w:r>
              <w:rPr>
                <w:rFonts w:hint="default" w:ascii="Times New Roman" w:hAnsi="Times New Roman" w:eastAsia="宋体" w:cs="Times New Roman"/>
                <w:color w:val="auto"/>
                <w:kern w:val="2"/>
                <w:sz w:val="24"/>
                <w:szCs w:val="24"/>
                <w:highlight w:val="none"/>
                <w:lang w:val="zh-CN" w:eastAsia="zh-CN" w:bidi="ar"/>
              </w:rPr>
              <w:t>植物和云南省级重点</w:t>
            </w:r>
            <w:r>
              <w:rPr>
                <w:rFonts w:hint="default" w:ascii="Times New Roman" w:hAnsi="Times New Roman" w:eastAsia="宋体" w:cs="Times New Roman"/>
                <w:color w:val="auto"/>
                <w:kern w:val="2"/>
                <w:sz w:val="24"/>
                <w:szCs w:val="24"/>
                <w:highlight w:val="none"/>
                <w:lang w:val="en-US" w:eastAsia="zh-CN" w:bidi="ar"/>
              </w:rPr>
              <w:t>保护野生动植物</w:t>
            </w:r>
            <w:r>
              <w:rPr>
                <w:rFonts w:hint="default" w:ascii="Times New Roman" w:hAnsi="Times New Roman" w:eastAsia="宋体" w:cs="Times New Roman"/>
                <w:color w:val="auto"/>
                <w:kern w:val="2"/>
                <w:sz w:val="24"/>
                <w:szCs w:val="24"/>
                <w:highlight w:val="none"/>
                <w:lang w:val="zh-CN" w:eastAsia="zh-CN" w:bidi="ar"/>
              </w:rPr>
              <w:t>，也没有特有种类存在</w:t>
            </w:r>
            <w:r>
              <w:rPr>
                <w:rFonts w:hint="default" w:ascii="Times New Roman" w:hAnsi="Times New Roman" w:eastAsia="宋体" w:cs="Times New Roman"/>
                <w:color w:val="auto"/>
                <w:kern w:val="2"/>
                <w:sz w:val="24"/>
                <w:szCs w:val="24"/>
                <w:highlight w:val="none"/>
                <w:lang w:val="en-US" w:eastAsia="zh-CN" w:bidi="ar"/>
              </w:rPr>
              <w:t>。</w:t>
            </w:r>
          </w:p>
        </w:tc>
      </w:tr>
      <w:tr w14:paraId="4F4C3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31D5DC4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682BA4C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14:paraId="3D4F310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14:paraId="24F96A80">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14:paraId="3C612F58">
            <w:pPr>
              <w:pStyle w:val="4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评价范围为项目周边500m，评价范围内按《环境空气质量标准》（GB3096-2008）二类区标准进行保护。项目周边500m范围内有哨上大村</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val="en-US" w:eastAsia="zh-CN"/>
              </w:rPr>
              <w:t>个环境空气保护目标，位于项目西侧</w:t>
            </w:r>
            <w:r>
              <w:rPr>
                <w:rFonts w:hint="default" w:ascii="Times New Roman" w:hAnsi="Times New Roman"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m处</w:t>
            </w:r>
            <w:r>
              <w:rPr>
                <w:rFonts w:hint="default" w:ascii="Times New Roman" w:hAnsi="Times New Roman" w:cs="Times New Roman"/>
                <w:color w:val="auto"/>
                <w:sz w:val="24"/>
                <w:szCs w:val="24"/>
                <w:highlight w:val="none"/>
                <w:lang w:val="en-US" w:eastAsia="zh-CN"/>
              </w:rPr>
              <w:t>。</w:t>
            </w:r>
          </w:p>
          <w:p w14:paraId="0C44C2E0">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14:paraId="1A6B50BC">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default" w:ascii="Times New Roman" w:hAnsi="Times New Roman" w:eastAsia="宋体" w:cs="Times New Roman"/>
                <w:color w:val="auto"/>
                <w:sz w:val="24"/>
                <w:szCs w:val="24"/>
                <w:highlight w:val="none"/>
              </w:rPr>
              <w:t>。</w:t>
            </w:r>
          </w:p>
          <w:p w14:paraId="0E7F2C90">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14:paraId="4DCA2977">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highlight w:val="none"/>
                <w:lang w:val="zh-CN"/>
              </w:rPr>
              <w:t>项目距离最近的地表水体为东南侧1966m处的三月三水库</w:t>
            </w:r>
            <w:r>
              <w:rPr>
                <w:rFonts w:hint="default" w:ascii="Times New Roman" w:hAnsi="Times New Roman" w:cs="Times New Roman"/>
                <w:color w:val="auto"/>
                <w:kern w:val="0"/>
                <w:sz w:val="24"/>
                <w:highlight w:val="none"/>
                <w:lang w:val="zh-CN"/>
              </w:rPr>
              <w:t>，</w:t>
            </w:r>
            <w:r>
              <w:rPr>
                <w:rFonts w:hint="default" w:ascii="Times New Roman" w:hAnsi="Times New Roman" w:eastAsia="宋体" w:cs="Times New Roman"/>
                <w:color w:val="auto"/>
                <w:sz w:val="24"/>
                <w:highlight w:val="none"/>
                <w:shd w:val="clear" w:color="auto" w:fill="auto"/>
              </w:rPr>
              <w:t>西南侧</w:t>
            </w:r>
            <w:r>
              <w:rPr>
                <w:rFonts w:hint="default" w:ascii="Times New Roman" w:hAnsi="Times New Roman" w:cs="Times New Roman"/>
                <w:color w:val="auto"/>
                <w:sz w:val="24"/>
                <w:highlight w:val="none"/>
                <w:shd w:val="clear" w:color="auto" w:fill="auto"/>
                <w:lang w:val="en-US" w:eastAsia="zh-CN"/>
              </w:rPr>
              <w:t>2109</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潘所海，潘所海地表水通过溶洞流入三月三水库；三月三水库由前进河出水，最终汇入牛栏江，属牛栏江支流。三月三水库</w:t>
            </w:r>
            <w:r>
              <w:rPr>
                <w:rFonts w:hint="default" w:ascii="Times New Roman" w:hAnsi="Times New Roman" w:eastAsia="宋体" w:cs="Times New Roman"/>
                <w:color w:val="auto"/>
                <w:sz w:val="24"/>
                <w:highlight w:val="none"/>
                <w:lang w:val="en-US" w:eastAsia="zh-CN"/>
              </w:rPr>
              <w:t>及潘所海</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p>
          <w:p w14:paraId="1EAC0319">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14:paraId="6A680345">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14:paraId="5F152268">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lang w:val="en-US" w:eastAsia="zh-CN"/>
              </w:rPr>
              <w:t>生态</w:t>
            </w:r>
            <w:r>
              <w:rPr>
                <w:rFonts w:hint="default" w:ascii="Times New Roman" w:hAnsi="Times New Roman" w:eastAsia="宋体" w:cs="Times New Roman"/>
                <w:b/>
                <w:bCs/>
                <w:color w:val="auto"/>
                <w:sz w:val="24"/>
                <w:szCs w:val="24"/>
                <w:highlight w:val="none"/>
                <w:lang w:val="en-US" w:eastAsia="zh-CN"/>
              </w:rPr>
              <w:t>环境保护目标</w:t>
            </w:r>
          </w:p>
          <w:p w14:paraId="1BC12E43">
            <w:pPr>
              <w:pStyle w:val="1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eastAsia="宋体" w:cs="Times New Roman"/>
                <w:bCs/>
                <w:color w:val="auto"/>
                <w:sz w:val="24"/>
                <w:highlight w:val="none"/>
                <w:lang w:eastAsia="zh-CN"/>
              </w:rPr>
              <w:t>本项目环境风险评价范围为厂界外3公里，生态环境保护目标见下表。</w:t>
            </w:r>
          </w:p>
          <w:p w14:paraId="7CB4E0DA">
            <w:pPr>
              <w:keepNext w:val="0"/>
              <w:keepLines w:val="0"/>
              <w:widowControl/>
              <w:suppressLineNumbers w:val="0"/>
              <w:jc w:val="center"/>
              <w:rPr>
                <w:rFonts w:hint="default" w:ascii="Times New Roman" w:hAnsi="Times New Roman" w:cs="Times New Roman"/>
                <w:color w:val="auto"/>
              </w:rPr>
            </w:pPr>
            <w:r>
              <w:rPr>
                <w:rFonts w:hint="default" w:ascii="Times New Roman" w:hAnsi="Times New Roman" w:eastAsia="宋体" w:cs="Times New Roman"/>
                <w:b/>
                <w:bCs/>
                <w:color w:val="auto"/>
                <w:kern w:val="0"/>
                <w:sz w:val="20"/>
                <w:szCs w:val="20"/>
                <w:lang w:val="en-US" w:eastAsia="zh-CN" w:bidi="ar"/>
              </w:rPr>
              <w:t>表3-6环境保护目标表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76"/>
              <w:gridCol w:w="1952"/>
              <w:gridCol w:w="1132"/>
              <w:gridCol w:w="2250"/>
              <w:gridCol w:w="1039"/>
              <w:gridCol w:w="778"/>
            </w:tblGrid>
            <w:tr w14:paraId="23E4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4" w:type="pct"/>
                  <w:vAlign w:val="center"/>
                </w:tcPr>
                <w:p w14:paraId="423909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环境要素</w:t>
                  </w:r>
                </w:p>
              </w:tc>
              <w:tc>
                <w:tcPr>
                  <w:tcW w:w="517" w:type="pct"/>
                  <w:vAlign w:val="center"/>
                </w:tcPr>
                <w:p w14:paraId="7C47F6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名称</w:t>
                  </w:r>
                </w:p>
              </w:tc>
              <w:tc>
                <w:tcPr>
                  <w:tcW w:w="1154" w:type="pct"/>
                  <w:vAlign w:val="center"/>
                </w:tcPr>
                <w:p w14:paraId="494BC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坐标</w:t>
                  </w:r>
                </w:p>
              </w:tc>
              <w:tc>
                <w:tcPr>
                  <w:tcW w:w="669" w:type="pct"/>
                  <w:vAlign w:val="center"/>
                </w:tcPr>
                <w:p w14:paraId="0EAE7F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保护对象/保护内容</w:t>
                  </w:r>
                </w:p>
              </w:tc>
              <w:tc>
                <w:tcPr>
                  <w:tcW w:w="1330" w:type="pct"/>
                  <w:vAlign w:val="center"/>
                </w:tcPr>
                <w:p w14:paraId="5E568A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环境功能区</w:t>
                  </w:r>
                </w:p>
              </w:tc>
              <w:tc>
                <w:tcPr>
                  <w:tcW w:w="614" w:type="pct"/>
                  <w:vAlign w:val="center"/>
                </w:tcPr>
                <w:p w14:paraId="0B1ED0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相对厂址方位</w:t>
                  </w:r>
                </w:p>
              </w:tc>
              <w:tc>
                <w:tcPr>
                  <w:tcW w:w="459" w:type="pct"/>
                  <w:vAlign w:val="center"/>
                </w:tcPr>
                <w:p w14:paraId="0100BD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4"/>
                      <w:highlight w:val="none"/>
                      <w:vertAlign w:val="baseline"/>
                      <w:lang w:val="en-US" w:eastAsia="zh-CN"/>
                    </w:rPr>
                  </w:pPr>
                  <w:r>
                    <w:rPr>
                      <w:rFonts w:hint="default" w:ascii="Times New Roman" w:hAnsi="Times New Roman" w:eastAsia="宋体" w:cs="Times New Roman"/>
                      <w:b/>
                      <w:bCs/>
                      <w:color w:val="auto"/>
                      <w:kern w:val="0"/>
                      <w:sz w:val="20"/>
                      <w:szCs w:val="20"/>
                      <w:lang w:val="en-US" w:eastAsia="zh-CN" w:bidi="ar"/>
                    </w:rPr>
                    <w:t>相对厂界距离/m</w:t>
                  </w:r>
                </w:p>
              </w:tc>
            </w:tr>
            <w:tr w14:paraId="5BAB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Align w:val="center"/>
                </w:tcPr>
                <w:p w14:paraId="769628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szCs w:val="20"/>
                      <w:lang w:val="en-US" w:eastAsia="zh-CN" w:bidi="ar"/>
                    </w:rPr>
                    <w:t>环境空气</w:t>
                  </w:r>
                </w:p>
              </w:tc>
              <w:tc>
                <w:tcPr>
                  <w:tcW w:w="517" w:type="pct"/>
                  <w:vAlign w:val="center"/>
                </w:tcPr>
                <w:p w14:paraId="16E1901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4"/>
                      <w:highlight w:val="none"/>
                      <w:lang w:val="en-US" w:eastAsia="zh-CN"/>
                    </w:rPr>
                    <w:t>哨上大村</w:t>
                  </w:r>
                </w:p>
              </w:tc>
              <w:tc>
                <w:tcPr>
                  <w:tcW w:w="1154" w:type="pct"/>
                  <w:vAlign w:val="center"/>
                </w:tcPr>
                <w:p w14:paraId="4125A6E3">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szCs w:val="24"/>
                      <w:highlight w:val="none"/>
                      <w:lang w:val="en-US" w:eastAsia="zh-CN" w:bidi="ar-SA"/>
                    </w:rPr>
                    <w:t>E103°12′57.23931″,N25°33′2.05641″</w:t>
                  </w:r>
                </w:p>
              </w:tc>
              <w:tc>
                <w:tcPr>
                  <w:tcW w:w="669" w:type="pct"/>
                  <w:vAlign w:val="center"/>
                </w:tcPr>
                <w:p w14:paraId="24B3B527">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bCs/>
                      <w:color w:val="auto"/>
                      <w:sz w:val="21"/>
                      <w:highlight w:val="none"/>
                      <w:vertAlign w:val="baseline"/>
                      <w:lang w:val="en-US" w:eastAsia="zh-CN"/>
                    </w:rPr>
                    <w:t>居民</w:t>
                  </w:r>
                </w:p>
              </w:tc>
              <w:tc>
                <w:tcPr>
                  <w:tcW w:w="1330" w:type="pct"/>
                  <w:vAlign w:val="center"/>
                </w:tcPr>
                <w:p w14:paraId="5FFFD7B5">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满足《环境空气质量标准》（GB3095-201）二级标准</w:t>
                  </w:r>
                </w:p>
              </w:tc>
              <w:tc>
                <w:tcPr>
                  <w:tcW w:w="614" w:type="pct"/>
                  <w:vAlign w:val="center"/>
                </w:tcPr>
                <w:p w14:paraId="3F5B29A1">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4"/>
                      <w:highlight w:val="none"/>
                      <w:lang w:val="en-US" w:eastAsia="zh-CN"/>
                    </w:rPr>
                    <w:t>西</w:t>
                  </w:r>
                  <w:r>
                    <w:rPr>
                      <w:rFonts w:hint="eastAsia" w:cs="Times New Roman"/>
                      <w:color w:val="auto"/>
                      <w:sz w:val="21"/>
                      <w:szCs w:val="24"/>
                      <w:highlight w:val="none"/>
                      <w:lang w:val="en-US" w:eastAsia="zh-CN"/>
                    </w:rPr>
                    <w:t>南</w:t>
                  </w:r>
                </w:p>
              </w:tc>
              <w:tc>
                <w:tcPr>
                  <w:tcW w:w="459" w:type="pct"/>
                  <w:vAlign w:val="center"/>
                </w:tcPr>
                <w:p w14:paraId="3A710C9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eastAsia" w:cs="Times New Roman"/>
                      <w:color w:val="auto"/>
                      <w:sz w:val="21"/>
                      <w:szCs w:val="24"/>
                      <w:highlight w:val="none"/>
                      <w:lang w:val="en-US" w:eastAsia="zh-CN"/>
                    </w:rPr>
                    <w:t>47</w:t>
                  </w:r>
                </w:p>
              </w:tc>
            </w:tr>
            <w:tr w14:paraId="0ABB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restart"/>
                  <w:vAlign w:val="center"/>
                </w:tcPr>
                <w:p w14:paraId="6E686C33">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地表水</w:t>
                  </w:r>
                </w:p>
              </w:tc>
              <w:tc>
                <w:tcPr>
                  <w:tcW w:w="517" w:type="pct"/>
                  <w:vAlign w:val="center"/>
                </w:tcPr>
                <w:p w14:paraId="5AC05CCE">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1"/>
                      <w:highlight w:val="none"/>
                      <w:shd w:val="clear" w:color="auto" w:fill="auto"/>
                      <w:lang w:eastAsia="zh-CN"/>
                    </w:rPr>
                    <w:t>三月三水库</w:t>
                  </w:r>
                </w:p>
              </w:tc>
              <w:tc>
                <w:tcPr>
                  <w:tcW w:w="1154" w:type="pct"/>
                  <w:vAlign w:val="center"/>
                </w:tcPr>
                <w:p w14:paraId="08592DF4">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szCs w:val="24"/>
                      <w:highlight w:val="none"/>
                      <w:lang w:val="en-US" w:eastAsia="zh-CN" w:bidi="ar-SA"/>
                    </w:rPr>
                    <w:t>E</w:t>
                  </w:r>
                  <w:r>
                    <w:rPr>
                      <w:rFonts w:hint="default" w:ascii="Times New Roman" w:hAnsi="Times New Roman" w:eastAsia="宋体" w:cs="Times New Roman"/>
                      <w:bCs/>
                      <w:color w:val="auto"/>
                      <w:sz w:val="21"/>
                      <w:highlight w:val="none"/>
                      <w:vertAlign w:val="baseline"/>
                      <w:lang w:val="en-US" w:eastAsia="zh-CN"/>
                    </w:rPr>
                    <w:t>103°14′24.37462″,</w:t>
                  </w:r>
                  <w:r>
                    <w:rPr>
                      <w:rFonts w:hint="default" w:ascii="Times New Roman" w:hAnsi="Times New Roman" w:eastAsia="宋体" w:cs="Times New Roman"/>
                      <w:color w:val="auto"/>
                      <w:kern w:val="0"/>
                      <w:sz w:val="21"/>
                      <w:szCs w:val="24"/>
                      <w:highlight w:val="none"/>
                      <w:lang w:val="en-US" w:eastAsia="zh-CN" w:bidi="ar-SA"/>
                    </w:rPr>
                    <w:t>N</w:t>
                  </w:r>
                  <w:r>
                    <w:rPr>
                      <w:rFonts w:hint="default" w:ascii="Times New Roman" w:hAnsi="Times New Roman" w:eastAsia="宋体" w:cs="Times New Roman"/>
                      <w:bCs/>
                      <w:color w:val="auto"/>
                      <w:sz w:val="21"/>
                      <w:highlight w:val="none"/>
                      <w:vertAlign w:val="baseline"/>
                      <w:lang w:val="en-US" w:eastAsia="zh-CN"/>
                    </w:rPr>
                    <w:t>25°32′34.05415″</w:t>
                  </w:r>
                </w:p>
              </w:tc>
              <w:tc>
                <w:tcPr>
                  <w:tcW w:w="669" w:type="pct"/>
                  <w:vAlign w:val="center"/>
                </w:tcPr>
                <w:p w14:paraId="1FD154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szCs w:val="20"/>
                      <w:lang w:val="en-US" w:eastAsia="zh-CN" w:bidi="ar"/>
                    </w:rPr>
                    <w:t>地表水</w:t>
                  </w:r>
                </w:p>
              </w:tc>
              <w:tc>
                <w:tcPr>
                  <w:tcW w:w="1330" w:type="pct"/>
                  <w:vMerge w:val="restart"/>
                  <w:vAlign w:val="center"/>
                </w:tcPr>
                <w:p w14:paraId="0044777A">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1"/>
                      <w:highlight w:val="none"/>
                      <w:lang w:val="zh-CN"/>
                    </w:rPr>
                    <w:t>《地表水环境质量标准》</w:t>
                  </w:r>
                  <w:r>
                    <w:rPr>
                      <w:rFonts w:hint="default" w:ascii="Times New Roman" w:hAnsi="Times New Roman" w:eastAsia="宋体" w:cs="Times New Roman"/>
                      <w:color w:val="auto"/>
                      <w:kern w:val="0"/>
                      <w:sz w:val="21"/>
                      <w:szCs w:val="21"/>
                      <w:highlight w:val="none"/>
                      <w:lang w:val="zh-CN"/>
                    </w:rPr>
                    <w:t>（GB3838-2002）中Ⅲ类标准</w:t>
                  </w:r>
                </w:p>
              </w:tc>
              <w:tc>
                <w:tcPr>
                  <w:tcW w:w="614" w:type="pct"/>
                  <w:vAlign w:val="center"/>
                </w:tcPr>
                <w:p w14:paraId="620A8B53">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东南</w:t>
                  </w:r>
                </w:p>
              </w:tc>
              <w:tc>
                <w:tcPr>
                  <w:tcW w:w="459" w:type="pct"/>
                  <w:vAlign w:val="center"/>
                </w:tcPr>
                <w:p w14:paraId="4E2BDB73">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highlight w:val="none"/>
                      <w:lang w:val="zh-CN"/>
                    </w:rPr>
                    <w:t>1966</w:t>
                  </w:r>
                </w:p>
              </w:tc>
            </w:tr>
            <w:tr w14:paraId="0CB3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vAlign w:val="center"/>
                </w:tcPr>
                <w:p w14:paraId="7EF0D42C">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60FCD18C">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1"/>
                      <w:highlight w:val="none"/>
                      <w:shd w:val="clear" w:color="auto" w:fill="auto"/>
                    </w:rPr>
                    <w:t>潘所海</w:t>
                  </w:r>
                </w:p>
              </w:tc>
              <w:tc>
                <w:tcPr>
                  <w:tcW w:w="1154" w:type="pct"/>
                  <w:vAlign w:val="center"/>
                </w:tcPr>
                <w:p w14:paraId="6645357A">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szCs w:val="24"/>
                      <w:highlight w:val="none"/>
                      <w:lang w:val="en-US" w:eastAsia="zh-CN" w:bidi="ar-SA"/>
                    </w:rPr>
                    <w:t>E103°12′23.40485″,N25°32′5.54978″</w:t>
                  </w:r>
                </w:p>
              </w:tc>
              <w:tc>
                <w:tcPr>
                  <w:tcW w:w="669" w:type="pct"/>
                  <w:vAlign w:val="center"/>
                </w:tcPr>
                <w:p w14:paraId="2C22CB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kern w:val="0"/>
                      <w:sz w:val="21"/>
                      <w:szCs w:val="20"/>
                      <w:lang w:val="en-US" w:eastAsia="zh-CN" w:bidi="ar"/>
                    </w:rPr>
                    <w:t>地表水</w:t>
                  </w:r>
                </w:p>
              </w:tc>
              <w:tc>
                <w:tcPr>
                  <w:tcW w:w="1330" w:type="pct"/>
                  <w:vMerge w:val="continue"/>
                  <w:vAlign w:val="center"/>
                </w:tcPr>
                <w:p w14:paraId="031BF255">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p>
              </w:tc>
              <w:tc>
                <w:tcPr>
                  <w:tcW w:w="614" w:type="pct"/>
                  <w:vAlign w:val="center"/>
                </w:tcPr>
                <w:p w14:paraId="6CAE3240">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459" w:type="pct"/>
                  <w:vAlign w:val="center"/>
                </w:tcPr>
                <w:p w14:paraId="1D31DEBD">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color w:val="auto"/>
                      <w:sz w:val="21"/>
                      <w:highlight w:val="none"/>
                      <w:shd w:val="clear" w:color="auto" w:fill="auto"/>
                      <w:lang w:val="en-US" w:eastAsia="zh-CN"/>
                    </w:rPr>
                    <w:t>2109</w:t>
                  </w:r>
                </w:p>
              </w:tc>
            </w:tr>
            <w:tr w14:paraId="2F2F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restart"/>
                  <w:vAlign w:val="center"/>
                </w:tcPr>
                <w:p w14:paraId="20C7B1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0"/>
                      <w:lang w:val="en-US" w:eastAsia="zh-CN" w:bidi="ar"/>
                    </w:rPr>
                    <w:t>环境风险</w:t>
                  </w:r>
                </w:p>
              </w:tc>
              <w:tc>
                <w:tcPr>
                  <w:tcW w:w="517" w:type="pct"/>
                  <w:vAlign w:val="center"/>
                </w:tcPr>
                <w:p w14:paraId="7E4FE9A4">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4"/>
                      <w:highlight w:val="none"/>
                      <w:lang w:val="en-US" w:eastAsia="zh-CN"/>
                    </w:rPr>
                    <w:t>哨上大村</w:t>
                  </w:r>
                </w:p>
              </w:tc>
              <w:tc>
                <w:tcPr>
                  <w:tcW w:w="1154" w:type="pct"/>
                  <w:vAlign w:val="center"/>
                </w:tcPr>
                <w:p w14:paraId="61CC3D3F">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E103°12′57.23931″,N25°33′2.05641″</w:t>
                  </w:r>
                </w:p>
              </w:tc>
              <w:tc>
                <w:tcPr>
                  <w:tcW w:w="669" w:type="pct"/>
                  <w:vAlign w:val="center"/>
                </w:tcPr>
                <w:p w14:paraId="34D0791C">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highlight w:val="none"/>
                      <w:vertAlign w:val="baseline"/>
                      <w:lang w:val="en-US" w:eastAsia="zh-CN"/>
                    </w:rPr>
                  </w:pPr>
                  <w:r>
                    <w:rPr>
                      <w:rFonts w:hint="default" w:ascii="Times New Roman" w:hAnsi="Times New Roman" w:eastAsia="宋体" w:cs="Times New Roman"/>
                      <w:bCs/>
                      <w:color w:val="auto"/>
                      <w:sz w:val="21"/>
                      <w:highlight w:val="none"/>
                      <w:vertAlign w:val="baseline"/>
                      <w:lang w:val="en-US" w:eastAsia="zh-CN"/>
                    </w:rPr>
                    <w:t>居民</w:t>
                  </w:r>
                </w:p>
              </w:tc>
              <w:tc>
                <w:tcPr>
                  <w:tcW w:w="1330" w:type="pct"/>
                  <w:vMerge w:val="restart"/>
                  <w:vAlign w:val="center"/>
                </w:tcPr>
                <w:p w14:paraId="2AC05B6E">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614" w:type="pct"/>
                  <w:vAlign w:val="center"/>
                </w:tcPr>
                <w:p w14:paraId="5F36EB0F">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4"/>
                      <w:highlight w:val="none"/>
                      <w:lang w:val="en-US" w:eastAsia="zh-CN"/>
                    </w:rPr>
                    <w:t>西</w:t>
                  </w:r>
                  <w:r>
                    <w:rPr>
                      <w:rFonts w:hint="eastAsia" w:cs="Times New Roman"/>
                      <w:color w:val="auto"/>
                      <w:sz w:val="21"/>
                      <w:szCs w:val="24"/>
                      <w:highlight w:val="none"/>
                      <w:lang w:val="en-US" w:eastAsia="zh-CN"/>
                    </w:rPr>
                    <w:t>南</w:t>
                  </w:r>
                </w:p>
              </w:tc>
              <w:tc>
                <w:tcPr>
                  <w:tcW w:w="459" w:type="pct"/>
                  <w:vAlign w:val="center"/>
                </w:tcPr>
                <w:p w14:paraId="7E74EA8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eastAsia" w:cs="Times New Roman"/>
                      <w:color w:val="auto"/>
                      <w:sz w:val="21"/>
                      <w:szCs w:val="24"/>
                      <w:highlight w:val="none"/>
                      <w:lang w:val="en-US" w:eastAsia="zh-CN"/>
                    </w:rPr>
                    <w:t>47</w:t>
                  </w:r>
                </w:p>
              </w:tc>
            </w:tr>
            <w:tr w14:paraId="56DF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vAlign w:val="center"/>
                </w:tcPr>
                <w:p w14:paraId="7B5B07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1AEAEC89">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eastAsia="zh-CN"/>
                    </w:rPr>
                    <w:t>三月三</w:t>
                  </w:r>
                  <w:r>
                    <w:rPr>
                      <w:rFonts w:hint="default" w:ascii="Times New Roman" w:hAnsi="Times New Roman" w:eastAsia="宋体" w:cs="Times New Roman"/>
                      <w:color w:val="auto"/>
                      <w:sz w:val="21"/>
                      <w:szCs w:val="21"/>
                      <w:highlight w:val="none"/>
                      <w:shd w:val="clear" w:color="auto" w:fill="auto"/>
                      <w:lang w:val="en-US" w:eastAsia="zh-CN"/>
                    </w:rPr>
                    <w:t>村</w:t>
                  </w:r>
                </w:p>
              </w:tc>
              <w:tc>
                <w:tcPr>
                  <w:tcW w:w="1154" w:type="pct"/>
                  <w:vAlign w:val="center"/>
                </w:tcPr>
                <w:p w14:paraId="131C50E3">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E103°14′1.39346″,N25°32′38.61176″</w:t>
                  </w:r>
                </w:p>
              </w:tc>
              <w:tc>
                <w:tcPr>
                  <w:tcW w:w="669" w:type="pct"/>
                  <w:vAlign w:val="center"/>
                </w:tcPr>
                <w:p w14:paraId="33FB1D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0"/>
                      <w:lang w:val="en-US" w:eastAsia="zh-CN" w:bidi="ar"/>
                    </w:rPr>
                  </w:pPr>
                  <w:r>
                    <w:rPr>
                      <w:rFonts w:hint="default" w:ascii="Times New Roman" w:hAnsi="Times New Roman" w:eastAsia="宋体" w:cs="Times New Roman"/>
                      <w:bCs/>
                      <w:color w:val="auto"/>
                      <w:sz w:val="21"/>
                      <w:highlight w:val="none"/>
                      <w:vertAlign w:val="baseline"/>
                      <w:lang w:val="en-US" w:eastAsia="zh-CN"/>
                    </w:rPr>
                    <w:t>居民</w:t>
                  </w:r>
                </w:p>
              </w:tc>
              <w:tc>
                <w:tcPr>
                  <w:tcW w:w="1330" w:type="pct"/>
                  <w:vMerge w:val="continue"/>
                  <w:vAlign w:val="center"/>
                </w:tcPr>
                <w:p w14:paraId="6BD06D42">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614" w:type="pct"/>
                  <w:vAlign w:val="center"/>
                </w:tcPr>
                <w:p w14:paraId="4AA7EC8A">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东南</w:t>
                  </w:r>
                </w:p>
              </w:tc>
              <w:tc>
                <w:tcPr>
                  <w:tcW w:w="459" w:type="pct"/>
                  <w:vAlign w:val="center"/>
                </w:tcPr>
                <w:p w14:paraId="024D154F">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default" w:ascii="Times New Roman" w:hAnsi="Times New Roman" w:eastAsia="宋体" w:cs="Times New Roman"/>
                      <w:color w:val="auto"/>
                      <w:sz w:val="21"/>
                      <w:highlight w:val="none"/>
                      <w:shd w:val="clear" w:color="auto" w:fill="auto"/>
                      <w:lang w:val="en-US" w:eastAsia="zh-CN"/>
                    </w:rPr>
                    <w:t>1275</w:t>
                  </w:r>
                </w:p>
              </w:tc>
            </w:tr>
            <w:tr w14:paraId="73A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vAlign w:val="center"/>
                </w:tcPr>
                <w:p w14:paraId="55CD24FD">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01EADD2F">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大村子村</w:t>
                  </w:r>
                </w:p>
              </w:tc>
              <w:tc>
                <w:tcPr>
                  <w:tcW w:w="1154" w:type="pct"/>
                  <w:vAlign w:val="center"/>
                </w:tcPr>
                <w:p w14:paraId="4F136332">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E103°13′44.18936″,N25°34′38.52300″</w:t>
                  </w:r>
                </w:p>
              </w:tc>
              <w:tc>
                <w:tcPr>
                  <w:tcW w:w="669" w:type="pct"/>
                  <w:vAlign w:val="center"/>
                </w:tcPr>
                <w:p w14:paraId="180A8B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0"/>
                      <w:lang w:val="en-US" w:eastAsia="zh-CN" w:bidi="ar"/>
                    </w:rPr>
                  </w:pPr>
                  <w:r>
                    <w:rPr>
                      <w:rFonts w:hint="default" w:ascii="Times New Roman" w:hAnsi="Times New Roman" w:eastAsia="宋体" w:cs="Times New Roman"/>
                      <w:bCs/>
                      <w:color w:val="auto"/>
                      <w:sz w:val="21"/>
                      <w:highlight w:val="none"/>
                      <w:vertAlign w:val="baseline"/>
                      <w:lang w:val="en-US" w:eastAsia="zh-CN"/>
                    </w:rPr>
                    <w:t>居民</w:t>
                  </w:r>
                </w:p>
              </w:tc>
              <w:tc>
                <w:tcPr>
                  <w:tcW w:w="1330" w:type="pct"/>
                  <w:vMerge w:val="continue"/>
                  <w:vAlign w:val="center"/>
                </w:tcPr>
                <w:p w14:paraId="36493E92">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p>
              </w:tc>
              <w:tc>
                <w:tcPr>
                  <w:tcW w:w="614" w:type="pct"/>
                  <w:vAlign w:val="center"/>
                </w:tcPr>
                <w:p w14:paraId="38F9CA3C">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459" w:type="pct"/>
                  <w:vAlign w:val="center"/>
                </w:tcPr>
                <w:p w14:paraId="55FDEF94">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default" w:ascii="Times New Roman" w:hAnsi="Times New Roman" w:eastAsia="宋体" w:cs="Times New Roman"/>
                      <w:color w:val="auto"/>
                      <w:sz w:val="21"/>
                      <w:highlight w:val="none"/>
                      <w:shd w:val="clear" w:color="auto" w:fill="auto"/>
                      <w:lang w:val="en-US" w:eastAsia="zh-CN"/>
                    </w:rPr>
                    <w:t>3000</w:t>
                  </w:r>
                </w:p>
              </w:tc>
            </w:tr>
            <w:tr w14:paraId="0551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vAlign w:val="center"/>
                </w:tcPr>
                <w:p w14:paraId="53547908">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2DA5843C">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揭煤蜡小区</w:t>
                  </w:r>
                </w:p>
              </w:tc>
              <w:tc>
                <w:tcPr>
                  <w:tcW w:w="1154" w:type="pct"/>
                  <w:vAlign w:val="center"/>
                </w:tcPr>
                <w:p w14:paraId="50DB7D82">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E103°12′19.79634″,N25°32′40.25689″</w:t>
                  </w:r>
                </w:p>
              </w:tc>
              <w:tc>
                <w:tcPr>
                  <w:tcW w:w="669" w:type="pct"/>
                  <w:vAlign w:val="center"/>
                </w:tcPr>
                <w:p w14:paraId="5E39B6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0"/>
                      <w:lang w:val="en-US" w:eastAsia="zh-CN" w:bidi="ar"/>
                    </w:rPr>
                  </w:pPr>
                  <w:r>
                    <w:rPr>
                      <w:rFonts w:hint="default" w:ascii="Times New Roman" w:hAnsi="Times New Roman" w:eastAsia="宋体" w:cs="Times New Roman"/>
                      <w:bCs/>
                      <w:color w:val="auto"/>
                      <w:sz w:val="21"/>
                      <w:highlight w:val="none"/>
                      <w:vertAlign w:val="baseline"/>
                      <w:lang w:val="en-US" w:eastAsia="zh-CN"/>
                    </w:rPr>
                    <w:t>居民</w:t>
                  </w:r>
                </w:p>
              </w:tc>
              <w:tc>
                <w:tcPr>
                  <w:tcW w:w="1330" w:type="pct"/>
                  <w:vMerge w:val="continue"/>
                  <w:vAlign w:val="center"/>
                </w:tcPr>
                <w:p w14:paraId="641D95A7">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p>
              </w:tc>
              <w:tc>
                <w:tcPr>
                  <w:tcW w:w="614" w:type="pct"/>
                  <w:vAlign w:val="center"/>
                </w:tcPr>
                <w:p w14:paraId="02602E69">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459" w:type="pct"/>
                  <w:vAlign w:val="center"/>
                </w:tcPr>
                <w:p w14:paraId="5AEAA201">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default" w:ascii="Times New Roman" w:hAnsi="Times New Roman" w:eastAsia="宋体" w:cs="Times New Roman"/>
                      <w:color w:val="auto"/>
                      <w:sz w:val="21"/>
                      <w:highlight w:val="none"/>
                      <w:shd w:val="clear" w:color="auto" w:fill="auto"/>
                      <w:lang w:val="en-US" w:eastAsia="zh-CN"/>
                    </w:rPr>
                    <w:t>1621</w:t>
                  </w:r>
                </w:p>
              </w:tc>
            </w:tr>
            <w:tr w14:paraId="217A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vAlign w:val="center"/>
                </w:tcPr>
                <w:p w14:paraId="67662459">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07292484">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金所哨上小学</w:t>
                  </w:r>
                </w:p>
              </w:tc>
              <w:tc>
                <w:tcPr>
                  <w:tcW w:w="1154" w:type="pct"/>
                  <w:vAlign w:val="center"/>
                </w:tcPr>
                <w:p w14:paraId="07B51CB7">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E103°12′38.64475″,N25°33′8.68402″</w:t>
                  </w:r>
                </w:p>
              </w:tc>
              <w:tc>
                <w:tcPr>
                  <w:tcW w:w="669" w:type="pct"/>
                  <w:vAlign w:val="center"/>
                </w:tcPr>
                <w:p w14:paraId="12350D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0"/>
                      <w:lang w:val="en-US" w:eastAsia="zh-CN" w:bidi="ar"/>
                    </w:rPr>
                  </w:pPr>
                  <w:r>
                    <w:rPr>
                      <w:rFonts w:hint="default" w:ascii="Times New Roman" w:hAnsi="Times New Roman" w:eastAsia="宋体" w:cs="Times New Roman"/>
                      <w:color w:val="auto"/>
                      <w:kern w:val="0"/>
                      <w:sz w:val="21"/>
                      <w:szCs w:val="20"/>
                      <w:lang w:val="en-US" w:eastAsia="zh-CN" w:bidi="ar"/>
                    </w:rPr>
                    <w:t>教育</w:t>
                  </w:r>
                </w:p>
              </w:tc>
              <w:tc>
                <w:tcPr>
                  <w:tcW w:w="1330" w:type="pct"/>
                  <w:vMerge w:val="continue"/>
                  <w:vAlign w:val="center"/>
                </w:tcPr>
                <w:p w14:paraId="3DEF2794">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p>
              </w:tc>
              <w:tc>
                <w:tcPr>
                  <w:tcW w:w="614" w:type="pct"/>
                  <w:vAlign w:val="center"/>
                </w:tcPr>
                <w:p w14:paraId="2A548CC3">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459" w:type="pct"/>
                  <w:vAlign w:val="center"/>
                </w:tcPr>
                <w:p w14:paraId="065DB86F">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default" w:ascii="Times New Roman" w:hAnsi="Times New Roman" w:eastAsia="宋体" w:cs="Times New Roman"/>
                      <w:color w:val="auto"/>
                      <w:sz w:val="21"/>
                      <w:highlight w:val="none"/>
                      <w:shd w:val="clear" w:color="auto" w:fill="auto"/>
                      <w:lang w:val="en-US" w:eastAsia="zh-CN"/>
                    </w:rPr>
                    <w:t>1000</w:t>
                  </w:r>
                </w:p>
              </w:tc>
            </w:tr>
            <w:tr w14:paraId="4BAB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vAlign w:val="center"/>
                </w:tcPr>
                <w:p w14:paraId="71E4C414">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19098532">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寻甸同和精神病医院</w:t>
                  </w:r>
                </w:p>
              </w:tc>
              <w:tc>
                <w:tcPr>
                  <w:tcW w:w="1154" w:type="pct"/>
                  <w:vAlign w:val="center"/>
                </w:tcPr>
                <w:p w14:paraId="49F6DF4D">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E103°12′20.56881″,N25°33′11.15594″</w:t>
                  </w:r>
                </w:p>
              </w:tc>
              <w:tc>
                <w:tcPr>
                  <w:tcW w:w="669" w:type="pct"/>
                  <w:vAlign w:val="center"/>
                </w:tcPr>
                <w:p w14:paraId="73DE3C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0"/>
                      <w:lang w:val="en-US" w:eastAsia="zh-CN" w:bidi="ar"/>
                    </w:rPr>
                  </w:pPr>
                  <w:r>
                    <w:rPr>
                      <w:rFonts w:hint="default" w:ascii="Times New Roman" w:hAnsi="Times New Roman" w:eastAsia="宋体" w:cs="Times New Roman"/>
                      <w:color w:val="auto"/>
                      <w:kern w:val="0"/>
                      <w:sz w:val="21"/>
                      <w:szCs w:val="20"/>
                      <w:lang w:val="en-US" w:eastAsia="zh-CN" w:bidi="ar"/>
                    </w:rPr>
                    <w:t>医疗</w:t>
                  </w:r>
                </w:p>
              </w:tc>
              <w:tc>
                <w:tcPr>
                  <w:tcW w:w="1330" w:type="pct"/>
                  <w:vMerge w:val="continue"/>
                  <w:vAlign w:val="center"/>
                </w:tcPr>
                <w:p w14:paraId="2D67F10C">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p>
              </w:tc>
              <w:tc>
                <w:tcPr>
                  <w:tcW w:w="614" w:type="pct"/>
                  <w:vAlign w:val="center"/>
                </w:tcPr>
                <w:p w14:paraId="7101886F">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459" w:type="pct"/>
                  <w:vAlign w:val="center"/>
                </w:tcPr>
                <w:p w14:paraId="2E577DA8">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default" w:ascii="Times New Roman" w:hAnsi="Times New Roman" w:eastAsia="宋体" w:cs="Times New Roman"/>
                      <w:color w:val="auto"/>
                      <w:sz w:val="21"/>
                      <w:highlight w:val="none"/>
                      <w:shd w:val="clear" w:color="auto" w:fill="auto"/>
                      <w:lang w:val="en-US" w:eastAsia="zh-CN"/>
                    </w:rPr>
                    <w:t>1500</w:t>
                  </w:r>
                </w:p>
              </w:tc>
            </w:tr>
            <w:tr w14:paraId="2D00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 w:type="pct"/>
                  <w:vMerge w:val="continue"/>
                  <w:vAlign w:val="center"/>
                </w:tcPr>
                <w:p w14:paraId="23FD0A57">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7" w:type="pct"/>
                  <w:vAlign w:val="center"/>
                </w:tcPr>
                <w:p w14:paraId="17B73F70">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金所村</w:t>
                  </w:r>
                </w:p>
              </w:tc>
              <w:tc>
                <w:tcPr>
                  <w:tcW w:w="1154" w:type="pct"/>
                  <w:vAlign w:val="center"/>
                </w:tcPr>
                <w:p w14:paraId="194814AF">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E103°11′29.81712″,N25°32′46.05046″</w:t>
                  </w:r>
                </w:p>
              </w:tc>
              <w:tc>
                <w:tcPr>
                  <w:tcW w:w="669" w:type="pct"/>
                  <w:vAlign w:val="center"/>
                </w:tcPr>
                <w:p w14:paraId="278AB9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0"/>
                      <w:lang w:val="en-US" w:eastAsia="zh-CN" w:bidi="ar"/>
                    </w:rPr>
                  </w:pPr>
                  <w:r>
                    <w:rPr>
                      <w:rFonts w:hint="default" w:ascii="Times New Roman" w:hAnsi="Times New Roman" w:eastAsia="宋体" w:cs="Times New Roman"/>
                      <w:bCs/>
                      <w:color w:val="auto"/>
                      <w:sz w:val="21"/>
                      <w:highlight w:val="none"/>
                      <w:vertAlign w:val="baseline"/>
                      <w:lang w:val="en-US" w:eastAsia="zh-CN"/>
                    </w:rPr>
                    <w:t>居民</w:t>
                  </w:r>
                </w:p>
              </w:tc>
              <w:tc>
                <w:tcPr>
                  <w:tcW w:w="1330" w:type="pct"/>
                  <w:vMerge w:val="continue"/>
                  <w:vAlign w:val="center"/>
                </w:tcPr>
                <w:p w14:paraId="71899FCD">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p>
              </w:tc>
              <w:tc>
                <w:tcPr>
                  <w:tcW w:w="614" w:type="pct"/>
                  <w:vAlign w:val="center"/>
                </w:tcPr>
                <w:p w14:paraId="2B8DF85E">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459" w:type="pct"/>
                  <w:vAlign w:val="center"/>
                </w:tcPr>
                <w:p w14:paraId="5EB51AC0">
                  <w:pPr>
                    <w:pStyle w:val="27"/>
                    <w:keepNext w:val="0"/>
                    <w:keepLines w:val="0"/>
                    <w:pageBreakBefore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highlight w:val="none"/>
                      <w:shd w:val="clear" w:color="auto" w:fill="auto"/>
                      <w:lang w:val="en-US" w:eastAsia="zh-CN"/>
                    </w:rPr>
                  </w:pPr>
                  <w:r>
                    <w:rPr>
                      <w:rFonts w:hint="default" w:ascii="Times New Roman" w:hAnsi="Times New Roman" w:eastAsia="宋体" w:cs="Times New Roman"/>
                      <w:color w:val="auto"/>
                      <w:sz w:val="21"/>
                      <w:highlight w:val="none"/>
                      <w:shd w:val="clear" w:color="auto" w:fill="auto"/>
                      <w:lang w:val="en-US" w:eastAsia="zh-CN"/>
                    </w:rPr>
                    <w:t>2998</w:t>
                  </w:r>
                </w:p>
              </w:tc>
            </w:tr>
          </w:tbl>
          <w:p w14:paraId="0E00997F">
            <w:pPr>
              <w:pStyle w:val="1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p>
        </w:tc>
      </w:tr>
      <w:tr w14:paraId="330C8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tcMar>
              <w:left w:w="28" w:type="dxa"/>
              <w:right w:w="28" w:type="dxa"/>
            </w:tcMar>
            <w:vAlign w:val="center"/>
          </w:tcPr>
          <w:p w14:paraId="3704196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14:paraId="1C511DC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14:paraId="7E2A9CE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14:paraId="391875F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14:paraId="4A2046C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14:paraId="23F39085">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14:paraId="05AE18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14:paraId="634A2AF5">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p>
          <w:p w14:paraId="58CBFA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default" w:ascii="Times New Roman" w:hAnsi="Times New Roman" w:eastAsia="宋体"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rPr>
              <w:t xml:space="preserve">   无组织颗粒物排放标准</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682"/>
              <w:gridCol w:w="3501"/>
            </w:tblGrid>
            <w:tr w14:paraId="7A69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5" w:type="pct"/>
                  <w:vMerge w:val="restart"/>
                  <w:noWrap w:val="0"/>
                  <w:vAlign w:val="center"/>
                </w:tcPr>
                <w:p w14:paraId="2ACD03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3654" w:type="pct"/>
                  <w:gridSpan w:val="2"/>
                  <w:noWrap w:val="0"/>
                  <w:vAlign w:val="center"/>
                </w:tcPr>
                <w:p w14:paraId="4A5E6E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14:paraId="5AE6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5" w:type="pct"/>
                  <w:vMerge w:val="continue"/>
                  <w:noWrap w:val="0"/>
                  <w:vAlign w:val="center"/>
                </w:tcPr>
                <w:p w14:paraId="045191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highlight w:val="none"/>
                    </w:rPr>
                  </w:pPr>
                </w:p>
              </w:tc>
              <w:tc>
                <w:tcPr>
                  <w:tcW w:w="1585" w:type="pct"/>
                  <w:noWrap w:val="0"/>
                  <w:vAlign w:val="center"/>
                </w:tcPr>
                <w:p w14:paraId="3D252B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2068" w:type="pct"/>
                  <w:noWrap w:val="0"/>
                  <w:vAlign w:val="center"/>
                </w:tcPr>
                <w:p w14:paraId="25D2D1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14:paraId="4125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5" w:type="pct"/>
                  <w:noWrap w:val="0"/>
                  <w:vAlign w:val="center"/>
                </w:tcPr>
                <w:p w14:paraId="0E14A6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1585" w:type="pct"/>
                  <w:noWrap w:val="0"/>
                  <w:vAlign w:val="center"/>
                </w:tcPr>
                <w:p w14:paraId="1C52FC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2068" w:type="pct"/>
                  <w:noWrap w:val="0"/>
                  <w:vAlign w:val="center"/>
                </w:tcPr>
                <w:p w14:paraId="49433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14:paraId="58D712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14:paraId="1F4F467D">
            <w:pPr>
              <w:pStyle w:val="5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1粉尘</w:t>
            </w:r>
          </w:p>
          <w:p w14:paraId="7CADCBD8">
            <w:pPr>
              <w:pStyle w:val="5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根据GB4915-2013《水泥工业大气污染物排放标准》，水泥制品生产包括预拌混凝土、砂浆和混凝土预制件的生产，不包括水泥用于施工现场搅拌的过程。本项目为商品混凝土搅拌站项目，属于预拌混凝土的生产，因此，可执行GB4915-2013《水泥工业大气污染物排放标准》中“散装水泥中转站及水泥制品生产”排放标准。</w:t>
            </w:r>
          </w:p>
          <w:p w14:paraId="66DB50B6">
            <w:pPr>
              <w:pStyle w:val="5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①有组织废气</w:t>
            </w:r>
          </w:p>
          <w:p w14:paraId="74676612">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1" w:lineRule="auto"/>
              <w:ind w:firstLine="480" w:firstLineChars="200"/>
              <w:jc w:val="both"/>
              <w:textAlignment w:val="auto"/>
              <w:rPr>
                <w:rFonts w:hint="default" w:ascii="Times New Roman" w:hAnsi="Times New Roman"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bidi="ar-SA"/>
              </w:rPr>
              <w:t>本项目生产线各生产设备（设施）排气筒废气执行GB4915-2013《水泥工业大气污染物排放标准》中的相关规定。排气筒高度应不低于15m，排气筒高度应高出本体建筑物3m以上。排气筒标准值见表3-5。</w:t>
            </w:r>
          </w:p>
          <w:p w14:paraId="0EBD88E3">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1" w:lineRule="auto"/>
              <w:ind w:left="0" w:leftChars="0" w:right="0" w:rightChars="0" w:firstLine="0" w:firstLineChars="0"/>
              <w:jc w:val="center"/>
              <w:textAlignment w:val="auto"/>
              <w:rPr>
                <w:rFonts w:hint="default" w:ascii="Times New Roman" w:hAnsi="Times New Roman" w:cs="Times New Roman"/>
                <w:b/>
                <w:color w:val="auto"/>
                <w:sz w:val="21"/>
                <w:szCs w:val="24"/>
                <w:highlight w:val="none"/>
                <w:lang w:val="zh-CN"/>
              </w:rPr>
            </w:pPr>
            <w:r>
              <w:rPr>
                <w:rFonts w:hint="default" w:ascii="Times New Roman" w:hAnsi="Times New Roman" w:cs="Times New Roman"/>
                <w:b/>
                <w:color w:val="auto"/>
                <w:sz w:val="21"/>
                <w:szCs w:val="24"/>
                <w:highlight w:val="none"/>
                <w:lang w:val="zh-CN"/>
              </w:rPr>
              <w:t>表3-5水泥工业大气污染物排放标准（单位mg/m</w:t>
            </w:r>
            <w:r>
              <w:rPr>
                <w:rFonts w:hint="default" w:ascii="Times New Roman" w:hAnsi="Times New Roman" w:cs="Times New Roman"/>
                <w:b/>
                <w:color w:val="auto"/>
                <w:sz w:val="21"/>
                <w:szCs w:val="24"/>
                <w:highlight w:val="none"/>
                <w:vertAlign w:val="superscript"/>
                <w:lang w:val="zh-CN"/>
              </w:rPr>
              <w:t>3</w:t>
            </w:r>
            <w:r>
              <w:rPr>
                <w:rFonts w:hint="default" w:ascii="Times New Roman" w:hAnsi="Times New Roman" w:cs="Times New Roman"/>
                <w:b/>
                <w:color w:val="auto"/>
                <w:sz w:val="21"/>
                <w:szCs w:val="24"/>
                <w:highlight w:val="none"/>
                <w:lang w:val="zh-CN"/>
              </w:rPr>
              <w:t>）</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250"/>
              <w:gridCol w:w="1199"/>
              <w:gridCol w:w="1199"/>
              <w:gridCol w:w="1672"/>
            </w:tblGrid>
            <w:tr w14:paraId="72A7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3" w:type="pct"/>
                  <w:tcBorders>
                    <w:top w:val="single" w:color="auto" w:sz="4" w:space="0"/>
                    <w:left w:val="single" w:color="auto" w:sz="4" w:space="0"/>
                    <w:bottom w:val="single" w:color="auto" w:sz="4" w:space="0"/>
                    <w:right w:val="single" w:color="auto" w:sz="4" w:space="0"/>
                  </w:tcBorders>
                  <w:noWrap w:val="0"/>
                  <w:vAlign w:val="center"/>
                </w:tcPr>
                <w:p w14:paraId="29DDA714">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生产过程</w:t>
                  </w:r>
                </w:p>
              </w:tc>
              <w:tc>
                <w:tcPr>
                  <w:tcW w:w="1330" w:type="pct"/>
                  <w:tcBorders>
                    <w:top w:val="single" w:color="auto" w:sz="4" w:space="0"/>
                    <w:left w:val="single" w:color="auto" w:sz="4" w:space="0"/>
                    <w:bottom w:val="single" w:color="auto" w:sz="4" w:space="0"/>
                    <w:right w:val="single" w:color="auto" w:sz="4" w:space="0"/>
                  </w:tcBorders>
                  <w:noWrap w:val="0"/>
                  <w:vAlign w:val="center"/>
                </w:tcPr>
                <w:p w14:paraId="10CB9226">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生产设备</w:t>
                  </w:r>
                </w:p>
              </w:tc>
              <w:tc>
                <w:tcPr>
                  <w:tcW w:w="709" w:type="pct"/>
                  <w:tcBorders>
                    <w:top w:val="single" w:color="auto" w:sz="4" w:space="0"/>
                    <w:left w:val="single" w:color="auto" w:sz="4" w:space="0"/>
                    <w:bottom w:val="single" w:color="auto" w:sz="4" w:space="0"/>
                    <w:right w:val="single" w:color="auto" w:sz="4" w:space="0"/>
                  </w:tcBorders>
                  <w:noWrap w:val="0"/>
                  <w:vAlign w:val="center"/>
                </w:tcPr>
                <w:p w14:paraId="7C327533">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颗粒物</w:t>
                  </w:r>
                </w:p>
              </w:tc>
              <w:tc>
                <w:tcPr>
                  <w:tcW w:w="709" w:type="pct"/>
                  <w:tcBorders>
                    <w:top w:val="single" w:color="auto" w:sz="4" w:space="0"/>
                    <w:left w:val="single" w:color="auto" w:sz="4" w:space="0"/>
                    <w:bottom w:val="single" w:color="auto" w:sz="4" w:space="0"/>
                    <w:right w:val="single" w:color="auto" w:sz="4" w:space="0"/>
                  </w:tcBorders>
                  <w:noWrap w:val="0"/>
                  <w:vAlign w:val="center"/>
                </w:tcPr>
                <w:p w14:paraId="5E630C8D">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二氧化硫</w:t>
                  </w:r>
                </w:p>
              </w:tc>
              <w:tc>
                <w:tcPr>
                  <w:tcW w:w="988" w:type="pct"/>
                  <w:tcBorders>
                    <w:top w:val="single" w:color="auto" w:sz="4" w:space="0"/>
                    <w:left w:val="single" w:color="auto" w:sz="4" w:space="0"/>
                    <w:bottom w:val="single" w:color="auto" w:sz="4" w:space="0"/>
                    <w:right w:val="single" w:color="auto" w:sz="4" w:space="0"/>
                  </w:tcBorders>
                  <w:noWrap w:val="0"/>
                  <w:vAlign w:val="center"/>
                </w:tcPr>
                <w:p w14:paraId="71ED4FA4">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氮氧化物</w:t>
                  </w:r>
                </w:p>
                <w:p w14:paraId="1F969797">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（以NO</w:t>
                  </w:r>
                  <w:r>
                    <w:rPr>
                      <w:rFonts w:hint="default" w:ascii="Times New Roman" w:hAnsi="Times New Roman" w:cs="Times New Roman"/>
                      <w:b/>
                      <w:bCs/>
                      <w:color w:val="auto"/>
                      <w:highlight w:val="none"/>
                      <w:vertAlign w:val="subscript"/>
                    </w:rPr>
                    <w:t>2</w:t>
                  </w:r>
                  <w:r>
                    <w:rPr>
                      <w:rFonts w:hint="default" w:ascii="Times New Roman" w:hAnsi="Times New Roman" w:cs="Times New Roman"/>
                      <w:b/>
                      <w:bCs/>
                      <w:color w:val="auto"/>
                      <w:highlight w:val="none"/>
                    </w:rPr>
                    <w:t>计）</w:t>
                  </w:r>
                </w:p>
              </w:tc>
            </w:tr>
            <w:tr w14:paraId="4A14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3" w:type="pct"/>
                  <w:tcBorders>
                    <w:top w:val="single" w:color="auto" w:sz="4" w:space="0"/>
                    <w:left w:val="single" w:color="auto" w:sz="4" w:space="0"/>
                    <w:bottom w:val="single" w:color="auto" w:sz="4" w:space="0"/>
                    <w:right w:val="single" w:color="auto" w:sz="4" w:space="0"/>
                  </w:tcBorders>
                  <w:noWrap w:val="0"/>
                  <w:vAlign w:val="center"/>
                </w:tcPr>
                <w:p w14:paraId="0169D6C9">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散装水泥中转站及水制品生产</w:t>
                  </w:r>
                </w:p>
              </w:tc>
              <w:tc>
                <w:tcPr>
                  <w:tcW w:w="1330" w:type="pct"/>
                  <w:tcBorders>
                    <w:top w:val="single" w:color="auto" w:sz="4" w:space="0"/>
                    <w:left w:val="single" w:color="auto" w:sz="4" w:space="0"/>
                    <w:bottom w:val="single" w:color="auto" w:sz="4" w:space="0"/>
                    <w:right w:val="single" w:color="auto" w:sz="4" w:space="0"/>
                  </w:tcBorders>
                  <w:noWrap w:val="0"/>
                  <w:vAlign w:val="center"/>
                </w:tcPr>
                <w:p w14:paraId="56FB30C6">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水泥仓及其他通风生产设备</w:t>
                  </w:r>
                </w:p>
              </w:tc>
              <w:tc>
                <w:tcPr>
                  <w:tcW w:w="709" w:type="pct"/>
                  <w:tcBorders>
                    <w:top w:val="single" w:color="auto" w:sz="4" w:space="0"/>
                    <w:left w:val="single" w:color="auto" w:sz="4" w:space="0"/>
                    <w:bottom w:val="single" w:color="auto" w:sz="4" w:space="0"/>
                    <w:right w:val="single" w:color="auto" w:sz="4" w:space="0"/>
                  </w:tcBorders>
                  <w:noWrap w:val="0"/>
                  <w:vAlign w:val="center"/>
                </w:tcPr>
                <w:p w14:paraId="1A9923FD">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709" w:type="pct"/>
                  <w:tcBorders>
                    <w:top w:val="single" w:color="auto" w:sz="4" w:space="0"/>
                    <w:left w:val="single" w:color="auto" w:sz="4" w:space="0"/>
                    <w:bottom w:val="single" w:color="auto" w:sz="4" w:space="0"/>
                    <w:right w:val="single" w:color="auto" w:sz="4" w:space="0"/>
                  </w:tcBorders>
                  <w:noWrap w:val="0"/>
                  <w:vAlign w:val="center"/>
                </w:tcPr>
                <w:p w14:paraId="1CA405B0">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988" w:type="pct"/>
                  <w:tcBorders>
                    <w:top w:val="single" w:color="auto" w:sz="4" w:space="0"/>
                    <w:left w:val="single" w:color="auto" w:sz="4" w:space="0"/>
                    <w:bottom w:val="single" w:color="auto" w:sz="4" w:space="0"/>
                    <w:right w:val="single" w:color="auto" w:sz="4" w:space="0"/>
                  </w:tcBorders>
                  <w:noWrap w:val="0"/>
                  <w:vAlign w:val="center"/>
                </w:tcPr>
                <w:p w14:paraId="13AD8531">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bl>
          <w:p w14:paraId="154714D8">
            <w:pPr>
              <w:pStyle w:val="50"/>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②无组织废气</w:t>
            </w:r>
          </w:p>
          <w:p w14:paraId="0F1CEB88">
            <w:pPr>
              <w:pStyle w:val="50"/>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本项目营运期料场、骨料输送、粉料筒仓、</w:t>
            </w:r>
            <w:r>
              <w:rPr>
                <w:rFonts w:hint="eastAsia" w:cs="Times New Roman"/>
                <w:color w:val="auto"/>
                <w:highlight w:val="none"/>
                <w:lang w:eastAsia="zh-CN"/>
              </w:rPr>
              <w:t>拌合站</w:t>
            </w:r>
            <w:r>
              <w:rPr>
                <w:rFonts w:hint="default" w:ascii="Times New Roman" w:hAnsi="Times New Roman" w:cs="Times New Roman"/>
                <w:color w:val="auto"/>
                <w:highlight w:val="none"/>
              </w:rPr>
              <w:t>及道路运输等产生的无组织粉尘执行GB4915-2013《水泥工业大气污染物排放标准》中监控点浓度限值</w:t>
            </w:r>
            <w:r>
              <w:rPr>
                <w:rFonts w:hint="eastAsia" w:cs="Times New Roman"/>
                <w:color w:val="auto"/>
                <w:highlight w:val="none"/>
                <w:lang w:eastAsia="zh-CN"/>
              </w:rPr>
              <w:t>要求</w:t>
            </w:r>
            <w:r>
              <w:rPr>
                <w:rFonts w:hint="default" w:ascii="Times New Roman" w:hAnsi="Times New Roman" w:cs="Times New Roman"/>
                <w:color w:val="auto"/>
                <w:highlight w:val="none"/>
              </w:rPr>
              <w:t>，具体限值见表3-6。</w:t>
            </w:r>
          </w:p>
          <w:p w14:paraId="22604277">
            <w:pPr>
              <w:tabs>
                <w:tab w:val="left" w:pos="630"/>
              </w:tabs>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表3-6水泥工业大气污染物排放标准（单位mg/m</w:t>
            </w:r>
            <w:r>
              <w:rPr>
                <w:rFonts w:hint="default" w:ascii="Times New Roman" w:hAnsi="Times New Roman" w:cs="Times New Roman"/>
                <w:b/>
                <w:bCs/>
                <w:color w:val="auto"/>
                <w:highlight w:val="none"/>
                <w:vertAlign w:val="superscript"/>
              </w:rPr>
              <w:t>3</w:t>
            </w:r>
            <w:r>
              <w:rPr>
                <w:rFonts w:hint="default" w:ascii="Times New Roman" w:hAnsi="Times New Roman" w:cs="Times New Roman"/>
                <w:b/>
                <w:bCs/>
                <w:color w:val="auto"/>
                <w:highlight w:val="none"/>
              </w:rPr>
              <w:t>）</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008"/>
              <w:gridCol w:w="3240"/>
              <w:gridCol w:w="2788"/>
            </w:tblGrid>
            <w:tr w14:paraId="51C6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14:paraId="1F523247">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污染物项目</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726DF08A">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限值</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64C761D4">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限值含义</w:t>
                  </w:r>
                </w:p>
              </w:tc>
              <w:tc>
                <w:tcPr>
                  <w:tcW w:w="1647" w:type="pct"/>
                  <w:tcBorders>
                    <w:top w:val="single" w:color="auto" w:sz="4" w:space="0"/>
                    <w:left w:val="single" w:color="auto" w:sz="4" w:space="0"/>
                    <w:bottom w:val="single" w:color="auto" w:sz="4" w:space="0"/>
                    <w:right w:val="single" w:color="auto" w:sz="4" w:space="0"/>
                  </w:tcBorders>
                  <w:noWrap w:val="0"/>
                  <w:vAlign w:val="center"/>
                </w:tcPr>
                <w:p w14:paraId="243459DD">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无组织排放监控位置</w:t>
                  </w:r>
                </w:p>
              </w:tc>
            </w:tr>
            <w:tr w14:paraId="0783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14:paraId="14D56AE1">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颗粒物</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5BCC819A">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0.5</w:t>
                  </w:r>
                </w:p>
              </w:tc>
              <w:tc>
                <w:tcPr>
                  <w:tcW w:w="1915" w:type="pct"/>
                  <w:tcBorders>
                    <w:top w:val="single" w:color="auto" w:sz="4" w:space="0"/>
                    <w:left w:val="single" w:color="auto" w:sz="4" w:space="0"/>
                    <w:bottom w:val="single" w:color="auto" w:sz="4" w:space="0"/>
                    <w:right w:val="single" w:color="auto" w:sz="4" w:space="0"/>
                  </w:tcBorders>
                  <w:noWrap w:val="0"/>
                  <w:vAlign w:val="center"/>
                </w:tcPr>
                <w:p w14:paraId="40F3B9DE">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监控点与参照点总悬浮颗粒物（TSP）1小时浓度值的差值</w:t>
                  </w:r>
                </w:p>
              </w:tc>
              <w:tc>
                <w:tcPr>
                  <w:tcW w:w="1647" w:type="pct"/>
                  <w:tcBorders>
                    <w:top w:val="single" w:color="auto" w:sz="4" w:space="0"/>
                    <w:left w:val="single" w:color="auto" w:sz="4" w:space="0"/>
                    <w:bottom w:val="single" w:color="auto" w:sz="4" w:space="0"/>
                    <w:right w:val="single" w:color="auto" w:sz="4" w:space="0"/>
                  </w:tcBorders>
                  <w:noWrap w:val="0"/>
                  <w:vAlign w:val="center"/>
                </w:tcPr>
                <w:p w14:paraId="65929E94">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厂界外20m处上风向设置参照点，下风向设监控点</w:t>
                  </w:r>
                </w:p>
              </w:tc>
            </w:tr>
          </w:tbl>
          <w:p w14:paraId="7856FA14">
            <w:pPr>
              <w:pStyle w:val="5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2食堂废气</w:t>
            </w:r>
          </w:p>
          <w:p w14:paraId="485D4729">
            <w:pPr>
              <w:pStyle w:val="50"/>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职工食堂厨房设置1个灶头，食堂油烟排放执行GB18483-2001《饮食业油烟排放标准》（试行）小型规模标准要求。标准值见表3-7。</w:t>
            </w:r>
          </w:p>
          <w:p w14:paraId="6215487D">
            <w:pPr>
              <w:tabs>
                <w:tab w:val="left" w:pos="630"/>
              </w:tabs>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表3-7饮食业单位的油烟最高允许排放浓度和油烟净化设施最低去除率</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3174"/>
              <w:gridCol w:w="3171"/>
            </w:tblGrid>
            <w:tr w14:paraId="72A7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9" w:type="pct"/>
                  <w:tcBorders>
                    <w:top w:val="single" w:color="auto" w:sz="4" w:space="0"/>
                    <w:left w:val="single" w:color="auto" w:sz="4" w:space="0"/>
                    <w:bottom w:val="single" w:color="auto" w:sz="4" w:space="0"/>
                    <w:right w:val="single" w:color="auto" w:sz="4" w:space="0"/>
                  </w:tcBorders>
                  <w:noWrap w:val="0"/>
                  <w:vAlign w:val="center"/>
                </w:tcPr>
                <w:p w14:paraId="3857819E">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规模</w:t>
                  </w:r>
                </w:p>
              </w:tc>
              <w:tc>
                <w:tcPr>
                  <w:tcW w:w="1876" w:type="pct"/>
                  <w:tcBorders>
                    <w:top w:val="single" w:color="auto" w:sz="4" w:space="0"/>
                    <w:left w:val="single" w:color="auto" w:sz="4" w:space="0"/>
                    <w:bottom w:val="single" w:color="auto" w:sz="4" w:space="0"/>
                    <w:right w:val="single" w:color="auto" w:sz="4" w:space="0"/>
                  </w:tcBorders>
                  <w:noWrap w:val="0"/>
                  <w:vAlign w:val="center"/>
                </w:tcPr>
                <w:p w14:paraId="4FBC09F3">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最高允许排放浓度（mg/m</w:t>
                  </w:r>
                  <w:r>
                    <w:rPr>
                      <w:rFonts w:hint="default" w:ascii="Times New Roman" w:hAnsi="Times New Roman" w:cs="Times New Roman"/>
                      <w:b/>
                      <w:bCs/>
                      <w:color w:val="auto"/>
                      <w:highlight w:val="none"/>
                      <w:vertAlign w:val="superscript"/>
                    </w:rPr>
                    <w:t>3</w:t>
                  </w:r>
                  <w:r>
                    <w:rPr>
                      <w:rFonts w:hint="default" w:ascii="Times New Roman" w:hAnsi="Times New Roman" w:cs="Times New Roman"/>
                      <w:b/>
                      <w:bCs/>
                      <w:color w:val="auto"/>
                      <w:highlight w:val="none"/>
                    </w:rPr>
                    <w:t>）</w:t>
                  </w:r>
                </w:p>
              </w:tc>
              <w:tc>
                <w:tcPr>
                  <w:tcW w:w="1874" w:type="pct"/>
                  <w:tcBorders>
                    <w:top w:val="single" w:color="auto" w:sz="4" w:space="0"/>
                    <w:left w:val="single" w:color="auto" w:sz="4" w:space="0"/>
                    <w:bottom w:val="single" w:color="auto" w:sz="4" w:space="0"/>
                    <w:right w:val="single" w:color="auto" w:sz="4" w:space="0"/>
                  </w:tcBorders>
                  <w:noWrap w:val="0"/>
                  <w:vAlign w:val="center"/>
                </w:tcPr>
                <w:p w14:paraId="745CC365">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净化设施最低去除率（%）</w:t>
                  </w:r>
                </w:p>
              </w:tc>
            </w:tr>
            <w:tr w14:paraId="4578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9" w:type="pct"/>
                  <w:tcBorders>
                    <w:top w:val="single" w:color="auto" w:sz="4" w:space="0"/>
                    <w:left w:val="single" w:color="auto" w:sz="4" w:space="0"/>
                    <w:bottom w:val="single" w:color="auto" w:sz="4" w:space="0"/>
                    <w:right w:val="single" w:color="auto" w:sz="4" w:space="0"/>
                  </w:tcBorders>
                  <w:noWrap w:val="0"/>
                  <w:vAlign w:val="center"/>
                </w:tcPr>
                <w:p w14:paraId="287D2A81">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小型</w:t>
                  </w:r>
                </w:p>
              </w:tc>
              <w:tc>
                <w:tcPr>
                  <w:tcW w:w="1876" w:type="pct"/>
                  <w:tcBorders>
                    <w:top w:val="single" w:color="auto" w:sz="4" w:space="0"/>
                    <w:left w:val="single" w:color="auto" w:sz="4" w:space="0"/>
                    <w:bottom w:val="single" w:color="auto" w:sz="4" w:space="0"/>
                    <w:right w:val="single" w:color="auto" w:sz="4" w:space="0"/>
                  </w:tcBorders>
                  <w:noWrap w:val="0"/>
                  <w:vAlign w:val="center"/>
                </w:tcPr>
                <w:p w14:paraId="4127592D">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1874" w:type="pct"/>
                  <w:tcBorders>
                    <w:top w:val="single" w:color="auto" w:sz="4" w:space="0"/>
                    <w:left w:val="single" w:color="auto" w:sz="4" w:space="0"/>
                    <w:bottom w:val="single" w:color="auto" w:sz="4" w:space="0"/>
                    <w:right w:val="single" w:color="auto" w:sz="4" w:space="0"/>
                  </w:tcBorders>
                  <w:noWrap w:val="0"/>
                  <w:vAlign w:val="center"/>
                </w:tcPr>
                <w:p w14:paraId="230D47D1">
                  <w:pPr>
                    <w:pStyle w:val="51"/>
                    <w:keepNext w:val="0"/>
                    <w:keepLines w:val="0"/>
                    <w:pageBreakBefore w:val="0"/>
                    <w:widowControl w:val="0"/>
                    <w:kinsoku/>
                    <w:wordWrap/>
                    <w:overflowPunct/>
                    <w:topLinePunct w:val="0"/>
                    <w:autoSpaceDE w:val="0"/>
                    <w:autoSpaceDN w:val="0"/>
                    <w:bidi w:val="0"/>
                    <w:adjustRightInd/>
                    <w:snapToGrid/>
                    <w:ind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r>
          </w:tbl>
          <w:p w14:paraId="054CC2DA">
            <w:pPr>
              <w:rPr>
                <w:rFonts w:hint="default" w:ascii="Times New Roman" w:hAnsi="Times New Roman" w:cs="Times New Roman"/>
                <w:color w:val="auto"/>
              </w:rPr>
            </w:pPr>
          </w:p>
          <w:p w14:paraId="6F264877">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1"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14:paraId="40887A1A">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eastAsia="zh-CN"/>
              </w:rPr>
              <w:t>施工期废水经沉淀处理后全部回用于施工场地洒水降尘，不外排，不涉及污染物排放标准。</w:t>
            </w:r>
          </w:p>
          <w:p w14:paraId="0FDB6550">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项目运营期采取雨污分流系统</w:t>
            </w:r>
            <w:r>
              <w:rPr>
                <w:rFonts w:hint="default"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eastAsia="zh-CN"/>
              </w:rPr>
              <w:t>厂区</w:t>
            </w:r>
            <w:r>
              <w:rPr>
                <w:rFonts w:hint="default" w:ascii="Times New Roman" w:hAnsi="Times New Roman" w:eastAsia="宋体" w:cs="Times New Roman"/>
                <w:bCs/>
                <w:color w:val="auto"/>
                <w:sz w:val="24"/>
                <w:szCs w:val="24"/>
                <w:highlight w:val="none"/>
                <w:lang w:val="en-US" w:eastAsia="zh-CN"/>
              </w:rPr>
              <w:t>硬化地</w:t>
            </w:r>
            <w:r>
              <w:rPr>
                <w:rFonts w:hint="default" w:ascii="Times New Roman" w:hAnsi="Times New Roman" w:eastAsia="宋体" w:cs="Times New Roman"/>
                <w:bCs/>
                <w:color w:val="auto"/>
                <w:sz w:val="24"/>
                <w:szCs w:val="24"/>
                <w:highlight w:val="none"/>
                <w:lang w:eastAsia="zh-CN"/>
              </w:rPr>
              <w:t>上雨水经</w:t>
            </w:r>
            <w:r>
              <w:rPr>
                <w:rFonts w:hint="default" w:ascii="Times New Roman" w:hAnsi="Times New Roman" w:eastAsia="宋体" w:cs="Times New Roman"/>
                <w:bCs/>
                <w:color w:val="auto"/>
                <w:sz w:val="24"/>
                <w:szCs w:val="24"/>
                <w:highlight w:val="none"/>
                <w:lang w:val="en-US" w:eastAsia="zh-CN"/>
              </w:rPr>
              <w:t>地势北高南低汇入</w:t>
            </w:r>
            <w:r>
              <w:rPr>
                <w:rFonts w:hint="default" w:ascii="Times New Roman" w:hAnsi="Times New Roman" w:eastAsia="宋体" w:cs="Times New Roman"/>
                <w:bCs/>
                <w:color w:val="auto"/>
                <w:sz w:val="24"/>
                <w:szCs w:val="24"/>
                <w:highlight w:val="none"/>
                <w:lang w:eastAsia="zh-CN"/>
              </w:rPr>
              <w:t>“沉淀池”系统处理后回用于项目生产过程，厂区周边设有雨水沟，厂区周边降雨经过雨水沟直接外排，</w:t>
            </w:r>
            <w:r>
              <w:rPr>
                <w:rFonts w:hint="default" w:ascii="Times New Roman" w:hAnsi="Times New Roman" w:eastAsia="宋体" w:cs="Times New Roman"/>
                <w:bCs/>
                <w:color w:val="auto"/>
                <w:sz w:val="24"/>
                <w:szCs w:val="24"/>
                <w:highlight w:val="none"/>
                <w:lang w:val="en-US" w:eastAsia="zh-CN"/>
              </w:rPr>
              <w:t>不参与生产使用</w:t>
            </w:r>
            <w:r>
              <w:rPr>
                <w:rFonts w:hint="default" w:ascii="Times New Roman" w:hAnsi="Times New Roman" w:eastAsia="宋体" w:cs="Times New Roman"/>
                <w:bCs/>
                <w:color w:val="auto"/>
                <w:sz w:val="24"/>
                <w:szCs w:val="24"/>
                <w:highlight w:val="none"/>
                <w:lang w:eastAsia="zh-CN"/>
              </w:rPr>
              <w:t>。污水：项目食堂废水、</w:t>
            </w:r>
            <w:r>
              <w:rPr>
                <w:rFonts w:hint="default" w:ascii="Times New Roman" w:hAnsi="Times New Roman" w:eastAsia="宋体" w:cs="Times New Roman"/>
                <w:bCs/>
                <w:color w:val="auto"/>
                <w:sz w:val="24"/>
                <w:szCs w:val="24"/>
                <w:highlight w:val="none"/>
                <w:lang w:val="en-US" w:eastAsia="zh-CN"/>
              </w:rPr>
              <w:t>其他</w:t>
            </w:r>
            <w:r>
              <w:rPr>
                <w:rFonts w:hint="default" w:ascii="Times New Roman" w:hAnsi="Times New Roman" w:eastAsia="宋体" w:cs="Times New Roman"/>
                <w:bCs/>
                <w:color w:val="auto"/>
                <w:sz w:val="24"/>
                <w:szCs w:val="24"/>
                <w:highlight w:val="none"/>
                <w:lang w:eastAsia="zh-CN"/>
              </w:rPr>
              <w:t>生活污水经隔油池处理后用于搅拌用水。项目搅拌机清洗废水混凝土运输车辆罐体内部及罐车外部清洗废水、厂区硬化地面冲洗废水经</w:t>
            </w:r>
            <w:r>
              <w:rPr>
                <w:rFonts w:hint="default" w:ascii="Times New Roman" w:hAnsi="Times New Roman" w:eastAsia="宋体" w:cs="Times New Roman"/>
                <w:bCs/>
                <w:color w:val="auto"/>
                <w:sz w:val="24"/>
                <w:szCs w:val="24"/>
                <w:highlight w:val="none"/>
                <w:lang w:val="en-US" w:eastAsia="zh-CN"/>
              </w:rPr>
              <w:t>厂区地势引导流入150m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lang w:eastAsia="zh-CN"/>
              </w:rPr>
              <w:t>沉淀池</w:t>
            </w:r>
            <w:r>
              <w:rPr>
                <w:rFonts w:hint="default" w:ascii="Times New Roman" w:hAnsi="Times New Roman" w:eastAsia="宋体" w:cs="Times New Roman"/>
                <w:bCs/>
                <w:color w:val="auto"/>
                <w:sz w:val="24"/>
                <w:szCs w:val="24"/>
                <w:highlight w:val="none"/>
                <w:lang w:val="en-US" w:eastAsia="zh-CN"/>
              </w:rPr>
              <w:t>沉淀</w:t>
            </w:r>
            <w:r>
              <w:rPr>
                <w:rFonts w:hint="default" w:ascii="Times New Roman" w:hAnsi="Times New Roman" w:eastAsia="宋体" w:cs="Times New Roman"/>
                <w:bCs/>
                <w:color w:val="auto"/>
                <w:sz w:val="24"/>
                <w:szCs w:val="24"/>
                <w:highlight w:val="none"/>
                <w:lang w:eastAsia="zh-CN"/>
              </w:rPr>
              <w:t>处理后回用于项目生产过程，不外排。标准值见表3-8。</w:t>
            </w:r>
          </w:p>
          <w:p w14:paraId="17993105">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bidi="ar"/>
              </w:rPr>
            </w:pPr>
            <w:r>
              <w:rPr>
                <w:rFonts w:hint="default" w:ascii="Times New Roman" w:hAnsi="Times New Roman" w:eastAsia="宋体" w:cs="Times New Roman"/>
                <w:b/>
                <w:bCs/>
                <w:color w:val="auto"/>
                <w:sz w:val="21"/>
                <w:szCs w:val="21"/>
                <w:highlight w:val="none"/>
                <w:lang w:val="en-US" w:eastAsia="zh-CN" w:bidi="ar"/>
              </w:rPr>
              <w:t>表3-8</w:t>
            </w:r>
            <w:r>
              <w:rPr>
                <w:rFonts w:hint="eastAsia" w:ascii="Times New Roman" w:hAnsi="Times New Roman" w:cs="Times New Roman"/>
                <w:b/>
                <w:bCs/>
                <w:color w:val="auto"/>
                <w:sz w:val="21"/>
                <w:szCs w:val="21"/>
                <w:highlight w:val="none"/>
                <w:lang w:val="en-US" w:eastAsia="zh-CN" w:bidi="ar"/>
              </w:rPr>
              <w:t xml:space="preserve">   </w:t>
            </w:r>
            <w:r>
              <w:rPr>
                <w:rFonts w:hint="default" w:ascii="Times New Roman" w:hAnsi="Times New Roman" w:eastAsia="宋体" w:cs="Times New Roman"/>
                <w:b/>
                <w:bCs/>
                <w:color w:val="auto"/>
                <w:sz w:val="21"/>
                <w:szCs w:val="21"/>
                <w:highlight w:val="none"/>
                <w:lang w:val="en-US" w:eastAsia="zh-CN" w:bidi="ar"/>
              </w:rPr>
              <w:t>《城市污水再生利用、城市杂用水水质》（GB/T18920-2020）单位：mg/L</w:t>
            </w:r>
          </w:p>
          <w:tbl>
            <w:tblPr>
              <w:tblStyle w:val="2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704"/>
              <w:gridCol w:w="4744"/>
            </w:tblGrid>
            <w:tr w14:paraId="180BA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04319AC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val="0"/>
                      <w:color w:val="auto"/>
                      <w:kern w:val="21"/>
                      <w:szCs w:val="21"/>
                      <w:highlight w:val="none"/>
                    </w:rPr>
                  </w:pPr>
                  <w:r>
                    <w:rPr>
                      <w:rFonts w:hint="default" w:ascii="Times New Roman" w:hAnsi="Times New Roman" w:eastAsia="宋体" w:cs="Times New Roman"/>
                      <w:b/>
                      <w:bCs w:val="0"/>
                      <w:color w:val="auto"/>
                      <w:kern w:val="21"/>
                      <w:szCs w:val="21"/>
                      <w:highlight w:val="none"/>
                    </w:rPr>
                    <w:t>基本控制项目</w:t>
                  </w:r>
                </w:p>
              </w:tc>
              <w:tc>
                <w:tcPr>
                  <w:tcW w:w="2807" w:type="pct"/>
                  <w:noWrap w:val="0"/>
                  <w:vAlign w:val="top"/>
                </w:tcPr>
                <w:p w14:paraId="5B12014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val="0"/>
                      <w:color w:val="auto"/>
                      <w:kern w:val="21"/>
                      <w:szCs w:val="21"/>
                      <w:highlight w:val="none"/>
                    </w:rPr>
                  </w:pPr>
                  <w:r>
                    <w:rPr>
                      <w:rFonts w:hint="default" w:ascii="Times New Roman" w:hAnsi="Times New Roman" w:eastAsia="宋体" w:cs="Times New Roman"/>
                      <w:b/>
                      <w:bCs w:val="0"/>
                      <w:color w:val="auto"/>
                      <w:kern w:val="21"/>
                      <w:szCs w:val="21"/>
                      <w:highlight w:val="none"/>
                    </w:rPr>
                    <w:t>GB/T18920-2020中的建筑施工标准</w:t>
                  </w:r>
                </w:p>
              </w:tc>
            </w:tr>
            <w:tr w14:paraId="11F90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16CF2F6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pH值（无量纲）</w:t>
                  </w:r>
                </w:p>
              </w:tc>
              <w:tc>
                <w:tcPr>
                  <w:tcW w:w="2807" w:type="pct"/>
                  <w:noWrap w:val="0"/>
                  <w:vAlign w:val="top"/>
                </w:tcPr>
                <w:p w14:paraId="5C54D6D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6~9</w:t>
                  </w:r>
                </w:p>
              </w:tc>
            </w:tr>
            <w:tr w14:paraId="5F141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63EFA45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色度（稀释倍数）</w:t>
                  </w:r>
                </w:p>
              </w:tc>
              <w:tc>
                <w:tcPr>
                  <w:tcW w:w="2807" w:type="pct"/>
                  <w:noWrap w:val="0"/>
                  <w:vAlign w:val="top"/>
                </w:tcPr>
                <w:p w14:paraId="01EBF9B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30</w:t>
                  </w:r>
                </w:p>
              </w:tc>
            </w:tr>
            <w:tr w14:paraId="0EBC1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3D1852C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嗅</w:t>
                  </w:r>
                </w:p>
              </w:tc>
              <w:tc>
                <w:tcPr>
                  <w:tcW w:w="2807" w:type="pct"/>
                  <w:noWrap w:val="0"/>
                  <w:vAlign w:val="top"/>
                </w:tcPr>
                <w:p w14:paraId="7BC561B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无不快感</w:t>
                  </w:r>
                </w:p>
              </w:tc>
            </w:tr>
            <w:tr w14:paraId="3BCDA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008E81C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浊度/NT</w:t>
                  </w:r>
                </w:p>
              </w:tc>
              <w:tc>
                <w:tcPr>
                  <w:tcW w:w="2807" w:type="pct"/>
                  <w:noWrap w:val="0"/>
                  <w:vAlign w:val="top"/>
                </w:tcPr>
                <w:p w14:paraId="2172278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20</w:t>
                  </w:r>
                </w:p>
              </w:tc>
            </w:tr>
            <w:tr w14:paraId="09370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3142CFA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溶解性总固体/mg/L</w:t>
                  </w:r>
                </w:p>
              </w:tc>
              <w:tc>
                <w:tcPr>
                  <w:tcW w:w="2807" w:type="pct"/>
                  <w:noWrap w:val="0"/>
                  <w:vAlign w:val="top"/>
                </w:tcPr>
                <w:p w14:paraId="42678564">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w:t>
                  </w:r>
                </w:p>
              </w:tc>
            </w:tr>
            <w:tr w14:paraId="5F7B2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9" w:hRule="atLeast"/>
              </w:trPr>
              <w:tc>
                <w:tcPr>
                  <w:tcW w:w="2192" w:type="pct"/>
                  <w:noWrap w:val="0"/>
                  <w:vAlign w:val="top"/>
                </w:tcPr>
                <w:p w14:paraId="75489DA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生化需氧量（BOD</w:t>
                  </w:r>
                  <w:r>
                    <w:rPr>
                      <w:rFonts w:hint="default" w:ascii="Times New Roman" w:hAnsi="Times New Roman" w:eastAsia="宋体" w:cs="Times New Roman"/>
                      <w:bCs/>
                      <w:color w:val="auto"/>
                      <w:kern w:val="21"/>
                      <w:szCs w:val="21"/>
                      <w:highlight w:val="none"/>
                      <w:vertAlign w:val="subscript"/>
                    </w:rPr>
                    <w:t>5</w:t>
                  </w:r>
                  <w:r>
                    <w:rPr>
                      <w:rFonts w:hint="default" w:ascii="Times New Roman" w:hAnsi="Times New Roman" w:eastAsia="宋体" w:cs="Times New Roman"/>
                      <w:bCs/>
                      <w:color w:val="auto"/>
                      <w:kern w:val="21"/>
                      <w:szCs w:val="21"/>
                      <w:highlight w:val="none"/>
                    </w:rPr>
                    <w:t>）/mg/L</w:t>
                  </w:r>
                </w:p>
              </w:tc>
              <w:tc>
                <w:tcPr>
                  <w:tcW w:w="2807" w:type="pct"/>
                  <w:noWrap w:val="0"/>
                  <w:vAlign w:val="top"/>
                </w:tcPr>
                <w:p w14:paraId="3C0C347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15</w:t>
                  </w:r>
                </w:p>
              </w:tc>
            </w:tr>
            <w:tr w14:paraId="6FCE6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4FCDB71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氨氮（以N计）/mg/L</w:t>
                  </w:r>
                </w:p>
              </w:tc>
              <w:tc>
                <w:tcPr>
                  <w:tcW w:w="2807" w:type="pct"/>
                  <w:noWrap w:val="0"/>
                  <w:vAlign w:val="top"/>
                </w:tcPr>
                <w:p w14:paraId="01F94B2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20</w:t>
                  </w:r>
                </w:p>
              </w:tc>
            </w:tr>
            <w:tr w14:paraId="0E48C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52DAF35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阴离子表面活性剂/mg/L</w:t>
                  </w:r>
                </w:p>
              </w:tc>
              <w:tc>
                <w:tcPr>
                  <w:tcW w:w="2807" w:type="pct"/>
                  <w:noWrap w:val="0"/>
                  <w:vAlign w:val="top"/>
                </w:tcPr>
                <w:p w14:paraId="0357A00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1</w:t>
                  </w:r>
                </w:p>
              </w:tc>
            </w:tr>
            <w:tr w14:paraId="55BDA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15B9A9B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溶解氧/mg/L</w:t>
                  </w:r>
                </w:p>
              </w:tc>
              <w:tc>
                <w:tcPr>
                  <w:tcW w:w="2807" w:type="pct"/>
                  <w:noWrap w:val="0"/>
                  <w:vAlign w:val="top"/>
                </w:tcPr>
                <w:p w14:paraId="7AE821F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2</w:t>
                  </w:r>
                </w:p>
              </w:tc>
            </w:tr>
            <w:tr w14:paraId="18DE0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1E9E070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总余氯/mg/L</w:t>
                  </w:r>
                </w:p>
              </w:tc>
              <w:tc>
                <w:tcPr>
                  <w:tcW w:w="2807" w:type="pct"/>
                  <w:noWrap w:val="0"/>
                  <w:vAlign w:val="top"/>
                </w:tcPr>
                <w:p w14:paraId="6E96E89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接触30min后≥1.0，管网末端≥0.2</w:t>
                  </w:r>
                </w:p>
              </w:tc>
            </w:tr>
            <w:tr w14:paraId="05816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2192" w:type="pct"/>
                  <w:noWrap w:val="0"/>
                  <w:vAlign w:val="top"/>
                </w:tcPr>
                <w:p w14:paraId="09780D8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粪大肠菌群数/个/L</w:t>
                  </w:r>
                </w:p>
              </w:tc>
              <w:tc>
                <w:tcPr>
                  <w:tcW w:w="2807" w:type="pct"/>
                  <w:noWrap w:val="0"/>
                  <w:vAlign w:val="top"/>
                </w:tcPr>
                <w:p w14:paraId="18810E4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3</w:t>
                  </w:r>
                </w:p>
              </w:tc>
            </w:tr>
            <w:tr w14:paraId="021C4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5000" w:type="pct"/>
                  <w:gridSpan w:val="2"/>
                  <w:noWrap w:val="0"/>
                  <w:vAlign w:val="center"/>
                </w:tcPr>
                <w:p w14:paraId="524E1CD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注：根据《城市污水再生利用、城市杂用水水质》（GB/T18920-2020）标准，建筑施工杂用水指建筑施工现场的土壤压实、灰尘抑制、混凝土冲洗、混凝土拌合的用水。</w:t>
                  </w:r>
                </w:p>
              </w:tc>
            </w:tr>
          </w:tbl>
          <w:p w14:paraId="58182D89">
            <w:pPr>
              <w:pStyle w:val="20"/>
              <w:spacing w:line="240" w:lineRule="auto"/>
              <w:rPr>
                <w:rFonts w:hint="default" w:ascii="Times New Roman" w:hAnsi="Times New Roman" w:cs="Times New Roman"/>
                <w:color w:val="auto"/>
                <w:lang w:val="en-US" w:eastAsia="zh-CN"/>
              </w:rPr>
            </w:pPr>
          </w:p>
          <w:p w14:paraId="41B650D6">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14:paraId="03EAE40F">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14:paraId="41339191">
            <w:pPr>
              <w:keepNext w:val="0"/>
              <w:keepLines w:val="0"/>
              <w:pageBreakBefore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GB12523-2011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标准限值见表</w:t>
            </w:r>
            <w:r>
              <w:rPr>
                <w:rFonts w:hint="default" w:ascii="Times New Roman" w:hAnsi="Times New Roman" w:eastAsia="宋体" w:cs="Times New Roman"/>
                <w:color w:val="auto"/>
                <w:kern w:val="0"/>
                <w:sz w:val="24"/>
                <w:highlight w:val="none"/>
                <w:lang w:val="en-US" w:eastAsia="zh-CN"/>
              </w:rPr>
              <w:t>3-10</w:t>
            </w:r>
            <w:r>
              <w:rPr>
                <w:rFonts w:hint="default" w:ascii="Times New Roman" w:hAnsi="Times New Roman" w:eastAsia="宋体" w:cs="Times New Roman"/>
                <w:color w:val="auto"/>
                <w:kern w:val="0"/>
                <w:sz w:val="24"/>
                <w:highlight w:val="none"/>
              </w:rPr>
              <w:t>。</w:t>
            </w:r>
          </w:p>
          <w:p w14:paraId="59E33D48">
            <w:pPr>
              <w:adjustRightInd w:val="0"/>
              <w:snapToGrid w:val="0"/>
              <w:jc w:val="center"/>
              <w:textAlignment w:val="baseline"/>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3-10</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4"/>
              <w:gridCol w:w="1453"/>
              <w:gridCol w:w="3788"/>
            </w:tblGrid>
            <w:tr w14:paraId="347E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noWrap w:val="0"/>
                  <w:vAlign w:val="center"/>
                </w:tcPr>
                <w:p w14:paraId="51785CA9">
                  <w:pPr>
                    <w:pStyle w:val="27"/>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1825" w:type="pct"/>
                  <w:gridSpan w:val="2"/>
                  <w:noWrap w:val="0"/>
                  <w:vAlign w:val="center"/>
                </w:tcPr>
                <w:p w14:paraId="77430682">
                  <w:pPr>
                    <w:pStyle w:val="27"/>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2238" w:type="pct"/>
                  <w:noWrap w:val="0"/>
                  <w:vAlign w:val="center"/>
                </w:tcPr>
                <w:p w14:paraId="3D20335B">
                  <w:pPr>
                    <w:pStyle w:val="27"/>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14:paraId="4C54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restart"/>
                  <w:noWrap w:val="0"/>
                  <w:vAlign w:val="center"/>
                </w:tcPr>
                <w:p w14:paraId="1D2AEE07">
                  <w:pPr>
                    <w:pStyle w:val="27"/>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966" w:type="pct"/>
                  <w:noWrap w:val="0"/>
                  <w:vAlign w:val="center"/>
                </w:tcPr>
                <w:p w14:paraId="2D168D6E">
                  <w:pPr>
                    <w:pStyle w:val="27"/>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858" w:type="pct"/>
                  <w:noWrap w:val="0"/>
                  <w:vAlign w:val="center"/>
                </w:tcPr>
                <w:p w14:paraId="46960386">
                  <w:pPr>
                    <w:pStyle w:val="27"/>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2238" w:type="pct"/>
                  <w:vMerge w:val="restart"/>
                  <w:noWrap w:val="0"/>
                  <w:vAlign w:val="center"/>
                </w:tcPr>
                <w:p w14:paraId="4A945321">
                  <w:pPr>
                    <w:pStyle w:val="27"/>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14:paraId="7A58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continue"/>
                  <w:noWrap w:val="0"/>
                  <w:vAlign w:val="center"/>
                </w:tcPr>
                <w:p w14:paraId="0F67D6CE">
                  <w:pPr>
                    <w:pStyle w:val="27"/>
                    <w:spacing w:after="0"/>
                    <w:ind w:left="0" w:leftChars="0" w:firstLine="0" w:firstLineChars="0"/>
                    <w:jc w:val="center"/>
                    <w:rPr>
                      <w:rFonts w:hint="default" w:ascii="Times New Roman" w:hAnsi="Times New Roman" w:eastAsia="宋体" w:cs="Times New Roman"/>
                      <w:bCs/>
                      <w:color w:val="auto"/>
                      <w:highlight w:val="none"/>
                    </w:rPr>
                  </w:pPr>
                </w:p>
              </w:tc>
              <w:tc>
                <w:tcPr>
                  <w:tcW w:w="966" w:type="pct"/>
                  <w:noWrap w:val="0"/>
                  <w:vAlign w:val="center"/>
                </w:tcPr>
                <w:p w14:paraId="6E8A7BF7">
                  <w:pPr>
                    <w:pStyle w:val="27"/>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858" w:type="pct"/>
                  <w:noWrap w:val="0"/>
                  <w:vAlign w:val="center"/>
                </w:tcPr>
                <w:p w14:paraId="7F1673C5">
                  <w:pPr>
                    <w:pStyle w:val="27"/>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2238" w:type="pct"/>
                  <w:vMerge w:val="continue"/>
                  <w:noWrap w:val="0"/>
                  <w:vAlign w:val="center"/>
                </w:tcPr>
                <w:p w14:paraId="5793C092">
                  <w:pPr>
                    <w:pStyle w:val="27"/>
                    <w:spacing w:after="0"/>
                    <w:ind w:left="0" w:leftChars="0" w:firstLine="0" w:firstLineChars="0"/>
                    <w:jc w:val="center"/>
                    <w:rPr>
                      <w:rFonts w:hint="default" w:ascii="Times New Roman" w:hAnsi="Times New Roman" w:eastAsia="宋体" w:cs="Times New Roman"/>
                      <w:bCs/>
                      <w:color w:val="auto"/>
                      <w:sz w:val="24"/>
                      <w:highlight w:val="none"/>
                    </w:rPr>
                  </w:pPr>
                </w:p>
              </w:tc>
            </w:tr>
          </w:tbl>
          <w:p w14:paraId="1417C53E">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14:paraId="3F5DB082">
            <w:pPr>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项目运营期厂界</w:t>
            </w:r>
            <w:r>
              <w:rPr>
                <w:rFonts w:hint="default" w:ascii="Times New Roman" w:hAnsi="Times New Roman" w:eastAsia="宋体" w:cs="Times New Roman"/>
                <w:color w:val="auto"/>
                <w:sz w:val="24"/>
                <w:highlight w:val="none"/>
              </w:rPr>
              <w:t>噪声排放执行《工业企业厂界环境噪声排放标准》（GB12348-2008）</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类标准</w:t>
            </w:r>
            <w:r>
              <w:rPr>
                <w:rFonts w:hint="default" w:ascii="Times New Roman" w:hAnsi="Times New Roman" w:cs="Times New Roman"/>
                <w:color w:val="auto"/>
                <w:sz w:val="24"/>
                <w:highlight w:val="none"/>
                <w:lang w:eastAsia="zh-CN"/>
              </w:rPr>
              <w:t>。</w:t>
            </w:r>
          </w:p>
          <w:p w14:paraId="41D0FADA">
            <w:pPr>
              <w:tabs>
                <w:tab w:val="left" w:pos="0"/>
              </w:tabs>
              <w:adjustRightInd w:val="0"/>
              <w:snapToGrid w:val="0"/>
              <w:jc w:val="center"/>
              <w:rPr>
                <w:rFonts w:hint="default" w:ascii="Times New Roman" w:hAnsi="Times New Roman" w:eastAsia="宋体" w:cs="Times New Roman"/>
                <w:b/>
                <w:color w:val="auto"/>
                <w:kern w:val="21"/>
                <w:szCs w:val="21"/>
                <w:highlight w:val="none"/>
              </w:rPr>
            </w:pPr>
          </w:p>
          <w:p w14:paraId="495AE30E">
            <w:pPr>
              <w:tabs>
                <w:tab w:val="left" w:pos="0"/>
              </w:tabs>
              <w:adjustRightInd w:val="0"/>
              <w:snapToGrid w:val="0"/>
              <w:jc w:val="center"/>
              <w:rPr>
                <w:rFonts w:hint="default" w:ascii="Times New Roman" w:hAnsi="Times New Roman" w:eastAsia="宋体" w:cs="Times New Roman"/>
                <w:b/>
                <w:color w:val="auto"/>
                <w:kern w:val="21"/>
                <w:szCs w:val="21"/>
                <w:highlight w:val="none"/>
              </w:rPr>
            </w:pPr>
          </w:p>
          <w:p w14:paraId="21B75DB2">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default" w:ascii="Times New Roman" w:hAnsi="Times New Roman" w:eastAsia="宋体" w:cs="Times New Roman"/>
                <w:b/>
                <w:color w:val="auto"/>
                <w:kern w:val="21"/>
                <w:szCs w:val="21"/>
                <w:highlight w:val="none"/>
                <w:lang w:val="en-US" w:eastAsia="zh-CN"/>
              </w:rPr>
              <w:t xml:space="preserve">11  </w:t>
            </w:r>
            <w:r>
              <w:rPr>
                <w:rFonts w:hint="default" w:ascii="Times New Roman" w:hAnsi="Times New Roman" w:eastAsia="宋体" w:cs="Times New Roman"/>
                <w:b/>
                <w:color w:val="auto"/>
                <w:kern w:val="21"/>
                <w:szCs w:val="21"/>
                <w:highlight w:val="none"/>
              </w:rPr>
              <w:t>工业企业厂界环境噪声排放标准   单位：dB（A）</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36"/>
              <w:gridCol w:w="939"/>
              <w:gridCol w:w="5877"/>
            </w:tblGrid>
            <w:tr w14:paraId="7D05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trPr>
              <w:tc>
                <w:tcPr>
                  <w:tcW w:w="417" w:type="pct"/>
                  <w:noWrap w:val="0"/>
                  <w:vAlign w:val="center"/>
                </w:tcPr>
                <w:p w14:paraId="0B3E30E0">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kern w:val="21"/>
                      <w:szCs w:val="21"/>
                      <w:highlight w:val="none"/>
                      <w:lang w:val="en-US" w:eastAsia="zh-CN"/>
                    </w:rPr>
                    <w:t>类别</w:t>
                  </w:r>
                </w:p>
              </w:tc>
              <w:tc>
                <w:tcPr>
                  <w:tcW w:w="1108" w:type="pct"/>
                  <w:gridSpan w:val="2"/>
                  <w:noWrap w:val="0"/>
                  <w:vAlign w:val="center"/>
                </w:tcPr>
                <w:p w14:paraId="40DEEC54">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3473" w:type="pct"/>
                  <w:noWrap w:val="0"/>
                  <w:vAlign w:val="center"/>
                </w:tcPr>
                <w:p w14:paraId="01D42BA1">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14:paraId="66F3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417" w:type="pct"/>
                  <w:vMerge w:val="restart"/>
                  <w:noWrap w:val="0"/>
                  <w:vAlign w:val="center"/>
                </w:tcPr>
                <w:p w14:paraId="3439A69F">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Cs/>
                      <w:color w:val="auto"/>
                      <w:highlight w:val="none"/>
                    </w:rPr>
                  </w:pPr>
                  <w:r>
                    <w:rPr>
                      <w:rFonts w:hint="eastAsia" w:cs="Times New Roman"/>
                      <w:bCs/>
                      <w:color w:val="auto"/>
                      <w:kern w:val="21"/>
                      <w:szCs w:val="21"/>
                      <w:highlight w:val="none"/>
                      <w:lang w:val="en-US" w:eastAsia="zh-CN"/>
                    </w:rPr>
                    <w:t>2</w:t>
                  </w:r>
                  <w:r>
                    <w:rPr>
                      <w:rFonts w:hint="default" w:ascii="Times New Roman" w:hAnsi="Times New Roman" w:eastAsia="宋体" w:cs="Times New Roman"/>
                      <w:bCs/>
                      <w:color w:val="auto"/>
                      <w:kern w:val="21"/>
                      <w:szCs w:val="21"/>
                      <w:highlight w:val="none"/>
                    </w:rPr>
                    <w:t>类</w:t>
                  </w:r>
                </w:p>
              </w:tc>
              <w:tc>
                <w:tcPr>
                  <w:tcW w:w="553" w:type="pct"/>
                  <w:noWrap w:val="0"/>
                  <w:vAlign w:val="center"/>
                </w:tcPr>
                <w:p w14:paraId="0E4F32B2">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554" w:type="pct"/>
                  <w:noWrap w:val="0"/>
                  <w:vAlign w:val="center"/>
                </w:tcPr>
                <w:p w14:paraId="1EBEF9CE">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3473" w:type="pct"/>
                  <w:vMerge w:val="restart"/>
                  <w:noWrap w:val="0"/>
                  <w:vAlign w:val="center"/>
                </w:tcPr>
                <w:p w14:paraId="00D17C72">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《工业企业厂界环境噪声排放标准》（GB12348-2008）</w:t>
                  </w:r>
                </w:p>
              </w:tc>
            </w:tr>
            <w:tr w14:paraId="5147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417" w:type="pct"/>
                  <w:vMerge w:val="continue"/>
                  <w:noWrap w:val="0"/>
                  <w:vAlign w:val="center"/>
                </w:tcPr>
                <w:p w14:paraId="2BE9D0E7">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Cs/>
                      <w:color w:val="auto"/>
                      <w:highlight w:val="none"/>
                    </w:rPr>
                  </w:pPr>
                </w:p>
              </w:tc>
              <w:tc>
                <w:tcPr>
                  <w:tcW w:w="553" w:type="pct"/>
                  <w:noWrap w:val="0"/>
                  <w:vAlign w:val="center"/>
                </w:tcPr>
                <w:p w14:paraId="4E4B6C4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highlight w:val="none"/>
                      <w:lang w:val="en-US" w:eastAsia="zh-CN"/>
                    </w:rPr>
                  </w:pPr>
                  <w:r>
                    <w:rPr>
                      <w:rFonts w:hint="eastAsia" w:cs="Times New Roman"/>
                      <w:bCs/>
                      <w:color w:val="auto"/>
                      <w:kern w:val="21"/>
                      <w:szCs w:val="21"/>
                      <w:highlight w:val="none"/>
                      <w:lang w:val="en-US" w:eastAsia="zh-CN"/>
                    </w:rPr>
                    <w:t>60</w:t>
                  </w:r>
                </w:p>
              </w:tc>
              <w:tc>
                <w:tcPr>
                  <w:tcW w:w="554" w:type="pct"/>
                  <w:noWrap w:val="0"/>
                  <w:vAlign w:val="center"/>
                </w:tcPr>
                <w:p w14:paraId="4188FE1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highlight w:val="none"/>
                      <w:lang w:val="en-US" w:eastAsia="zh-CN"/>
                    </w:rPr>
                  </w:pPr>
                  <w:r>
                    <w:rPr>
                      <w:rFonts w:hint="eastAsia" w:cs="Times New Roman"/>
                      <w:bCs/>
                      <w:color w:val="auto"/>
                      <w:kern w:val="21"/>
                      <w:szCs w:val="21"/>
                      <w:highlight w:val="none"/>
                      <w:lang w:val="en-US" w:eastAsia="zh-CN"/>
                    </w:rPr>
                    <w:t>50</w:t>
                  </w:r>
                </w:p>
              </w:tc>
              <w:tc>
                <w:tcPr>
                  <w:tcW w:w="3473" w:type="pct"/>
                  <w:vMerge w:val="continue"/>
                  <w:noWrap w:val="0"/>
                  <w:vAlign w:val="center"/>
                </w:tcPr>
                <w:p w14:paraId="59F00859">
                  <w:pPr>
                    <w:pStyle w:val="27"/>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ascii="Times New Roman" w:hAnsi="Times New Roman" w:eastAsia="宋体" w:cs="Times New Roman"/>
                      <w:bCs/>
                      <w:color w:val="auto"/>
                      <w:sz w:val="24"/>
                      <w:highlight w:val="none"/>
                    </w:rPr>
                  </w:pPr>
                </w:p>
              </w:tc>
            </w:tr>
          </w:tbl>
          <w:p w14:paraId="4AC2D603">
            <w:pPr>
              <w:pStyle w:val="20"/>
              <w:rPr>
                <w:rFonts w:hint="default" w:ascii="Times New Roman" w:hAnsi="Times New Roman" w:cs="Times New Roman"/>
                <w:color w:val="auto"/>
              </w:rPr>
            </w:pPr>
          </w:p>
          <w:p w14:paraId="1C81D729">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14:paraId="4AD9E6F2">
            <w:pPr>
              <w:pStyle w:val="20"/>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）；危险废物贮存执行《危险废物贮存污染控制标准》（GB18597-20</w:t>
            </w:r>
            <w:r>
              <w:rPr>
                <w:rFonts w:hint="default" w:ascii="Times New Roman" w:hAnsi="Times New Roman" w:eastAsia="宋体" w:cs="Times New Roman"/>
                <w:color w:val="auto"/>
                <w:sz w:val="24"/>
                <w:highlight w:val="none"/>
                <w:lang w:val="en-US" w:eastAsia="zh-CN"/>
              </w:rPr>
              <w:t>23</w:t>
            </w:r>
            <w:r>
              <w:rPr>
                <w:rFonts w:hint="default" w:ascii="Times New Roman" w:hAnsi="Times New Roman" w:eastAsia="宋体" w:cs="Times New Roman"/>
                <w:color w:val="auto"/>
                <w:sz w:val="24"/>
                <w:highlight w:val="none"/>
                <w:lang w:val="zh-CN"/>
              </w:rPr>
              <w:t>）。</w:t>
            </w:r>
          </w:p>
        </w:tc>
      </w:tr>
      <w:tr w14:paraId="05C7D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5E9C0E6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14:paraId="6AE762B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14:paraId="2CEA2EC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14:paraId="309C4E4D">
            <w:pPr>
              <w:adjustRightInd w:val="0"/>
              <w:snapToGrid w:val="0"/>
              <w:spacing w:line="48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环评提出本项目的总量控制标准建议如下：</w:t>
            </w:r>
          </w:p>
          <w:p w14:paraId="53C439A6">
            <w:pPr>
              <w:adjustRightInd w:val="0"/>
              <w:snapToGrid w:val="0"/>
              <w:spacing w:line="48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1、废气：</w:t>
            </w:r>
          </w:p>
          <w:p w14:paraId="5B2823F3">
            <w:pPr>
              <w:adjustRightInd w:val="0"/>
              <w:snapToGrid w:val="0"/>
              <w:spacing w:line="480" w:lineRule="exact"/>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现有项目污染物排放量：颗粒物13.36t/a；</w:t>
            </w:r>
          </w:p>
          <w:p w14:paraId="280AD23D">
            <w:pPr>
              <w:adjustRightInd w:val="0"/>
              <w:snapToGrid w:val="0"/>
              <w:spacing w:line="480" w:lineRule="exact"/>
              <w:ind w:firstLine="480" w:firstLineChars="200"/>
              <w:rPr>
                <w:rFonts w:hint="eastAsia" w:ascii="Times New Roman" w:hAnsi="Times New Roman" w:cs="Times New Roman"/>
                <w:color w:val="auto"/>
                <w:sz w:val="24"/>
                <w:lang w:val="en-US" w:eastAsia="zh-CN"/>
              </w:rPr>
            </w:pPr>
            <w:r>
              <w:rPr>
                <w:rFonts w:hint="eastAsia" w:cs="Times New Roman"/>
                <w:color w:val="auto"/>
                <w:sz w:val="24"/>
                <w:lang w:val="en-US" w:eastAsia="zh-CN"/>
              </w:rPr>
              <w:t>本次</w:t>
            </w:r>
            <w:r>
              <w:rPr>
                <w:rFonts w:hint="eastAsia" w:ascii="Times New Roman" w:hAnsi="Times New Roman" w:cs="Times New Roman"/>
                <w:color w:val="auto"/>
                <w:sz w:val="24"/>
                <w:lang w:val="en-US" w:eastAsia="zh-CN"/>
              </w:rPr>
              <w:t>扩建项目污染物排放量：颗粒物5.1991t/a；</w:t>
            </w:r>
          </w:p>
          <w:p w14:paraId="0DE5CDF8">
            <w:pPr>
              <w:adjustRightInd w:val="0"/>
              <w:snapToGrid w:val="0"/>
              <w:spacing w:line="480" w:lineRule="exact"/>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扩建项目完成后全厂污染物排放量：颗粒物18.5591t/a。</w:t>
            </w:r>
          </w:p>
          <w:p w14:paraId="292AF28E">
            <w:pPr>
              <w:adjustRightInd w:val="0"/>
              <w:snapToGrid w:val="0"/>
              <w:spacing w:line="48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2、废水：</w:t>
            </w:r>
            <w:r>
              <w:rPr>
                <w:rFonts w:hint="eastAsia" w:ascii="Times New Roman" w:hAnsi="Times New Roman" w:cs="Times New Roman"/>
                <w:color w:val="auto"/>
                <w:sz w:val="24"/>
                <w:lang w:val="en-US" w:eastAsia="zh-CN"/>
              </w:rPr>
              <w:t>废水不外排</w:t>
            </w:r>
          </w:p>
          <w:p w14:paraId="374723AA">
            <w:pPr>
              <w:pStyle w:val="3"/>
              <w:rPr>
                <w:rFonts w:hint="default" w:ascii="Times New Roman" w:hAnsi="Times New Roman" w:eastAsia="宋体" w:cs="Times New Roman"/>
                <w:color w:val="auto"/>
                <w:sz w:val="24"/>
                <w:highlight w:val="none"/>
                <w:lang w:eastAsia="zh-CN"/>
              </w:rPr>
            </w:pPr>
          </w:p>
          <w:p w14:paraId="13431B6D">
            <w:pPr>
              <w:rPr>
                <w:rFonts w:hint="default" w:ascii="Times New Roman" w:hAnsi="Times New Roman" w:eastAsia="宋体" w:cs="Times New Roman"/>
                <w:color w:val="auto"/>
                <w:sz w:val="24"/>
                <w:highlight w:val="none"/>
                <w:lang w:eastAsia="zh-CN"/>
              </w:rPr>
            </w:pPr>
          </w:p>
          <w:p w14:paraId="7A1E3133">
            <w:pPr>
              <w:pStyle w:val="3"/>
              <w:rPr>
                <w:rFonts w:hint="default" w:ascii="Times New Roman" w:hAnsi="Times New Roman" w:eastAsia="宋体" w:cs="Times New Roman"/>
                <w:color w:val="auto"/>
                <w:sz w:val="24"/>
                <w:highlight w:val="none"/>
                <w:lang w:eastAsia="zh-CN"/>
              </w:rPr>
            </w:pPr>
          </w:p>
          <w:p w14:paraId="551BA981">
            <w:pPr>
              <w:rPr>
                <w:rFonts w:hint="default" w:ascii="Times New Roman" w:hAnsi="Times New Roman" w:eastAsia="宋体" w:cs="Times New Roman"/>
                <w:color w:val="auto"/>
                <w:sz w:val="24"/>
                <w:highlight w:val="none"/>
                <w:lang w:eastAsia="zh-CN"/>
              </w:rPr>
            </w:pPr>
          </w:p>
          <w:p w14:paraId="543AC476">
            <w:pPr>
              <w:pStyle w:val="3"/>
              <w:rPr>
                <w:rFonts w:hint="default" w:ascii="Times New Roman" w:hAnsi="Times New Roman" w:eastAsia="宋体" w:cs="Times New Roman"/>
                <w:color w:val="auto"/>
                <w:sz w:val="24"/>
                <w:highlight w:val="none"/>
                <w:lang w:eastAsia="zh-CN"/>
              </w:rPr>
            </w:pPr>
          </w:p>
          <w:p w14:paraId="0A6E6CF4">
            <w:pPr>
              <w:rPr>
                <w:rFonts w:hint="default" w:ascii="Times New Roman" w:hAnsi="Times New Roman" w:eastAsia="宋体" w:cs="Times New Roman"/>
                <w:color w:val="auto"/>
                <w:sz w:val="24"/>
                <w:highlight w:val="none"/>
                <w:lang w:eastAsia="zh-CN"/>
              </w:rPr>
            </w:pPr>
          </w:p>
          <w:p w14:paraId="61D03020">
            <w:pPr>
              <w:pStyle w:val="3"/>
              <w:rPr>
                <w:rFonts w:hint="default" w:ascii="Times New Roman" w:hAnsi="Times New Roman" w:eastAsia="宋体" w:cs="Times New Roman"/>
                <w:color w:val="auto"/>
                <w:sz w:val="24"/>
                <w:highlight w:val="none"/>
                <w:lang w:eastAsia="zh-CN"/>
              </w:rPr>
            </w:pPr>
          </w:p>
          <w:p w14:paraId="08B91BAA">
            <w:pPr>
              <w:rPr>
                <w:rFonts w:hint="default" w:ascii="Times New Roman" w:hAnsi="Times New Roman" w:eastAsia="宋体" w:cs="Times New Roman"/>
                <w:color w:val="auto"/>
                <w:sz w:val="24"/>
                <w:highlight w:val="none"/>
                <w:lang w:eastAsia="zh-CN"/>
              </w:rPr>
            </w:pPr>
          </w:p>
          <w:p w14:paraId="788D43EF">
            <w:pPr>
              <w:pStyle w:val="3"/>
              <w:rPr>
                <w:rFonts w:hint="default" w:ascii="Times New Roman" w:hAnsi="Times New Roman" w:eastAsia="宋体" w:cs="Times New Roman"/>
                <w:color w:val="auto"/>
                <w:sz w:val="24"/>
                <w:highlight w:val="none"/>
                <w:lang w:eastAsia="zh-CN"/>
              </w:rPr>
            </w:pPr>
          </w:p>
          <w:p w14:paraId="22B4D38A">
            <w:pPr>
              <w:rPr>
                <w:rFonts w:hint="default" w:ascii="Times New Roman" w:hAnsi="Times New Roman" w:eastAsia="宋体" w:cs="Times New Roman"/>
                <w:color w:val="auto"/>
                <w:sz w:val="24"/>
                <w:highlight w:val="none"/>
                <w:lang w:eastAsia="zh-CN"/>
              </w:rPr>
            </w:pPr>
          </w:p>
          <w:p w14:paraId="474CFA42">
            <w:pPr>
              <w:rPr>
                <w:rFonts w:hint="default" w:ascii="Times New Roman" w:hAnsi="Times New Roman" w:eastAsia="宋体" w:cs="Times New Roman"/>
                <w:color w:val="auto"/>
                <w:sz w:val="24"/>
                <w:highlight w:val="none"/>
                <w:lang w:eastAsia="zh-CN"/>
              </w:rPr>
            </w:pPr>
          </w:p>
          <w:p w14:paraId="6C672984">
            <w:pPr>
              <w:rPr>
                <w:rFonts w:hint="default" w:ascii="Times New Roman" w:hAnsi="Times New Roman" w:eastAsia="宋体" w:cs="Times New Roman"/>
                <w:color w:val="auto"/>
                <w:sz w:val="24"/>
                <w:highlight w:val="none"/>
                <w:lang w:eastAsia="zh-CN"/>
              </w:rPr>
            </w:pPr>
          </w:p>
          <w:p w14:paraId="4078CF00">
            <w:pPr>
              <w:rPr>
                <w:rFonts w:hint="default" w:ascii="Times New Roman" w:hAnsi="Times New Roman" w:eastAsia="宋体" w:cs="Times New Roman"/>
                <w:color w:val="auto"/>
                <w:sz w:val="24"/>
                <w:highlight w:val="none"/>
                <w:lang w:eastAsia="zh-CN"/>
              </w:rPr>
            </w:pPr>
          </w:p>
          <w:p w14:paraId="27D3191D">
            <w:pPr>
              <w:rPr>
                <w:rFonts w:hint="default" w:ascii="Times New Roman" w:hAnsi="Times New Roman" w:eastAsia="宋体" w:cs="Times New Roman"/>
                <w:color w:val="auto"/>
                <w:sz w:val="24"/>
                <w:highlight w:val="none"/>
                <w:lang w:eastAsia="zh-CN"/>
              </w:rPr>
            </w:pPr>
          </w:p>
          <w:p w14:paraId="5E23847F">
            <w:pPr>
              <w:rPr>
                <w:rFonts w:hint="default" w:ascii="Times New Roman" w:hAnsi="Times New Roman" w:eastAsia="宋体" w:cs="Times New Roman"/>
                <w:color w:val="auto"/>
                <w:sz w:val="24"/>
                <w:highlight w:val="none"/>
                <w:lang w:eastAsia="zh-CN"/>
              </w:rPr>
            </w:pPr>
          </w:p>
          <w:p w14:paraId="292C0707">
            <w:pPr>
              <w:rPr>
                <w:rFonts w:hint="default" w:ascii="Times New Roman" w:hAnsi="Times New Roman" w:eastAsia="宋体" w:cs="Times New Roman"/>
                <w:color w:val="auto"/>
                <w:sz w:val="24"/>
                <w:highlight w:val="none"/>
                <w:lang w:eastAsia="zh-CN"/>
              </w:rPr>
            </w:pPr>
          </w:p>
          <w:p w14:paraId="619DD359">
            <w:pPr>
              <w:rPr>
                <w:rFonts w:hint="default" w:ascii="Times New Roman" w:hAnsi="Times New Roman" w:eastAsia="宋体" w:cs="Times New Roman"/>
                <w:color w:val="auto"/>
                <w:sz w:val="24"/>
                <w:highlight w:val="none"/>
                <w:lang w:eastAsia="zh-CN"/>
              </w:rPr>
            </w:pPr>
          </w:p>
          <w:p w14:paraId="682853F2">
            <w:pPr>
              <w:pStyle w:val="3"/>
              <w:rPr>
                <w:rFonts w:hint="default" w:ascii="Times New Roman" w:hAnsi="Times New Roman" w:eastAsia="宋体" w:cs="Times New Roman"/>
                <w:color w:val="auto"/>
                <w:sz w:val="24"/>
                <w:highlight w:val="none"/>
                <w:lang w:eastAsia="zh-CN"/>
              </w:rPr>
            </w:pPr>
          </w:p>
          <w:p w14:paraId="41B7C810">
            <w:pPr>
              <w:rPr>
                <w:rFonts w:hint="default" w:ascii="Times New Roman" w:hAnsi="Times New Roman" w:eastAsia="宋体" w:cs="Times New Roman"/>
                <w:color w:val="auto"/>
                <w:sz w:val="24"/>
                <w:highlight w:val="none"/>
                <w:lang w:eastAsia="zh-CN"/>
              </w:rPr>
            </w:pPr>
          </w:p>
          <w:p w14:paraId="6940A69E">
            <w:pPr>
              <w:pStyle w:val="3"/>
              <w:rPr>
                <w:rFonts w:hint="default" w:ascii="Times New Roman" w:hAnsi="Times New Roman" w:eastAsia="宋体" w:cs="Times New Roman"/>
                <w:color w:val="auto"/>
                <w:sz w:val="24"/>
                <w:highlight w:val="none"/>
                <w:lang w:eastAsia="zh-CN"/>
              </w:rPr>
            </w:pPr>
          </w:p>
          <w:p w14:paraId="07E556DA">
            <w:pPr>
              <w:rPr>
                <w:rFonts w:hint="default" w:ascii="Times New Roman" w:hAnsi="Times New Roman" w:eastAsia="宋体" w:cs="Times New Roman"/>
                <w:color w:val="auto"/>
                <w:sz w:val="24"/>
                <w:highlight w:val="none"/>
                <w:lang w:eastAsia="zh-CN"/>
              </w:rPr>
            </w:pPr>
          </w:p>
          <w:p w14:paraId="1F63495E">
            <w:pPr>
              <w:ind w:left="0" w:leftChars="0" w:firstLine="0" w:firstLineChars="0"/>
              <w:rPr>
                <w:rFonts w:hint="default"/>
                <w:color w:val="auto"/>
              </w:rPr>
            </w:pPr>
          </w:p>
        </w:tc>
      </w:tr>
    </w:tbl>
    <w:p w14:paraId="69FE811A">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15" w:name="_Toc32349"/>
      <w:bookmarkStart w:id="16" w:name="_Toc6112"/>
      <w:r>
        <w:rPr>
          <w:rFonts w:hint="default" w:ascii="Times New Roman" w:hAnsi="Times New Roman" w:eastAsia="宋体" w:cs="Times New Roman"/>
          <w:b/>
          <w:bCs/>
          <w:snapToGrid w:val="0"/>
          <w:color w:val="auto"/>
          <w:sz w:val="30"/>
          <w:szCs w:val="30"/>
          <w:highlight w:val="none"/>
        </w:rPr>
        <w:t>四、主要环境影响和保护措施</w:t>
      </w:r>
      <w:bookmarkEnd w:id="15"/>
      <w:bookmarkEnd w:id="16"/>
    </w:p>
    <w:tbl>
      <w:tblPr>
        <w:tblStyle w:val="28"/>
        <w:tblW w:w="9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531"/>
      </w:tblGrid>
      <w:tr w14:paraId="526EB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6" w:type="dxa"/>
            <w:tcMar>
              <w:left w:w="28" w:type="dxa"/>
              <w:right w:w="28" w:type="dxa"/>
            </w:tcMar>
            <w:vAlign w:val="center"/>
          </w:tcPr>
          <w:p w14:paraId="7DC24684">
            <w:pPr>
              <w:pStyle w:val="25"/>
              <w:keepNext w:val="0"/>
              <w:keepLines w:val="0"/>
              <w:pageBreakBefore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14:paraId="483F6651">
            <w:pPr>
              <w:pStyle w:val="25"/>
              <w:keepNext w:val="0"/>
              <w:keepLines w:val="0"/>
              <w:pageBreakBefore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14:paraId="2C588F18">
            <w:pPr>
              <w:pStyle w:val="25"/>
              <w:keepNext w:val="0"/>
              <w:keepLines w:val="0"/>
              <w:pageBreakBefore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14:paraId="342E60F1">
            <w:pPr>
              <w:pStyle w:val="25"/>
              <w:keepNext w:val="0"/>
              <w:keepLines w:val="0"/>
              <w:pageBreakBefore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14:paraId="08A762F5">
            <w:pPr>
              <w:pStyle w:val="25"/>
              <w:keepNext w:val="0"/>
              <w:keepLines w:val="0"/>
              <w:pageBreakBefore w:val="0"/>
              <w:kinsoku/>
              <w:wordWrap/>
              <w:overflowPunct/>
              <w:topLinePunct w:val="0"/>
              <w:bidi w:val="0"/>
              <w:adjustRightInd w:val="0"/>
              <w:snapToGrid w:val="0"/>
              <w:spacing w:before="0" w:beforeAutospacing="0" w:after="0" w:afterAutospacing="0"/>
              <w:ind w:firstLine="0" w:firstLineChars="0"/>
              <w:jc w:val="center"/>
              <w:textAlignment w:val="auto"/>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9531" w:type="dxa"/>
            <w:vAlign w:val="center"/>
          </w:tcPr>
          <w:p w14:paraId="48433060">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本扩建项目主体工程已建设完成，本次施工期主要为环保设备安装及整改，主要环境影响为噪声、扬尘、装修废气以及设备安装垃圾。</w:t>
            </w:r>
          </w:p>
          <w:p w14:paraId="5C9176CB">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1</w:t>
            </w:r>
            <w:r>
              <w:rPr>
                <w:rFonts w:hint="eastAsia" w:ascii="Times New Roman" w:hAnsi="Times New Roman" w:eastAsia="宋体" w:cs="Times New Roman"/>
                <w:bCs/>
                <w:color w:val="auto"/>
                <w:sz w:val="24"/>
                <w:lang w:val="en-US" w:eastAsia="zh-CN"/>
              </w:rPr>
              <w:t>）废水环境影响保护措施</w:t>
            </w:r>
          </w:p>
          <w:p w14:paraId="00328F45">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施工人员依托使用区域配套的公共卫生间，施工人员生活废水经现有化粪池处理后用于农田堆肥，不外排。</w:t>
            </w:r>
          </w:p>
          <w:p w14:paraId="5EFBAE2C">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2</w:t>
            </w:r>
            <w:r>
              <w:rPr>
                <w:rFonts w:hint="eastAsia" w:ascii="Times New Roman" w:hAnsi="Times New Roman" w:eastAsia="宋体" w:cs="Times New Roman"/>
                <w:bCs/>
                <w:color w:val="auto"/>
                <w:sz w:val="24"/>
                <w:lang w:val="en-US" w:eastAsia="zh-CN"/>
              </w:rPr>
              <w:t>）废气环境影响保护措施</w:t>
            </w:r>
          </w:p>
          <w:p w14:paraId="6197BD08">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产生的废气主要是废气处理设施安装及新建危险废物暂存间等产生的少量粉尘，产生量很小，经建筑阻隔及大气稀释后排放。由于项目施工期较短，所需的建筑材料量较少，因此粉尘产生量较少，通过室内沉降后对外环境影响不大。</w:t>
            </w:r>
          </w:p>
          <w:p w14:paraId="18916741">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3</w:t>
            </w:r>
            <w:r>
              <w:rPr>
                <w:rFonts w:hint="eastAsia" w:ascii="Times New Roman" w:hAnsi="Times New Roman" w:eastAsia="宋体" w:cs="Times New Roman"/>
                <w:bCs/>
                <w:color w:val="auto"/>
                <w:sz w:val="24"/>
                <w:lang w:val="en-US" w:eastAsia="zh-CN"/>
              </w:rPr>
              <w:t>）噪声环境影响保护措施</w:t>
            </w:r>
          </w:p>
          <w:p w14:paraId="7A6927F9">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项目施工主要为人力施工，施工机械使用较少，噪声一般为</w:t>
            </w:r>
            <w:r>
              <w:rPr>
                <w:rFonts w:hint="eastAsia" w:cs="Times New Roman"/>
                <w:bCs/>
                <w:color w:val="auto"/>
                <w:sz w:val="24"/>
                <w:lang w:val="en-US" w:eastAsia="zh-CN"/>
              </w:rPr>
              <w:t>间歇性</w:t>
            </w:r>
            <w:r>
              <w:rPr>
                <w:rFonts w:hint="eastAsia" w:ascii="Times New Roman" w:hAnsi="Times New Roman" w:eastAsia="宋体" w:cs="Times New Roman"/>
                <w:bCs/>
                <w:color w:val="auto"/>
                <w:sz w:val="24"/>
                <w:lang w:val="en-US" w:eastAsia="zh-CN"/>
              </w:rPr>
              <w:t>噪声，噪声强度均在</w:t>
            </w:r>
            <w:r>
              <w:rPr>
                <w:rFonts w:hint="default" w:ascii="Times New Roman" w:hAnsi="Times New Roman" w:eastAsia="宋体" w:cs="Times New Roman"/>
                <w:bCs/>
                <w:color w:val="auto"/>
                <w:sz w:val="24"/>
                <w:lang w:val="en-US" w:eastAsia="zh-CN"/>
              </w:rPr>
              <w:t>85</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100dB(A</w:t>
            </w:r>
            <w:r>
              <w:rPr>
                <w:rFonts w:hint="eastAsia" w:cs="Times New Roman"/>
                <w:bCs/>
                <w:color w:val="auto"/>
                <w:sz w:val="24"/>
                <w:lang w:val="en-US" w:eastAsia="zh-CN"/>
              </w:rPr>
              <w:t>）</w:t>
            </w:r>
            <w:r>
              <w:rPr>
                <w:rFonts w:hint="eastAsia" w:ascii="Times New Roman" w:hAnsi="Times New Roman" w:eastAsia="宋体" w:cs="Times New Roman"/>
                <w:bCs/>
                <w:color w:val="auto"/>
                <w:sz w:val="24"/>
                <w:lang w:val="en-US" w:eastAsia="zh-CN"/>
              </w:rPr>
              <w:t>之间。为减少施工噪声对外环境的影响，建议施工单位采取以下措施：</w:t>
            </w:r>
          </w:p>
          <w:p w14:paraId="7C7D78CE">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1</w:t>
            </w:r>
            <w:r>
              <w:rPr>
                <w:rFonts w:hint="eastAsia" w:ascii="Times New Roman" w:hAnsi="Times New Roman" w:eastAsia="宋体" w:cs="Times New Roman"/>
                <w:bCs/>
                <w:color w:val="auto"/>
                <w:sz w:val="24"/>
                <w:lang w:val="en-US" w:eastAsia="zh-CN"/>
              </w:rPr>
              <w:t>施工单位应充分考虑周围环境的敏感性，在施工操作上要加强环保措施，选用低声施工设备；</w:t>
            </w:r>
          </w:p>
          <w:p w14:paraId="43EF8849">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2</w:t>
            </w:r>
            <w:r>
              <w:rPr>
                <w:rFonts w:hint="eastAsia" w:ascii="Times New Roman" w:hAnsi="Times New Roman" w:eastAsia="宋体" w:cs="Times New Roman"/>
                <w:bCs/>
                <w:color w:val="auto"/>
                <w:sz w:val="24"/>
                <w:lang w:val="en-US" w:eastAsia="zh-CN"/>
              </w:rPr>
              <w:t>文明施工，在装卸、搬运装修材料和机械设备时轻拿轻放、严禁抛掷；</w:t>
            </w:r>
          </w:p>
          <w:p w14:paraId="6C350834">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3</w:t>
            </w:r>
            <w:r>
              <w:rPr>
                <w:rFonts w:hint="eastAsia" w:ascii="Times New Roman" w:hAnsi="Times New Roman" w:eastAsia="宋体" w:cs="Times New Roman"/>
                <w:bCs/>
                <w:color w:val="auto"/>
                <w:sz w:val="24"/>
                <w:lang w:val="en-US" w:eastAsia="zh-CN"/>
              </w:rPr>
              <w:t>合理安排施工时间，降低施工机械同时使用的频次，尽可能采用交互作业，禁止夜间（</w:t>
            </w:r>
            <w:r>
              <w:rPr>
                <w:rFonts w:hint="default" w:ascii="Times New Roman" w:hAnsi="Times New Roman" w:eastAsia="宋体" w:cs="Times New Roman"/>
                <w:bCs/>
                <w:color w:val="auto"/>
                <w:sz w:val="24"/>
                <w:lang w:val="en-US" w:eastAsia="zh-CN"/>
              </w:rPr>
              <w:t>22</w:t>
            </w:r>
            <w:r>
              <w:rPr>
                <w:rFonts w:hint="eastAsia" w:cs="Times New Roman"/>
                <w:bCs/>
                <w:color w:val="auto"/>
                <w:sz w:val="24"/>
                <w:lang w:val="en-US" w:eastAsia="zh-CN"/>
              </w:rPr>
              <w:t>:</w:t>
            </w:r>
            <w:r>
              <w:rPr>
                <w:rFonts w:hint="default" w:ascii="Times New Roman" w:hAnsi="Times New Roman" w:eastAsia="宋体" w:cs="Times New Roman"/>
                <w:bCs/>
                <w:color w:val="auto"/>
                <w:sz w:val="24"/>
                <w:lang w:val="en-US" w:eastAsia="zh-CN"/>
              </w:rPr>
              <w:t>00</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08</w:t>
            </w:r>
            <w:r>
              <w:rPr>
                <w:rFonts w:hint="eastAsia" w:cs="Times New Roman"/>
                <w:bCs/>
                <w:color w:val="auto"/>
                <w:sz w:val="24"/>
                <w:lang w:val="en-US" w:eastAsia="zh-CN"/>
              </w:rPr>
              <w:t>:</w:t>
            </w:r>
            <w:r>
              <w:rPr>
                <w:rFonts w:hint="default" w:ascii="Times New Roman" w:hAnsi="Times New Roman" w:eastAsia="宋体" w:cs="Times New Roman"/>
                <w:bCs/>
                <w:color w:val="auto"/>
                <w:sz w:val="24"/>
                <w:lang w:val="en-US" w:eastAsia="zh-CN"/>
              </w:rPr>
              <w:t>00</w:t>
            </w:r>
            <w:r>
              <w:rPr>
                <w:rFonts w:hint="eastAsia" w:ascii="Times New Roman" w:hAnsi="Times New Roman" w:eastAsia="宋体" w:cs="Times New Roman"/>
                <w:bCs/>
                <w:color w:val="auto"/>
                <w:sz w:val="24"/>
                <w:lang w:val="en-US" w:eastAsia="zh-CN"/>
              </w:rPr>
              <w:t>）与午休时间（</w:t>
            </w:r>
            <w:r>
              <w:rPr>
                <w:rFonts w:hint="default" w:ascii="Times New Roman" w:hAnsi="Times New Roman" w:eastAsia="宋体" w:cs="Times New Roman"/>
                <w:bCs/>
                <w:color w:val="auto"/>
                <w:sz w:val="24"/>
                <w:lang w:val="en-US" w:eastAsia="zh-CN"/>
              </w:rPr>
              <w:t>12</w:t>
            </w:r>
            <w:r>
              <w:rPr>
                <w:rFonts w:hint="eastAsia" w:cs="Times New Roman"/>
                <w:bCs/>
                <w:color w:val="auto"/>
                <w:sz w:val="24"/>
                <w:lang w:val="en-US" w:eastAsia="zh-CN"/>
              </w:rPr>
              <w:t>:</w:t>
            </w:r>
            <w:r>
              <w:rPr>
                <w:rFonts w:hint="default" w:ascii="Times New Roman" w:hAnsi="Times New Roman" w:eastAsia="宋体" w:cs="Times New Roman"/>
                <w:bCs/>
                <w:color w:val="auto"/>
                <w:sz w:val="24"/>
                <w:lang w:val="en-US" w:eastAsia="zh-CN"/>
              </w:rPr>
              <w:t>00~14</w:t>
            </w:r>
            <w:r>
              <w:rPr>
                <w:rFonts w:hint="eastAsia" w:cs="Times New Roman"/>
                <w:bCs/>
                <w:color w:val="auto"/>
                <w:sz w:val="24"/>
                <w:lang w:val="en-US" w:eastAsia="zh-CN"/>
              </w:rPr>
              <w:t>:</w:t>
            </w:r>
            <w:r>
              <w:rPr>
                <w:rFonts w:hint="default" w:ascii="Times New Roman" w:hAnsi="Times New Roman" w:eastAsia="宋体" w:cs="Times New Roman"/>
                <w:bCs/>
                <w:color w:val="auto"/>
                <w:sz w:val="24"/>
                <w:lang w:val="en-US" w:eastAsia="zh-CN"/>
              </w:rPr>
              <w:t>00</w:t>
            </w:r>
            <w:r>
              <w:rPr>
                <w:rFonts w:hint="eastAsia" w:ascii="Times New Roman" w:hAnsi="Times New Roman" w:eastAsia="宋体" w:cs="Times New Roman"/>
                <w:bCs/>
                <w:color w:val="auto"/>
                <w:sz w:val="24"/>
                <w:lang w:val="en-US" w:eastAsia="zh-CN"/>
              </w:rPr>
              <w:t>）施工；</w:t>
            </w:r>
          </w:p>
          <w:p w14:paraId="0D1EA599">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4</w:t>
            </w:r>
            <w:r>
              <w:rPr>
                <w:rFonts w:hint="eastAsia" w:ascii="Times New Roman" w:hAnsi="Times New Roman" w:eastAsia="宋体" w:cs="Times New Roman"/>
                <w:bCs/>
                <w:color w:val="auto"/>
                <w:sz w:val="24"/>
                <w:lang w:val="en-US" w:eastAsia="zh-CN"/>
              </w:rPr>
              <w:t>将各高噪声施工点合理布置在远离噪声敏感点的位置；</w:t>
            </w:r>
          </w:p>
          <w:p w14:paraId="289F2EA1">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5</w:t>
            </w:r>
            <w:r>
              <w:rPr>
                <w:rFonts w:hint="eastAsia" w:ascii="Times New Roman" w:hAnsi="Times New Roman" w:eastAsia="宋体" w:cs="Times New Roman"/>
                <w:bCs/>
                <w:color w:val="auto"/>
                <w:sz w:val="24"/>
                <w:lang w:val="en-US" w:eastAsia="zh-CN"/>
              </w:rPr>
              <w:t>材料的运输车辆场内严禁鸣笛，严禁夜间装卸材料。要求施工单位严格采取相关噪声防治措施，按照施工规范文明施工，加强管理，确保施工期间场界噪声满足《建筑施工场界环境噪声排放标准》（</w:t>
            </w:r>
            <w:r>
              <w:rPr>
                <w:rFonts w:hint="default" w:ascii="Times New Roman" w:hAnsi="Times New Roman" w:eastAsia="宋体" w:cs="Times New Roman"/>
                <w:bCs/>
                <w:color w:val="auto"/>
                <w:sz w:val="24"/>
                <w:lang w:val="en-US" w:eastAsia="zh-CN"/>
              </w:rPr>
              <w:t>GB12523-2011</w:t>
            </w:r>
            <w:r>
              <w:rPr>
                <w:rFonts w:hint="eastAsia" w:ascii="Times New Roman" w:hAnsi="Times New Roman" w:eastAsia="宋体" w:cs="Times New Roman"/>
                <w:bCs/>
                <w:color w:val="auto"/>
                <w:sz w:val="24"/>
                <w:lang w:val="en-US" w:eastAsia="zh-CN"/>
              </w:rPr>
              <w:t>）中的相关要求，对周围环境影响较小；</w:t>
            </w:r>
          </w:p>
          <w:p w14:paraId="0FD82BD3">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6</w:t>
            </w:r>
            <w:r>
              <w:rPr>
                <w:rFonts w:hint="eastAsia" w:ascii="Times New Roman" w:hAnsi="Times New Roman" w:eastAsia="宋体" w:cs="Times New Roman"/>
                <w:bCs/>
                <w:color w:val="auto"/>
                <w:sz w:val="24"/>
                <w:lang w:val="en-US" w:eastAsia="zh-CN"/>
              </w:rPr>
              <w:t>合理布局施工现场：避免在同一地点安排大量高噪声设备，以避免局部累积声级过高；</w:t>
            </w:r>
          </w:p>
          <w:p w14:paraId="3D440044">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7</w:t>
            </w:r>
            <w:r>
              <w:rPr>
                <w:rFonts w:hint="eastAsia" w:ascii="Times New Roman" w:hAnsi="Times New Roman" w:eastAsia="宋体" w:cs="Times New Roman"/>
                <w:bCs/>
                <w:color w:val="auto"/>
                <w:sz w:val="24"/>
                <w:lang w:val="en-US" w:eastAsia="zh-CN"/>
              </w:rPr>
              <w:t>施工时采用降噪作业方式：施工机械选型时尽量选用可替代的低噪声的设备，对动力机械设备进行定期的维修、养护，避免设备因松动部件的振动或消音器的损坏而增加其工作时的声压级；设备用完后或不用时应立即关闭；</w:t>
            </w:r>
          </w:p>
          <w:p w14:paraId="31678B15">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8</w:t>
            </w:r>
            <w:r>
              <w:rPr>
                <w:rFonts w:hint="eastAsia" w:ascii="Times New Roman" w:hAnsi="Times New Roman" w:eastAsia="宋体" w:cs="Times New Roman"/>
                <w:bCs/>
                <w:color w:val="auto"/>
                <w:sz w:val="24"/>
                <w:lang w:val="en-US" w:eastAsia="zh-CN"/>
              </w:rPr>
              <w:t>建设与施工单位还应与施工场地周围居民建立良好的关系，及时让他们了解施工进度及采取的降噪措施，并取得大家的共同理解。若因工艺或特殊需要必须连续施工，施工单位应在施工前三日内报请当地相关部门批准，并向施工场地周围的居民或单位发布公告，以征得公众的理解和支持。</w:t>
            </w:r>
          </w:p>
          <w:p w14:paraId="6E374C89">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4</w:t>
            </w:r>
            <w:r>
              <w:rPr>
                <w:rFonts w:hint="eastAsia" w:ascii="Times New Roman" w:hAnsi="Times New Roman" w:eastAsia="宋体" w:cs="Times New Roman"/>
                <w:bCs/>
                <w:color w:val="auto"/>
                <w:sz w:val="24"/>
                <w:lang w:val="en-US" w:eastAsia="zh-CN"/>
              </w:rPr>
              <w:t>）固体废物环境影响保护措施</w:t>
            </w:r>
          </w:p>
          <w:p w14:paraId="05D11116">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1</w:t>
            </w:r>
            <w:r>
              <w:rPr>
                <w:rFonts w:hint="eastAsia" w:ascii="Times New Roman" w:hAnsi="Times New Roman" w:eastAsia="宋体" w:cs="Times New Roman"/>
                <w:bCs/>
                <w:color w:val="auto"/>
                <w:sz w:val="24"/>
                <w:lang w:val="en-US" w:eastAsia="zh-CN"/>
              </w:rPr>
              <w:t>建筑垃圾可回收利用的，集中收集后交由有回收资质的废品收购站处理；不能回收利用的，集中收集后交由专业的单位清运至指定的建筑垃圾堆放点进行处置，严禁随意倾弃；</w:t>
            </w:r>
          </w:p>
          <w:p w14:paraId="76C84988">
            <w:pPr>
              <w:widowControl/>
              <w:spacing w:line="360" w:lineRule="auto"/>
              <w:ind w:firstLine="480" w:firstLineChars="200"/>
              <w:jc w:val="left"/>
              <w:rPr>
                <w:rFonts w:hint="eastAsia"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lang w:val="en-US" w:eastAsia="zh-CN"/>
              </w:rPr>
              <w:t>2</w:t>
            </w:r>
            <w:r>
              <w:rPr>
                <w:rFonts w:hint="eastAsia" w:ascii="Times New Roman" w:hAnsi="Times New Roman" w:eastAsia="宋体" w:cs="Times New Roman"/>
                <w:bCs/>
                <w:color w:val="auto"/>
                <w:sz w:val="24"/>
                <w:lang w:val="en-US" w:eastAsia="zh-CN"/>
              </w:rPr>
              <w:t>生活垃圾统一收集后</w:t>
            </w:r>
            <w:r>
              <w:rPr>
                <w:rFonts w:hint="eastAsia" w:cs="Times New Roman"/>
                <w:bCs/>
                <w:color w:val="auto"/>
                <w:sz w:val="24"/>
                <w:lang w:val="en-US" w:eastAsia="zh-CN"/>
              </w:rPr>
              <w:t>堆放</w:t>
            </w:r>
            <w:r>
              <w:rPr>
                <w:rFonts w:hint="eastAsia" w:ascii="Times New Roman" w:hAnsi="Times New Roman" w:eastAsia="宋体" w:cs="Times New Roman"/>
                <w:bCs/>
                <w:color w:val="auto"/>
                <w:sz w:val="24"/>
                <w:lang w:val="en-US" w:eastAsia="zh-CN"/>
              </w:rPr>
              <w:t>至指定地点，委托环卫部门清运处置。</w:t>
            </w:r>
          </w:p>
          <w:p w14:paraId="53A61800">
            <w:pPr>
              <w:widowControl/>
              <w:spacing w:line="360" w:lineRule="auto"/>
              <w:ind w:firstLine="480" w:firstLineChars="200"/>
              <w:jc w:val="left"/>
              <w:rPr>
                <w:rFonts w:hint="default" w:ascii="Times New Roman" w:hAnsi="Times New Roman" w:eastAsia="宋体" w:cs="Times New Roman"/>
                <w:bCs/>
                <w:color w:val="auto"/>
                <w:spacing w:val="-10"/>
                <w:szCs w:val="21"/>
                <w:highlight w:val="none"/>
              </w:rPr>
            </w:pPr>
            <w:r>
              <w:rPr>
                <w:rFonts w:hint="eastAsia" w:ascii="Times New Roman" w:hAnsi="Times New Roman" w:eastAsia="宋体" w:cs="Times New Roman"/>
                <w:bCs/>
                <w:color w:val="auto"/>
                <w:sz w:val="24"/>
                <w:lang w:val="en-US" w:eastAsia="zh-CN"/>
              </w:rPr>
              <w:t>综上所述，项目施工期采取环评提出的环保</w:t>
            </w:r>
            <w:r>
              <w:rPr>
                <w:rFonts w:hint="eastAsia" w:cs="Times New Roman"/>
                <w:bCs/>
                <w:color w:val="auto"/>
                <w:sz w:val="24"/>
                <w:lang w:val="en-US" w:eastAsia="zh-CN"/>
              </w:rPr>
              <w:t>措施</w:t>
            </w:r>
            <w:r>
              <w:rPr>
                <w:rFonts w:hint="eastAsia" w:ascii="Times New Roman" w:hAnsi="Times New Roman" w:eastAsia="宋体" w:cs="Times New Roman"/>
                <w:bCs/>
                <w:color w:val="auto"/>
                <w:sz w:val="24"/>
                <w:lang w:val="en-US" w:eastAsia="zh-CN"/>
              </w:rPr>
              <w:t>，可以实现文明施工，采取必要的降噪、防尘等措施，可以使施工期的环境影响降至最小，避免出现扰民现象。施工期产生的环境影响短暂且影响程度较小，在采取相应污染防治措施后不利影响可得到有效控制，且随着施工的结束，各种影响逐渐消失，区域环境逐渐得到恢复。因此，本环评重点分析营运期环境影响。</w:t>
            </w:r>
          </w:p>
        </w:tc>
      </w:tr>
      <w:tr w14:paraId="0E25D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6" w:type="dxa"/>
            <w:tcMar>
              <w:left w:w="28" w:type="dxa"/>
              <w:right w:w="28" w:type="dxa"/>
            </w:tcMar>
            <w:vAlign w:val="center"/>
          </w:tcPr>
          <w:p w14:paraId="58174030">
            <w:pPr>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14:paraId="5A2451C1">
            <w:pPr>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14:paraId="7EC6A1BA">
            <w:pPr>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14:paraId="1A99A871">
            <w:pPr>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14:paraId="37FADA3A">
            <w:pPr>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14:paraId="6E3E3952">
            <w:pPr>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9531" w:type="dxa"/>
            <w:vAlign w:val="top"/>
          </w:tcPr>
          <w:p w14:paraId="261A1D1E">
            <w:pPr>
              <w:spacing w:line="360" w:lineRule="auto"/>
              <w:ind w:firstLine="48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一</w:t>
            </w:r>
            <w:r>
              <w:rPr>
                <w:rFonts w:hint="default" w:ascii="Times New Roman" w:hAnsi="Times New Roman" w:eastAsia="宋体" w:cs="Times New Roman"/>
                <w:color w:val="auto"/>
                <w:kern w:val="0"/>
                <w:sz w:val="24"/>
                <w:szCs w:val="24"/>
                <w:highlight w:val="none"/>
              </w:rPr>
              <w:t>、运营期环境影响和保护措施</w:t>
            </w:r>
          </w:p>
          <w:p w14:paraId="1E88A174">
            <w:pPr>
              <w:spacing w:line="360" w:lineRule="auto"/>
              <w:ind w:firstLine="480"/>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lang w:val="en-US" w:eastAsia="zh-CN"/>
              </w:rPr>
              <w:t>、</w:t>
            </w:r>
            <w:r>
              <w:rPr>
                <w:rFonts w:hint="eastAsia" w:ascii="Times New Roman" w:hAnsi="Times New Roman" w:eastAsia="宋体" w:cs="Times New Roman"/>
                <w:b/>
                <w:bCs/>
                <w:color w:val="auto"/>
                <w:kern w:val="0"/>
                <w:sz w:val="24"/>
                <w:szCs w:val="24"/>
                <w:highlight w:val="none"/>
                <w:lang w:val="en-US" w:eastAsia="zh-CN"/>
              </w:rPr>
              <w:t>废气环境影响及治理措施</w:t>
            </w:r>
          </w:p>
          <w:p w14:paraId="2AC099BE">
            <w:pPr>
              <w:widowControl/>
              <w:spacing w:line="360" w:lineRule="auto"/>
              <w:ind w:firstLine="482" w:firstLineChars="200"/>
              <w:jc w:val="left"/>
              <w:rPr>
                <w:b/>
                <w:color w:val="auto"/>
                <w:kern w:val="0"/>
                <w:sz w:val="24"/>
                <w:lang w:bidi="en-US"/>
              </w:rPr>
            </w:pPr>
            <w:r>
              <w:rPr>
                <w:rFonts w:hint="default" w:ascii="Times New Roman" w:hAnsi="Times New Roman" w:eastAsia="宋体" w:cs="Times New Roman"/>
                <w:b/>
                <w:bCs/>
                <w:color w:val="auto"/>
                <w:kern w:val="0"/>
                <w:sz w:val="24"/>
                <w:szCs w:val="24"/>
                <w:highlight w:val="none"/>
                <w:lang w:val="en-US" w:eastAsia="zh-CN"/>
              </w:rPr>
              <w:t>（一）</w:t>
            </w:r>
            <w:r>
              <w:rPr>
                <w:b/>
                <w:color w:val="auto"/>
                <w:kern w:val="0"/>
                <w:sz w:val="24"/>
                <w:lang w:bidi="en-US"/>
              </w:rPr>
              <w:t>污染物源强核算依据</w:t>
            </w:r>
          </w:p>
          <w:p w14:paraId="0ABCF924">
            <w:pPr>
              <w:widowControl/>
              <w:spacing w:line="360" w:lineRule="auto"/>
              <w:ind w:firstLine="480" w:firstLineChars="200"/>
              <w:jc w:val="left"/>
              <w:rPr>
                <w:bCs/>
                <w:color w:val="auto"/>
                <w:sz w:val="24"/>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szCs w:val="20"/>
                <w:lang w:val="en-US" w:eastAsia="zh-CN"/>
              </w:rPr>
              <w:t>制砂</w:t>
            </w:r>
            <w:r>
              <w:rPr>
                <w:bCs/>
                <w:color w:val="auto"/>
                <w:sz w:val="24"/>
              </w:rPr>
              <w:t>生产线</w:t>
            </w:r>
          </w:p>
          <w:p w14:paraId="66DDC0E0">
            <w:pPr>
              <w:widowControl/>
              <w:spacing w:line="360" w:lineRule="auto"/>
              <w:ind w:firstLine="480" w:firstLineChars="200"/>
              <w:jc w:val="left"/>
              <w:rPr>
                <w:bCs/>
                <w:color w:val="auto"/>
                <w:sz w:val="24"/>
                <w:szCs w:val="20"/>
              </w:rPr>
            </w:pPr>
            <w:r>
              <w:rPr>
                <w:bCs/>
                <w:color w:val="auto"/>
                <w:sz w:val="24"/>
                <w:szCs w:val="20"/>
              </w:rPr>
              <w:t>1</w:t>
            </w:r>
            <w:r>
              <w:rPr>
                <w:rFonts w:hint="eastAsia"/>
                <w:bCs/>
                <w:color w:val="auto"/>
                <w:sz w:val="24"/>
                <w:szCs w:val="20"/>
                <w:lang w:val="en-US" w:eastAsia="zh-CN"/>
              </w:rPr>
              <w:t>制砂</w:t>
            </w:r>
            <w:r>
              <w:rPr>
                <w:bCs/>
                <w:color w:val="auto"/>
                <w:sz w:val="24"/>
                <w:szCs w:val="20"/>
              </w:rPr>
              <w:t>粉尘</w:t>
            </w:r>
          </w:p>
          <w:p w14:paraId="22F55D56">
            <w:pPr>
              <w:widowControl/>
              <w:spacing w:line="360" w:lineRule="auto"/>
              <w:ind w:firstLine="480" w:firstLineChars="200"/>
              <w:jc w:val="left"/>
              <w:rPr>
                <w:bCs/>
                <w:color w:val="auto"/>
                <w:sz w:val="24"/>
              </w:rPr>
            </w:pPr>
            <w:r>
              <w:rPr>
                <w:rFonts w:hint="eastAsia"/>
                <w:bCs/>
                <w:color w:val="auto"/>
                <w:sz w:val="24"/>
                <w:szCs w:val="20"/>
              </w:rPr>
              <w:t>制砂</w:t>
            </w:r>
            <w:r>
              <w:rPr>
                <w:bCs/>
                <w:color w:val="auto"/>
                <w:sz w:val="24"/>
                <w:szCs w:val="20"/>
              </w:rPr>
              <w:t>加工</w:t>
            </w:r>
            <w:r>
              <w:rPr>
                <w:bCs/>
                <w:color w:val="auto"/>
                <w:sz w:val="24"/>
              </w:rPr>
              <w:t>生产线采用</w:t>
            </w:r>
            <w:r>
              <w:rPr>
                <w:rFonts w:hint="eastAsia"/>
                <w:bCs/>
                <w:color w:val="auto"/>
                <w:sz w:val="24"/>
                <w:lang w:val="en-US" w:eastAsia="zh-CN"/>
              </w:rPr>
              <w:t>一级</w:t>
            </w:r>
            <w:r>
              <w:rPr>
                <w:bCs/>
                <w:color w:val="auto"/>
                <w:sz w:val="24"/>
              </w:rPr>
              <w:t>破碎</w:t>
            </w:r>
            <w:r>
              <w:rPr>
                <w:rFonts w:hint="eastAsia"/>
                <w:bCs/>
                <w:color w:val="auto"/>
                <w:sz w:val="24"/>
                <w:lang w:val="en-US" w:eastAsia="zh-CN"/>
              </w:rPr>
              <w:t>+</w:t>
            </w:r>
            <w:r>
              <w:rPr>
                <w:bCs/>
                <w:color w:val="auto"/>
                <w:sz w:val="24"/>
              </w:rPr>
              <w:t>筛分工艺，破碎</w:t>
            </w:r>
            <w:r>
              <w:rPr>
                <w:rFonts w:hint="eastAsia"/>
                <w:bCs/>
                <w:color w:val="auto"/>
                <w:sz w:val="24"/>
                <w:lang w:eastAsia="zh-CN"/>
              </w:rPr>
              <w:t>、</w:t>
            </w:r>
            <w:r>
              <w:rPr>
                <w:rFonts w:hint="eastAsia"/>
                <w:bCs/>
                <w:color w:val="auto"/>
                <w:sz w:val="24"/>
                <w:lang w:val="en-US" w:eastAsia="zh-CN"/>
              </w:rPr>
              <w:t>筛分</w:t>
            </w:r>
            <w:r>
              <w:rPr>
                <w:color w:val="auto"/>
                <w:sz w:val="24"/>
              </w:rPr>
              <w:t>粉尘系数取自《排放源统计调查产排污核算方法和系数手册  303砖瓦、石材等建筑材料制造行业系数手册》</w:t>
            </w:r>
            <w:r>
              <w:rPr>
                <w:color w:val="auto"/>
                <w:sz w:val="24"/>
                <w:shd w:val="clear" w:color="auto" w:fill="FFFFFF"/>
              </w:rPr>
              <w:t>。</w:t>
            </w:r>
          </w:p>
          <w:p w14:paraId="0D2CC49D">
            <w:pPr>
              <w:snapToGrid w:val="0"/>
              <w:spacing w:line="360" w:lineRule="auto"/>
              <w:jc w:val="center"/>
              <w:rPr>
                <w:b/>
                <w:color w:val="auto"/>
                <w:szCs w:val="21"/>
              </w:rPr>
            </w:pPr>
            <w:r>
              <w:rPr>
                <w:b/>
                <w:color w:val="auto"/>
                <w:szCs w:val="21"/>
                <w:lang w:bidi="ar"/>
              </w:rPr>
              <w:t xml:space="preserve">表4-2  </w:t>
            </w:r>
            <w:r>
              <w:rPr>
                <w:b/>
                <w:color w:val="auto"/>
                <w:szCs w:val="21"/>
              </w:rPr>
              <w:t>3039其他建筑材料制造行业</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5"/>
              <w:gridCol w:w="1233"/>
              <w:gridCol w:w="1121"/>
              <w:gridCol w:w="741"/>
              <w:gridCol w:w="1041"/>
              <w:gridCol w:w="1030"/>
              <w:gridCol w:w="693"/>
              <w:gridCol w:w="1203"/>
              <w:gridCol w:w="1458"/>
            </w:tblGrid>
            <w:tr w14:paraId="24794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22" w:type="pct"/>
                  <w:noWrap w:val="0"/>
                  <w:vAlign w:val="center"/>
                </w:tcPr>
                <w:p w14:paraId="21CEE07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产品名称</w:t>
                  </w:r>
                </w:p>
              </w:tc>
              <w:tc>
                <w:tcPr>
                  <w:tcW w:w="663" w:type="pct"/>
                  <w:noWrap w:val="0"/>
                  <w:vAlign w:val="center"/>
                </w:tcPr>
                <w:p w14:paraId="6E35CDF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原料名称</w:t>
                  </w:r>
                </w:p>
              </w:tc>
              <w:tc>
                <w:tcPr>
                  <w:tcW w:w="602" w:type="pct"/>
                  <w:noWrap w:val="0"/>
                  <w:vAlign w:val="center"/>
                </w:tcPr>
                <w:p w14:paraId="5C721F6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工艺名称</w:t>
                  </w:r>
                </w:p>
              </w:tc>
              <w:tc>
                <w:tcPr>
                  <w:tcW w:w="398" w:type="pct"/>
                  <w:noWrap w:val="0"/>
                  <w:vAlign w:val="center"/>
                </w:tcPr>
                <w:p w14:paraId="4C913BD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规模等级</w:t>
                  </w:r>
                </w:p>
              </w:tc>
              <w:tc>
                <w:tcPr>
                  <w:tcW w:w="559" w:type="pct"/>
                  <w:noWrap w:val="0"/>
                  <w:vAlign w:val="center"/>
                </w:tcPr>
                <w:p w14:paraId="190294C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污染物指标</w:t>
                  </w:r>
                </w:p>
              </w:tc>
              <w:tc>
                <w:tcPr>
                  <w:tcW w:w="553" w:type="pct"/>
                  <w:noWrap w:val="0"/>
                  <w:vAlign w:val="center"/>
                </w:tcPr>
                <w:p w14:paraId="654DA46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单位</w:t>
                  </w:r>
                </w:p>
              </w:tc>
              <w:tc>
                <w:tcPr>
                  <w:tcW w:w="372" w:type="pct"/>
                  <w:noWrap w:val="0"/>
                  <w:vAlign w:val="center"/>
                </w:tcPr>
                <w:p w14:paraId="73EE8E4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产污系数</w:t>
                  </w:r>
                </w:p>
              </w:tc>
              <w:tc>
                <w:tcPr>
                  <w:tcW w:w="646" w:type="pct"/>
                  <w:noWrap w:val="0"/>
                  <w:vAlign w:val="center"/>
                </w:tcPr>
                <w:p w14:paraId="710BEBA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末端治理技术名称</w:t>
                  </w:r>
                </w:p>
              </w:tc>
              <w:tc>
                <w:tcPr>
                  <w:tcW w:w="783" w:type="pct"/>
                  <w:noWrap w:val="0"/>
                  <w:vAlign w:val="center"/>
                </w:tcPr>
                <w:p w14:paraId="181AAD3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末端治理技术效率（%）</w:t>
                  </w:r>
                </w:p>
              </w:tc>
            </w:tr>
            <w:tr w14:paraId="13554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422" w:type="pct"/>
                  <w:vMerge w:val="restart"/>
                  <w:noWrap w:val="0"/>
                  <w:vAlign w:val="center"/>
                </w:tcPr>
                <w:p w14:paraId="3B0BEEA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砂石骨料</w:t>
                  </w:r>
                </w:p>
              </w:tc>
              <w:tc>
                <w:tcPr>
                  <w:tcW w:w="663" w:type="pct"/>
                  <w:vMerge w:val="restart"/>
                  <w:noWrap w:val="0"/>
                  <w:vAlign w:val="center"/>
                </w:tcPr>
                <w:p w14:paraId="4275DD7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建筑固体废弃物</w:t>
                  </w:r>
                </w:p>
              </w:tc>
              <w:tc>
                <w:tcPr>
                  <w:tcW w:w="602" w:type="pct"/>
                  <w:vMerge w:val="restart"/>
                  <w:noWrap w:val="0"/>
                  <w:vAlign w:val="center"/>
                </w:tcPr>
                <w:p w14:paraId="70B75EB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破碎、筛分</w:t>
                  </w:r>
                </w:p>
              </w:tc>
              <w:tc>
                <w:tcPr>
                  <w:tcW w:w="398" w:type="pct"/>
                  <w:vMerge w:val="restart"/>
                  <w:noWrap w:val="0"/>
                  <w:vAlign w:val="center"/>
                </w:tcPr>
                <w:p w14:paraId="5A85789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所有规模</w:t>
                  </w:r>
                </w:p>
              </w:tc>
              <w:tc>
                <w:tcPr>
                  <w:tcW w:w="559" w:type="pct"/>
                  <w:vMerge w:val="restart"/>
                  <w:noWrap w:val="0"/>
                  <w:vAlign w:val="center"/>
                </w:tcPr>
                <w:p w14:paraId="7DCB6BB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颗粒物</w:t>
                  </w:r>
                </w:p>
              </w:tc>
              <w:tc>
                <w:tcPr>
                  <w:tcW w:w="553" w:type="pct"/>
                  <w:vMerge w:val="restart"/>
                  <w:noWrap w:val="0"/>
                  <w:vAlign w:val="center"/>
                </w:tcPr>
                <w:p w14:paraId="67A363C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千克/吨</w:t>
                  </w:r>
                  <w:r>
                    <w:rPr>
                      <w:rFonts w:hint="eastAsia" w:cs="Times New Roman"/>
                      <w:bCs/>
                      <w:color w:val="auto"/>
                      <w:kern w:val="21"/>
                      <w:szCs w:val="21"/>
                      <w:highlight w:val="none"/>
                      <w:lang w:eastAsia="zh-CN"/>
                    </w:rPr>
                    <w:t>－</w:t>
                  </w:r>
                  <w:r>
                    <w:rPr>
                      <w:rFonts w:hint="default" w:ascii="Times New Roman" w:hAnsi="Times New Roman" w:eastAsia="宋体" w:cs="Times New Roman"/>
                      <w:bCs/>
                      <w:color w:val="auto"/>
                      <w:kern w:val="21"/>
                      <w:szCs w:val="21"/>
                      <w:highlight w:val="none"/>
                    </w:rPr>
                    <w:t>产品</w:t>
                  </w:r>
                </w:p>
              </w:tc>
              <w:tc>
                <w:tcPr>
                  <w:tcW w:w="372" w:type="pct"/>
                  <w:vMerge w:val="restart"/>
                  <w:noWrap w:val="0"/>
                  <w:vAlign w:val="center"/>
                </w:tcPr>
                <w:p w14:paraId="7EAB281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1.89</w:t>
                  </w:r>
                </w:p>
              </w:tc>
              <w:tc>
                <w:tcPr>
                  <w:tcW w:w="646" w:type="pct"/>
                  <w:tcBorders>
                    <w:bottom w:val="single" w:color="auto" w:sz="4" w:space="0"/>
                  </w:tcBorders>
                  <w:noWrap w:val="0"/>
                  <w:vAlign w:val="center"/>
                </w:tcPr>
                <w:p w14:paraId="1B1FE22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袋式除尘</w:t>
                  </w:r>
                </w:p>
              </w:tc>
              <w:tc>
                <w:tcPr>
                  <w:tcW w:w="783" w:type="pct"/>
                  <w:tcBorders>
                    <w:bottom w:val="single" w:color="auto" w:sz="4" w:space="0"/>
                  </w:tcBorders>
                  <w:noWrap w:val="0"/>
                  <w:vAlign w:val="center"/>
                </w:tcPr>
                <w:p w14:paraId="6D38900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99</w:t>
                  </w:r>
                </w:p>
              </w:tc>
            </w:tr>
            <w:tr w14:paraId="6D5C1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2" w:type="pct"/>
                  <w:vMerge w:val="continue"/>
                  <w:noWrap w:val="0"/>
                  <w:vAlign w:val="center"/>
                </w:tcPr>
                <w:p w14:paraId="1EFE005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663" w:type="pct"/>
                  <w:vMerge w:val="continue"/>
                  <w:noWrap w:val="0"/>
                  <w:vAlign w:val="center"/>
                </w:tcPr>
                <w:p w14:paraId="7EBF998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602" w:type="pct"/>
                  <w:vMerge w:val="continue"/>
                  <w:noWrap w:val="0"/>
                  <w:vAlign w:val="center"/>
                </w:tcPr>
                <w:p w14:paraId="2F0246A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398" w:type="pct"/>
                  <w:vMerge w:val="continue"/>
                  <w:noWrap w:val="0"/>
                  <w:vAlign w:val="center"/>
                </w:tcPr>
                <w:p w14:paraId="5EBE81F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559" w:type="pct"/>
                  <w:vMerge w:val="continue"/>
                  <w:noWrap w:val="0"/>
                  <w:vAlign w:val="center"/>
                </w:tcPr>
                <w:p w14:paraId="6BCF564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553" w:type="pct"/>
                  <w:vMerge w:val="continue"/>
                  <w:noWrap w:val="0"/>
                  <w:vAlign w:val="center"/>
                </w:tcPr>
                <w:p w14:paraId="5067475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372" w:type="pct"/>
                  <w:vMerge w:val="continue"/>
                  <w:noWrap w:val="0"/>
                  <w:vAlign w:val="center"/>
                </w:tcPr>
                <w:p w14:paraId="5442653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646" w:type="pct"/>
                  <w:tcBorders>
                    <w:bottom w:val="single" w:color="auto" w:sz="4" w:space="0"/>
                  </w:tcBorders>
                  <w:noWrap w:val="0"/>
                  <w:vAlign w:val="center"/>
                </w:tcPr>
                <w:p w14:paraId="33EBC3F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湿式除尘</w:t>
                  </w:r>
                </w:p>
              </w:tc>
              <w:tc>
                <w:tcPr>
                  <w:tcW w:w="783" w:type="pct"/>
                  <w:tcBorders>
                    <w:bottom w:val="single" w:color="auto" w:sz="4" w:space="0"/>
                  </w:tcBorders>
                  <w:noWrap w:val="0"/>
                  <w:vAlign w:val="center"/>
                </w:tcPr>
                <w:p w14:paraId="31344AB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90</w:t>
                  </w:r>
                </w:p>
              </w:tc>
            </w:tr>
            <w:tr w14:paraId="05094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trPr>
              <w:tc>
                <w:tcPr>
                  <w:tcW w:w="422" w:type="pct"/>
                  <w:vMerge w:val="continue"/>
                  <w:noWrap w:val="0"/>
                  <w:vAlign w:val="center"/>
                </w:tcPr>
                <w:p w14:paraId="74E17D9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663" w:type="pct"/>
                  <w:vMerge w:val="continue"/>
                  <w:noWrap w:val="0"/>
                  <w:vAlign w:val="center"/>
                </w:tcPr>
                <w:p w14:paraId="3AD2B4C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602" w:type="pct"/>
                  <w:vMerge w:val="continue"/>
                  <w:noWrap w:val="0"/>
                  <w:vAlign w:val="center"/>
                </w:tcPr>
                <w:p w14:paraId="7E65335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398" w:type="pct"/>
                  <w:vMerge w:val="continue"/>
                  <w:noWrap w:val="0"/>
                  <w:vAlign w:val="center"/>
                </w:tcPr>
                <w:p w14:paraId="649DCC5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559" w:type="pct"/>
                  <w:vMerge w:val="continue"/>
                  <w:noWrap w:val="0"/>
                  <w:vAlign w:val="center"/>
                </w:tcPr>
                <w:p w14:paraId="29BD5C0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553" w:type="pct"/>
                  <w:vMerge w:val="continue"/>
                  <w:noWrap w:val="0"/>
                  <w:vAlign w:val="center"/>
                </w:tcPr>
                <w:p w14:paraId="182E6608">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372" w:type="pct"/>
                  <w:vMerge w:val="continue"/>
                  <w:noWrap w:val="0"/>
                  <w:vAlign w:val="center"/>
                </w:tcPr>
                <w:p w14:paraId="0EF0CD6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646" w:type="pct"/>
                  <w:tcBorders>
                    <w:top w:val="single" w:color="auto" w:sz="4" w:space="0"/>
                  </w:tcBorders>
                  <w:noWrap w:val="0"/>
                  <w:vAlign w:val="center"/>
                </w:tcPr>
                <w:p w14:paraId="2046633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喷雾降尘</w:t>
                  </w:r>
                </w:p>
              </w:tc>
              <w:tc>
                <w:tcPr>
                  <w:tcW w:w="783" w:type="pct"/>
                  <w:tcBorders>
                    <w:top w:val="single" w:color="auto" w:sz="4" w:space="0"/>
                  </w:tcBorders>
                  <w:noWrap w:val="0"/>
                  <w:vAlign w:val="center"/>
                </w:tcPr>
                <w:p w14:paraId="148490B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80</w:t>
                  </w:r>
                </w:p>
              </w:tc>
            </w:tr>
          </w:tbl>
          <w:p w14:paraId="27BE0576">
            <w:pPr>
              <w:widowControl/>
              <w:spacing w:line="360" w:lineRule="auto"/>
              <w:ind w:firstLine="480" w:firstLineChars="200"/>
              <w:jc w:val="left"/>
              <w:rPr>
                <w:color w:val="auto"/>
                <w:kern w:val="0"/>
                <w:sz w:val="24"/>
                <w:lang w:bidi="en-US"/>
              </w:rPr>
            </w:pPr>
            <w:r>
              <w:rPr>
                <w:color w:val="auto"/>
                <w:sz w:val="24"/>
              </w:rPr>
              <w:t>本项目机制砂成品产生量按照</w:t>
            </w:r>
            <w:r>
              <w:rPr>
                <w:rFonts w:hint="eastAsia"/>
                <w:color w:val="auto"/>
                <w:sz w:val="24"/>
                <w:lang w:val="en-US" w:eastAsia="zh-CN"/>
              </w:rPr>
              <w:t>33200</w:t>
            </w:r>
            <w:r>
              <w:rPr>
                <w:color w:val="auto"/>
                <w:sz w:val="24"/>
              </w:rPr>
              <w:t>t/a计，根据上式算得粉尘产生量为</w:t>
            </w:r>
            <w:r>
              <w:rPr>
                <w:rFonts w:hint="eastAsia"/>
                <w:color w:val="auto"/>
                <w:sz w:val="24"/>
                <w:lang w:val="en-US" w:eastAsia="zh-CN"/>
              </w:rPr>
              <w:t>62.748</w:t>
            </w:r>
            <w:r>
              <w:rPr>
                <w:color w:val="auto"/>
                <w:sz w:val="24"/>
              </w:rPr>
              <w:t>t/a</w:t>
            </w:r>
            <w:r>
              <w:rPr>
                <w:rFonts w:hint="eastAsia"/>
                <w:color w:val="auto"/>
                <w:sz w:val="24"/>
                <w:lang w:eastAsia="zh-CN"/>
              </w:rPr>
              <w:t>，</w:t>
            </w:r>
            <w:r>
              <w:rPr>
                <w:bCs/>
                <w:color w:val="auto"/>
                <w:sz w:val="24"/>
              </w:rPr>
              <w:t>该部分粉尘约</w:t>
            </w:r>
            <w:r>
              <w:rPr>
                <w:color w:val="auto"/>
                <w:kern w:val="0"/>
                <w:sz w:val="24"/>
                <w:lang w:bidi="en-US"/>
              </w:rPr>
              <w:t>60%经厂房阻隔会在车间内沉降，对未沉降的逸散性粉尘采用车间顶部喷雾除尘，喷雾除尘效率可达到80%以上，本次评价按80%计，经自然沉降、喷雾除尘后，车间粉尘无组织粉尘排放量约为</w:t>
            </w:r>
            <w:r>
              <w:rPr>
                <w:rFonts w:hint="eastAsia"/>
                <w:color w:val="auto"/>
                <w:kern w:val="0"/>
                <w:sz w:val="24"/>
                <w:lang w:val="en-US" w:eastAsia="zh-CN" w:bidi="en-US"/>
              </w:rPr>
              <w:t>5.02</w:t>
            </w:r>
            <w:r>
              <w:rPr>
                <w:color w:val="auto"/>
                <w:kern w:val="0"/>
                <w:sz w:val="24"/>
                <w:lang w:bidi="en-US"/>
              </w:rPr>
              <w:t>t/a。</w:t>
            </w:r>
          </w:p>
          <w:p w14:paraId="6B6AD657">
            <w:pPr>
              <w:widowControl/>
              <w:spacing w:line="360" w:lineRule="auto"/>
              <w:ind w:firstLine="480" w:firstLineChars="200"/>
              <w:jc w:val="left"/>
              <w:rPr>
                <w:color w:val="auto"/>
                <w:sz w:val="24"/>
              </w:rPr>
            </w:pPr>
            <w:r>
              <w:rPr>
                <w:color w:val="auto"/>
                <w:sz w:val="24"/>
              </w:rPr>
              <w:t>2其他工序粉尘</w:t>
            </w:r>
          </w:p>
          <w:p w14:paraId="5211BB73">
            <w:pPr>
              <w:widowControl/>
              <w:spacing w:line="360" w:lineRule="auto"/>
              <w:ind w:firstLine="480" w:firstLineChars="200"/>
              <w:jc w:val="left"/>
              <w:rPr>
                <w:color w:val="auto"/>
                <w:sz w:val="24"/>
              </w:rPr>
            </w:pPr>
            <w:r>
              <w:rPr>
                <w:color w:val="auto"/>
                <w:sz w:val="24"/>
              </w:rPr>
              <w:t>本评价对产生粉尘的其他工序（无组织）进行如下分析：</w:t>
            </w:r>
          </w:p>
          <w:p w14:paraId="30A56041">
            <w:pPr>
              <w:widowControl/>
              <w:spacing w:line="360" w:lineRule="auto"/>
              <w:ind w:firstLine="480" w:firstLineChars="200"/>
              <w:jc w:val="left"/>
              <w:rPr>
                <w:color w:val="auto"/>
                <w:sz w:val="24"/>
              </w:rPr>
            </w:pPr>
            <w:r>
              <w:rPr>
                <w:color w:val="auto"/>
                <w:sz w:val="24"/>
              </w:rPr>
              <w:t>A.原料装卸、堆存过程粉尘</w:t>
            </w:r>
          </w:p>
          <w:p w14:paraId="0529E62B">
            <w:pPr>
              <w:widowControl/>
              <w:spacing w:line="360" w:lineRule="auto"/>
              <w:ind w:firstLine="480" w:firstLineChars="200"/>
              <w:jc w:val="left"/>
              <w:rPr>
                <w:color w:val="auto"/>
                <w:sz w:val="24"/>
              </w:rPr>
            </w:pPr>
            <w:r>
              <w:rPr>
                <w:color w:val="auto"/>
                <w:sz w:val="24"/>
              </w:rPr>
              <w:t>进厂原料</w:t>
            </w:r>
            <w:r>
              <w:rPr>
                <w:rFonts w:hint="eastAsia"/>
                <w:bCs/>
                <w:color w:val="auto"/>
                <w:sz w:val="24"/>
                <w:lang w:val="en-US" w:eastAsia="zh-CN"/>
              </w:rPr>
              <w:t>碎石</w:t>
            </w:r>
            <w:r>
              <w:rPr>
                <w:color w:val="auto"/>
                <w:sz w:val="24"/>
              </w:rPr>
              <w:t>自卸汽车运输至原料库内，原料库</w:t>
            </w:r>
            <w:r>
              <w:rPr>
                <w:rFonts w:hint="eastAsia"/>
                <w:color w:val="auto"/>
                <w:sz w:val="24"/>
                <w:lang w:val="en-US" w:eastAsia="zh-CN"/>
              </w:rPr>
              <w:t>三面</w:t>
            </w:r>
            <w:r>
              <w:rPr>
                <w:color w:val="auto"/>
                <w:sz w:val="24"/>
              </w:rPr>
              <w:t>封闭式建设，地面全部硬化，车间顶部设置喷雾装置定时喷雾降尘，故此部分无组织粉尘较</w:t>
            </w:r>
            <w:r>
              <w:rPr>
                <w:rFonts w:hint="eastAsia"/>
                <w:color w:val="auto"/>
                <w:sz w:val="24"/>
                <w:lang w:eastAsia="zh-CN"/>
              </w:rPr>
              <w:t>少</w:t>
            </w:r>
            <w:r>
              <w:rPr>
                <w:color w:val="auto"/>
                <w:sz w:val="24"/>
              </w:rPr>
              <w:t>。</w:t>
            </w:r>
          </w:p>
          <w:p w14:paraId="11E0E1EF">
            <w:pPr>
              <w:widowControl/>
              <w:spacing w:line="360" w:lineRule="auto"/>
              <w:ind w:firstLine="480" w:firstLineChars="200"/>
              <w:jc w:val="left"/>
              <w:rPr>
                <w:color w:val="auto"/>
                <w:sz w:val="24"/>
              </w:rPr>
            </w:pPr>
            <w:r>
              <w:rPr>
                <w:color w:val="auto"/>
                <w:sz w:val="24"/>
              </w:rPr>
              <w:t>B.投料口粉尘</w:t>
            </w:r>
          </w:p>
          <w:p w14:paraId="74C77943">
            <w:pPr>
              <w:widowControl/>
              <w:spacing w:line="360" w:lineRule="auto"/>
              <w:ind w:firstLine="480" w:firstLineChars="200"/>
              <w:jc w:val="left"/>
              <w:rPr>
                <w:color w:val="auto"/>
                <w:sz w:val="24"/>
              </w:rPr>
            </w:pPr>
            <w:r>
              <w:rPr>
                <w:color w:val="auto"/>
                <w:sz w:val="24"/>
                <w:lang w:val="de-DE"/>
              </w:rPr>
              <w:t>给料机投料口三面封闭，</w:t>
            </w:r>
            <w:r>
              <w:rPr>
                <w:color w:val="auto"/>
                <w:sz w:val="24"/>
              </w:rPr>
              <w:t>顶部设置喷雾装置定时喷雾降尘，故此部分无组织粉尘较</w:t>
            </w:r>
            <w:r>
              <w:rPr>
                <w:rFonts w:hint="eastAsia"/>
                <w:color w:val="auto"/>
                <w:sz w:val="24"/>
                <w:lang w:eastAsia="zh-CN"/>
              </w:rPr>
              <w:t>少</w:t>
            </w:r>
            <w:r>
              <w:rPr>
                <w:color w:val="auto"/>
                <w:sz w:val="24"/>
              </w:rPr>
              <w:t>。</w:t>
            </w:r>
          </w:p>
          <w:p w14:paraId="2A816D34">
            <w:pPr>
              <w:widowControl/>
              <w:spacing w:line="360" w:lineRule="auto"/>
              <w:ind w:firstLine="480" w:firstLineChars="200"/>
              <w:jc w:val="left"/>
              <w:rPr>
                <w:color w:val="auto"/>
                <w:sz w:val="24"/>
              </w:rPr>
            </w:pPr>
            <w:r>
              <w:rPr>
                <w:color w:val="auto"/>
                <w:sz w:val="24"/>
              </w:rPr>
              <w:t>C.输送过程产生的粉尘</w:t>
            </w:r>
          </w:p>
          <w:p w14:paraId="54823A84">
            <w:pPr>
              <w:widowControl/>
              <w:spacing w:line="360" w:lineRule="auto"/>
              <w:ind w:firstLine="480" w:firstLineChars="200"/>
              <w:jc w:val="left"/>
              <w:rPr>
                <w:color w:val="auto"/>
                <w:sz w:val="24"/>
              </w:rPr>
            </w:pPr>
            <w:r>
              <w:rPr>
                <w:color w:val="auto"/>
                <w:sz w:val="24"/>
              </w:rPr>
              <w:t>生产过程中所有工序均密闭；生产线物料由密闭皮带输送，皮带在输送过程匀速稳定，外泄粉尘量较小；故输送过程无组织粉尘较</w:t>
            </w:r>
            <w:r>
              <w:rPr>
                <w:rFonts w:hint="eastAsia"/>
                <w:color w:val="auto"/>
                <w:sz w:val="24"/>
                <w:lang w:eastAsia="zh-CN"/>
              </w:rPr>
              <w:t>少</w:t>
            </w:r>
            <w:r>
              <w:rPr>
                <w:color w:val="auto"/>
                <w:sz w:val="24"/>
              </w:rPr>
              <w:t>。</w:t>
            </w:r>
          </w:p>
          <w:p w14:paraId="4223AD11">
            <w:pPr>
              <w:widowControl/>
              <w:spacing w:line="360" w:lineRule="auto"/>
              <w:ind w:firstLine="480" w:firstLineChars="200"/>
              <w:jc w:val="left"/>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2</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rPr>
              <w:t>商品混凝土生产线</w:t>
            </w:r>
          </w:p>
          <w:p w14:paraId="3D90255B">
            <w:pPr>
              <w:widowControl/>
              <w:spacing w:line="360" w:lineRule="auto"/>
              <w:ind w:firstLine="480" w:firstLineChars="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1筒仓粉尘</w:t>
            </w:r>
          </w:p>
          <w:p w14:paraId="7D5803BF">
            <w:pPr>
              <w:widowControl/>
              <w:spacing w:line="360" w:lineRule="auto"/>
              <w:ind w:firstLine="480" w:firstLineChars="200"/>
              <w:jc w:val="left"/>
              <w:rPr>
                <w:color w:val="auto"/>
                <w:sz w:val="24"/>
                <w:szCs w:val="20"/>
              </w:rPr>
            </w:pPr>
            <w:r>
              <w:rPr>
                <w:rFonts w:hint="eastAsia" w:ascii="Times New Roman" w:hAnsi="Times New Roman" w:eastAsia="宋体" w:cs="Times New Roman"/>
                <w:bCs/>
                <w:color w:val="auto"/>
                <w:sz w:val="24"/>
              </w:rPr>
              <w:t>商品混凝土生产线</w:t>
            </w:r>
            <w:r>
              <w:rPr>
                <w:rFonts w:ascii="Times New Roman" w:hAnsi="Times New Roman" w:eastAsia="宋体" w:cs="Times New Roman"/>
                <w:bCs/>
                <w:color w:val="auto"/>
                <w:sz w:val="24"/>
              </w:rPr>
              <w:t>共设置4个筒仓（水泥</w:t>
            </w:r>
            <w:r>
              <w:rPr>
                <w:rFonts w:hint="eastAsia" w:ascii="Times New Roman" w:hAnsi="Times New Roman" w:eastAsia="宋体" w:cs="Times New Roman"/>
                <w:bCs/>
                <w:color w:val="auto"/>
                <w:sz w:val="24"/>
                <w:lang w:val="en-US" w:eastAsia="zh-CN"/>
              </w:rPr>
              <w:t>筒仓2个、</w:t>
            </w:r>
            <w:r>
              <w:rPr>
                <w:rFonts w:ascii="Times New Roman" w:hAnsi="Times New Roman" w:eastAsia="宋体" w:cs="Times New Roman"/>
                <w:bCs/>
                <w:color w:val="auto"/>
                <w:sz w:val="24"/>
              </w:rPr>
              <w:t>粉煤灰</w:t>
            </w:r>
            <w:r>
              <w:rPr>
                <w:rFonts w:hint="eastAsia" w:ascii="Times New Roman" w:hAnsi="Times New Roman" w:eastAsia="宋体" w:cs="Times New Roman"/>
                <w:bCs/>
                <w:color w:val="auto"/>
                <w:sz w:val="24"/>
                <w:lang w:val="en-US" w:eastAsia="zh-CN"/>
              </w:rPr>
              <w:t>筒仓1个、矿粉筒仓1个</w:t>
            </w:r>
            <w:r>
              <w:rPr>
                <w:rFonts w:ascii="Times New Roman" w:hAnsi="Times New Roman" w:eastAsia="宋体" w:cs="Times New Roman"/>
                <w:bCs/>
                <w:color w:val="auto"/>
                <w:sz w:val="24"/>
              </w:rPr>
              <w:t>），水泥、粉煤灰</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矿粉</w:t>
            </w:r>
            <w:r>
              <w:rPr>
                <w:rFonts w:ascii="Times New Roman" w:hAnsi="Times New Roman" w:eastAsia="宋体" w:cs="Times New Roman"/>
                <w:bCs/>
                <w:color w:val="auto"/>
                <w:sz w:val="24"/>
              </w:rPr>
              <w:t>均采用密闭罐车运输，由于通过管道进入筒仓时进料口在筒仓下方，罐装车通过自带空压机将水泥、粉煤灰</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矿粉</w:t>
            </w:r>
            <w:r>
              <w:rPr>
                <w:rFonts w:ascii="Times New Roman" w:hAnsi="Times New Roman" w:eastAsia="宋体" w:cs="Times New Roman"/>
                <w:bCs/>
                <w:color w:val="auto"/>
                <w:sz w:val="24"/>
              </w:rPr>
              <w:t>送至筒仓，其筒仓内压力大于大气压，</w:t>
            </w:r>
            <w:r>
              <w:rPr>
                <w:color w:val="auto"/>
                <w:sz w:val="24"/>
                <w:szCs w:val="20"/>
              </w:rPr>
              <w:t>为了保持压力平衡，其仓顶排气口排气过程中将会有粉尘产生。</w:t>
            </w:r>
          </w:p>
          <w:p w14:paraId="24D46B37">
            <w:pPr>
              <w:snapToGrid w:val="0"/>
              <w:spacing w:line="360" w:lineRule="auto"/>
              <w:ind w:firstLine="480" w:firstLineChars="200"/>
              <w:rPr>
                <w:rFonts w:hint="eastAsia" w:eastAsia="宋体"/>
                <w:bCs/>
                <w:color w:val="auto"/>
                <w:sz w:val="24"/>
                <w:szCs w:val="20"/>
                <w:lang w:eastAsia="zh-CN"/>
              </w:rPr>
            </w:pPr>
            <w:r>
              <w:rPr>
                <w:rFonts w:hint="eastAsia"/>
                <w:color w:val="auto"/>
                <w:sz w:val="24"/>
                <w:szCs w:val="20"/>
              </w:rPr>
              <w:t>水泥、粉煤灰、矿粉</w:t>
            </w:r>
            <w:r>
              <w:rPr>
                <w:color w:val="auto"/>
                <w:sz w:val="24"/>
                <w:szCs w:val="20"/>
              </w:rPr>
              <w:t>筒仓均为</w:t>
            </w:r>
            <w:r>
              <w:rPr>
                <w:rFonts w:hint="eastAsia"/>
                <w:color w:val="auto"/>
                <w:sz w:val="24"/>
                <w:szCs w:val="20"/>
                <w:lang w:val="en-US" w:eastAsia="zh-CN"/>
              </w:rPr>
              <w:t>2</w:t>
            </w:r>
            <w:r>
              <w:rPr>
                <w:color w:val="auto"/>
                <w:sz w:val="24"/>
                <w:szCs w:val="20"/>
              </w:rPr>
              <w:t>00t，罐车量均按50t/车计，</w:t>
            </w:r>
            <w:r>
              <w:rPr>
                <w:bCs/>
                <w:color w:val="auto"/>
                <w:sz w:val="24"/>
                <w:szCs w:val="20"/>
              </w:rPr>
              <w:t>卸料速度约为1.2t/min，单车卸料时间为42min。</w:t>
            </w:r>
            <w:r>
              <w:rPr>
                <w:color w:val="auto"/>
                <w:sz w:val="24"/>
                <w:szCs w:val="20"/>
              </w:rPr>
              <w:t>水泥使用量为</w:t>
            </w:r>
            <w:r>
              <w:rPr>
                <w:rFonts w:hint="eastAsia"/>
                <w:color w:val="auto"/>
                <w:sz w:val="24"/>
                <w:szCs w:val="20"/>
              </w:rPr>
              <w:t>12400</w:t>
            </w:r>
            <w:r>
              <w:rPr>
                <w:color w:val="auto"/>
                <w:sz w:val="24"/>
                <w:szCs w:val="20"/>
              </w:rPr>
              <w:t>t/a，</w:t>
            </w:r>
            <w:r>
              <w:rPr>
                <w:bCs/>
                <w:color w:val="auto"/>
                <w:sz w:val="24"/>
                <w:szCs w:val="20"/>
              </w:rPr>
              <w:t>全年输送</w:t>
            </w:r>
            <w:r>
              <w:rPr>
                <w:rFonts w:hint="eastAsia"/>
                <w:bCs/>
                <w:color w:val="auto"/>
                <w:sz w:val="24"/>
                <w:szCs w:val="20"/>
                <w:lang w:val="en-US" w:eastAsia="zh-CN"/>
              </w:rPr>
              <w:t>248</w:t>
            </w:r>
            <w:r>
              <w:rPr>
                <w:bCs/>
                <w:color w:val="auto"/>
                <w:sz w:val="24"/>
                <w:szCs w:val="20"/>
              </w:rPr>
              <w:t>车次，则水泥筒仓粉尘全年的排放时间约为</w:t>
            </w:r>
            <w:r>
              <w:rPr>
                <w:rFonts w:hint="eastAsia"/>
                <w:bCs/>
                <w:color w:val="auto"/>
                <w:sz w:val="24"/>
                <w:szCs w:val="20"/>
                <w:lang w:val="en-US" w:eastAsia="zh-CN"/>
              </w:rPr>
              <w:t>173.6</w:t>
            </w:r>
            <w:r>
              <w:rPr>
                <w:bCs/>
                <w:color w:val="auto"/>
                <w:sz w:val="24"/>
                <w:szCs w:val="20"/>
              </w:rPr>
              <w:t>h</w:t>
            </w:r>
            <w:r>
              <w:rPr>
                <w:rFonts w:hint="eastAsia"/>
                <w:bCs/>
                <w:color w:val="auto"/>
                <w:sz w:val="24"/>
                <w:szCs w:val="20"/>
                <w:lang w:eastAsia="zh-CN"/>
              </w:rPr>
              <w:t>；</w:t>
            </w:r>
            <w:r>
              <w:rPr>
                <w:color w:val="auto"/>
                <w:sz w:val="24"/>
                <w:szCs w:val="20"/>
              </w:rPr>
              <w:t>粉煤灰使用量为</w:t>
            </w:r>
            <w:r>
              <w:rPr>
                <w:rFonts w:hint="eastAsia"/>
                <w:color w:val="auto"/>
                <w:sz w:val="24"/>
                <w:szCs w:val="20"/>
              </w:rPr>
              <w:t>3300</w:t>
            </w:r>
            <w:r>
              <w:rPr>
                <w:color w:val="auto"/>
                <w:sz w:val="24"/>
                <w:szCs w:val="20"/>
              </w:rPr>
              <w:t>t/a，</w:t>
            </w:r>
            <w:r>
              <w:rPr>
                <w:bCs/>
                <w:color w:val="auto"/>
                <w:sz w:val="24"/>
                <w:szCs w:val="20"/>
              </w:rPr>
              <w:t>全年输送</w:t>
            </w:r>
            <w:r>
              <w:rPr>
                <w:rFonts w:hint="eastAsia"/>
                <w:bCs/>
                <w:color w:val="auto"/>
                <w:sz w:val="24"/>
                <w:szCs w:val="20"/>
                <w:lang w:val="en-US" w:eastAsia="zh-CN"/>
              </w:rPr>
              <w:t>66</w:t>
            </w:r>
            <w:r>
              <w:rPr>
                <w:bCs/>
                <w:color w:val="auto"/>
                <w:sz w:val="24"/>
                <w:szCs w:val="20"/>
              </w:rPr>
              <w:t>车次，则粉煤灰筒仓粉尘全年的排放时间约为</w:t>
            </w:r>
            <w:r>
              <w:rPr>
                <w:rFonts w:hint="eastAsia"/>
                <w:bCs/>
                <w:color w:val="auto"/>
                <w:sz w:val="24"/>
                <w:szCs w:val="20"/>
                <w:lang w:val="en-US" w:eastAsia="zh-CN"/>
              </w:rPr>
              <w:t>46.2</w:t>
            </w:r>
            <w:r>
              <w:rPr>
                <w:bCs/>
                <w:color w:val="auto"/>
                <w:sz w:val="24"/>
                <w:szCs w:val="20"/>
              </w:rPr>
              <w:t>h</w:t>
            </w:r>
            <w:r>
              <w:rPr>
                <w:rFonts w:hint="eastAsia"/>
                <w:bCs/>
                <w:color w:val="auto"/>
                <w:sz w:val="24"/>
                <w:szCs w:val="20"/>
                <w:lang w:eastAsia="zh-CN"/>
              </w:rPr>
              <w:t>；</w:t>
            </w:r>
            <w:r>
              <w:rPr>
                <w:rFonts w:hint="eastAsia" w:ascii="Times New Roman" w:hAnsi="Times New Roman" w:eastAsia="宋体" w:cs="Times New Roman"/>
                <w:bCs/>
                <w:color w:val="auto"/>
                <w:sz w:val="24"/>
                <w:lang w:val="en-US" w:eastAsia="zh-CN"/>
              </w:rPr>
              <w:t>矿粉</w:t>
            </w:r>
            <w:r>
              <w:rPr>
                <w:color w:val="auto"/>
                <w:sz w:val="24"/>
                <w:szCs w:val="20"/>
              </w:rPr>
              <w:t>使用量为</w:t>
            </w:r>
            <w:r>
              <w:rPr>
                <w:rFonts w:hint="eastAsia"/>
                <w:color w:val="auto"/>
                <w:sz w:val="24"/>
                <w:szCs w:val="20"/>
                <w:lang w:val="en-US" w:eastAsia="zh-CN"/>
              </w:rPr>
              <w:t>11</w:t>
            </w:r>
            <w:r>
              <w:rPr>
                <w:rFonts w:hint="eastAsia"/>
                <w:color w:val="auto"/>
                <w:sz w:val="24"/>
                <w:szCs w:val="20"/>
              </w:rPr>
              <w:t>00</w:t>
            </w:r>
            <w:r>
              <w:rPr>
                <w:color w:val="auto"/>
                <w:sz w:val="24"/>
                <w:szCs w:val="20"/>
              </w:rPr>
              <w:t>t/a，</w:t>
            </w:r>
            <w:r>
              <w:rPr>
                <w:bCs/>
                <w:color w:val="auto"/>
                <w:sz w:val="24"/>
                <w:szCs w:val="20"/>
              </w:rPr>
              <w:t>全年输送</w:t>
            </w:r>
            <w:r>
              <w:rPr>
                <w:rFonts w:hint="eastAsia"/>
                <w:bCs/>
                <w:color w:val="auto"/>
                <w:sz w:val="24"/>
                <w:szCs w:val="20"/>
                <w:lang w:val="en-US" w:eastAsia="zh-CN"/>
              </w:rPr>
              <w:t>22</w:t>
            </w:r>
            <w:r>
              <w:rPr>
                <w:bCs/>
                <w:color w:val="auto"/>
                <w:sz w:val="24"/>
                <w:szCs w:val="20"/>
              </w:rPr>
              <w:t>车次，则</w:t>
            </w:r>
            <w:r>
              <w:rPr>
                <w:rFonts w:hint="eastAsia" w:ascii="Times New Roman" w:hAnsi="Times New Roman" w:eastAsia="宋体" w:cs="Times New Roman"/>
                <w:bCs/>
                <w:color w:val="auto"/>
                <w:sz w:val="24"/>
                <w:lang w:val="en-US" w:eastAsia="zh-CN"/>
              </w:rPr>
              <w:t>矿粉</w:t>
            </w:r>
            <w:r>
              <w:rPr>
                <w:bCs/>
                <w:color w:val="auto"/>
                <w:sz w:val="24"/>
                <w:szCs w:val="20"/>
              </w:rPr>
              <w:t>筒仓粉尘全年的排放时间约为</w:t>
            </w:r>
            <w:r>
              <w:rPr>
                <w:rFonts w:hint="eastAsia"/>
                <w:bCs/>
                <w:color w:val="auto"/>
                <w:sz w:val="24"/>
                <w:szCs w:val="20"/>
                <w:lang w:val="en-US" w:eastAsia="zh-CN"/>
              </w:rPr>
              <w:t>15.4</w:t>
            </w:r>
            <w:r>
              <w:rPr>
                <w:bCs/>
                <w:color w:val="auto"/>
                <w:sz w:val="24"/>
                <w:szCs w:val="20"/>
              </w:rPr>
              <w:t>h</w:t>
            </w:r>
            <w:r>
              <w:rPr>
                <w:rFonts w:hint="eastAsia"/>
                <w:bCs/>
                <w:color w:val="auto"/>
                <w:sz w:val="24"/>
                <w:szCs w:val="20"/>
                <w:lang w:eastAsia="zh-CN"/>
              </w:rPr>
              <w:t>。</w:t>
            </w:r>
          </w:p>
          <w:p w14:paraId="53A9643A">
            <w:pPr>
              <w:snapToGrid w:val="0"/>
              <w:spacing w:line="360" w:lineRule="auto"/>
              <w:ind w:firstLine="480" w:firstLineChars="200"/>
              <w:rPr>
                <w:color w:val="auto"/>
                <w:sz w:val="24"/>
                <w:shd w:val="clear" w:color="auto" w:fill="FFFFFF"/>
              </w:rPr>
            </w:pPr>
            <w:r>
              <w:rPr>
                <w:color w:val="auto"/>
                <w:sz w:val="24"/>
              </w:rPr>
              <w:t>参照《排放源统计调查产排污核算方法和系数手册  3021水泥制品制造（含3022砼结构构件制造、3029其他水泥类似制品制造）行业系数手册》</w:t>
            </w:r>
            <w:r>
              <w:rPr>
                <w:color w:val="auto"/>
                <w:sz w:val="24"/>
                <w:shd w:val="clear" w:color="auto" w:fill="FFFFFF"/>
              </w:rPr>
              <w:t>。</w:t>
            </w:r>
          </w:p>
          <w:p w14:paraId="3479A435">
            <w:pPr>
              <w:tabs>
                <w:tab w:val="left" w:pos="900"/>
              </w:tabs>
              <w:jc w:val="center"/>
              <w:rPr>
                <w:b/>
                <w:color w:val="auto"/>
                <w:szCs w:val="21"/>
                <w:lang w:bidi="ar"/>
              </w:rPr>
            </w:pPr>
            <w:r>
              <w:rPr>
                <w:b/>
                <w:color w:val="auto"/>
                <w:szCs w:val="21"/>
                <w:lang w:bidi="ar"/>
              </w:rPr>
              <w:t>表4-3  3021水泥制品制造（含3022砼结构构件、3029其他水泥类似制品制造）行业</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1"/>
              <w:gridCol w:w="1292"/>
              <w:gridCol w:w="854"/>
              <w:gridCol w:w="1198"/>
              <w:gridCol w:w="1370"/>
              <w:gridCol w:w="1152"/>
              <w:gridCol w:w="1318"/>
              <w:gridCol w:w="1210"/>
            </w:tblGrid>
            <w:tr w14:paraId="08CEAE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90" w:type="pct"/>
                  <w:noWrap w:val="0"/>
                  <w:vAlign w:val="center"/>
                </w:tcPr>
                <w:p w14:paraId="73B00AFC">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工段</w:t>
                  </w:r>
                </w:p>
                <w:p w14:paraId="770E9659">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名称</w:t>
                  </w:r>
                </w:p>
              </w:tc>
              <w:tc>
                <w:tcPr>
                  <w:tcW w:w="694" w:type="pct"/>
                  <w:noWrap w:val="0"/>
                  <w:vAlign w:val="center"/>
                </w:tcPr>
                <w:p w14:paraId="1FC6882C">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工艺名称</w:t>
                  </w:r>
                </w:p>
              </w:tc>
              <w:tc>
                <w:tcPr>
                  <w:tcW w:w="459" w:type="pct"/>
                  <w:noWrap w:val="0"/>
                  <w:vAlign w:val="center"/>
                </w:tcPr>
                <w:p w14:paraId="7F6B69F2">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规模等级</w:t>
                  </w:r>
                </w:p>
              </w:tc>
              <w:tc>
                <w:tcPr>
                  <w:tcW w:w="644" w:type="pct"/>
                  <w:noWrap w:val="0"/>
                  <w:vAlign w:val="center"/>
                </w:tcPr>
                <w:p w14:paraId="1C6D6747">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污染物</w:t>
                  </w:r>
                </w:p>
                <w:p w14:paraId="1F518219">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指标</w:t>
                  </w:r>
                </w:p>
              </w:tc>
              <w:tc>
                <w:tcPr>
                  <w:tcW w:w="736" w:type="pct"/>
                  <w:noWrap w:val="0"/>
                  <w:vAlign w:val="center"/>
                </w:tcPr>
                <w:p w14:paraId="354DB3C9">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单位</w:t>
                  </w:r>
                </w:p>
              </w:tc>
              <w:tc>
                <w:tcPr>
                  <w:tcW w:w="619" w:type="pct"/>
                  <w:noWrap w:val="0"/>
                  <w:vAlign w:val="center"/>
                </w:tcPr>
                <w:p w14:paraId="0A786737">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产污</w:t>
                  </w:r>
                </w:p>
                <w:p w14:paraId="1EAB28B2">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系数</w:t>
                  </w:r>
                </w:p>
              </w:tc>
              <w:tc>
                <w:tcPr>
                  <w:tcW w:w="708" w:type="pct"/>
                  <w:noWrap w:val="0"/>
                  <w:vAlign w:val="center"/>
                </w:tcPr>
                <w:p w14:paraId="21FC4A0C">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末端治理技术名称</w:t>
                  </w:r>
                </w:p>
              </w:tc>
              <w:tc>
                <w:tcPr>
                  <w:tcW w:w="650" w:type="pct"/>
                  <w:noWrap w:val="0"/>
                  <w:vAlign w:val="center"/>
                </w:tcPr>
                <w:p w14:paraId="4BF8DAF7">
                  <w:pPr>
                    <w:keepNext w:val="0"/>
                    <w:keepLines w:val="0"/>
                    <w:pageBreakBefore w:val="0"/>
                    <w:widowControl w:val="0"/>
                    <w:kinsoku/>
                    <w:wordWrap/>
                    <w:overflowPunct/>
                    <w:topLinePunct w:val="0"/>
                    <w:autoSpaceDE/>
                    <w:bidi w:val="0"/>
                    <w:adjustRightInd/>
                    <w:snapToGrid/>
                    <w:ind w:firstLine="0" w:firstLineChars="0"/>
                    <w:jc w:val="center"/>
                    <w:textAlignment w:val="auto"/>
                    <w:rPr>
                      <w:b/>
                      <w:bCs w:val="0"/>
                      <w:color w:val="auto"/>
                      <w:szCs w:val="21"/>
                    </w:rPr>
                  </w:pPr>
                  <w:r>
                    <w:rPr>
                      <w:b/>
                      <w:bCs w:val="0"/>
                      <w:color w:val="auto"/>
                      <w:szCs w:val="21"/>
                    </w:rPr>
                    <w:t>末端治理技术效率（%）</w:t>
                  </w:r>
                </w:p>
              </w:tc>
            </w:tr>
            <w:tr w14:paraId="650FA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90" w:type="pct"/>
                  <w:vMerge w:val="restart"/>
                  <w:noWrap w:val="0"/>
                  <w:vAlign w:val="center"/>
                </w:tcPr>
                <w:p w14:paraId="6DC83087">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shd w:val="clear" w:color="auto" w:fill="FFFFFF"/>
                    </w:rPr>
                  </w:pPr>
                  <w:r>
                    <w:rPr>
                      <w:color w:val="auto"/>
                      <w:szCs w:val="21"/>
                      <w:shd w:val="clear" w:color="auto" w:fill="FFFFFF"/>
                    </w:rPr>
                    <w:t>物料输送</w:t>
                  </w:r>
                </w:p>
              </w:tc>
              <w:tc>
                <w:tcPr>
                  <w:tcW w:w="694" w:type="pct"/>
                  <w:vMerge w:val="restart"/>
                  <w:noWrap w:val="0"/>
                  <w:vAlign w:val="center"/>
                </w:tcPr>
                <w:p w14:paraId="49CC4356">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shd w:val="clear" w:color="auto" w:fill="FFFFFF"/>
                    </w:rPr>
                  </w:pPr>
                  <w:r>
                    <w:rPr>
                      <w:color w:val="auto"/>
                      <w:szCs w:val="21"/>
                      <w:shd w:val="clear" w:color="auto" w:fill="FFFFFF"/>
                    </w:rPr>
                    <w:t>物料输送储存</w:t>
                  </w:r>
                </w:p>
              </w:tc>
              <w:tc>
                <w:tcPr>
                  <w:tcW w:w="459" w:type="pct"/>
                  <w:vMerge w:val="restart"/>
                  <w:noWrap w:val="0"/>
                  <w:vAlign w:val="center"/>
                </w:tcPr>
                <w:p w14:paraId="284AC1C5">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r>
                    <w:rPr>
                      <w:color w:val="auto"/>
                      <w:szCs w:val="21"/>
                    </w:rPr>
                    <w:t>所有规模</w:t>
                  </w:r>
                </w:p>
              </w:tc>
              <w:tc>
                <w:tcPr>
                  <w:tcW w:w="644" w:type="pct"/>
                  <w:noWrap w:val="0"/>
                  <w:vAlign w:val="center"/>
                </w:tcPr>
                <w:p w14:paraId="465790BB">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废气量</w:t>
                  </w:r>
                </w:p>
              </w:tc>
              <w:tc>
                <w:tcPr>
                  <w:tcW w:w="736" w:type="pct"/>
                  <w:noWrap w:val="0"/>
                  <w:vAlign w:val="center"/>
                </w:tcPr>
                <w:p w14:paraId="4422A617">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rPr>
                    <w:t>m</w:t>
                  </w:r>
                  <w:r>
                    <w:rPr>
                      <w:color w:val="auto"/>
                      <w:szCs w:val="21"/>
                      <w:vertAlign w:val="superscript"/>
                    </w:rPr>
                    <w:t>3</w:t>
                  </w:r>
                  <w:r>
                    <w:rPr>
                      <w:color w:val="auto"/>
                      <w:szCs w:val="21"/>
                    </w:rPr>
                    <w:t>/t-产品</w:t>
                  </w:r>
                </w:p>
              </w:tc>
              <w:tc>
                <w:tcPr>
                  <w:tcW w:w="619" w:type="pct"/>
                  <w:noWrap w:val="0"/>
                  <w:vAlign w:val="center"/>
                </w:tcPr>
                <w:p w14:paraId="1642C609">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22</w:t>
                  </w:r>
                </w:p>
              </w:tc>
              <w:tc>
                <w:tcPr>
                  <w:tcW w:w="708" w:type="pct"/>
                  <w:vMerge w:val="restart"/>
                  <w:noWrap w:val="0"/>
                  <w:vAlign w:val="center"/>
                </w:tcPr>
                <w:p w14:paraId="65C93391">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r>
                    <w:rPr>
                      <w:color w:val="auto"/>
                      <w:szCs w:val="21"/>
                    </w:rPr>
                    <w:t>袋式除尘</w:t>
                  </w:r>
                </w:p>
              </w:tc>
              <w:tc>
                <w:tcPr>
                  <w:tcW w:w="650" w:type="pct"/>
                  <w:vMerge w:val="restart"/>
                  <w:noWrap w:val="0"/>
                  <w:vAlign w:val="center"/>
                </w:tcPr>
                <w:p w14:paraId="723CE083">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r>
                    <w:rPr>
                      <w:color w:val="auto"/>
                      <w:szCs w:val="21"/>
                    </w:rPr>
                    <w:t>99.7</w:t>
                  </w:r>
                </w:p>
              </w:tc>
            </w:tr>
            <w:tr w14:paraId="142B0D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90" w:type="pct"/>
                  <w:vMerge w:val="continue"/>
                  <w:noWrap w:val="0"/>
                  <w:vAlign w:val="center"/>
                </w:tcPr>
                <w:p w14:paraId="08565E57">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p>
              </w:tc>
              <w:tc>
                <w:tcPr>
                  <w:tcW w:w="694" w:type="pct"/>
                  <w:vMerge w:val="continue"/>
                  <w:noWrap w:val="0"/>
                  <w:vAlign w:val="center"/>
                </w:tcPr>
                <w:p w14:paraId="7AB03576">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p>
              </w:tc>
              <w:tc>
                <w:tcPr>
                  <w:tcW w:w="459" w:type="pct"/>
                  <w:vMerge w:val="continue"/>
                  <w:noWrap w:val="0"/>
                  <w:vAlign w:val="center"/>
                </w:tcPr>
                <w:p w14:paraId="310968D9">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p>
              </w:tc>
              <w:tc>
                <w:tcPr>
                  <w:tcW w:w="644" w:type="pct"/>
                  <w:noWrap w:val="0"/>
                  <w:vAlign w:val="center"/>
                </w:tcPr>
                <w:p w14:paraId="485E4031">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颗粒物</w:t>
                  </w:r>
                </w:p>
              </w:tc>
              <w:tc>
                <w:tcPr>
                  <w:tcW w:w="736" w:type="pct"/>
                  <w:noWrap w:val="0"/>
                  <w:vAlign w:val="center"/>
                </w:tcPr>
                <w:p w14:paraId="1A7514A4">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rPr>
                    <w:t>kg/t-产品</w:t>
                  </w:r>
                </w:p>
              </w:tc>
              <w:tc>
                <w:tcPr>
                  <w:tcW w:w="619" w:type="pct"/>
                  <w:noWrap w:val="0"/>
                  <w:vAlign w:val="center"/>
                </w:tcPr>
                <w:p w14:paraId="01123F28">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0.12</w:t>
                  </w:r>
                </w:p>
              </w:tc>
              <w:tc>
                <w:tcPr>
                  <w:tcW w:w="708" w:type="pct"/>
                  <w:vMerge w:val="continue"/>
                  <w:noWrap w:val="0"/>
                  <w:vAlign w:val="center"/>
                </w:tcPr>
                <w:p w14:paraId="0AB7CCBD">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p>
              </w:tc>
              <w:tc>
                <w:tcPr>
                  <w:tcW w:w="650" w:type="pct"/>
                  <w:vMerge w:val="continue"/>
                  <w:noWrap w:val="0"/>
                  <w:vAlign w:val="center"/>
                </w:tcPr>
                <w:p w14:paraId="0AEEF35B">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p>
              </w:tc>
            </w:tr>
          </w:tbl>
          <w:p w14:paraId="71813BF5">
            <w:pPr>
              <w:widowControl/>
              <w:spacing w:line="360" w:lineRule="auto"/>
              <w:ind w:firstLine="480" w:firstLineChars="200"/>
              <w:jc w:val="both"/>
              <w:rPr>
                <w:rFonts w:ascii="Times New Roman" w:hAnsi="Times New Roman" w:eastAsia="宋体" w:cs="Times New Roman"/>
                <w:color w:val="auto"/>
                <w:sz w:val="24"/>
              </w:rPr>
            </w:pPr>
            <w:r>
              <w:rPr>
                <w:rFonts w:hint="eastAsia" w:ascii="Times New Roman" w:hAnsi="Times New Roman" w:eastAsia="宋体" w:cs="Times New Roman"/>
                <w:color w:val="auto"/>
                <w:sz w:val="24"/>
              </w:rPr>
              <w:t>水泥、粉煤灰、矿粉</w:t>
            </w:r>
            <w:r>
              <w:rPr>
                <w:rFonts w:ascii="Times New Roman" w:hAnsi="Times New Roman" w:eastAsia="宋体" w:cs="Times New Roman"/>
                <w:color w:val="auto"/>
                <w:sz w:val="24"/>
              </w:rPr>
              <w:t>筒仓顶部均设置脉冲布袋除尘器，仓顶除尘器集气效率按100%，除尘处理效率按99.7%计；算得</w:t>
            </w:r>
            <w:r>
              <w:rPr>
                <w:rFonts w:hint="eastAsia" w:ascii="Times New Roman" w:hAnsi="Times New Roman" w:eastAsia="宋体" w:cs="Times New Roman"/>
                <w:color w:val="auto"/>
                <w:sz w:val="24"/>
              </w:rPr>
              <w:t>水泥、粉煤灰、矿粉</w:t>
            </w:r>
            <w:r>
              <w:rPr>
                <w:rFonts w:ascii="Times New Roman" w:hAnsi="Times New Roman" w:eastAsia="宋体" w:cs="Times New Roman"/>
                <w:color w:val="auto"/>
                <w:sz w:val="24"/>
              </w:rPr>
              <w:t>筒仓仓顶粉尘产生浓度均为5454.55mg/m</w:t>
            </w:r>
            <w:r>
              <w:rPr>
                <w:rFonts w:ascii="Times New Roman" w:hAnsi="Times New Roman" w:eastAsia="宋体" w:cs="Times New Roman"/>
                <w:color w:val="auto"/>
                <w:sz w:val="24"/>
                <w:vertAlign w:val="superscript"/>
              </w:rPr>
              <w:t>3</w:t>
            </w:r>
            <w:r>
              <w:rPr>
                <w:rFonts w:ascii="Times New Roman" w:hAnsi="Times New Roman" w:eastAsia="宋体" w:cs="Times New Roman"/>
                <w:color w:val="auto"/>
                <w:sz w:val="24"/>
              </w:rPr>
              <w:t>，产生量均为</w:t>
            </w:r>
            <w:r>
              <w:rPr>
                <w:rFonts w:hint="eastAsia" w:ascii="Times New Roman" w:hAnsi="Times New Roman" w:eastAsia="宋体" w:cs="Times New Roman"/>
                <w:color w:val="auto"/>
                <w:sz w:val="24"/>
                <w:lang w:val="en-US" w:eastAsia="zh-CN"/>
              </w:rPr>
              <w:t>12</w:t>
            </w:r>
            <w:r>
              <w:rPr>
                <w:rFonts w:ascii="Times New Roman" w:hAnsi="Times New Roman" w:eastAsia="宋体" w:cs="Times New Roman"/>
                <w:color w:val="auto"/>
                <w:sz w:val="24"/>
              </w:rPr>
              <w:t>t/a，粉尘排放浓度均为16.36mg/m</w:t>
            </w:r>
            <w:r>
              <w:rPr>
                <w:rFonts w:ascii="Times New Roman" w:hAnsi="Times New Roman" w:eastAsia="宋体" w:cs="Times New Roman"/>
                <w:color w:val="auto"/>
                <w:sz w:val="24"/>
                <w:vertAlign w:val="superscript"/>
              </w:rPr>
              <w:t>3</w:t>
            </w:r>
            <w:r>
              <w:rPr>
                <w:rFonts w:ascii="Times New Roman" w:hAnsi="Times New Roman" w:eastAsia="宋体" w:cs="Times New Roman"/>
                <w:color w:val="auto"/>
                <w:sz w:val="24"/>
              </w:rPr>
              <w:t>，排放量均为0.03</w:t>
            </w:r>
            <w:r>
              <w:rPr>
                <w:rFonts w:hint="eastAsia" w:ascii="Times New Roman" w:hAnsi="Times New Roman" w:eastAsia="宋体" w:cs="Times New Roman"/>
                <w:color w:val="auto"/>
                <w:sz w:val="24"/>
                <w:lang w:val="en-US" w:eastAsia="zh-CN"/>
              </w:rPr>
              <w:t>6</w:t>
            </w:r>
            <w:r>
              <w:rPr>
                <w:rFonts w:ascii="Times New Roman" w:hAnsi="Times New Roman" w:eastAsia="宋体" w:cs="Times New Roman"/>
                <w:color w:val="auto"/>
                <w:sz w:val="24"/>
              </w:rPr>
              <w:t>t/a。</w:t>
            </w:r>
          </w:p>
          <w:p w14:paraId="7D7C95E1">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2生产投料粉尘</w:t>
            </w:r>
          </w:p>
          <w:p w14:paraId="1D2AFD73">
            <w:pPr>
              <w:widowControl/>
              <w:spacing w:line="360" w:lineRule="auto"/>
              <w:ind w:firstLine="480" w:firstLineChars="200"/>
              <w:jc w:val="both"/>
              <w:rPr>
                <w:rFonts w:ascii="Times New Roman" w:hAnsi="Times New Roman" w:eastAsia="宋体" w:cs="Times New Roman"/>
                <w:color w:val="auto"/>
                <w:sz w:val="24"/>
              </w:rPr>
            </w:pPr>
            <w:r>
              <w:rPr>
                <w:rFonts w:hint="eastAsia" w:cs="Times New Roman"/>
                <w:color w:val="auto"/>
                <w:sz w:val="24"/>
                <w:lang w:eastAsia="zh-CN"/>
              </w:rPr>
              <w:t>生产建设</w:t>
            </w:r>
            <w:r>
              <w:rPr>
                <w:rFonts w:ascii="Times New Roman" w:hAnsi="Times New Roman" w:eastAsia="宋体" w:cs="Times New Roman"/>
                <w:color w:val="auto"/>
                <w:sz w:val="24"/>
              </w:rPr>
              <w:t>1台搅拌机，各物料投料过程会产生粉尘，配料搅拌采用一体式密闭配料搅拌机，加水进行密闭配料搅拌，搅拌过程中产尘量极小，忽略不计，投料粉尘系数参照《排放源统计调查产排污核算方法和系数手册  3021水泥制品制造（含3022砼结构构件制造、3029其他水泥类似制品制造）行业系数手册》。</w:t>
            </w:r>
          </w:p>
          <w:p w14:paraId="21F856D2">
            <w:pPr>
              <w:tabs>
                <w:tab w:val="left" w:pos="900"/>
              </w:tabs>
              <w:jc w:val="center"/>
              <w:rPr>
                <w:b/>
                <w:color w:val="auto"/>
                <w:szCs w:val="21"/>
                <w:lang w:bidi="ar"/>
              </w:rPr>
            </w:pPr>
            <w:r>
              <w:rPr>
                <w:b/>
                <w:color w:val="auto"/>
                <w:szCs w:val="21"/>
                <w:lang w:bidi="ar"/>
              </w:rPr>
              <w:t>表4-4  3021水泥制品制造（含3022砼结构构件、3029其他水泥类似制品制造）行业</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463"/>
              <w:gridCol w:w="1301"/>
              <w:gridCol w:w="1143"/>
              <w:gridCol w:w="850"/>
              <w:gridCol w:w="968"/>
              <w:gridCol w:w="1120"/>
              <w:gridCol w:w="1372"/>
            </w:tblGrid>
            <w:tr w14:paraId="6C6E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85" w:type="pct"/>
                  <w:noWrap w:val="0"/>
                  <w:vAlign w:val="center"/>
                </w:tcPr>
                <w:p w14:paraId="3FA0D77D">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工段</w:t>
                  </w:r>
                </w:p>
                <w:p w14:paraId="41EEF34F">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名称</w:t>
                  </w:r>
                </w:p>
              </w:tc>
              <w:tc>
                <w:tcPr>
                  <w:tcW w:w="786" w:type="pct"/>
                  <w:noWrap w:val="0"/>
                  <w:vAlign w:val="center"/>
                </w:tcPr>
                <w:p w14:paraId="77D30027">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原料名称</w:t>
                  </w:r>
                </w:p>
              </w:tc>
              <w:tc>
                <w:tcPr>
                  <w:tcW w:w="699" w:type="pct"/>
                  <w:noWrap w:val="0"/>
                  <w:vAlign w:val="center"/>
                </w:tcPr>
                <w:p w14:paraId="19B96E79">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工艺名称</w:t>
                  </w:r>
                </w:p>
              </w:tc>
              <w:tc>
                <w:tcPr>
                  <w:tcW w:w="614" w:type="pct"/>
                  <w:noWrap w:val="0"/>
                  <w:vAlign w:val="center"/>
                </w:tcPr>
                <w:p w14:paraId="38CBC2CB">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污染物</w:t>
                  </w:r>
                </w:p>
                <w:p w14:paraId="1C943317">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指标</w:t>
                  </w:r>
                </w:p>
              </w:tc>
              <w:tc>
                <w:tcPr>
                  <w:tcW w:w="457" w:type="pct"/>
                  <w:noWrap w:val="0"/>
                  <w:vAlign w:val="center"/>
                </w:tcPr>
                <w:p w14:paraId="729D3BDB">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系数单位</w:t>
                  </w:r>
                </w:p>
              </w:tc>
              <w:tc>
                <w:tcPr>
                  <w:tcW w:w="520" w:type="pct"/>
                  <w:noWrap w:val="0"/>
                  <w:vAlign w:val="center"/>
                </w:tcPr>
                <w:p w14:paraId="653755C7">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产污</w:t>
                  </w:r>
                </w:p>
                <w:p w14:paraId="24539933">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b/>
                      <w:bCs/>
                      <w:color w:val="auto"/>
                      <w:szCs w:val="21"/>
                      <w:shd w:val="clear" w:color="auto" w:fill="FFFFFF"/>
                    </w:rPr>
                  </w:pPr>
                  <w:r>
                    <w:rPr>
                      <w:b/>
                      <w:bCs/>
                      <w:color w:val="auto"/>
                      <w:szCs w:val="21"/>
                      <w:shd w:val="clear" w:color="auto" w:fill="FFFFFF"/>
                    </w:rPr>
                    <w:t>系数</w:t>
                  </w:r>
                </w:p>
              </w:tc>
              <w:tc>
                <w:tcPr>
                  <w:tcW w:w="602" w:type="pct"/>
                  <w:noWrap w:val="0"/>
                  <w:vAlign w:val="center"/>
                </w:tcPr>
                <w:p w14:paraId="3E286430">
                  <w:pPr>
                    <w:keepNext w:val="0"/>
                    <w:keepLines w:val="0"/>
                    <w:pageBreakBefore w:val="0"/>
                    <w:widowControl w:val="0"/>
                    <w:kinsoku/>
                    <w:wordWrap/>
                    <w:overflowPunct/>
                    <w:topLinePunct w:val="0"/>
                    <w:autoSpaceDE/>
                    <w:bidi w:val="0"/>
                    <w:adjustRightInd/>
                    <w:snapToGrid/>
                    <w:ind w:firstLine="0" w:firstLineChars="0"/>
                    <w:jc w:val="center"/>
                    <w:textAlignment w:val="auto"/>
                    <w:rPr>
                      <w:b/>
                      <w:bCs/>
                      <w:color w:val="auto"/>
                      <w:szCs w:val="21"/>
                    </w:rPr>
                  </w:pPr>
                  <w:r>
                    <w:rPr>
                      <w:b/>
                      <w:bCs/>
                      <w:color w:val="auto"/>
                      <w:szCs w:val="21"/>
                    </w:rPr>
                    <w:t>末端治理技术名称</w:t>
                  </w:r>
                </w:p>
              </w:tc>
              <w:tc>
                <w:tcPr>
                  <w:tcW w:w="738" w:type="pct"/>
                  <w:noWrap w:val="0"/>
                  <w:vAlign w:val="center"/>
                </w:tcPr>
                <w:p w14:paraId="50F3283E">
                  <w:pPr>
                    <w:keepNext w:val="0"/>
                    <w:keepLines w:val="0"/>
                    <w:pageBreakBefore w:val="0"/>
                    <w:widowControl w:val="0"/>
                    <w:kinsoku/>
                    <w:wordWrap/>
                    <w:overflowPunct/>
                    <w:topLinePunct w:val="0"/>
                    <w:autoSpaceDE/>
                    <w:bidi w:val="0"/>
                    <w:adjustRightInd/>
                    <w:snapToGrid/>
                    <w:ind w:firstLine="0" w:firstLineChars="0"/>
                    <w:jc w:val="center"/>
                    <w:textAlignment w:val="auto"/>
                    <w:rPr>
                      <w:b/>
                      <w:bCs/>
                      <w:color w:val="auto"/>
                      <w:szCs w:val="21"/>
                    </w:rPr>
                  </w:pPr>
                  <w:r>
                    <w:rPr>
                      <w:b/>
                      <w:bCs/>
                      <w:color w:val="auto"/>
                      <w:szCs w:val="21"/>
                    </w:rPr>
                    <w:t>末端治理技术效率（%）</w:t>
                  </w:r>
                </w:p>
              </w:tc>
            </w:tr>
            <w:tr w14:paraId="446E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Merge w:val="restart"/>
                  <w:noWrap w:val="0"/>
                  <w:vAlign w:val="center"/>
                </w:tcPr>
                <w:p w14:paraId="4DAC402B">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物料</w:t>
                  </w:r>
                </w:p>
                <w:p w14:paraId="023DB3B3">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搅拌</w:t>
                  </w:r>
                </w:p>
              </w:tc>
              <w:tc>
                <w:tcPr>
                  <w:tcW w:w="786" w:type="pct"/>
                  <w:vMerge w:val="restart"/>
                  <w:noWrap w:val="0"/>
                  <w:vAlign w:val="center"/>
                </w:tcPr>
                <w:p w14:paraId="6475E4F1">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水泥、砂子、石子等</w:t>
                  </w:r>
                </w:p>
              </w:tc>
              <w:tc>
                <w:tcPr>
                  <w:tcW w:w="699" w:type="pct"/>
                  <w:vMerge w:val="restart"/>
                  <w:noWrap w:val="0"/>
                  <w:vAlign w:val="center"/>
                </w:tcPr>
                <w:p w14:paraId="0A7CD308">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物料混合搅拌</w:t>
                  </w:r>
                </w:p>
              </w:tc>
              <w:tc>
                <w:tcPr>
                  <w:tcW w:w="614" w:type="pct"/>
                  <w:noWrap w:val="0"/>
                  <w:vAlign w:val="center"/>
                </w:tcPr>
                <w:p w14:paraId="192AAD9F">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废气量</w:t>
                  </w:r>
                </w:p>
              </w:tc>
              <w:tc>
                <w:tcPr>
                  <w:tcW w:w="457" w:type="pct"/>
                  <w:noWrap w:val="0"/>
                  <w:vAlign w:val="center"/>
                </w:tcPr>
                <w:p w14:paraId="57F24822">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rPr>
                    <w:t>m</w:t>
                  </w:r>
                  <w:r>
                    <w:rPr>
                      <w:color w:val="auto"/>
                      <w:szCs w:val="21"/>
                      <w:vertAlign w:val="superscript"/>
                    </w:rPr>
                    <w:t>3</w:t>
                  </w:r>
                  <w:r>
                    <w:rPr>
                      <w:color w:val="auto"/>
                      <w:szCs w:val="21"/>
                    </w:rPr>
                    <w:t>/t-产品</w:t>
                  </w:r>
                </w:p>
              </w:tc>
              <w:tc>
                <w:tcPr>
                  <w:tcW w:w="520" w:type="pct"/>
                  <w:noWrap w:val="0"/>
                  <w:vAlign w:val="center"/>
                </w:tcPr>
                <w:p w14:paraId="21686339">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25</w:t>
                  </w:r>
                </w:p>
              </w:tc>
              <w:tc>
                <w:tcPr>
                  <w:tcW w:w="602" w:type="pct"/>
                  <w:vMerge w:val="restart"/>
                  <w:noWrap w:val="0"/>
                  <w:vAlign w:val="center"/>
                </w:tcPr>
                <w:p w14:paraId="7519BAA2">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r>
                    <w:rPr>
                      <w:color w:val="auto"/>
                      <w:szCs w:val="21"/>
                    </w:rPr>
                    <w:t>袋式</w:t>
                  </w:r>
                </w:p>
                <w:p w14:paraId="4CF17C67">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r>
                    <w:rPr>
                      <w:color w:val="auto"/>
                      <w:szCs w:val="21"/>
                    </w:rPr>
                    <w:t>除尘</w:t>
                  </w:r>
                </w:p>
              </w:tc>
              <w:tc>
                <w:tcPr>
                  <w:tcW w:w="738" w:type="pct"/>
                  <w:vMerge w:val="restart"/>
                  <w:noWrap w:val="0"/>
                  <w:vAlign w:val="center"/>
                </w:tcPr>
                <w:p w14:paraId="2EB0D5C0">
                  <w:pPr>
                    <w:keepNext w:val="0"/>
                    <w:keepLines w:val="0"/>
                    <w:pageBreakBefore w:val="0"/>
                    <w:widowControl w:val="0"/>
                    <w:kinsoku/>
                    <w:wordWrap/>
                    <w:overflowPunct/>
                    <w:topLinePunct w:val="0"/>
                    <w:autoSpaceDE/>
                    <w:bidi w:val="0"/>
                    <w:adjustRightInd/>
                    <w:snapToGrid/>
                    <w:ind w:firstLine="0" w:firstLineChars="0"/>
                    <w:jc w:val="center"/>
                    <w:textAlignment w:val="auto"/>
                    <w:rPr>
                      <w:color w:val="auto"/>
                      <w:szCs w:val="21"/>
                    </w:rPr>
                  </w:pPr>
                  <w:r>
                    <w:rPr>
                      <w:color w:val="auto"/>
                      <w:szCs w:val="21"/>
                    </w:rPr>
                    <w:t>99.7</w:t>
                  </w:r>
                </w:p>
              </w:tc>
            </w:tr>
            <w:tr w14:paraId="5F3C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Merge w:val="continue"/>
                  <w:noWrap w:val="0"/>
                  <w:vAlign w:val="center"/>
                </w:tcPr>
                <w:p w14:paraId="58AE12E2">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p>
              </w:tc>
              <w:tc>
                <w:tcPr>
                  <w:tcW w:w="786" w:type="pct"/>
                  <w:vMerge w:val="continue"/>
                  <w:noWrap w:val="0"/>
                  <w:vAlign w:val="top"/>
                </w:tcPr>
                <w:p w14:paraId="7ACD160A">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p>
              </w:tc>
              <w:tc>
                <w:tcPr>
                  <w:tcW w:w="699" w:type="pct"/>
                  <w:vMerge w:val="continue"/>
                  <w:noWrap w:val="0"/>
                  <w:vAlign w:val="center"/>
                </w:tcPr>
                <w:p w14:paraId="68687C8E">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p>
              </w:tc>
              <w:tc>
                <w:tcPr>
                  <w:tcW w:w="614" w:type="pct"/>
                  <w:noWrap w:val="0"/>
                  <w:vAlign w:val="center"/>
                </w:tcPr>
                <w:p w14:paraId="2C226D1D">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颗粒物</w:t>
                  </w:r>
                </w:p>
              </w:tc>
              <w:tc>
                <w:tcPr>
                  <w:tcW w:w="457" w:type="pct"/>
                  <w:noWrap w:val="0"/>
                  <w:vAlign w:val="center"/>
                </w:tcPr>
                <w:p w14:paraId="78DCE95C">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rPr>
                    <w:t>kg/t-产品</w:t>
                  </w:r>
                </w:p>
              </w:tc>
              <w:tc>
                <w:tcPr>
                  <w:tcW w:w="520" w:type="pct"/>
                  <w:noWrap w:val="0"/>
                  <w:vAlign w:val="center"/>
                </w:tcPr>
                <w:p w14:paraId="1DD126DA">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r>
                    <w:rPr>
                      <w:color w:val="auto"/>
                      <w:szCs w:val="21"/>
                      <w:shd w:val="clear" w:color="auto" w:fill="FFFFFF"/>
                    </w:rPr>
                    <w:t>0.13</w:t>
                  </w:r>
                </w:p>
              </w:tc>
              <w:tc>
                <w:tcPr>
                  <w:tcW w:w="602" w:type="pct"/>
                  <w:vMerge w:val="continue"/>
                  <w:noWrap w:val="0"/>
                  <w:vAlign w:val="center"/>
                </w:tcPr>
                <w:p w14:paraId="79F91CC9">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p>
              </w:tc>
              <w:tc>
                <w:tcPr>
                  <w:tcW w:w="738" w:type="pct"/>
                  <w:vMerge w:val="continue"/>
                  <w:noWrap w:val="0"/>
                  <w:vAlign w:val="center"/>
                </w:tcPr>
                <w:p w14:paraId="0D6AE705">
                  <w:pPr>
                    <w:keepNext w:val="0"/>
                    <w:keepLines w:val="0"/>
                    <w:pageBreakBefore w:val="0"/>
                    <w:widowControl w:val="0"/>
                    <w:kinsoku/>
                    <w:wordWrap/>
                    <w:overflowPunct/>
                    <w:topLinePunct w:val="0"/>
                    <w:autoSpaceDE/>
                    <w:autoSpaceDN w:val="0"/>
                    <w:bidi w:val="0"/>
                    <w:adjustRightInd/>
                    <w:snapToGrid/>
                    <w:ind w:firstLine="0" w:firstLineChars="0"/>
                    <w:jc w:val="center"/>
                    <w:textAlignment w:val="auto"/>
                    <w:rPr>
                      <w:color w:val="auto"/>
                      <w:szCs w:val="21"/>
                      <w:shd w:val="clear" w:color="auto" w:fill="FFFFFF"/>
                    </w:rPr>
                  </w:pPr>
                </w:p>
              </w:tc>
            </w:tr>
          </w:tbl>
          <w:p w14:paraId="05D236A1">
            <w:pPr>
              <w:widowControl/>
              <w:spacing w:line="360" w:lineRule="auto"/>
              <w:ind w:firstLine="480" w:firstLineChars="200"/>
              <w:jc w:val="both"/>
              <w:rPr>
                <w:rFonts w:ascii="Times New Roman" w:hAnsi="Times New Roman" w:eastAsia="宋体" w:cs="Times New Roman"/>
                <w:bCs/>
                <w:color w:val="auto"/>
                <w:sz w:val="24"/>
              </w:rPr>
            </w:pPr>
            <w:r>
              <w:rPr>
                <w:rFonts w:ascii="Times New Roman" w:hAnsi="Times New Roman" w:eastAsia="宋体" w:cs="Times New Roman"/>
                <w:bCs/>
                <w:color w:val="auto"/>
                <w:sz w:val="24"/>
              </w:rPr>
              <w:t>据上表算得，搅拌机投料过程中粉尘产生量为</w:t>
            </w:r>
            <w:r>
              <w:rPr>
                <w:rFonts w:hint="eastAsia" w:ascii="Times New Roman" w:hAnsi="Times New Roman" w:eastAsia="宋体" w:cs="Times New Roman"/>
                <w:bCs/>
                <w:color w:val="auto"/>
                <w:sz w:val="24"/>
                <w:lang w:val="en-US" w:eastAsia="zh-CN"/>
              </w:rPr>
              <w:t>13</w:t>
            </w:r>
            <w:r>
              <w:rPr>
                <w:rFonts w:ascii="Times New Roman" w:hAnsi="Times New Roman" w:eastAsia="宋体" w:cs="Times New Roman"/>
                <w:bCs/>
                <w:color w:val="auto"/>
                <w:sz w:val="24"/>
              </w:rPr>
              <w:t>t/a，搅拌机投料口上方设置集气罩，收集效率按照90%计，经脉冲布袋除尘器处理，风量为</w:t>
            </w:r>
            <w:r>
              <w:rPr>
                <w:rFonts w:hint="eastAsia" w:ascii="Times New Roman" w:hAnsi="Times New Roman" w:eastAsia="宋体" w:cs="Times New Roman"/>
                <w:bCs/>
                <w:color w:val="auto"/>
                <w:sz w:val="24"/>
                <w:lang w:val="en-US" w:eastAsia="zh-CN"/>
              </w:rPr>
              <w:t>15</w:t>
            </w:r>
            <w:r>
              <w:rPr>
                <w:rFonts w:ascii="Times New Roman" w:hAnsi="Times New Roman" w:eastAsia="宋体" w:cs="Times New Roman"/>
                <w:bCs/>
                <w:color w:val="auto"/>
                <w:sz w:val="24"/>
              </w:rPr>
              <w:t>000m</w:t>
            </w:r>
            <w:r>
              <w:rPr>
                <w:rFonts w:ascii="Times New Roman" w:hAnsi="Times New Roman" w:eastAsia="宋体" w:cs="Times New Roman"/>
                <w:bCs/>
                <w:color w:val="auto"/>
                <w:sz w:val="24"/>
                <w:vertAlign w:val="superscript"/>
              </w:rPr>
              <w:t>3</w:t>
            </w:r>
            <w:r>
              <w:rPr>
                <w:rFonts w:ascii="Times New Roman" w:hAnsi="Times New Roman" w:eastAsia="宋体" w:cs="Times New Roman"/>
                <w:bCs/>
                <w:color w:val="auto"/>
                <w:sz w:val="24"/>
              </w:rPr>
              <w:t>/h，算得粉尘产生速率为</w:t>
            </w:r>
            <w:r>
              <w:rPr>
                <w:rFonts w:hint="eastAsia" w:ascii="Times New Roman" w:hAnsi="Times New Roman" w:eastAsia="宋体" w:cs="Times New Roman"/>
                <w:bCs/>
                <w:color w:val="auto"/>
                <w:sz w:val="24"/>
                <w:lang w:val="en-US" w:eastAsia="zh-CN"/>
              </w:rPr>
              <w:t>1.625</w:t>
            </w:r>
            <w:r>
              <w:rPr>
                <w:rFonts w:ascii="Times New Roman" w:hAnsi="Times New Roman" w:eastAsia="宋体" w:cs="Times New Roman"/>
                <w:bCs/>
                <w:color w:val="auto"/>
                <w:sz w:val="24"/>
              </w:rPr>
              <w:t>kg/h，产生浓度为</w:t>
            </w:r>
            <w:r>
              <w:rPr>
                <w:rFonts w:hint="eastAsia" w:ascii="Times New Roman" w:hAnsi="Times New Roman" w:eastAsia="宋体" w:cs="Times New Roman"/>
                <w:bCs/>
                <w:color w:val="auto"/>
                <w:sz w:val="24"/>
                <w:lang w:val="en-US" w:eastAsia="zh-CN"/>
              </w:rPr>
              <w:t>108.33</w:t>
            </w:r>
            <w:r>
              <w:rPr>
                <w:rFonts w:ascii="Times New Roman" w:hAnsi="Times New Roman" w:eastAsia="宋体" w:cs="Times New Roman"/>
                <w:bCs/>
                <w:color w:val="auto"/>
                <w:sz w:val="24"/>
              </w:rPr>
              <w:t>mg/m</w:t>
            </w:r>
            <w:r>
              <w:rPr>
                <w:rFonts w:ascii="Times New Roman" w:hAnsi="Times New Roman" w:eastAsia="宋体" w:cs="Times New Roman"/>
                <w:bCs/>
                <w:color w:val="auto"/>
                <w:sz w:val="24"/>
                <w:vertAlign w:val="superscript"/>
              </w:rPr>
              <w:t>3</w:t>
            </w:r>
            <w:r>
              <w:rPr>
                <w:rFonts w:ascii="Times New Roman" w:hAnsi="Times New Roman" w:eastAsia="宋体" w:cs="Times New Roman"/>
                <w:bCs/>
                <w:color w:val="auto"/>
                <w:sz w:val="24"/>
              </w:rPr>
              <w:t>；除尘效率以99.7%计，算得粉尘排放浓度为</w:t>
            </w:r>
            <w:r>
              <w:rPr>
                <w:rFonts w:hint="eastAsia" w:ascii="Times New Roman" w:hAnsi="Times New Roman" w:eastAsia="宋体" w:cs="Times New Roman"/>
                <w:bCs/>
                <w:color w:val="auto"/>
                <w:sz w:val="24"/>
                <w:lang w:val="en-US" w:eastAsia="zh-CN"/>
              </w:rPr>
              <w:t>0.325</w:t>
            </w:r>
            <w:r>
              <w:rPr>
                <w:rFonts w:ascii="Times New Roman" w:hAnsi="Times New Roman" w:eastAsia="宋体" w:cs="Times New Roman"/>
                <w:bCs/>
                <w:color w:val="auto"/>
                <w:sz w:val="24"/>
              </w:rPr>
              <w:t>mg/m</w:t>
            </w:r>
            <w:r>
              <w:rPr>
                <w:rFonts w:ascii="Times New Roman" w:hAnsi="Times New Roman" w:eastAsia="宋体" w:cs="Times New Roman"/>
                <w:bCs/>
                <w:color w:val="auto"/>
                <w:sz w:val="24"/>
                <w:vertAlign w:val="superscript"/>
              </w:rPr>
              <w:t>3</w:t>
            </w:r>
            <w:r>
              <w:rPr>
                <w:rFonts w:ascii="Times New Roman" w:hAnsi="Times New Roman" w:eastAsia="宋体" w:cs="Times New Roman"/>
                <w:bCs/>
                <w:color w:val="auto"/>
                <w:sz w:val="24"/>
              </w:rPr>
              <w:t>，</w:t>
            </w:r>
            <w:r>
              <w:rPr>
                <w:rFonts w:hint="eastAsia" w:ascii="Times New Roman" w:hAnsi="Times New Roman" w:eastAsia="宋体" w:cs="Times New Roman"/>
                <w:bCs/>
                <w:color w:val="auto"/>
                <w:sz w:val="24"/>
                <w:lang w:val="en-US" w:eastAsia="zh-CN"/>
              </w:rPr>
              <w:t>排放速率为0.0049</w:t>
            </w:r>
            <w:r>
              <w:rPr>
                <w:rFonts w:ascii="Times New Roman" w:hAnsi="Times New Roman" w:eastAsia="宋体" w:cs="Times New Roman"/>
                <w:bCs/>
                <w:color w:val="auto"/>
                <w:sz w:val="24"/>
              </w:rPr>
              <w:t>kg/h，排放量为</w:t>
            </w:r>
            <w:r>
              <w:rPr>
                <w:rFonts w:hint="eastAsia" w:ascii="Times New Roman" w:hAnsi="Times New Roman" w:eastAsia="宋体" w:cs="Times New Roman"/>
                <w:bCs/>
                <w:color w:val="auto"/>
                <w:sz w:val="24"/>
                <w:lang w:val="en-US" w:eastAsia="zh-CN"/>
              </w:rPr>
              <w:t>0.0351</w:t>
            </w:r>
            <w:r>
              <w:rPr>
                <w:rFonts w:ascii="Times New Roman" w:hAnsi="Times New Roman" w:eastAsia="宋体" w:cs="Times New Roman"/>
                <w:bCs/>
                <w:color w:val="auto"/>
                <w:sz w:val="24"/>
              </w:rPr>
              <w:t>t/a，处理后的粉尘车间无组织排放。</w:t>
            </w:r>
          </w:p>
          <w:p w14:paraId="5F8F4DEE">
            <w:pPr>
              <w:widowControl/>
              <w:spacing w:line="360" w:lineRule="auto"/>
              <w:ind w:firstLine="480" w:firstLineChars="200"/>
              <w:jc w:val="both"/>
              <w:rPr>
                <w:bCs/>
                <w:color w:val="auto"/>
                <w:sz w:val="24"/>
              </w:rPr>
            </w:pPr>
            <w:r>
              <w:rPr>
                <w:rFonts w:ascii="Times New Roman" w:hAnsi="Times New Roman" w:eastAsia="宋体" w:cs="Times New Roman"/>
                <w:bCs/>
                <w:color w:val="auto"/>
                <w:sz w:val="24"/>
              </w:rPr>
              <w:t>搅拌机设于封闭</w:t>
            </w:r>
            <w:r>
              <w:rPr>
                <w:rFonts w:hint="eastAsia" w:cs="Times New Roman"/>
                <w:bCs/>
                <w:color w:val="auto"/>
                <w:sz w:val="24"/>
                <w:lang w:eastAsia="zh-CN"/>
              </w:rPr>
              <w:t>拌合站</w:t>
            </w:r>
            <w:r>
              <w:rPr>
                <w:rFonts w:ascii="Times New Roman" w:hAnsi="Times New Roman" w:eastAsia="宋体" w:cs="Times New Roman"/>
                <w:bCs/>
                <w:color w:val="auto"/>
                <w:sz w:val="24"/>
              </w:rPr>
              <w:t>内，经处理后的粉尘及未经收集的粉尘产生量共为</w:t>
            </w:r>
            <w:r>
              <w:rPr>
                <w:rFonts w:hint="eastAsia" w:ascii="Times New Roman" w:hAnsi="Times New Roman" w:eastAsia="宋体" w:cs="Times New Roman"/>
                <w:bCs/>
                <w:color w:val="auto"/>
                <w:sz w:val="24"/>
                <w:lang w:val="en-US" w:eastAsia="zh-CN"/>
              </w:rPr>
              <w:t>1.3351</w:t>
            </w:r>
            <w:r>
              <w:rPr>
                <w:rFonts w:ascii="Times New Roman" w:hAnsi="Times New Roman" w:eastAsia="宋体" w:cs="Times New Roman"/>
                <w:bCs/>
                <w:color w:val="auto"/>
                <w:sz w:val="24"/>
              </w:rPr>
              <w:t>t/a，经封闭建筑阻隔和自然沉降作用后，60%沉降于</w:t>
            </w:r>
            <w:r>
              <w:rPr>
                <w:rFonts w:hint="eastAsia" w:cs="Times New Roman"/>
                <w:bCs/>
                <w:color w:val="auto"/>
                <w:sz w:val="24"/>
                <w:lang w:eastAsia="zh-CN"/>
              </w:rPr>
              <w:t>拌合站</w:t>
            </w:r>
            <w:r>
              <w:rPr>
                <w:rFonts w:ascii="Times New Roman" w:hAnsi="Times New Roman" w:eastAsia="宋体" w:cs="Times New Roman"/>
                <w:bCs/>
                <w:color w:val="auto"/>
                <w:sz w:val="24"/>
              </w:rPr>
              <w:t>内，其余40%（约</w:t>
            </w:r>
            <w:r>
              <w:rPr>
                <w:rFonts w:hint="eastAsia" w:ascii="Times New Roman" w:hAnsi="Times New Roman" w:eastAsia="宋体" w:cs="Times New Roman"/>
                <w:bCs/>
                <w:color w:val="auto"/>
                <w:sz w:val="24"/>
                <w:lang w:val="en-US" w:eastAsia="zh-CN"/>
              </w:rPr>
              <w:t>0.53</w:t>
            </w:r>
            <w:r>
              <w:rPr>
                <w:rFonts w:ascii="Times New Roman" w:hAnsi="Times New Roman" w:eastAsia="宋体" w:cs="Times New Roman"/>
                <w:bCs/>
                <w:color w:val="auto"/>
                <w:sz w:val="24"/>
              </w:rPr>
              <w:t>t/a）以无组织形式扩散进</w:t>
            </w:r>
            <w:r>
              <w:rPr>
                <w:bCs/>
                <w:color w:val="auto"/>
                <w:sz w:val="24"/>
              </w:rPr>
              <w:t>入大气环境。</w:t>
            </w:r>
          </w:p>
          <w:p w14:paraId="3BF35CC2">
            <w:pPr>
              <w:widowControl/>
              <w:spacing w:line="360" w:lineRule="auto"/>
              <w:ind w:firstLine="480" w:firstLineChars="200"/>
              <w:jc w:val="both"/>
              <w:rPr>
                <w:color w:val="auto"/>
                <w:sz w:val="24"/>
              </w:rPr>
            </w:pPr>
            <w:r>
              <w:rPr>
                <w:color w:val="auto"/>
                <w:sz w:val="24"/>
              </w:rPr>
              <w:t>3其他工序粉尘</w:t>
            </w:r>
          </w:p>
          <w:p w14:paraId="05C13CDB">
            <w:pPr>
              <w:widowControl/>
              <w:spacing w:line="360" w:lineRule="auto"/>
              <w:ind w:firstLine="480" w:firstLineChars="200"/>
              <w:jc w:val="both"/>
              <w:rPr>
                <w:rFonts w:ascii="Times New Roman" w:hAnsi="Times New Roman" w:eastAsia="宋体" w:cs="Times New Roman"/>
                <w:bCs/>
                <w:color w:val="auto"/>
                <w:sz w:val="24"/>
              </w:rPr>
            </w:pPr>
            <w:r>
              <w:rPr>
                <w:color w:val="auto"/>
                <w:sz w:val="24"/>
              </w:rPr>
              <w:t>本评价对</w:t>
            </w:r>
            <w:r>
              <w:rPr>
                <w:rFonts w:ascii="Times New Roman" w:hAnsi="Times New Roman" w:eastAsia="宋体" w:cs="Times New Roman"/>
                <w:bCs/>
                <w:color w:val="auto"/>
                <w:sz w:val="24"/>
              </w:rPr>
              <w:t>产生粉尘的其他工序（无组织）进行如下分析：</w:t>
            </w:r>
          </w:p>
          <w:p w14:paraId="5A1D901C">
            <w:pPr>
              <w:widowControl/>
              <w:spacing w:line="360" w:lineRule="auto"/>
              <w:ind w:firstLine="480" w:firstLineChars="200"/>
              <w:jc w:val="both"/>
              <w:rPr>
                <w:rFonts w:ascii="Times New Roman" w:hAnsi="Times New Roman" w:eastAsia="宋体" w:cs="Times New Roman"/>
                <w:bCs/>
                <w:color w:val="auto"/>
                <w:sz w:val="24"/>
              </w:rPr>
            </w:pPr>
            <w:r>
              <w:rPr>
                <w:rFonts w:ascii="Times New Roman" w:hAnsi="Times New Roman" w:eastAsia="宋体" w:cs="Times New Roman"/>
                <w:bCs/>
                <w:color w:val="auto"/>
                <w:sz w:val="24"/>
              </w:rPr>
              <w:t>生产线物料均由密闭皮带、密闭管道输送，皮带在输送过程匀速稳定，外泄粉尘量较小；生产过程中所有工序均密闭；故输送过程无组织粉尘较</w:t>
            </w:r>
            <w:r>
              <w:rPr>
                <w:rFonts w:hint="eastAsia" w:cs="Times New Roman"/>
                <w:bCs/>
                <w:color w:val="auto"/>
                <w:sz w:val="24"/>
                <w:lang w:eastAsia="zh-CN"/>
              </w:rPr>
              <w:t>少</w:t>
            </w:r>
            <w:r>
              <w:rPr>
                <w:rFonts w:ascii="Times New Roman" w:hAnsi="Times New Roman" w:eastAsia="宋体" w:cs="Times New Roman"/>
                <w:bCs/>
                <w:color w:val="auto"/>
                <w:sz w:val="24"/>
              </w:rPr>
              <w:t>。</w:t>
            </w:r>
          </w:p>
          <w:p w14:paraId="4E2B8012">
            <w:pPr>
              <w:widowControl/>
              <w:spacing w:line="360" w:lineRule="auto"/>
              <w:ind w:firstLine="480" w:firstLineChars="200"/>
              <w:jc w:val="both"/>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（3）食堂油烟</w:t>
            </w:r>
          </w:p>
          <w:p w14:paraId="323D152D">
            <w:pPr>
              <w:widowControl/>
              <w:spacing w:line="360" w:lineRule="auto"/>
              <w:ind w:firstLine="480" w:firstLineChars="200"/>
              <w:jc w:val="both"/>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本扩建项目不新增工作人员，食堂油烟依托原有已建油烟净化器处理后达标排放，本项目不对食堂油烟进行核算。</w:t>
            </w:r>
          </w:p>
          <w:p w14:paraId="78E67CB3">
            <w:pPr>
              <w:widowControl/>
              <w:spacing w:line="360" w:lineRule="auto"/>
              <w:ind w:firstLine="482" w:firstLineChars="200"/>
              <w:jc w:val="left"/>
              <w:rPr>
                <w:rStyle w:val="52"/>
                <w:rFonts w:hint="default" w:ascii="Times New Roman" w:hAnsi="Times New Roman"/>
                <w:b/>
                <w:color w:val="auto"/>
              </w:rPr>
            </w:pPr>
            <w:r>
              <w:rPr>
                <w:rStyle w:val="52"/>
                <w:rFonts w:hint="default" w:ascii="Times New Roman" w:hAnsi="Times New Roman"/>
                <w:b/>
                <w:color w:val="auto"/>
              </w:rPr>
              <w:t>（</w:t>
            </w:r>
            <w:r>
              <w:rPr>
                <w:rStyle w:val="52"/>
                <w:rFonts w:hint="eastAsia"/>
                <w:b/>
                <w:color w:val="auto"/>
                <w:lang w:val="en-US" w:eastAsia="zh-CN"/>
              </w:rPr>
              <w:t>二</w:t>
            </w:r>
            <w:r>
              <w:rPr>
                <w:rStyle w:val="52"/>
                <w:rFonts w:hint="default" w:ascii="Times New Roman" w:hAnsi="Times New Roman"/>
                <w:b/>
                <w:color w:val="auto"/>
              </w:rPr>
              <w:t>）废气达标排放及影响分析</w:t>
            </w:r>
          </w:p>
          <w:p w14:paraId="751B2B4F">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①</w:t>
            </w:r>
            <w:r>
              <w:rPr>
                <w:rFonts w:hint="eastAsia" w:ascii="Times New Roman" w:hAnsi="Times New Roman" w:eastAsia="宋体" w:cs="Times New Roman"/>
                <w:color w:val="auto"/>
                <w:sz w:val="24"/>
                <w:lang w:val="en-US" w:eastAsia="zh-CN"/>
              </w:rPr>
              <w:t>制砂</w:t>
            </w:r>
            <w:r>
              <w:rPr>
                <w:rFonts w:ascii="Times New Roman" w:hAnsi="Times New Roman" w:eastAsia="宋体" w:cs="Times New Roman"/>
                <w:color w:val="auto"/>
                <w:sz w:val="24"/>
              </w:rPr>
              <w:t>生产线</w:t>
            </w:r>
          </w:p>
          <w:p w14:paraId="3359581F">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本项目原料库全封闭，地面</w:t>
            </w:r>
            <w:r>
              <w:rPr>
                <w:rFonts w:hint="eastAsia" w:cs="Times New Roman"/>
                <w:color w:val="auto"/>
                <w:sz w:val="24"/>
                <w:lang w:eastAsia="zh-CN"/>
              </w:rPr>
              <w:t>全部</w:t>
            </w:r>
            <w:r>
              <w:rPr>
                <w:rFonts w:ascii="Times New Roman" w:hAnsi="Times New Roman" w:eastAsia="宋体" w:cs="Times New Roman"/>
                <w:color w:val="auto"/>
                <w:sz w:val="24"/>
              </w:rPr>
              <w:t>硬化，车间顶部设置喷雾装置；</w:t>
            </w:r>
            <w:r>
              <w:rPr>
                <w:rFonts w:ascii="Times New Roman" w:hAnsi="Times New Roman" w:eastAsia="宋体" w:cs="Times New Roman"/>
                <w:color w:val="auto"/>
                <w:sz w:val="24"/>
                <w:lang w:val="de-DE"/>
              </w:rPr>
              <w:t>给料机投料口三面封闭，</w:t>
            </w:r>
            <w:r>
              <w:rPr>
                <w:rFonts w:ascii="Times New Roman" w:hAnsi="Times New Roman" w:eastAsia="宋体" w:cs="Times New Roman"/>
                <w:color w:val="auto"/>
                <w:sz w:val="24"/>
              </w:rPr>
              <w:t>顶部设置喷雾装置；生产车间、成品库全封闭，地面</w:t>
            </w:r>
            <w:r>
              <w:rPr>
                <w:rFonts w:hint="eastAsia" w:cs="Times New Roman"/>
                <w:color w:val="auto"/>
                <w:sz w:val="24"/>
                <w:lang w:eastAsia="zh-CN"/>
              </w:rPr>
              <w:t>全部</w:t>
            </w:r>
            <w:r>
              <w:rPr>
                <w:rFonts w:ascii="Times New Roman" w:hAnsi="Times New Roman" w:eastAsia="宋体" w:cs="Times New Roman"/>
                <w:color w:val="auto"/>
                <w:sz w:val="24"/>
              </w:rPr>
              <w:t>硬化，物料经全密闭皮带运输。废气排放浓度可满足《水泥工业大气污染物排放标准》（GB4915-2013）表3中颗粒物排放浓度限值要求。</w:t>
            </w:r>
          </w:p>
          <w:p w14:paraId="6CDCF8CD">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②拌合站混凝土生产线</w:t>
            </w:r>
          </w:p>
          <w:p w14:paraId="3F6E87EB">
            <w:pPr>
              <w:widowControl/>
              <w:spacing w:line="360" w:lineRule="auto"/>
              <w:ind w:firstLine="480" w:firstLineChars="200"/>
              <w:jc w:val="both"/>
              <w:rPr>
                <w:color w:val="auto"/>
                <w:sz w:val="24"/>
              </w:rPr>
            </w:pPr>
            <w:r>
              <w:rPr>
                <w:rFonts w:ascii="Times New Roman" w:hAnsi="Times New Roman" w:eastAsia="宋体" w:cs="Times New Roman"/>
                <w:color w:val="auto"/>
                <w:sz w:val="24"/>
              </w:rPr>
              <w:t>根据计算分析，</w:t>
            </w:r>
            <w:r>
              <w:rPr>
                <w:rFonts w:hint="eastAsia" w:ascii="Times New Roman" w:hAnsi="Times New Roman" w:eastAsia="宋体" w:cs="Times New Roman"/>
                <w:color w:val="auto"/>
                <w:sz w:val="24"/>
              </w:rPr>
              <w:t>水泥、粉煤灰、矿粉</w:t>
            </w:r>
            <w:r>
              <w:rPr>
                <w:rFonts w:ascii="Times New Roman" w:hAnsi="Times New Roman" w:eastAsia="宋体" w:cs="Times New Roman"/>
                <w:color w:val="auto"/>
                <w:sz w:val="24"/>
              </w:rPr>
              <w:t>筒仓粉尘经仓顶除尘器处理后由排气口排放，粉尘排放浓度均可以满足《水泥工业大</w:t>
            </w:r>
            <w:r>
              <w:rPr>
                <w:color w:val="auto"/>
                <w:sz w:val="24"/>
              </w:rPr>
              <w:t>气污染物排放标准》（GB4915-2013）表1中颗粒物排放浓度限值（20mg/m</w:t>
            </w:r>
            <w:r>
              <w:rPr>
                <w:color w:val="auto"/>
                <w:sz w:val="24"/>
                <w:vertAlign w:val="superscript"/>
              </w:rPr>
              <w:t>3</w:t>
            </w:r>
            <w:r>
              <w:rPr>
                <w:color w:val="auto"/>
                <w:sz w:val="24"/>
              </w:rPr>
              <w:t>）</w:t>
            </w:r>
            <w:r>
              <w:rPr>
                <w:rFonts w:hint="eastAsia"/>
                <w:color w:val="auto"/>
                <w:sz w:val="24"/>
                <w:lang w:val="en-US" w:eastAsia="zh-CN"/>
              </w:rPr>
              <w:t>要求</w:t>
            </w:r>
            <w:r>
              <w:rPr>
                <w:color w:val="auto"/>
                <w:sz w:val="24"/>
              </w:rPr>
              <w:t>；</w:t>
            </w:r>
            <w:r>
              <w:rPr>
                <w:color w:val="auto"/>
                <w:sz w:val="24"/>
                <w:lang w:bidi="ar"/>
              </w:rPr>
              <w:t>搅拌机搅拌</w:t>
            </w:r>
            <w:r>
              <w:rPr>
                <w:color w:val="auto"/>
                <w:spacing w:val="1"/>
                <w:kern w:val="0"/>
                <w:sz w:val="24"/>
                <w:lang w:bidi="ar"/>
              </w:rPr>
              <w:t>粉尘经布袋除尘器处理后由排气口排放，</w:t>
            </w:r>
            <w:r>
              <w:rPr>
                <w:color w:val="auto"/>
                <w:sz w:val="24"/>
                <w:lang w:bidi="ar"/>
              </w:rPr>
              <w:t>搅拌机设于</w:t>
            </w:r>
            <w:r>
              <w:rPr>
                <w:bCs/>
                <w:color w:val="auto"/>
                <w:sz w:val="24"/>
              </w:rPr>
              <w:t>封闭</w:t>
            </w:r>
            <w:r>
              <w:rPr>
                <w:rFonts w:hint="eastAsia"/>
                <w:bCs/>
                <w:color w:val="auto"/>
                <w:sz w:val="24"/>
                <w:lang w:eastAsia="zh-CN"/>
              </w:rPr>
              <w:t>拌合站</w:t>
            </w:r>
            <w:r>
              <w:rPr>
                <w:bCs/>
                <w:color w:val="auto"/>
                <w:sz w:val="24"/>
              </w:rPr>
              <w:t>内，</w:t>
            </w:r>
            <w:r>
              <w:rPr>
                <w:color w:val="auto"/>
                <w:sz w:val="24"/>
              </w:rPr>
              <w:t>废气排放浓度可满足</w:t>
            </w:r>
            <w:r>
              <w:rPr>
                <w:color w:val="auto"/>
                <w:sz w:val="24"/>
                <w:lang w:bidi="ar"/>
              </w:rPr>
              <w:t>《水泥工业大气污染物排放标准》（GB4915-2013）表3中颗粒物排放浓度限值</w:t>
            </w:r>
            <w:r>
              <w:rPr>
                <w:color w:val="auto"/>
                <w:sz w:val="24"/>
              </w:rPr>
              <w:t>（</w:t>
            </w:r>
            <w:r>
              <w:rPr>
                <w:rFonts w:hint="eastAsia"/>
                <w:color w:val="auto"/>
                <w:sz w:val="24"/>
                <w:lang w:val="en-US" w:eastAsia="zh-CN"/>
              </w:rPr>
              <w:t>0.5</w:t>
            </w:r>
            <w:r>
              <w:rPr>
                <w:color w:val="auto"/>
                <w:sz w:val="24"/>
              </w:rPr>
              <w:t>mg/m</w:t>
            </w:r>
            <w:r>
              <w:rPr>
                <w:color w:val="auto"/>
                <w:sz w:val="24"/>
                <w:vertAlign w:val="superscript"/>
              </w:rPr>
              <w:t>3</w:t>
            </w:r>
            <w:r>
              <w:rPr>
                <w:color w:val="auto"/>
                <w:sz w:val="24"/>
              </w:rPr>
              <w:t>）</w:t>
            </w:r>
            <w:r>
              <w:rPr>
                <w:color w:val="auto"/>
                <w:sz w:val="24"/>
                <w:lang w:bidi="ar"/>
              </w:rPr>
              <w:t>要求。</w:t>
            </w:r>
          </w:p>
          <w:p w14:paraId="0A70D103">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（3）其他工序粉尘</w:t>
            </w:r>
          </w:p>
          <w:p w14:paraId="648816CB">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本评价对产生粉尘的其他工序（无组织）进行如下分析：</w:t>
            </w:r>
          </w:p>
          <w:p w14:paraId="6B4DA230">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生产线物料均由密闭皮带、密闭管道输送，皮带在输送过程匀速稳定，外泄粉尘量较小；生产过程中所有工序均密闭；故输送过程无组织粉尘较</w:t>
            </w:r>
            <w:r>
              <w:rPr>
                <w:rFonts w:hint="eastAsia" w:cs="Times New Roman"/>
                <w:color w:val="auto"/>
                <w:sz w:val="24"/>
                <w:lang w:eastAsia="zh-CN"/>
              </w:rPr>
              <w:t>少</w:t>
            </w:r>
            <w:r>
              <w:rPr>
                <w:rFonts w:ascii="Times New Roman" w:hAnsi="Times New Roman" w:eastAsia="宋体" w:cs="Times New Roman"/>
                <w:color w:val="auto"/>
                <w:sz w:val="24"/>
              </w:rPr>
              <w:t>。</w:t>
            </w:r>
          </w:p>
          <w:p w14:paraId="4FB52360">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③厂区其他无组织粉尘</w:t>
            </w:r>
          </w:p>
          <w:p w14:paraId="0924A64E">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采取全厂区地面硬化，配备洒水车道路洒水，运输车辆遮盖、密闭，进出厂车辆冲洗等措施减少扬尘的排放量，废气排放浓度可满足《水泥工业大气污染物排放标准》（GB4915-2013）表3中颗粒物排放浓度限值要求。</w:t>
            </w:r>
          </w:p>
          <w:p w14:paraId="3A79C8D5">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④机械尾气</w:t>
            </w:r>
          </w:p>
          <w:p w14:paraId="3D577F1E">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评价建议本项目涉及非道路移动机械按照《非道路移动机械污染防治技术政策》相关要求采取以下管理措施：</w:t>
            </w:r>
          </w:p>
          <w:p w14:paraId="7EC6A6E2">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加强在用非道路移动机械的排放检测和维修。加强非道路移动机械的维修、保养，使其保持良好的技术状态。进行维修、保养，保证非道路移动机械及其污染控制装置处于正常技术状态。</w:t>
            </w:r>
          </w:p>
          <w:p w14:paraId="1FF41832">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加强非道路移动机械的噪声控制。禁止擅自拆除弃用非道路移动机械的消声、隔声和吸声装置，加强对噪声控制装置的维护保养。</w:t>
            </w:r>
          </w:p>
          <w:p w14:paraId="16076E3A">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项目采用的废气处理技术均符合《排污许可证申请与核发技术规范 废弃资源加工工业》（HJ1034-2019）附录A.1对颗粒物处理技术中的要求，属于可行技术。</w:t>
            </w:r>
          </w:p>
          <w:p w14:paraId="4DE08388">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⑤环境影响分析</w:t>
            </w:r>
          </w:p>
          <w:p w14:paraId="0B252926">
            <w:pPr>
              <w:widowControl/>
              <w:spacing w:line="360" w:lineRule="auto"/>
              <w:ind w:firstLine="480" w:firstLineChars="200"/>
              <w:jc w:val="both"/>
              <w:rPr>
                <w:rFonts w:ascii="Times New Roman" w:hAnsi="Times New Roman" w:eastAsia="宋体" w:cs="Times New Roman"/>
                <w:color w:val="auto"/>
                <w:sz w:val="24"/>
              </w:rPr>
            </w:pPr>
            <w:r>
              <w:rPr>
                <w:rFonts w:ascii="Times New Roman" w:hAnsi="Times New Roman" w:eastAsia="宋体" w:cs="Times New Roman"/>
                <w:color w:val="auto"/>
                <w:sz w:val="24"/>
              </w:rPr>
              <w:t>本项目位于达标区，厂外500m范围内存在大气保护目标，本项目针对工艺废气产排点均有除尘、喷雾、喷水抑尘处理措施，废气能达标排放，因此，本项目建设对大气环境影响较小。</w:t>
            </w:r>
          </w:p>
          <w:p w14:paraId="1DBA4F88">
            <w:pPr>
              <w:pStyle w:val="11"/>
              <w:spacing w:line="348" w:lineRule="auto"/>
              <w:ind w:firstLine="4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本项目废气污染排放源情况见下表。</w:t>
            </w:r>
          </w:p>
          <w:p w14:paraId="56F917A7">
            <w:pPr>
              <w:pStyle w:val="3"/>
              <w:rPr>
                <w:rFonts w:hint="default" w:ascii="Times New Roman" w:hAnsi="Times New Roman" w:eastAsia="宋体" w:cs="Times New Roman"/>
                <w:color w:val="auto"/>
                <w:sz w:val="24"/>
                <w:highlight w:val="none"/>
                <w:lang w:val="zh-CN"/>
              </w:rPr>
            </w:pPr>
          </w:p>
          <w:p w14:paraId="6D5421B3">
            <w:pPr>
              <w:adjustRightInd w:val="0"/>
              <w:snapToGrid w:val="0"/>
              <w:spacing w:line="360" w:lineRule="auto"/>
              <w:ind w:left="0" w:leftChars="0" w:firstLine="0" w:firstLineChars="0"/>
              <w:rPr>
                <w:rFonts w:hint="default" w:ascii="Times New Roman" w:hAnsi="Times New Roman" w:eastAsia="宋体" w:cs="Times New Roman"/>
                <w:bCs/>
                <w:color w:val="auto"/>
                <w:spacing w:val="-10"/>
                <w:sz w:val="24"/>
                <w:szCs w:val="24"/>
                <w:highlight w:val="none"/>
                <w:lang w:val="en-US" w:eastAsia="zh-CN"/>
              </w:rPr>
            </w:pPr>
          </w:p>
        </w:tc>
      </w:tr>
    </w:tbl>
    <w:p w14:paraId="1B0636F1">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firstLine="0" w:firstLineChars="0"/>
        <w:jc w:val="both"/>
        <w:textAlignment w:val="auto"/>
        <w:outlineLvl w:val="0"/>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7" w:name="_Toc4859"/>
    </w:p>
    <w:p w14:paraId="1E39ECC2">
      <w:pPr>
        <w:tabs>
          <w:tab w:val="left" w:pos="900"/>
        </w:tabs>
        <w:jc w:val="center"/>
        <w:rPr>
          <w:rFonts w:ascii="Times New Roman" w:hAnsi="Times New Roman" w:eastAsia="宋体" w:cs="Times New Roman"/>
          <w:b/>
          <w:color w:val="auto"/>
          <w:szCs w:val="21"/>
          <w:lang w:bidi="ar"/>
        </w:rPr>
      </w:pPr>
      <w:r>
        <w:rPr>
          <w:rFonts w:hint="default" w:ascii="Times New Roman" w:hAnsi="Times New Roman" w:eastAsia="宋体" w:cs="Times New Roman"/>
          <w:b/>
          <w:color w:val="auto"/>
          <w:szCs w:val="21"/>
          <w:lang w:bidi="ar"/>
        </w:rPr>
        <w:t>表</w:t>
      </w:r>
      <w:r>
        <w:rPr>
          <w:rFonts w:hint="default" w:ascii="Times New Roman" w:hAnsi="Times New Roman" w:eastAsia="宋体" w:cs="Times New Roman"/>
          <w:b/>
          <w:color w:val="auto"/>
          <w:szCs w:val="21"/>
          <w:lang w:val="en-US" w:eastAsia="zh-CN" w:bidi="ar"/>
        </w:rPr>
        <w:t>4-</w:t>
      </w:r>
      <w:r>
        <w:rPr>
          <w:rFonts w:hint="eastAsia" w:ascii="Times New Roman" w:hAnsi="Times New Roman" w:eastAsia="宋体" w:cs="Times New Roman"/>
          <w:b/>
          <w:color w:val="auto"/>
          <w:szCs w:val="21"/>
          <w:lang w:val="en-US" w:eastAsia="zh-CN" w:bidi="ar"/>
        </w:rPr>
        <w:t>4</w:t>
      </w:r>
      <w:r>
        <w:rPr>
          <w:rFonts w:hint="default" w:ascii="Times New Roman" w:hAnsi="Times New Roman" w:eastAsia="宋体" w:cs="Times New Roman"/>
          <w:b/>
          <w:color w:val="auto"/>
          <w:szCs w:val="21"/>
          <w:lang w:bidi="ar"/>
        </w:rPr>
        <w:t xml:space="preserve">  废气产排情况一览表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17"/>
        <w:gridCol w:w="1210"/>
        <w:gridCol w:w="571"/>
        <w:gridCol w:w="1085"/>
        <w:gridCol w:w="1153"/>
        <w:gridCol w:w="1195"/>
        <w:gridCol w:w="1399"/>
        <w:gridCol w:w="862"/>
        <w:gridCol w:w="1064"/>
        <w:gridCol w:w="1301"/>
        <w:gridCol w:w="1487"/>
        <w:gridCol w:w="1486"/>
        <w:gridCol w:w="644"/>
      </w:tblGrid>
      <w:tr w14:paraId="2C8FDF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0" w:type="auto"/>
            <w:gridSpan w:val="13"/>
            <w:noWrap w:val="0"/>
            <w:vAlign w:val="center"/>
          </w:tcPr>
          <w:p w14:paraId="5F52FB3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cs="Times New Roman"/>
                <w:bCs/>
                <w:color w:val="auto"/>
                <w:kern w:val="21"/>
                <w:szCs w:val="21"/>
                <w:highlight w:val="none"/>
                <w:lang w:val="en-US" w:eastAsia="zh-CN"/>
              </w:rPr>
            </w:pPr>
            <w:r>
              <w:rPr>
                <w:rFonts w:hint="eastAsia" w:cs="Times New Roman"/>
                <w:bCs/>
                <w:color w:val="auto"/>
                <w:kern w:val="21"/>
                <w:szCs w:val="21"/>
                <w:highlight w:val="none"/>
                <w:lang w:val="en-US" w:eastAsia="zh-CN"/>
              </w:rPr>
              <w:t>制砂</w:t>
            </w:r>
            <w:r>
              <w:rPr>
                <w:rFonts w:hint="default" w:ascii="Times New Roman" w:hAnsi="Times New Roman" w:eastAsia="宋体" w:cs="Times New Roman"/>
                <w:bCs/>
                <w:color w:val="auto"/>
                <w:kern w:val="21"/>
                <w:szCs w:val="21"/>
                <w:highlight w:val="none"/>
              </w:rPr>
              <w:t>生产线</w:t>
            </w:r>
          </w:p>
        </w:tc>
      </w:tr>
      <w:tr w14:paraId="3B3F9D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0" w:type="auto"/>
            <w:vMerge w:val="restart"/>
            <w:noWrap w:val="0"/>
            <w:vAlign w:val="center"/>
          </w:tcPr>
          <w:p w14:paraId="337878A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生产线</w:t>
            </w:r>
          </w:p>
        </w:tc>
        <w:tc>
          <w:tcPr>
            <w:tcW w:w="0" w:type="auto"/>
            <w:vMerge w:val="restart"/>
            <w:noWrap w:val="0"/>
            <w:vAlign w:val="center"/>
          </w:tcPr>
          <w:p w14:paraId="024F6D1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产污</w:t>
            </w:r>
          </w:p>
          <w:p w14:paraId="2853FFA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环节</w:t>
            </w:r>
          </w:p>
        </w:tc>
        <w:tc>
          <w:tcPr>
            <w:tcW w:w="0" w:type="auto"/>
            <w:vMerge w:val="restart"/>
            <w:noWrap w:val="0"/>
            <w:vAlign w:val="center"/>
          </w:tcPr>
          <w:p w14:paraId="18267E2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污染物</w:t>
            </w:r>
          </w:p>
        </w:tc>
        <w:tc>
          <w:tcPr>
            <w:tcW w:w="0" w:type="auto"/>
            <w:vMerge w:val="restart"/>
            <w:noWrap w:val="0"/>
            <w:vAlign w:val="center"/>
          </w:tcPr>
          <w:p w14:paraId="6881B98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产生量/（t/a）</w:t>
            </w:r>
          </w:p>
        </w:tc>
        <w:tc>
          <w:tcPr>
            <w:tcW w:w="0" w:type="auto"/>
            <w:vMerge w:val="restart"/>
            <w:noWrap w:val="0"/>
            <w:vAlign w:val="center"/>
          </w:tcPr>
          <w:p w14:paraId="70687BA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排放</w:t>
            </w:r>
          </w:p>
          <w:p w14:paraId="073A790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形式</w:t>
            </w:r>
          </w:p>
        </w:tc>
        <w:tc>
          <w:tcPr>
            <w:tcW w:w="0" w:type="auto"/>
            <w:gridSpan w:val="3"/>
            <w:noWrap w:val="0"/>
            <w:vAlign w:val="center"/>
          </w:tcPr>
          <w:p w14:paraId="3CD1A72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收集治理设施</w:t>
            </w:r>
          </w:p>
        </w:tc>
        <w:tc>
          <w:tcPr>
            <w:tcW w:w="0" w:type="auto"/>
            <w:gridSpan w:val="3"/>
            <w:noWrap w:val="0"/>
            <w:vAlign w:val="center"/>
          </w:tcPr>
          <w:p w14:paraId="71AAF770">
            <w:pPr>
              <w:ind w:firstLine="420" w:firstLineChars="200"/>
              <w:jc w:val="center"/>
              <w:rPr>
                <w:rFonts w:hint="default" w:ascii="Times New Roman" w:hAnsi="Times New Roman" w:eastAsia="宋体" w:cs="Times New Roman"/>
                <w:bCs/>
                <w:color w:val="auto"/>
                <w:kern w:val="21"/>
                <w:szCs w:val="21"/>
                <w:highlight w:val="none"/>
                <w:lang w:val="en-US"/>
              </w:rPr>
            </w:pPr>
            <w:r>
              <w:rPr>
                <w:rFonts w:hint="eastAsia" w:ascii="Times New Roman" w:hAnsi="Times New Roman" w:eastAsia="宋体" w:cs="Times New Roman"/>
                <w:bCs/>
                <w:color w:val="auto"/>
                <w:kern w:val="21"/>
                <w:szCs w:val="21"/>
                <w:highlight w:val="none"/>
                <w:lang w:val="en-US" w:eastAsia="zh-CN"/>
              </w:rPr>
              <w:t>污染物排放</w:t>
            </w:r>
          </w:p>
        </w:tc>
        <w:tc>
          <w:tcPr>
            <w:tcW w:w="0" w:type="auto"/>
            <w:vMerge w:val="restart"/>
            <w:noWrap w:val="0"/>
            <w:vAlign w:val="center"/>
          </w:tcPr>
          <w:p w14:paraId="3DABBF68">
            <w:pPr>
              <w:ind w:left="0" w:leftChars="0" w:right="0" w:rightChars="0" w:firstLine="0" w:firstLineChars="0"/>
              <w:jc w:val="center"/>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浓度限值（mg/m</w:t>
            </w:r>
            <w:r>
              <w:rPr>
                <w:rFonts w:hint="eastAsia" w:ascii="Times New Roman" w:hAnsi="Times New Roman" w:eastAsia="宋体" w:cs="Times New Roman"/>
                <w:bCs/>
                <w:color w:val="auto"/>
                <w:kern w:val="21"/>
                <w:szCs w:val="21"/>
                <w:highlight w:val="none"/>
                <w:vertAlign w:val="superscript"/>
                <w:lang w:val="en-US" w:eastAsia="zh-CN"/>
              </w:rPr>
              <w:t>3</w:t>
            </w:r>
            <w:r>
              <w:rPr>
                <w:rFonts w:hint="eastAsia" w:ascii="Times New Roman" w:hAnsi="Times New Roman" w:eastAsia="宋体" w:cs="Times New Roman"/>
                <w:bCs/>
                <w:color w:val="auto"/>
                <w:kern w:val="21"/>
                <w:szCs w:val="21"/>
                <w:highlight w:val="none"/>
                <w:lang w:val="en-US" w:eastAsia="zh-CN"/>
              </w:rPr>
              <w:t>）</w:t>
            </w:r>
          </w:p>
        </w:tc>
        <w:tc>
          <w:tcPr>
            <w:tcW w:w="0" w:type="auto"/>
            <w:vMerge w:val="restart"/>
            <w:noWrap w:val="0"/>
            <w:vAlign w:val="center"/>
          </w:tcPr>
          <w:p w14:paraId="4750B488">
            <w:pPr>
              <w:ind w:left="0" w:leftChars="0" w:right="0" w:rightChars="0" w:firstLine="0" w:firstLineChars="0"/>
              <w:jc w:val="center"/>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达标情况</w:t>
            </w:r>
          </w:p>
        </w:tc>
      </w:tr>
      <w:tr w14:paraId="094294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Merge w:val="continue"/>
            <w:noWrap w:val="0"/>
            <w:vAlign w:val="center"/>
          </w:tcPr>
          <w:p w14:paraId="4104C70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1629BBB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76534B0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339960E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1B5B3C9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0DD0222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设施名称</w:t>
            </w:r>
          </w:p>
        </w:tc>
        <w:tc>
          <w:tcPr>
            <w:tcW w:w="0" w:type="auto"/>
            <w:noWrap w:val="0"/>
            <w:vAlign w:val="center"/>
          </w:tcPr>
          <w:p w14:paraId="76508A7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处理</w:t>
            </w:r>
          </w:p>
          <w:p w14:paraId="4E25AF9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效率</w:t>
            </w:r>
          </w:p>
        </w:tc>
        <w:tc>
          <w:tcPr>
            <w:tcW w:w="0" w:type="auto"/>
            <w:noWrap w:val="0"/>
            <w:vAlign w:val="center"/>
          </w:tcPr>
          <w:p w14:paraId="04733DE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是否为可行技术</w:t>
            </w:r>
          </w:p>
        </w:tc>
        <w:tc>
          <w:tcPr>
            <w:tcW w:w="0" w:type="auto"/>
            <w:noWrap w:val="0"/>
            <w:vAlign w:val="center"/>
          </w:tcPr>
          <w:p w14:paraId="1476027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排放量（t/a）</w:t>
            </w:r>
          </w:p>
        </w:tc>
        <w:tc>
          <w:tcPr>
            <w:tcW w:w="1301" w:type="dxa"/>
            <w:noWrap w:val="0"/>
            <w:vAlign w:val="center"/>
          </w:tcPr>
          <w:p w14:paraId="31C5C72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rPr>
              <w:t>排放速率（kg/h）</w:t>
            </w:r>
          </w:p>
        </w:tc>
        <w:tc>
          <w:tcPr>
            <w:tcW w:w="1486" w:type="dxa"/>
            <w:noWrap w:val="0"/>
            <w:vAlign w:val="center"/>
          </w:tcPr>
          <w:p w14:paraId="7E28DC58">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rPr>
              <w:t>排放浓度（mg/m</w:t>
            </w:r>
            <w:r>
              <w:rPr>
                <w:rFonts w:hint="eastAsia" w:ascii="Times New Roman" w:hAnsi="Times New Roman" w:eastAsia="宋体" w:cs="Times New Roman"/>
                <w:bCs/>
                <w:color w:val="auto"/>
                <w:kern w:val="21"/>
                <w:szCs w:val="21"/>
                <w:highlight w:val="none"/>
                <w:vertAlign w:val="superscript"/>
              </w:rPr>
              <w:t>3</w:t>
            </w:r>
            <w:r>
              <w:rPr>
                <w:rFonts w:hint="eastAsia" w:ascii="Times New Roman" w:hAnsi="Times New Roman" w:eastAsia="宋体" w:cs="Times New Roman"/>
                <w:bCs/>
                <w:color w:val="auto"/>
                <w:kern w:val="21"/>
                <w:szCs w:val="21"/>
                <w:highlight w:val="none"/>
              </w:rPr>
              <w:t>）</w:t>
            </w:r>
          </w:p>
        </w:tc>
        <w:tc>
          <w:tcPr>
            <w:tcW w:w="0" w:type="auto"/>
            <w:vMerge w:val="continue"/>
            <w:noWrap w:val="0"/>
            <w:vAlign w:val="center"/>
          </w:tcPr>
          <w:p w14:paraId="7CE9A7A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rPr>
            </w:pPr>
          </w:p>
        </w:tc>
        <w:tc>
          <w:tcPr>
            <w:tcW w:w="0" w:type="auto"/>
            <w:vMerge w:val="continue"/>
            <w:noWrap w:val="0"/>
            <w:vAlign w:val="center"/>
          </w:tcPr>
          <w:p w14:paraId="1C8740F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rPr>
            </w:pPr>
          </w:p>
        </w:tc>
      </w:tr>
      <w:tr w14:paraId="5B9C69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noWrap w:val="0"/>
            <w:vAlign w:val="center"/>
          </w:tcPr>
          <w:p w14:paraId="5A7D298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制砂生产线</w:t>
            </w:r>
          </w:p>
        </w:tc>
        <w:tc>
          <w:tcPr>
            <w:tcW w:w="0" w:type="auto"/>
            <w:noWrap w:val="0"/>
            <w:vAlign w:val="center"/>
          </w:tcPr>
          <w:p w14:paraId="7E7CF66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破碎</w:t>
            </w:r>
            <w:r>
              <w:rPr>
                <w:rFonts w:hint="eastAsia" w:cs="Times New Roman"/>
                <w:bCs/>
                <w:color w:val="auto"/>
                <w:kern w:val="21"/>
                <w:szCs w:val="21"/>
                <w:highlight w:val="none"/>
                <w:lang w:eastAsia="zh-CN"/>
              </w:rPr>
              <w:t>、</w:t>
            </w:r>
            <w:r>
              <w:rPr>
                <w:rFonts w:hint="eastAsia" w:cs="Times New Roman"/>
                <w:bCs/>
                <w:color w:val="auto"/>
                <w:kern w:val="21"/>
                <w:szCs w:val="21"/>
                <w:highlight w:val="none"/>
                <w:lang w:val="en-US" w:eastAsia="zh-CN"/>
              </w:rPr>
              <w:t>筛分</w:t>
            </w:r>
          </w:p>
        </w:tc>
        <w:tc>
          <w:tcPr>
            <w:tcW w:w="0" w:type="auto"/>
            <w:noWrap w:val="0"/>
            <w:vAlign w:val="center"/>
          </w:tcPr>
          <w:p w14:paraId="06647B3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颗粒物</w:t>
            </w:r>
          </w:p>
        </w:tc>
        <w:tc>
          <w:tcPr>
            <w:tcW w:w="0" w:type="auto"/>
            <w:noWrap w:val="0"/>
            <w:vAlign w:val="center"/>
          </w:tcPr>
          <w:p w14:paraId="3642A17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62.748</w:t>
            </w:r>
          </w:p>
        </w:tc>
        <w:tc>
          <w:tcPr>
            <w:tcW w:w="0" w:type="auto"/>
            <w:noWrap w:val="0"/>
            <w:vAlign w:val="center"/>
          </w:tcPr>
          <w:p w14:paraId="1A7F94A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无组织</w:t>
            </w:r>
          </w:p>
        </w:tc>
        <w:tc>
          <w:tcPr>
            <w:tcW w:w="0" w:type="auto"/>
            <w:noWrap w:val="0"/>
            <w:vAlign w:val="center"/>
          </w:tcPr>
          <w:p w14:paraId="798B621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cs="Times New Roman"/>
                <w:bCs/>
                <w:color w:val="auto"/>
                <w:kern w:val="21"/>
                <w:szCs w:val="21"/>
                <w:highlight w:val="none"/>
                <w:lang w:val="en-US" w:eastAsia="zh-CN"/>
              </w:rPr>
              <w:t>车间全密闭+</w:t>
            </w:r>
            <w:r>
              <w:rPr>
                <w:rFonts w:hint="default" w:ascii="Times New Roman" w:hAnsi="Times New Roman" w:eastAsia="宋体" w:cs="Times New Roman"/>
                <w:bCs/>
                <w:color w:val="auto"/>
                <w:kern w:val="21"/>
                <w:szCs w:val="21"/>
                <w:highlight w:val="none"/>
              </w:rPr>
              <w:t>车间喷雾降尘</w:t>
            </w:r>
          </w:p>
        </w:tc>
        <w:tc>
          <w:tcPr>
            <w:tcW w:w="0" w:type="auto"/>
            <w:noWrap w:val="0"/>
            <w:vAlign w:val="center"/>
          </w:tcPr>
          <w:p w14:paraId="1C8B2DC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厂房阻隔</w:t>
            </w:r>
          </w:p>
          <w:p w14:paraId="14E5173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60%；喷雾除尘效率80%</w:t>
            </w:r>
          </w:p>
        </w:tc>
        <w:tc>
          <w:tcPr>
            <w:tcW w:w="0" w:type="auto"/>
            <w:noWrap w:val="0"/>
            <w:vAlign w:val="center"/>
          </w:tcPr>
          <w:p w14:paraId="09704A2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是</w:t>
            </w:r>
          </w:p>
        </w:tc>
        <w:tc>
          <w:tcPr>
            <w:tcW w:w="0" w:type="auto"/>
            <w:noWrap w:val="0"/>
            <w:vAlign w:val="center"/>
          </w:tcPr>
          <w:p w14:paraId="79435E0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5.02</w:t>
            </w:r>
          </w:p>
        </w:tc>
        <w:tc>
          <w:tcPr>
            <w:tcW w:w="1301" w:type="dxa"/>
            <w:noWrap w:val="0"/>
            <w:vAlign w:val="center"/>
          </w:tcPr>
          <w:p w14:paraId="4EDD255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0.697</w:t>
            </w:r>
          </w:p>
        </w:tc>
        <w:tc>
          <w:tcPr>
            <w:tcW w:w="1486" w:type="dxa"/>
            <w:noWrap w:val="0"/>
            <w:vAlign w:val="center"/>
          </w:tcPr>
          <w:p w14:paraId="69FB546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w:t>
            </w:r>
          </w:p>
        </w:tc>
        <w:tc>
          <w:tcPr>
            <w:tcW w:w="0" w:type="auto"/>
            <w:noWrap w:val="0"/>
            <w:vAlign w:val="center"/>
          </w:tcPr>
          <w:p w14:paraId="0E47D09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0.5</w:t>
            </w:r>
          </w:p>
        </w:tc>
        <w:tc>
          <w:tcPr>
            <w:tcW w:w="0" w:type="auto"/>
            <w:noWrap w:val="0"/>
            <w:vAlign w:val="center"/>
          </w:tcPr>
          <w:p w14:paraId="7A42D6B4">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w:t>
            </w:r>
          </w:p>
        </w:tc>
      </w:tr>
      <w:tr w14:paraId="3DF6D0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0" w:type="auto"/>
            <w:gridSpan w:val="13"/>
            <w:noWrap w:val="0"/>
            <w:vAlign w:val="center"/>
          </w:tcPr>
          <w:p w14:paraId="147D4E1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lang w:val="en-US" w:eastAsia="zh-CN"/>
              </w:rPr>
              <w:t>商品混凝土生产线</w:t>
            </w:r>
          </w:p>
        </w:tc>
      </w:tr>
      <w:tr w14:paraId="0189D1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vMerge w:val="restart"/>
            <w:noWrap w:val="0"/>
            <w:vAlign w:val="center"/>
          </w:tcPr>
          <w:p w14:paraId="4F6C56D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拌合站</w:t>
            </w:r>
          </w:p>
        </w:tc>
        <w:tc>
          <w:tcPr>
            <w:tcW w:w="0" w:type="auto"/>
            <w:noWrap w:val="0"/>
            <w:vAlign w:val="center"/>
          </w:tcPr>
          <w:p w14:paraId="173BCC0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水泥</w:t>
            </w:r>
          </w:p>
          <w:p w14:paraId="6E4DB06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筒仓（</w:t>
            </w:r>
            <w:r>
              <w:rPr>
                <w:rFonts w:hint="eastAsia" w:cs="Times New Roman"/>
                <w:bCs/>
                <w:color w:val="auto"/>
                <w:kern w:val="21"/>
                <w:szCs w:val="21"/>
                <w:highlight w:val="none"/>
                <w:lang w:val="en-US" w:eastAsia="zh-CN"/>
              </w:rPr>
              <w:t>5</w:t>
            </w:r>
            <w:r>
              <w:rPr>
                <w:rFonts w:hint="default" w:ascii="Times New Roman" w:hAnsi="Times New Roman" w:eastAsia="宋体" w:cs="Times New Roman"/>
                <w:bCs/>
                <w:color w:val="auto"/>
                <w:kern w:val="21"/>
                <w:szCs w:val="21"/>
                <w:highlight w:val="none"/>
              </w:rPr>
              <w:t>#）</w:t>
            </w:r>
          </w:p>
        </w:tc>
        <w:tc>
          <w:tcPr>
            <w:tcW w:w="0" w:type="auto"/>
            <w:vMerge w:val="restart"/>
            <w:tcBorders>
              <w:top w:val="single" w:color="000000" w:sz="4" w:space="0"/>
            </w:tcBorders>
            <w:noWrap w:val="0"/>
            <w:vAlign w:val="center"/>
          </w:tcPr>
          <w:p w14:paraId="727165F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颗</w:t>
            </w:r>
          </w:p>
          <w:p w14:paraId="068A306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粒</w:t>
            </w:r>
          </w:p>
          <w:p w14:paraId="178251D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物</w:t>
            </w:r>
          </w:p>
        </w:tc>
        <w:tc>
          <w:tcPr>
            <w:tcW w:w="0" w:type="auto"/>
            <w:tcBorders>
              <w:top w:val="single" w:color="000000" w:sz="4" w:space="0"/>
            </w:tcBorders>
            <w:noWrap w:val="0"/>
            <w:vAlign w:val="center"/>
          </w:tcPr>
          <w:p w14:paraId="04A02C4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lang w:val="en-US" w:eastAsia="zh-CN"/>
              </w:rPr>
              <w:t>12</w:t>
            </w:r>
          </w:p>
        </w:tc>
        <w:tc>
          <w:tcPr>
            <w:tcW w:w="0" w:type="auto"/>
            <w:noWrap w:val="0"/>
            <w:vAlign w:val="center"/>
          </w:tcPr>
          <w:p w14:paraId="3B9173B2">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color w:val="auto"/>
                <w:sz w:val="21"/>
                <w:szCs w:val="21"/>
                <w:lang w:val="en-US" w:eastAsia="zh-CN"/>
              </w:rPr>
              <w:t>5</w:t>
            </w:r>
            <w:r>
              <w:rPr>
                <w:color w:val="auto"/>
                <w:sz w:val="21"/>
                <w:szCs w:val="21"/>
                <w:lang w:val="en-US" w:eastAsia="zh-CN"/>
              </w:rPr>
              <w:t>#水泥筒仓仓顶呼吸口</w:t>
            </w:r>
          </w:p>
        </w:tc>
        <w:tc>
          <w:tcPr>
            <w:tcW w:w="0" w:type="auto"/>
            <w:noWrap w:val="0"/>
            <w:vAlign w:val="center"/>
          </w:tcPr>
          <w:p w14:paraId="79E525D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脉冲布袋</w:t>
            </w:r>
          </w:p>
          <w:p w14:paraId="69DBF6E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除尘器</w:t>
            </w:r>
            <w:r>
              <w:rPr>
                <w:rFonts w:hint="eastAsia" w:ascii="Times New Roman" w:hAnsi="Times New Roman" w:eastAsia="宋体" w:cs="Times New Roman"/>
                <w:bCs/>
                <w:color w:val="auto"/>
                <w:kern w:val="21"/>
                <w:szCs w:val="21"/>
                <w:highlight w:val="none"/>
                <w:lang w:val="en-US" w:eastAsia="zh-CN"/>
              </w:rPr>
              <w:t>5#</w:t>
            </w:r>
          </w:p>
        </w:tc>
        <w:tc>
          <w:tcPr>
            <w:tcW w:w="0" w:type="auto"/>
            <w:vMerge w:val="restart"/>
            <w:noWrap w:val="0"/>
            <w:vAlign w:val="center"/>
          </w:tcPr>
          <w:p w14:paraId="22A2EA8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99.7%</w:t>
            </w:r>
          </w:p>
        </w:tc>
        <w:tc>
          <w:tcPr>
            <w:tcW w:w="0" w:type="auto"/>
            <w:vMerge w:val="restart"/>
            <w:noWrap w:val="0"/>
            <w:vAlign w:val="center"/>
          </w:tcPr>
          <w:p w14:paraId="0B56D72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是</w:t>
            </w:r>
          </w:p>
        </w:tc>
        <w:tc>
          <w:tcPr>
            <w:tcW w:w="0" w:type="auto"/>
            <w:noWrap w:val="0"/>
            <w:vAlign w:val="center"/>
          </w:tcPr>
          <w:p w14:paraId="74B73C9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0.036</w:t>
            </w:r>
          </w:p>
        </w:tc>
        <w:tc>
          <w:tcPr>
            <w:tcW w:w="1301" w:type="dxa"/>
            <w:noWrap w:val="0"/>
            <w:vAlign w:val="center"/>
          </w:tcPr>
          <w:p w14:paraId="1C80B0F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w:t>
            </w:r>
          </w:p>
        </w:tc>
        <w:tc>
          <w:tcPr>
            <w:tcW w:w="1486" w:type="dxa"/>
            <w:noWrap w:val="0"/>
            <w:vAlign w:val="center"/>
          </w:tcPr>
          <w:p w14:paraId="1D51885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16.36</w:t>
            </w:r>
          </w:p>
        </w:tc>
        <w:tc>
          <w:tcPr>
            <w:tcW w:w="0" w:type="auto"/>
            <w:noWrap w:val="0"/>
            <w:vAlign w:val="center"/>
          </w:tcPr>
          <w:p w14:paraId="7A24B1F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20</w:t>
            </w:r>
          </w:p>
        </w:tc>
        <w:tc>
          <w:tcPr>
            <w:tcW w:w="0" w:type="auto"/>
            <w:noWrap w:val="0"/>
            <w:vAlign w:val="center"/>
          </w:tcPr>
          <w:p w14:paraId="0DC539C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w:t>
            </w:r>
          </w:p>
        </w:tc>
      </w:tr>
      <w:tr w14:paraId="2D67A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vMerge w:val="continue"/>
            <w:noWrap w:val="0"/>
            <w:vAlign w:val="center"/>
          </w:tcPr>
          <w:p w14:paraId="2B996CF8">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4B44544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水泥</w:t>
            </w:r>
          </w:p>
          <w:p w14:paraId="01F7F8F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筒仓（</w:t>
            </w:r>
            <w:r>
              <w:rPr>
                <w:rFonts w:hint="eastAsia" w:cs="Times New Roman"/>
                <w:bCs/>
                <w:color w:val="auto"/>
                <w:kern w:val="21"/>
                <w:szCs w:val="21"/>
                <w:highlight w:val="none"/>
                <w:lang w:val="en-US" w:eastAsia="zh-CN"/>
              </w:rPr>
              <w:t>6</w:t>
            </w:r>
            <w:r>
              <w:rPr>
                <w:rFonts w:hint="default" w:ascii="Times New Roman" w:hAnsi="Times New Roman" w:eastAsia="宋体" w:cs="Times New Roman"/>
                <w:bCs/>
                <w:color w:val="auto"/>
                <w:kern w:val="21"/>
                <w:szCs w:val="21"/>
                <w:highlight w:val="none"/>
              </w:rPr>
              <w:t>#）</w:t>
            </w:r>
          </w:p>
        </w:tc>
        <w:tc>
          <w:tcPr>
            <w:tcW w:w="0" w:type="auto"/>
            <w:vMerge w:val="continue"/>
            <w:tcBorders>
              <w:top w:val="single" w:color="000000" w:sz="4" w:space="0"/>
            </w:tcBorders>
            <w:noWrap w:val="0"/>
            <w:vAlign w:val="center"/>
          </w:tcPr>
          <w:p w14:paraId="2973875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tcBorders>
              <w:top w:val="single" w:color="000000" w:sz="4" w:space="0"/>
            </w:tcBorders>
            <w:noWrap w:val="0"/>
            <w:vAlign w:val="center"/>
          </w:tcPr>
          <w:p w14:paraId="57FEDD9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lang w:val="en-US" w:eastAsia="zh-CN"/>
              </w:rPr>
              <w:t>12</w:t>
            </w:r>
          </w:p>
        </w:tc>
        <w:tc>
          <w:tcPr>
            <w:tcW w:w="0" w:type="auto"/>
            <w:noWrap w:val="0"/>
            <w:vAlign w:val="center"/>
          </w:tcPr>
          <w:p w14:paraId="75121D21">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color w:val="auto"/>
                <w:sz w:val="21"/>
                <w:szCs w:val="21"/>
                <w:lang w:val="en-US" w:eastAsia="zh-CN"/>
              </w:rPr>
              <w:t>6</w:t>
            </w:r>
            <w:r>
              <w:rPr>
                <w:color w:val="auto"/>
                <w:sz w:val="21"/>
                <w:szCs w:val="21"/>
                <w:lang w:val="en-US" w:eastAsia="zh-CN"/>
              </w:rPr>
              <w:t>#水泥筒仓仓顶呼吸口</w:t>
            </w:r>
          </w:p>
        </w:tc>
        <w:tc>
          <w:tcPr>
            <w:tcW w:w="0" w:type="auto"/>
            <w:noWrap w:val="0"/>
            <w:vAlign w:val="center"/>
          </w:tcPr>
          <w:p w14:paraId="476040F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脉冲布袋</w:t>
            </w:r>
          </w:p>
          <w:p w14:paraId="28C2865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除尘器</w:t>
            </w:r>
            <w:r>
              <w:rPr>
                <w:rFonts w:hint="eastAsia" w:ascii="Times New Roman" w:hAnsi="Times New Roman" w:eastAsia="宋体" w:cs="Times New Roman"/>
                <w:bCs/>
                <w:color w:val="auto"/>
                <w:kern w:val="21"/>
                <w:szCs w:val="21"/>
                <w:highlight w:val="none"/>
                <w:lang w:val="en-US" w:eastAsia="zh-CN"/>
              </w:rPr>
              <w:t>6#</w:t>
            </w:r>
          </w:p>
        </w:tc>
        <w:tc>
          <w:tcPr>
            <w:tcW w:w="0" w:type="auto"/>
            <w:vMerge w:val="continue"/>
            <w:noWrap w:val="0"/>
            <w:vAlign w:val="center"/>
          </w:tcPr>
          <w:p w14:paraId="3C7406B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7B92684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7959555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0.036</w:t>
            </w:r>
          </w:p>
        </w:tc>
        <w:tc>
          <w:tcPr>
            <w:tcW w:w="1301" w:type="dxa"/>
            <w:noWrap w:val="0"/>
            <w:vAlign w:val="center"/>
          </w:tcPr>
          <w:p w14:paraId="38856FF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w:t>
            </w:r>
          </w:p>
        </w:tc>
        <w:tc>
          <w:tcPr>
            <w:tcW w:w="1486" w:type="dxa"/>
            <w:noWrap w:val="0"/>
            <w:vAlign w:val="center"/>
          </w:tcPr>
          <w:p w14:paraId="5E5AA01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16.36</w:t>
            </w:r>
          </w:p>
        </w:tc>
        <w:tc>
          <w:tcPr>
            <w:tcW w:w="0" w:type="auto"/>
            <w:noWrap w:val="0"/>
            <w:vAlign w:val="center"/>
          </w:tcPr>
          <w:p w14:paraId="762FBF6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20</w:t>
            </w:r>
          </w:p>
        </w:tc>
        <w:tc>
          <w:tcPr>
            <w:tcW w:w="0" w:type="auto"/>
            <w:noWrap w:val="0"/>
            <w:vAlign w:val="center"/>
          </w:tcPr>
          <w:p w14:paraId="0A607FC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w:t>
            </w:r>
          </w:p>
        </w:tc>
      </w:tr>
      <w:tr w14:paraId="031169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vMerge w:val="continue"/>
            <w:noWrap w:val="0"/>
            <w:vAlign w:val="center"/>
          </w:tcPr>
          <w:p w14:paraId="737CA47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0099D8E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粉煤灰筒仓（</w:t>
            </w:r>
            <w:r>
              <w:rPr>
                <w:rFonts w:hint="eastAsia" w:cs="Times New Roman"/>
                <w:bCs/>
                <w:color w:val="auto"/>
                <w:kern w:val="21"/>
                <w:szCs w:val="21"/>
                <w:highlight w:val="none"/>
                <w:lang w:val="en-US" w:eastAsia="zh-CN"/>
              </w:rPr>
              <w:t>7</w:t>
            </w:r>
            <w:r>
              <w:rPr>
                <w:rFonts w:hint="default" w:ascii="Times New Roman" w:hAnsi="Times New Roman" w:eastAsia="宋体" w:cs="Times New Roman"/>
                <w:bCs/>
                <w:color w:val="auto"/>
                <w:kern w:val="21"/>
                <w:szCs w:val="21"/>
                <w:highlight w:val="none"/>
              </w:rPr>
              <w:t>#）</w:t>
            </w:r>
          </w:p>
        </w:tc>
        <w:tc>
          <w:tcPr>
            <w:tcW w:w="0" w:type="auto"/>
            <w:vMerge w:val="continue"/>
            <w:tcBorders>
              <w:top w:val="single" w:color="000000" w:sz="4" w:space="0"/>
            </w:tcBorders>
            <w:noWrap w:val="0"/>
            <w:vAlign w:val="center"/>
          </w:tcPr>
          <w:p w14:paraId="2760F26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tcBorders>
              <w:top w:val="single" w:color="000000" w:sz="4" w:space="0"/>
            </w:tcBorders>
            <w:noWrap w:val="0"/>
            <w:vAlign w:val="center"/>
          </w:tcPr>
          <w:p w14:paraId="0D6DF40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lang w:val="en-US" w:eastAsia="zh-CN"/>
              </w:rPr>
              <w:t>12</w:t>
            </w:r>
          </w:p>
        </w:tc>
        <w:tc>
          <w:tcPr>
            <w:tcW w:w="0" w:type="auto"/>
            <w:noWrap w:val="0"/>
            <w:vAlign w:val="center"/>
          </w:tcPr>
          <w:p w14:paraId="1AEFBA1D">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color w:val="auto"/>
                <w:sz w:val="21"/>
                <w:szCs w:val="21"/>
                <w:lang w:val="en-US" w:eastAsia="zh-CN"/>
              </w:rPr>
              <w:t>7</w:t>
            </w:r>
            <w:r>
              <w:rPr>
                <w:color w:val="auto"/>
                <w:sz w:val="21"/>
                <w:szCs w:val="21"/>
                <w:lang w:val="en-US" w:eastAsia="zh-CN"/>
              </w:rPr>
              <w:t>#粉煤灰筒仓仓顶呼吸口</w:t>
            </w:r>
          </w:p>
        </w:tc>
        <w:tc>
          <w:tcPr>
            <w:tcW w:w="0" w:type="auto"/>
            <w:noWrap w:val="0"/>
            <w:vAlign w:val="center"/>
          </w:tcPr>
          <w:p w14:paraId="2CF59A5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脉冲布袋</w:t>
            </w:r>
          </w:p>
          <w:p w14:paraId="0526F57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除尘器</w:t>
            </w:r>
            <w:r>
              <w:rPr>
                <w:rFonts w:hint="eastAsia" w:ascii="Times New Roman" w:hAnsi="Times New Roman" w:eastAsia="宋体" w:cs="Times New Roman"/>
                <w:bCs/>
                <w:color w:val="auto"/>
                <w:kern w:val="21"/>
                <w:szCs w:val="21"/>
                <w:highlight w:val="none"/>
                <w:lang w:val="en-US" w:eastAsia="zh-CN"/>
              </w:rPr>
              <w:t>7#</w:t>
            </w:r>
          </w:p>
        </w:tc>
        <w:tc>
          <w:tcPr>
            <w:tcW w:w="0" w:type="auto"/>
            <w:vMerge w:val="continue"/>
            <w:noWrap w:val="0"/>
            <w:vAlign w:val="center"/>
          </w:tcPr>
          <w:p w14:paraId="639A4F1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450376C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720AAA4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0.036</w:t>
            </w:r>
          </w:p>
        </w:tc>
        <w:tc>
          <w:tcPr>
            <w:tcW w:w="1301" w:type="dxa"/>
            <w:noWrap w:val="0"/>
            <w:vAlign w:val="center"/>
          </w:tcPr>
          <w:p w14:paraId="4F6B8032">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w:t>
            </w:r>
          </w:p>
        </w:tc>
        <w:tc>
          <w:tcPr>
            <w:tcW w:w="1486" w:type="dxa"/>
            <w:noWrap w:val="0"/>
            <w:vAlign w:val="center"/>
          </w:tcPr>
          <w:p w14:paraId="21E2079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16.36</w:t>
            </w:r>
          </w:p>
        </w:tc>
        <w:tc>
          <w:tcPr>
            <w:tcW w:w="0" w:type="auto"/>
            <w:noWrap w:val="0"/>
            <w:vAlign w:val="center"/>
          </w:tcPr>
          <w:p w14:paraId="5E8C050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20</w:t>
            </w:r>
          </w:p>
        </w:tc>
        <w:tc>
          <w:tcPr>
            <w:tcW w:w="0" w:type="auto"/>
            <w:noWrap w:val="0"/>
            <w:vAlign w:val="center"/>
          </w:tcPr>
          <w:p w14:paraId="21F98F6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w:t>
            </w:r>
          </w:p>
        </w:tc>
      </w:tr>
      <w:tr w14:paraId="28837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vMerge w:val="continue"/>
            <w:noWrap w:val="0"/>
            <w:vAlign w:val="center"/>
          </w:tcPr>
          <w:p w14:paraId="5A77D80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2C8408D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eastAsia="zh-CN"/>
              </w:rPr>
            </w:pPr>
            <w:r>
              <w:rPr>
                <w:rFonts w:hint="eastAsia" w:cs="Times New Roman"/>
                <w:bCs/>
                <w:color w:val="auto"/>
                <w:kern w:val="21"/>
                <w:szCs w:val="21"/>
                <w:highlight w:val="none"/>
                <w:lang w:val="en-US" w:eastAsia="zh-CN"/>
              </w:rPr>
              <w:t>矿粉</w:t>
            </w:r>
            <w:r>
              <w:rPr>
                <w:rFonts w:hint="default" w:ascii="Times New Roman" w:hAnsi="Times New Roman" w:eastAsia="宋体" w:cs="Times New Roman"/>
                <w:bCs/>
                <w:color w:val="auto"/>
                <w:kern w:val="21"/>
                <w:szCs w:val="21"/>
                <w:highlight w:val="none"/>
              </w:rPr>
              <w:t>筒仓</w:t>
            </w:r>
            <w:r>
              <w:rPr>
                <w:rFonts w:hint="eastAsia" w:cs="Times New Roman"/>
                <w:bCs/>
                <w:color w:val="auto"/>
                <w:kern w:val="21"/>
                <w:szCs w:val="21"/>
                <w:highlight w:val="none"/>
                <w:lang w:eastAsia="zh-CN"/>
              </w:rPr>
              <w:t>（</w:t>
            </w:r>
            <w:r>
              <w:rPr>
                <w:rFonts w:hint="eastAsia" w:cs="Times New Roman"/>
                <w:bCs/>
                <w:color w:val="auto"/>
                <w:kern w:val="21"/>
                <w:szCs w:val="21"/>
                <w:highlight w:val="none"/>
                <w:lang w:val="en-US" w:eastAsia="zh-CN"/>
              </w:rPr>
              <w:t>8#</w:t>
            </w:r>
            <w:r>
              <w:rPr>
                <w:rFonts w:hint="eastAsia" w:cs="Times New Roman"/>
                <w:bCs/>
                <w:color w:val="auto"/>
                <w:kern w:val="21"/>
                <w:szCs w:val="21"/>
                <w:highlight w:val="none"/>
                <w:lang w:eastAsia="zh-CN"/>
              </w:rPr>
              <w:t>）</w:t>
            </w:r>
          </w:p>
        </w:tc>
        <w:tc>
          <w:tcPr>
            <w:tcW w:w="0" w:type="auto"/>
            <w:vMerge w:val="continue"/>
            <w:noWrap w:val="0"/>
            <w:vAlign w:val="center"/>
          </w:tcPr>
          <w:p w14:paraId="1410C8EC">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tcBorders>
              <w:bottom w:val="single" w:color="auto" w:sz="4" w:space="0"/>
            </w:tcBorders>
            <w:noWrap w:val="0"/>
            <w:vAlign w:val="center"/>
          </w:tcPr>
          <w:p w14:paraId="01D823F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lang w:val="en-US" w:eastAsia="zh-CN"/>
              </w:rPr>
              <w:t>12</w:t>
            </w:r>
          </w:p>
        </w:tc>
        <w:tc>
          <w:tcPr>
            <w:tcW w:w="0" w:type="auto"/>
            <w:tcBorders>
              <w:bottom w:val="single" w:color="auto" w:sz="4" w:space="0"/>
            </w:tcBorders>
            <w:noWrap w:val="0"/>
            <w:vAlign w:val="center"/>
          </w:tcPr>
          <w:p w14:paraId="7ECEBDE0">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color w:val="auto"/>
                <w:sz w:val="21"/>
                <w:szCs w:val="21"/>
                <w:lang w:val="en-US" w:eastAsia="zh-CN"/>
              </w:rPr>
              <w:t>8</w:t>
            </w:r>
            <w:r>
              <w:rPr>
                <w:color w:val="auto"/>
                <w:sz w:val="21"/>
                <w:szCs w:val="21"/>
                <w:lang w:val="en-US" w:eastAsia="zh-CN"/>
              </w:rPr>
              <w:t>#</w:t>
            </w:r>
            <w:r>
              <w:rPr>
                <w:rFonts w:hint="eastAsia"/>
                <w:color w:val="auto"/>
                <w:sz w:val="21"/>
                <w:szCs w:val="21"/>
                <w:lang w:val="en-US" w:eastAsia="zh-CN"/>
              </w:rPr>
              <w:t>矿粉</w:t>
            </w:r>
            <w:r>
              <w:rPr>
                <w:color w:val="auto"/>
                <w:sz w:val="21"/>
                <w:szCs w:val="21"/>
                <w:lang w:val="en-US" w:eastAsia="zh-CN"/>
              </w:rPr>
              <w:t>筒仓仓顶呼吸口</w:t>
            </w:r>
          </w:p>
        </w:tc>
        <w:tc>
          <w:tcPr>
            <w:tcW w:w="0" w:type="auto"/>
            <w:noWrap w:val="0"/>
            <w:vAlign w:val="center"/>
          </w:tcPr>
          <w:p w14:paraId="502C0D8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脉冲布袋</w:t>
            </w:r>
          </w:p>
          <w:p w14:paraId="484A761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除尘器</w:t>
            </w:r>
            <w:r>
              <w:rPr>
                <w:rFonts w:hint="eastAsia" w:ascii="Times New Roman" w:hAnsi="Times New Roman" w:eastAsia="宋体" w:cs="Times New Roman"/>
                <w:bCs/>
                <w:color w:val="auto"/>
                <w:kern w:val="21"/>
                <w:szCs w:val="21"/>
                <w:highlight w:val="none"/>
                <w:lang w:val="en-US" w:eastAsia="zh-CN"/>
              </w:rPr>
              <w:t>8#</w:t>
            </w:r>
          </w:p>
        </w:tc>
        <w:tc>
          <w:tcPr>
            <w:tcW w:w="0" w:type="auto"/>
            <w:vMerge w:val="continue"/>
            <w:noWrap w:val="0"/>
            <w:vAlign w:val="center"/>
          </w:tcPr>
          <w:p w14:paraId="4D5200B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vMerge w:val="continue"/>
            <w:noWrap w:val="0"/>
            <w:vAlign w:val="center"/>
          </w:tcPr>
          <w:p w14:paraId="6EAE873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noWrap w:val="0"/>
            <w:vAlign w:val="center"/>
          </w:tcPr>
          <w:p w14:paraId="57A1FB1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0.036</w:t>
            </w:r>
          </w:p>
        </w:tc>
        <w:tc>
          <w:tcPr>
            <w:tcW w:w="1301" w:type="dxa"/>
            <w:noWrap w:val="0"/>
            <w:vAlign w:val="center"/>
          </w:tcPr>
          <w:p w14:paraId="7396E859">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w:t>
            </w:r>
          </w:p>
        </w:tc>
        <w:tc>
          <w:tcPr>
            <w:tcW w:w="1486" w:type="dxa"/>
            <w:noWrap w:val="0"/>
            <w:vAlign w:val="center"/>
          </w:tcPr>
          <w:p w14:paraId="4CFD532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16.36</w:t>
            </w:r>
          </w:p>
        </w:tc>
        <w:tc>
          <w:tcPr>
            <w:tcW w:w="0" w:type="auto"/>
            <w:noWrap w:val="0"/>
            <w:vAlign w:val="center"/>
          </w:tcPr>
          <w:p w14:paraId="6AB81CC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20</w:t>
            </w:r>
          </w:p>
        </w:tc>
        <w:tc>
          <w:tcPr>
            <w:tcW w:w="0" w:type="auto"/>
            <w:noWrap w:val="0"/>
            <w:vAlign w:val="center"/>
          </w:tcPr>
          <w:p w14:paraId="5FC49993">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w:t>
            </w:r>
          </w:p>
        </w:tc>
      </w:tr>
      <w:tr w14:paraId="53C37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0" w:type="auto"/>
            <w:vMerge w:val="continue"/>
            <w:noWrap w:val="0"/>
            <w:vAlign w:val="center"/>
          </w:tcPr>
          <w:p w14:paraId="67F012BD">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tcBorders>
              <w:bottom w:val="single" w:color="auto" w:sz="4" w:space="0"/>
            </w:tcBorders>
            <w:noWrap w:val="0"/>
            <w:vAlign w:val="center"/>
          </w:tcPr>
          <w:p w14:paraId="4AE786C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投料</w:t>
            </w:r>
          </w:p>
        </w:tc>
        <w:tc>
          <w:tcPr>
            <w:tcW w:w="0" w:type="auto"/>
            <w:vMerge w:val="continue"/>
            <w:tcBorders>
              <w:bottom w:val="single" w:color="000000" w:sz="4" w:space="0"/>
            </w:tcBorders>
            <w:noWrap w:val="0"/>
            <w:vAlign w:val="center"/>
          </w:tcPr>
          <w:p w14:paraId="03B0A72E">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p>
        </w:tc>
        <w:tc>
          <w:tcPr>
            <w:tcW w:w="0" w:type="auto"/>
            <w:tcBorders>
              <w:bottom w:val="single" w:color="auto" w:sz="4" w:space="0"/>
            </w:tcBorders>
            <w:noWrap w:val="0"/>
            <w:vAlign w:val="center"/>
          </w:tcPr>
          <w:p w14:paraId="444ECAC4">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lang w:val="en-US" w:eastAsia="zh-CN"/>
              </w:rPr>
              <w:t>13</w:t>
            </w:r>
          </w:p>
        </w:tc>
        <w:tc>
          <w:tcPr>
            <w:tcW w:w="0" w:type="auto"/>
            <w:tcBorders>
              <w:bottom w:val="single" w:color="auto" w:sz="4" w:space="0"/>
            </w:tcBorders>
            <w:noWrap w:val="0"/>
            <w:vAlign w:val="center"/>
          </w:tcPr>
          <w:p w14:paraId="1AD0AD06">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w:t>
            </w:r>
          </w:p>
        </w:tc>
        <w:tc>
          <w:tcPr>
            <w:tcW w:w="0" w:type="auto"/>
            <w:tcBorders>
              <w:bottom w:val="single" w:color="auto" w:sz="4" w:space="0"/>
            </w:tcBorders>
            <w:noWrap w:val="0"/>
            <w:vAlign w:val="center"/>
          </w:tcPr>
          <w:p w14:paraId="2C7D6D75">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集气罩+布袋除尘器</w:t>
            </w:r>
          </w:p>
        </w:tc>
        <w:tc>
          <w:tcPr>
            <w:tcW w:w="0" w:type="auto"/>
            <w:tcBorders>
              <w:bottom w:val="single" w:color="auto" w:sz="4" w:space="0"/>
            </w:tcBorders>
            <w:noWrap w:val="0"/>
            <w:vAlign w:val="center"/>
          </w:tcPr>
          <w:p w14:paraId="111B82E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99.7%</w:t>
            </w:r>
          </w:p>
        </w:tc>
        <w:tc>
          <w:tcPr>
            <w:tcW w:w="0" w:type="auto"/>
            <w:tcBorders>
              <w:bottom w:val="single" w:color="auto" w:sz="4" w:space="0"/>
            </w:tcBorders>
            <w:noWrap w:val="0"/>
            <w:vAlign w:val="center"/>
          </w:tcPr>
          <w:p w14:paraId="7DD6F69A">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是</w:t>
            </w:r>
          </w:p>
        </w:tc>
        <w:tc>
          <w:tcPr>
            <w:tcW w:w="0" w:type="auto"/>
            <w:noWrap w:val="0"/>
            <w:vAlign w:val="center"/>
          </w:tcPr>
          <w:p w14:paraId="506D3497">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rPr>
            </w:pPr>
            <w:r>
              <w:rPr>
                <w:rFonts w:hint="eastAsia" w:ascii="Times New Roman" w:hAnsi="Times New Roman" w:eastAsia="宋体" w:cs="Times New Roman"/>
                <w:bCs/>
                <w:color w:val="auto"/>
                <w:kern w:val="21"/>
                <w:szCs w:val="21"/>
                <w:highlight w:val="none"/>
                <w:lang w:val="en-US" w:eastAsia="zh-CN"/>
              </w:rPr>
              <w:t>0.0351</w:t>
            </w:r>
          </w:p>
        </w:tc>
        <w:tc>
          <w:tcPr>
            <w:tcW w:w="1301" w:type="dxa"/>
            <w:noWrap w:val="0"/>
            <w:vAlign w:val="center"/>
          </w:tcPr>
          <w:p w14:paraId="2B41887F">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0.074</w:t>
            </w:r>
          </w:p>
        </w:tc>
        <w:tc>
          <w:tcPr>
            <w:tcW w:w="1486" w:type="dxa"/>
            <w:noWrap w:val="0"/>
            <w:vAlign w:val="center"/>
          </w:tcPr>
          <w:p w14:paraId="45033070">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w:t>
            </w:r>
          </w:p>
        </w:tc>
        <w:tc>
          <w:tcPr>
            <w:tcW w:w="0" w:type="auto"/>
            <w:noWrap w:val="0"/>
            <w:vAlign w:val="center"/>
          </w:tcPr>
          <w:p w14:paraId="46F777BB">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0.5</w:t>
            </w:r>
          </w:p>
        </w:tc>
        <w:tc>
          <w:tcPr>
            <w:tcW w:w="0" w:type="auto"/>
            <w:noWrap w:val="0"/>
            <w:vAlign w:val="center"/>
          </w:tcPr>
          <w:p w14:paraId="052D78C1">
            <w:pPr>
              <w:keepNext w:val="0"/>
              <w:keepLines w:val="0"/>
              <w:pageBreakBefore w:val="0"/>
              <w:widowControl w:val="0"/>
              <w:tabs>
                <w:tab w:val="left" w:pos="0"/>
              </w:tabs>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Cs/>
                <w:color w:val="auto"/>
                <w:kern w:val="21"/>
                <w:szCs w:val="21"/>
                <w:highlight w:val="none"/>
                <w:lang w:val="en-US" w:eastAsia="zh-CN"/>
              </w:rPr>
            </w:pPr>
            <w:r>
              <w:rPr>
                <w:rFonts w:hint="eastAsia" w:ascii="Times New Roman" w:hAnsi="Times New Roman" w:eastAsia="宋体" w:cs="Times New Roman"/>
                <w:bCs/>
                <w:color w:val="auto"/>
                <w:kern w:val="21"/>
                <w:szCs w:val="21"/>
                <w:highlight w:val="none"/>
                <w:lang w:val="en-US" w:eastAsia="zh-CN"/>
              </w:rPr>
              <w:t>达标</w:t>
            </w:r>
          </w:p>
        </w:tc>
      </w:tr>
    </w:tbl>
    <w:p w14:paraId="263DFF3A">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firstLine="0" w:firstLineChars="0"/>
        <w:jc w:val="both"/>
        <w:textAlignment w:val="auto"/>
        <w:outlineLvl w:val="0"/>
        <w:rPr>
          <w:rFonts w:hint="default" w:ascii="Times New Roman" w:hAnsi="Times New Roman" w:eastAsia="宋体" w:cs="Times New Roman"/>
          <w:b/>
          <w:bCs/>
          <w:snapToGrid w:val="0"/>
          <w:color w:val="auto"/>
          <w:sz w:val="30"/>
          <w:szCs w:val="30"/>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29"/>
        <w:tblW w:w="9573"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229"/>
      </w:tblGrid>
      <w:tr w14:paraId="7AF0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vAlign w:val="center"/>
          </w:tcPr>
          <w:p w14:paraId="57BF71C5">
            <w:pPr>
              <w:keepNext w:val="0"/>
              <w:keepLines w:val="0"/>
              <w:pageBreakBefore w:val="0"/>
              <w:kinsoku/>
              <w:wordWrap/>
              <w:overflowPunct/>
              <w:topLinePunct w:val="0"/>
              <w:bidi w:val="0"/>
              <w:adjustRightInd w:val="0"/>
              <w:snapToGrid w:val="0"/>
              <w:ind w:left="0" w:leftChars="0" w:right="0" w:rightChars="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14:paraId="272DF8A1">
            <w:pPr>
              <w:keepNext w:val="0"/>
              <w:keepLines w:val="0"/>
              <w:pageBreakBefore w:val="0"/>
              <w:kinsoku/>
              <w:wordWrap/>
              <w:overflowPunct/>
              <w:topLinePunct w:val="0"/>
              <w:bidi w:val="0"/>
              <w:adjustRightInd w:val="0"/>
              <w:snapToGrid w:val="0"/>
              <w:ind w:left="0" w:leftChars="0" w:right="0" w:rightChars="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14:paraId="564972DE">
            <w:pPr>
              <w:keepNext w:val="0"/>
              <w:keepLines w:val="0"/>
              <w:pageBreakBefore w:val="0"/>
              <w:kinsoku/>
              <w:wordWrap/>
              <w:overflowPunct/>
              <w:topLinePunct w:val="0"/>
              <w:bidi w:val="0"/>
              <w:adjustRightInd w:val="0"/>
              <w:snapToGrid w:val="0"/>
              <w:ind w:left="0" w:leftChars="0" w:right="0" w:rightChars="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14:paraId="1B705643">
            <w:pPr>
              <w:keepNext w:val="0"/>
              <w:keepLines w:val="0"/>
              <w:pageBreakBefore w:val="0"/>
              <w:kinsoku/>
              <w:wordWrap/>
              <w:overflowPunct/>
              <w:topLinePunct w:val="0"/>
              <w:bidi w:val="0"/>
              <w:adjustRightInd w:val="0"/>
              <w:snapToGrid w:val="0"/>
              <w:ind w:left="0" w:leftChars="0" w:right="0" w:rightChars="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14:paraId="61EA635D">
            <w:pPr>
              <w:keepNext w:val="0"/>
              <w:keepLines w:val="0"/>
              <w:pageBreakBefore w:val="0"/>
              <w:kinsoku/>
              <w:wordWrap/>
              <w:overflowPunct/>
              <w:topLinePunct w:val="0"/>
              <w:bidi w:val="0"/>
              <w:adjustRightInd w:val="0"/>
              <w:snapToGrid w:val="0"/>
              <w:ind w:left="0" w:leftChars="0" w:right="0" w:rightChars="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14:paraId="652EA889">
            <w:pPr>
              <w:keepNext w:val="0"/>
              <w:keepLines w:val="0"/>
              <w:pageBreakBefore w:val="0"/>
              <w:kinsoku/>
              <w:wordWrap/>
              <w:overflowPunct/>
              <w:topLinePunct w:val="0"/>
              <w:bidi w:val="0"/>
              <w:adjustRightInd w:val="0"/>
              <w:snapToGrid w:val="0"/>
              <w:ind w:left="0" w:leftChars="0" w:right="0" w:rightChars="0" w:firstLine="0" w:firstLineChars="0"/>
              <w:jc w:val="center"/>
              <w:textAlignment w:val="auto"/>
              <w:rPr>
                <w:rFonts w:hint="default" w:ascii="Times New Roman" w:hAnsi="Times New Roman" w:eastAsia="宋体" w:cs="Times New Roman"/>
                <w:b/>
                <w:bCs/>
                <w:snapToGrid w:val="0"/>
                <w:color w:val="auto"/>
                <w:sz w:val="30"/>
                <w:szCs w:val="30"/>
                <w:highlight w:val="none"/>
                <w:vertAlign w:val="baseline"/>
              </w:rPr>
            </w:pPr>
            <w:r>
              <w:rPr>
                <w:rFonts w:hint="default" w:ascii="Times New Roman" w:hAnsi="Times New Roman" w:eastAsia="宋体" w:cs="Times New Roman"/>
                <w:bCs/>
                <w:color w:val="auto"/>
                <w:sz w:val="24"/>
                <w:szCs w:val="24"/>
                <w:highlight w:val="none"/>
              </w:rPr>
              <w:t>措施</w:t>
            </w:r>
          </w:p>
        </w:tc>
        <w:tc>
          <w:tcPr>
            <w:tcW w:w="9191" w:type="dxa"/>
          </w:tcPr>
          <w:p w14:paraId="266B292A">
            <w:pPr>
              <w:widowControl/>
              <w:spacing w:line="360" w:lineRule="auto"/>
              <w:ind w:firstLine="482" w:firstLineChars="200"/>
              <w:jc w:val="both"/>
              <w:rPr>
                <w:rFonts w:ascii="Times New Roman" w:hAnsi="Times New Roman" w:eastAsia="宋体" w:cs="Times New Roman"/>
                <w:b/>
                <w:bCs/>
                <w:color w:val="auto"/>
                <w:sz w:val="24"/>
              </w:rPr>
            </w:pPr>
            <w:r>
              <w:rPr>
                <w:rFonts w:hint="default" w:ascii="Times New Roman" w:hAnsi="Times New Roman" w:eastAsia="宋体" w:cs="Times New Roman"/>
                <w:b/>
                <w:bCs/>
                <w:color w:val="auto"/>
                <w:sz w:val="24"/>
              </w:rPr>
              <w:t>（</w:t>
            </w:r>
            <w:r>
              <w:rPr>
                <w:rFonts w:hint="eastAsia" w:cs="Times New Roman"/>
                <w:b/>
                <w:bCs/>
                <w:color w:val="auto"/>
                <w:sz w:val="24"/>
                <w:lang w:val="en-US" w:eastAsia="zh-CN"/>
              </w:rPr>
              <w:t>三</w:t>
            </w:r>
            <w:r>
              <w:rPr>
                <w:rFonts w:hint="default" w:ascii="Times New Roman" w:hAnsi="Times New Roman" w:eastAsia="宋体" w:cs="Times New Roman"/>
                <w:b/>
                <w:bCs/>
                <w:color w:val="auto"/>
                <w:sz w:val="24"/>
              </w:rPr>
              <w:t>）</w:t>
            </w:r>
            <w:r>
              <w:rPr>
                <w:rFonts w:ascii="Times New Roman" w:hAnsi="Times New Roman" w:eastAsia="宋体" w:cs="Times New Roman"/>
                <w:b/>
                <w:bCs/>
                <w:color w:val="auto"/>
                <w:sz w:val="24"/>
              </w:rPr>
              <w:t>废气排放口设置情况</w:t>
            </w:r>
          </w:p>
          <w:p w14:paraId="6012AEB3">
            <w:pPr>
              <w:widowControl/>
              <w:spacing w:line="360" w:lineRule="auto"/>
              <w:ind w:firstLine="480" w:firstLineChars="200"/>
              <w:jc w:val="both"/>
              <w:rPr>
                <w:rFonts w:ascii="Times New Roman" w:hAnsi="Times New Roman" w:eastAsia="宋体" w:cs="Times New Roman"/>
                <w:color w:val="auto"/>
                <w:sz w:val="24"/>
                <w:lang w:val="en-US" w:eastAsia="zh-CN"/>
              </w:rPr>
            </w:pPr>
            <w:r>
              <w:rPr>
                <w:rFonts w:hint="eastAsia" w:cs="Times New Roman"/>
                <w:color w:val="auto"/>
                <w:sz w:val="24"/>
                <w:lang w:val="en-US" w:eastAsia="zh-CN"/>
              </w:rPr>
              <w:t>扩建完成后全厂</w:t>
            </w:r>
            <w:r>
              <w:rPr>
                <w:rFonts w:ascii="Times New Roman" w:hAnsi="Times New Roman" w:eastAsia="宋体" w:cs="Times New Roman"/>
                <w:color w:val="auto"/>
                <w:sz w:val="24"/>
                <w:lang w:val="en-US" w:eastAsia="zh-CN"/>
              </w:rPr>
              <w:t>废气排放口设置情况见表4-5。</w:t>
            </w:r>
          </w:p>
          <w:p w14:paraId="30FE7230">
            <w:pPr>
              <w:adjustRightInd w:val="0"/>
              <w:snapToGrid w:val="0"/>
              <w:jc w:val="center"/>
              <w:rPr>
                <w:b/>
                <w:color w:val="auto"/>
                <w:szCs w:val="21"/>
              </w:rPr>
            </w:pPr>
            <w:r>
              <w:rPr>
                <w:b/>
                <w:color w:val="auto"/>
                <w:szCs w:val="21"/>
              </w:rPr>
              <w:t xml:space="preserve">表4-5  </w:t>
            </w:r>
            <w:r>
              <w:rPr>
                <w:rFonts w:hint="eastAsia"/>
                <w:b/>
                <w:color w:val="auto"/>
                <w:szCs w:val="21"/>
                <w:lang w:val="en-US" w:eastAsia="zh-CN"/>
              </w:rPr>
              <w:t xml:space="preserve"> </w:t>
            </w:r>
            <w:r>
              <w:rPr>
                <w:b/>
                <w:color w:val="auto"/>
                <w:szCs w:val="21"/>
              </w:rPr>
              <w:t>废气排放口基本情况</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26"/>
              <w:gridCol w:w="427"/>
              <w:gridCol w:w="835"/>
              <w:gridCol w:w="427"/>
              <w:gridCol w:w="450"/>
              <w:gridCol w:w="584"/>
              <w:gridCol w:w="584"/>
              <w:gridCol w:w="427"/>
              <w:gridCol w:w="2579"/>
              <w:gridCol w:w="1838"/>
            </w:tblGrid>
            <w:tr w14:paraId="7FF1E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4" w:type="pct"/>
                  <w:gridSpan w:val="2"/>
                  <w:noWrap w:val="0"/>
                  <w:vAlign w:val="center"/>
                </w:tcPr>
                <w:p w14:paraId="55F4F3AD">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b/>
                      <w:bCs w:val="0"/>
                      <w:color w:val="auto"/>
                      <w:sz w:val="21"/>
                      <w:szCs w:val="21"/>
                      <w:lang w:val="en-US" w:eastAsia="zh-CN"/>
                    </w:rPr>
                  </w:pPr>
                  <w:r>
                    <w:rPr>
                      <w:rFonts w:hint="eastAsia"/>
                      <w:b/>
                      <w:bCs w:val="0"/>
                      <w:color w:val="auto"/>
                      <w:sz w:val="21"/>
                      <w:szCs w:val="21"/>
                      <w:lang w:val="en-US" w:eastAsia="zh-CN"/>
                    </w:rPr>
                    <w:t>排放口设置情况</w:t>
                  </w:r>
                </w:p>
              </w:tc>
              <w:tc>
                <w:tcPr>
                  <w:tcW w:w="392" w:type="pct"/>
                  <w:noWrap w:val="0"/>
                  <w:vAlign w:val="center"/>
                </w:tcPr>
                <w:p w14:paraId="7B7AF90A">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排放口名称</w:t>
                  </w:r>
                </w:p>
              </w:tc>
              <w:tc>
                <w:tcPr>
                  <w:tcW w:w="469" w:type="pct"/>
                  <w:noWrap w:val="0"/>
                  <w:vAlign w:val="center"/>
                </w:tcPr>
                <w:p w14:paraId="74B4DBB4">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排放口编号</w:t>
                  </w:r>
                </w:p>
              </w:tc>
              <w:tc>
                <w:tcPr>
                  <w:tcW w:w="242" w:type="pct"/>
                  <w:noWrap w:val="0"/>
                  <w:vAlign w:val="center"/>
                </w:tcPr>
                <w:p w14:paraId="43F2377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污染物</w:t>
                  </w:r>
                </w:p>
              </w:tc>
              <w:tc>
                <w:tcPr>
                  <w:tcW w:w="253" w:type="pct"/>
                  <w:noWrap w:val="0"/>
                  <w:vAlign w:val="center"/>
                </w:tcPr>
                <w:p w14:paraId="5C38505B">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高度/m</w:t>
                  </w:r>
                </w:p>
              </w:tc>
              <w:tc>
                <w:tcPr>
                  <w:tcW w:w="328" w:type="pct"/>
                  <w:noWrap w:val="0"/>
                  <w:vAlign w:val="center"/>
                </w:tcPr>
                <w:p w14:paraId="72FF294F">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内径/m</w:t>
                  </w:r>
                </w:p>
              </w:tc>
              <w:tc>
                <w:tcPr>
                  <w:tcW w:w="329" w:type="pct"/>
                  <w:noWrap w:val="0"/>
                  <w:vAlign w:val="center"/>
                </w:tcPr>
                <w:p w14:paraId="64288C6E">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温度/℃</w:t>
                  </w:r>
                </w:p>
              </w:tc>
              <w:tc>
                <w:tcPr>
                  <w:tcW w:w="240" w:type="pct"/>
                  <w:noWrap w:val="0"/>
                  <w:vAlign w:val="center"/>
                </w:tcPr>
                <w:p w14:paraId="3D9F9280">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类型</w:t>
                  </w:r>
                </w:p>
              </w:tc>
              <w:tc>
                <w:tcPr>
                  <w:tcW w:w="921" w:type="pct"/>
                  <w:noWrap w:val="0"/>
                  <w:vAlign w:val="center"/>
                </w:tcPr>
                <w:p w14:paraId="5C84164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坐标</w:t>
                  </w:r>
                </w:p>
              </w:tc>
              <w:tc>
                <w:tcPr>
                  <w:tcW w:w="1037" w:type="pct"/>
                  <w:noWrap w:val="0"/>
                  <w:vAlign w:val="center"/>
                </w:tcPr>
                <w:p w14:paraId="052A6F89">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b/>
                      <w:bCs w:val="0"/>
                      <w:color w:val="auto"/>
                      <w:sz w:val="21"/>
                      <w:szCs w:val="21"/>
                      <w:lang w:val="en-US" w:eastAsia="zh-CN"/>
                    </w:rPr>
                  </w:pPr>
                  <w:r>
                    <w:rPr>
                      <w:b/>
                      <w:bCs w:val="0"/>
                      <w:color w:val="auto"/>
                      <w:sz w:val="21"/>
                      <w:szCs w:val="21"/>
                      <w:lang w:val="en-US" w:eastAsia="zh-CN"/>
                    </w:rPr>
                    <w:t>排放标准</w:t>
                  </w:r>
                </w:p>
              </w:tc>
            </w:tr>
            <w:tr w14:paraId="6C4CB8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restart"/>
                  <w:noWrap w:val="0"/>
                  <w:vAlign w:val="center"/>
                </w:tcPr>
                <w:p w14:paraId="4A44C0C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扩建完成后全厂废气排放口</w:t>
                  </w:r>
                </w:p>
              </w:tc>
              <w:tc>
                <w:tcPr>
                  <w:tcW w:w="394" w:type="pct"/>
                  <w:vMerge w:val="restart"/>
                  <w:noWrap w:val="0"/>
                  <w:vAlign w:val="center"/>
                </w:tcPr>
                <w:p w14:paraId="5FD71BD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现有项目废气排放口</w:t>
                  </w:r>
                </w:p>
              </w:tc>
              <w:tc>
                <w:tcPr>
                  <w:tcW w:w="392" w:type="pct"/>
                  <w:noWrap w:val="0"/>
                  <w:vAlign w:val="center"/>
                </w:tcPr>
                <w:p w14:paraId="134DA97A">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1</w:t>
                  </w:r>
                  <w:r>
                    <w:rPr>
                      <w:color w:val="auto"/>
                      <w:sz w:val="21"/>
                      <w:szCs w:val="21"/>
                      <w:lang w:val="en-US" w:eastAsia="zh-CN"/>
                    </w:rPr>
                    <w:t>#水泥筒仓仓顶呼吸口</w:t>
                  </w:r>
                </w:p>
              </w:tc>
              <w:tc>
                <w:tcPr>
                  <w:tcW w:w="469" w:type="pct"/>
                  <w:noWrap w:val="0"/>
                  <w:vAlign w:val="center"/>
                </w:tcPr>
                <w:p w14:paraId="39EDD971">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color w:val="auto"/>
                      <w:sz w:val="21"/>
                      <w:szCs w:val="21"/>
                      <w:lang w:val="en-US" w:eastAsia="zh-CN"/>
                    </w:rPr>
                    <w:t>DA00</w:t>
                  </w:r>
                  <w:r>
                    <w:rPr>
                      <w:rFonts w:hint="eastAsia"/>
                      <w:color w:val="auto"/>
                      <w:sz w:val="21"/>
                      <w:szCs w:val="21"/>
                      <w:lang w:val="en-US" w:eastAsia="zh-CN"/>
                    </w:rPr>
                    <w:t>1</w:t>
                  </w:r>
                </w:p>
              </w:tc>
              <w:tc>
                <w:tcPr>
                  <w:tcW w:w="242" w:type="pct"/>
                  <w:vMerge w:val="restart"/>
                  <w:noWrap w:val="0"/>
                  <w:vAlign w:val="center"/>
                </w:tcPr>
                <w:p w14:paraId="04112902">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粉尘</w:t>
                  </w:r>
                </w:p>
              </w:tc>
              <w:tc>
                <w:tcPr>
                  <w:tcW w:w="253" w:type="pct"/>
                  <w:noWrap w:val="0"/>
                  <w:vAlign w:val="center"/>
                </w:tcPr>
                <w:p w14:paraId="2BBB7862">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18</w:t>
                  </w:r>
                </w:p>
              </w:tc>
              <w:tc>
                <w:tcPr>
                  <w:tcW w:w="328" w:type="pct"/>
                  <w:noWrap w:val="0"/>
                  <w:vAlign w:val="center"/>
                </w:tcPr>
                <w:p w14:paraId="3C340371">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0.25</w:t>
                  </w:r>
                </w:p>
              </w:tc>
              <w:tc>
                <w:tcPr>
                  <w:tcW w:w="329" w:type="pct"/>
                  <w:noWrap w:val="0"/>
                  <w:vAlign w:val="center"/>
                </w:tcPr>
                <w:p w14:paraId="16F8852E">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color w:val="auto"/>
                      <w:sz w:val="21"/>
                      <w:szCs w:val="21"/>
                      <w:lang w:val="en-US" w:eastAsia="zh-CN"/>
                    </w:rPr>
                    <w:t>22.0</w:t>
                  </w:r>
                </w:p>
              </w:tc>
              <w:tc>
                <w:tcPr>
                  <w:tcW w:w="240" w:type="pct"/>
                  <w:vMerge w:val="restart"/>
                  <w:noWrap w:val="0"/>
                  <w:vAlign w:val="center"/>
                </w:tcPr>
                <w:p w14:paraId="4251953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一般排放口</w:t>
                  </w:r>
                </w:p>
              </w:tc>
              <w:tc>
                <w:tcPr>
                  <w:tcW w:w="921" w:type="pct"/>
                  <w:noWrap w:val="0"/>
                  <w:vAlign w:val="center"/>
                </w:tcPr>
                <w:p w14:paraId="3A5847D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103.22097570,25.54967967</w:t>
                  </w:r>
                </w:p>
              </w:tc>
              <w:tc>
                <w:tcPr>
                  <w:tcW w:w="1037" w:type="pct"/>
                  <w:vMerge w:val="restart"/>
                  <w:noWrap w:val="0"/>
                  <w:vAlign w:val="center"/>
                </w:tcPr>
                <w:p w14:paraId="4346ED4A">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《水泥工业大气污染物排放标准》（GB4915-2013）表1中颗粒物排放浓度限值（20mg/m</w:t>
                  </w:r>
                  <w:r>
                    <w:rPr>
                      <w:color w:val="auto"/>
                      <w:sz w:val="21"/>
                      <w:szCs w:val="21"/>
                      <w:vertAlign w:val="superscript"/>
                      <w:lang w:val="en-US" w:eastAsia="zh-CN"/>
                    </w:rPr>
                    <w:t>3</w:t>
                  </w:r>
                  <w:r>
                    <w:rPr>
                      <w:color w:val="auto"/>
                      <w:sz w:val="21"/>
                      <w:szCs w:val="21"/>
                      <w:lang w:val="en-US" w:eastAsia="zh-CN"/>
                    </w:rPr>
                    <w:t>）</w:t>
                  </w:r>
                </w:p>
              </w:tc>
            </w:tr>
            <w:tr w14:paraId="400FE5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continue"/>
                  <w:noWrap w:val="0"/>
                  <w:vAlign w:val="center"/>
                </w:tcPr>
                <w:p w14:paraId="271907F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continue"/>
                  <w:noWrap w:val="0"/>
                  <w:vAlign w:val="center"/>
                </w:tcPr>
                <w:p w14:paraId="1B2425D3">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2" w:type="pct"/>
                  <w:noWrap w:val="0"/>
                  <w:vAlign w:val="center"/>
                </w:tcPr>
                <w:p w14:paraId="4E1DD4F2">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2</w:t>
                  </w:r>
                  <w:r>
                    <w:rPr>
                      <w:color w:val="auto"/>
                      <w:sz w:val="21"/>
                      <w:szCs w:val="21"/>
                      <w:lang w:val="en-US" w:eastAsia="zh-CN"/>
                    </w:rPr>
                    <w:t>#水泥筒仓仓顶呼吸口</w:t>
                  </w:r>
                </w:p>
              </w:tc>
              <w:tc>
                <w:tcPr>
                  <w:tcW w:w="469" w:type="pct"/>
                  <w:noWrap w:val="0"/>
                  <w:vAlign w:val="center"/>
                </w:tcPr>
                <w:p w14:paraId="61723DFE">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color w:val="auto"/>
                      <w:sz w:val="21"/>
                      <w:szCs w:val="21"/>
                      <w:lang w:val="en-US" w:eastAsia="zh-CN"/>
                    </w:rPr>
                    <w:t>DA00</w:t>
                  </w:r>
                  <w:r>
                    <w:rPr>
                      <w:rFonts w:hint="eastAsia"/>
                      <w:color w:val="auto"/>
                      <w:sz w:val="21"/>
                      <w:szCs w:val="21"/>
                      <w:lang w:val="en-US" w:eastAsia="zh-CN"/>
                    </w:rPr>
                    <w:t>2</w:t>
                  </w:r>
                </w:p>
              </w:tc>
              <w:tc>
                <w:tcPr>
                  <w:tcW w:w="242" w:type="pct"/>
                  <w:vMerge w:val="continue"/>
                  <w:noWrap w:val="0"/>
                  <w:vAlign w:val="center"/>
                </w:tcPr>
                <w:p w14:paraId="4DAAC81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1369432A">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28" w:type="pct"/>
                  <w:noWrap w:val="0"/>
                  <w:vAlign w:val="center"/>
                </w:tcPr>
                <w:p w14:paraId="377DD116">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0.25</w:t>
                  </w:r>
                </w:p>
              </w:tc>
              <w:tc>
                <w:tcPr>
                  <w:tcW w:w="329" w:type="pct"/>
                  <w:noWrap w:val="0"/>
                  <w:vAlign w:val="center"/>
                </w:tcPr>
                <w:p w14:paraId="477E109B">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240" w:type="pct"/>
                  <w:vMerge w:val="continue"/>
                  <w:noWrap w:val="0"/>
                  <w:vAlign w:val="center"/>
                </w:tcPr>
                <w:p w14:paraId="4CC56B0B">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36E25937">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103.22094083,25.54972323</w:t>
                  </w:r>
                </w:p>
              </w:tc>
              <w:tc>
                <w:tcPr>
                  <w:tcW w:w="1037" w:type="pct"/>
                  <w:vMerge w:val="continue"/>
                  <w:noWrap w:val="0"/>
                  <w:vAlign w:val="center"/>
                </w:tcPr>
                <w:p w14:paraId="768F22F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r w14:paraId="17E019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continue"/>
                  <w:noWrap w:val="0"/>
                  <w:vAlign w:val="center"/>
                </w:tcPr>
                <w:p w14:paraId="56A268AC">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continue"/>
                  <w:noWrap w:val="0"/>
                  <w:vAlign w:val="center"/>
                </w:tcPr>
                <w:p w14:paraId="5BCB8F97">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2" w:type="pct"/>
                  <w:noWrap w:val="0"/>
                  <w:vAlign w:val="center"/>
                </w:tcPr>
                <w:p w14:paraId="5527C1F9">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3</w:t>
                  </w:r>
                  <w:r>
                    <w:rPr>
                      <w:color w:val="auto"/>
                      <w:sz w:val="21"/>
                      <w:szCs w:val="21"/>
                      <w:lang w:val="en-US" w:eastAsia="zh-CN"/>
                    </w:rPr>
                    <w:t>#粉煤灰筒仓仓顶呼吸口</w:t>
                  </w:r>
                </w:p>
              </w:tc>
              <w:tc>
                <w:tcPr>
                  <w:tcW w:w="469" w:type="pct"/>
                  <w:noWrap w:val="0"/>
                  <w:vAlign w:val="center"/>
                </w:tcPr>
                <w:p w14:paraId="2DA81122">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color w:val="auto"/>
                      <w:sz w:val="21"/>
                      <w:szCs w:val="21"/>
                      <w:lang w:val="en-US" w:eastAsia="zh-CN"/>
                    </w:rPr>
                    <w:t>DA00</w:t>
                  </w:r>
                  <w:r>
                    <w:rPr>
                      <w:rFonts w:hint="eastAsia"/>
                      <w:color w:val="auto"/>
                      <w:sz w:val="21"/>
                      <w:szCs w:val="21"/>
                      <w:lang w:val="en-US" w:eastAsia="zh-CN"/>
                    </w:rPr>
                    <w:t>3</w:t>
                  </w:r>
                </w:p>
              </w:tc>
              <w:tc>
                <w:tcPr>
                  <w:tcW w:w="242" w:type="pct"/>
                  <w:vMerge w:val="continue"/>
                  <w:noWrap w:val="0"/>
                  <w:vAlign w:val="center"/>
                </w:tcPr>
                <w:p w14:paraId="2AE43592">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00AB9208">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28" w:type="pct"/>
                  <w:noWrap w:val="0"/>
                  <w:vAlign w:val="center"/>
                </w:tcPr>
                <w:p w14:paraId="6020A500">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0.25</w:t>
                  </w:r>
                </w:p>
              </w:tc>
              <w:tc>
                <w:tcPr>
                  <w:tcW w:w="329" w:type="pct"/>
                  <w:noWrap w:val="0"/>
                  <w:vAlign w:val="center"/>
                </w:tcPr>
                <w:p w14:paraId="31ABEF63">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240" w:type="pct"/>
                  <w:vMerge w:val="continue"/>
                  <w:noWrap w:val="0"/>
                  <w:vAlign w:val="center"/>
                </w:tcPr>
                <w:p w14:paraId="48392592">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4D1110B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103.22088450,25.54974259</w:t>
                  </w:r>
                </w:p>
              </w:tc>
              <w:tc>
                <w:tcPr>
                  <w:tcW w:w="1037" w:type="pct"/>
                  <w:vMerge w:val="continue"/>
                  <w:noWrap w:val="0"/>
                  <w:vAlign w:val="center"/>
                </w:tcPr>
                <w:p w14:paraId="08FDBC64">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r w14:paraId="42773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continue"/>
                  <w:noWrap w:val="0"/>
                  <w:vAlign w:val="center"/>
                </w:tcPr>
                <w:p w14:paraId="6728C34E">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continue"/>
                  <w:noWrap w:val="0"/>
                  <w:vAlign w:val="center"/>
                </w:tcPr>
                <w:p w14:paraId="77741D20">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2" w:type="pct"/>
                  <w:noWrap w:val="0"/>
                  <w:vAlign w:val="center"/>
                </w:tcPr>
                <w:p w14:paraId="70EC5BE6">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4</w:t>
                  </w:r>
                  <w:r>
                    <w:rPr>
                      <w:color w:val="auto"/>
                      <w:sz w:val="21"/>
                      <w:szCs w:val="21"/>
                      <w:lang w:val="en-US" w:eastAsia="zh-CN"/>
                    </w:rPr>
                    <w:t>#</w:t>
                  </w:r>
                  <w:r>
                    <w:rPr>
                      <w:rFonts w:hint="eastAsia"/>
                      <w:color w:val="auto"/>
                      <w:sz w:val="21"/>
                      <w:szCs w:val="21"/>
                      <w:lang w:val="en-US" w:eastAsia="zh-CN"/>
                    </w:rPr>
                    <w:t>矿粉</w:t>
                  </w:r>
                  <w:r>
                    <w:rPr>
                      <w:color w:val="auto"/>
                      <w:sz w:val="21"/>
                      <w:szCs w:val="21"/>
                      <w:lang w:val="en-US" w:eastAsia="zh-CN"/>
                    </w:rPr>
                    <w:t>筒仓仓顶呼吸口</w:t>
                  </w:r>
                </w:p>
              </w:tc>
              <w:tc>
                <w:tcPr>
                  <w:tcW w:w="469" w:type="pct"/>
                  <w:noWrap w:val="0"/>
                  <w:vAlign w:val="center"/>
                </w:tcPr>
                <w:p w14:paraId="5150D76A">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eastAsia="宋体"/>
                      <w:color w:val="auto"/>
                      <w:sz w:val="21"/>
                      <w:szCs w:val="21"/>
                      <w:lang w:val="en-US" w:eastAsia="zh-CN"/>
                    </w:rPr>
                  </w:pPr>
                  <w:r>
                    <w:rPr>
                      <w:color w:val="auto"/>
                      <w:szCs w:val="21"/>
                    </w:rPr>
                    <w:t>DA0</w:t>
                  </w:r>
                  <w:r>
                    <w:rPr>
                      <w:rFonts w:hint="eastAsia"/>
                      <w:color w:val="auto"/>
                      <w:szCs w:val="21"/>
                      <w:lang w:val="en-US" w:eastAsia="zh-CN"/>
                    </w:rPr>
                    <w:t>04</w:t>
                  </w:r>
                </w:p>
              </w:tc>
              <w:tc>
                <w:tcPr>
                  <w:tcW w:w="242" w:type="pct"/>
                  <w:vMerge w:val="continue"/>
                  <w:noWrap w:val="0"/>
                  <w:vAlign w:val="center"/>
                </w:tcPr>
                <w:p w14:paraId="395217D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094148F8">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28" w:type="pct"/>
                  <w:noWrap w:val="0"/>
                  <w:vAlign w:val="center"/>
                </w:tcPr>
                <w:p w14:paraId="102E1379">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0.25</w:t>
                  </w:r>
                </w:p>
              </w:tc>
              <w:tc>
                <w:tcPr>
                  <w:tcW w:w="329" w:type="pct"/>
                  <w:noWrap w:val="0"/>
                  <w:vAlign w:val="center"/>
                </w:tcPr>
                <w:p w14:paraId="0D452595">
                  <w:pPr>
                    <w:pStyle w:val="14"/>
                    <w:keepNext w:val="0"/>
                    <w:keepLines w:val="0"/>
                    <w:pageBreakBefore w:val="0"/>
                    <w:kinsoku/>
                    <w:wordWrap/>
                    <w:overflowPunct/>
                    <w:topLinePunct w:val="0"/>
                    <w:autoSpaceDE/>
                    <w:autoSpaceDN/>
                    <w:bidi w:val="0"/>
                    <w:adjustRightInd/>
                    <w:spacing w:before="0" w:after="0" w:line="240" w:lineRule="auto"/>
                    <w:ind w:right="0" w:rightChars="0" w:firstLine="0" w:firstLineChars="0"/>
                    <w:jc w:val="center"/>
                    <w:textAlignment w:val="auto"/>
                    <w:rPr>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240" w:type="pct"/>
                  <w:vMerge w:val="continue"/>
                  <w:noWrap w:val="0"/>
                  <w:vAlign w:val="center"/>
                </w:tcPr>
                <w:p w14:paraId="663698F4">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2D497B2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103.22088182,25.54967241</w:t>
                  </w:r>
                </w:p>
              </w:tc>
              <w:tc>
                <w:tcPr>
                  <w:tcW w:w="1037" w:type="pct"/>
                  <w:vMerge w:val="continue"/>
                  <w:noWrap w:val="0"/>
                  <w:vAlign w:val="center"/>
                </w:tcPr>
                <w:p w14:paraId="1935C8C5">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r w14:paraId="4CD23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trPr>
              <w:tc>
                <w:tcPr>
                  <w:tcW w:w="390" w:type="pct"/>
                  <w:vMerge w:val="continue"/>
                  <w:noWrap w:val="0"/>
                  <w:vAlign w:val="center"/>
                </w:tcPr>
                <w:p w14:paraId="31DADAB2">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restart"/>
                  <w:noWrap w:val="0"/>
                  <w:vAlign w:val="center"/>
                </w:tcPr>
                <w:p w14:paraId="03A6E05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本次扩建项目废气排放口</w:t>
                  </w:r>
                </w:p>
              </w:tc>
              <w:tc>
                <w:tcPr>
                  <w:tcW w:w="392" w:type="pct"/>
                  <w:noWrap w:val="0"/>
                  <w:vAlign w:val="center"/>
                </w:tcPr>
                <w:p w14:paraId="7DB6CB3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5</w:t>
                  </w:r>
                  <w:r>
                    <w:rPr>
                      <w:color w:val="auto"/>
                      <w:sz w:val="21"/>
                      <w:szCs w:val="21"/>
                      <w:lang w:val="en-US" w:eastAsia="zh-CN"/>
                    </w:rPr>
                    <w:t>#水泥筒仓仓顶呼吸口</w:t>
                  </w:r>
                </w:p>
              </w:tc>
              <w:tc>
                <w:tcPr>
                  <w:tcW w:w="469" w:type="pct"/>
                  <w:noWrap w:val="0"/>
                  <w:vAlign w:val="center"/>
                </w:tcPr>
                <w:p w14:paraId="2209E3B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DA00</w:t>
                  </w:r>
                  <w:r>
                    <w:rPr>
                      <w:rFonts w:hint="eastAsia"/>
                      <w:color w:val="auto"/>
                      <w:sz w:val="21"/>
                      <w:szCs w:val="21"/>
                      <w:lang w:val="en-US" w:eastAsia="zh-CN"/>
                    </w:rPr>
                    <w:t>5</w:t>
                  </w:r>
                </w:p>
              </w:tc>
              <w:tc>
                <w:tcPr>
                  <w:tcW w:w="242" w:type="pct"/>
                  <w:vMerge w:val="continue"/>
                  <w:noWrap w:val="0"/>
                  <w:vAlign w:val="center"/>
                </w:tcPr>
                <w:p w14:paraId="49047655">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50114012">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18</w:t>
                  </w:r>
                </w:p>
              </w:tc>
              <w:tc>
                <w:tcPr>
                  <w:tcW w:w="328" w:type="pct"/>
                  <w:noWrap w:val="0"/>
                  <w:vAlign w:val="center"/>
                </w:tcPr>
                <w:p w14:paraId="5F729B0E">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0.25</w:t>
                  </w:r>
                </w:p>
              </w:tc>
              <w:tc>
                <w:tcPr>
                  <w:tcW w:w="329" w:type="pct"/>
                  <w:noWrap w:val="0"/>
                  <w:vAlign w:val="center"/>
                </w:tcPr>
                <w:p w14:paraId="2D102960">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22.0</w:t>
                  </w:r>
                </w:p>
              </w:tc>
              <w:tc>
                <w:tcPr>
                  <w:tcW w:w="240" w:type="pct"/>
                  <w:vMerge w:val="continue"/>
                  <w:noWrap w:val="0"/>
                  <w:vAlign w:val="center"/>
                </w:tcPr>
                <w:p w14:paraId="72295975">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6667D05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103.22068065</w:t>
                  </w:r>
                  <w:r>
                    <w:rPr>
                      <w:rFonts w:hint="eastAsia"/>
                      <w:color w:val="auto"/>
                      <w:sz w:val="21"/>
                      <w:szCs w:val="21"/>
                      <w:lang w:val="en-US" w:eastAsia="zh-CN"/>
                    </w:rPr>
                    <w:t>,</w:t>
                  </w:r>
                  <w:r>
                    <w:rPr>
                      <w:color w:val="auto"/>
                      <w:sz w:val="21"/>
                      <w:szCs w:val="21"/>
                      <w:lang w:val="en-US" w:eastAsia="zh-CN"/>
                    </w:rPr>
                    <w:t>25.54975348</w:t>
                  </w:r>
                </w:p>
              </w:tc>
              <w:tc>
                <w:tcPr>
                  <w:tcW w:w="1037" w:type="pct"/>
                  <w:vMerge w:val="continue"/>
                  <w:noWrap w:val="0"/>
                  <w:vAlign w:val="center"/>
                </w:tcPr>
                <w:p w14:paraId="26455DE9">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r w14:paraId="57E484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continue"/>
                  <w:noWrap w:val="0"/>
                  <w:vAlign w:val="center"/>
                </w:tcPr>
                <w:p w14:paraId="5892F101">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continue"/>
                  <w:noWrap w:val="0"/>
                  <w:vAlign w:val="center"/>
                </w:tcPr>
                <w:p w14:paraId="65AAD2F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2" w:type="pct"/>
                  <w:noWrap w:val="0"/>
                  <w:vAlign w:val="center"/>
                </w:tcPr>
                <w:p w14:paraId="54AB116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6</w:t>
                  </w:r>
                  <w:r>
                    <w:rPr>
                      <w:color w:val="auto"/>
                      <w:sz w:val="21"/>
                      <w:szCs w:val="21"/>
                      <w:lang w:val="en-US" w:eastAsia="zh-CN"/>
                    </w:rPr>
                    <w:t>#水泥筒仓仓顶呼吸口</w:t>
                  </w:r>
                </w:p>
              </w:tc>
              <w:tc>
                <w:tcPr>
                  <w:tcW w:w="469" w:type="pct"/>
                  <w:noWrap w:val="0"/>
                  <w:vAlign w:val="center"/>
                </w:tcPr>
                <w:p w14:paraId="69E8AC2E">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DA00</w:t>
                  </w:r>
                  <w:r>
                    <w:rPr>
                      <w:rFonts w:hint="eastAsia"/>
                      <w:color w:val="auto"/>
                      <w:sz w:val="21"/>
                      <w:szCs w:val="21"/>
                      <w:lang w:val="en-US" w:eastAsia="zh-CN"/>
                    </w:rPr>
                    <w:t>6</w:t>
                  </w:r>
                </w:p>
              </w:tc>
              <w:tc>
                <w:tcPr>
                  <w:tcW w:w="242" w:type="pct"/>
                  <w:vMerge w:val="continue"/>
                  <w:noWrap w:val="0"/>
                  <w:vAlign w:val="center"/>
                </w:tcPr>
                <w:p w14:paraId="336E2E0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5D21F370">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28" w:type="pct"/>
                  <w:noWrap w:val="0"/>
                  <w:vAlign w:val="center"/>
                </w:tcPr>
                <w:p w14:paraId="402DA3C5">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0.25</w:t>
                  </w:r>
                </w:p>
              </w:tc>
              <w:tc>
                <w:tcPr>
                  <w:tcW w:w="329" w:type="pct"/>
                  <w:noWrap w:val="0"/>
                  <w:vAlign w:val="center"/>
                </w:tcPr>
                <w:p w14:paraId="7A18D01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240" w:type="pct"/>
                  <w:vMerge w:val="continue"/>
                  <w:noWrap w:val="0"/>
                  <w:vAlign w:val="center"/>
                </w:tcPr>
                <w:p w14:paraId="3D8A78BD">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0DFCB1D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103.22070479,25.54979946</w:t>
                  </w:r>
                </w:p>
              </w:tc>
              <w:tc>
                <w:tcPr>
                  <w:tcW w:w="1037" w:type="pct"/>
                  <w:vMerge w:val="continue"/>
                  <w:noWrap w:val="0"/>
                  <w:vAlign w:val="center"/>
                </w:tcPr>
                <w:p w14:paraId="6ADE935C">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r w14:paraId="48944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continue"/>
                  <w:noWrap w:val="0"/>
                  <w:vAlign w:val="center"/>
                </w:tcPr>
                <w:p w14:paraId="33E9C00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continue"/>
                  <w:noWrap w:val="0"/>
                  <w:vAlign w:val="center"/>
                </w:tcPr>
                <w:p w14:paraId="4B5E2D33">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2" w:type="pct"/>
                  <w:noWrap w:val="0"/>
                  <w:vAlign w:val="center"/>
                </w:tcPr>
                <w:p w14:paraId="529783F3">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7</w:t>
                  </w:r>
                  <w:r>
                    <w:rPr>
                      <w:color w:val="auto"/>
                      <w:sz w:val="21"/>
                      <w:szCs w:val="21"/>
                      <w:lang w:val="en-US" w:eastAsia="zh-CN"/>
                    </w:rPr>
                    <w:t>#粉煤灰筒仓仓顶呼吸口</w:t>
                  </w:r>
                </w:p>
              </w:tc>
              <w:tc>
                <w:tcPr>
                  <w:tcW w:w="469" w:type="pct"/>
                  <w:noWrap w:val="0"/>
                  <w:vAlign w:val="center"/>
                </w:tcPr>
                <w:p w14:paraId="378A0336">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color w:val="auto"/>
                      <w:sz w:val="21"/>
                      <w:szCs w:val="21"/>
                      <w:lang w:val="en-US" w:eastAsia="zh-CN"/>
                    </w:rPr>
                    <w:t>DA00</w:t>
                  </w:r>
                  <w:r>
                    <w:rPr>
                      <w:rFonts w:hint="eastAsia"/>
                      <w:color w:val="auto"/>
                      <w:sz w:val="21"/>
                      <w:szCs w:val="21"/>
                      <w:lang w:val="en-US" w:eastAsia="zh-CN"/>
                    </w:rPr>
                    <w:t>7</w:t>
                  </w:r>
                </w:p>
              </w:tc>
              <w:tc>
                <w:tcPr>
                  <w:tcW w:w="242" w:type="pct"/>
                  <w:vMerge w:val="continue"/>
                  <w:noWrap w:val="0"/>
                  <w:vAlign w:val="center"/>
                </w:tcPr>
                <w:p w14:paraId="10FDCE3F">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6E7EDD18">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28" w:type="pct"/>
                  <w:noWrap w:val="0"/>
                  <w:vAlign w:val="center"/>
                </w:tcPr>
                <w:p w14:paraId="2AA91479">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0.25</w:t>
                  </w:r>
                </w:p>
              </w:tc>
              <w:tc>
                <w:tcPr>
                  <w:tcW w:w="329" w:type="pct"/>
                  <w:noWrap w:val="0"/>
                  <w:vAlign w:val="center"/>
                </w:tcPr>
                <w:p w14:paraId="425E8F89">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240" w:type="pct"/>
                  <w:vMerge w:val="continue"/>
                  <w:noWrap w:val="0"/>
                  <w:vAlign w:val="center"/>
                </w:tcPr>
                <w:p w14:paraId="35A8587D">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0D92FB07">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103.22070882,25.54984180</w:t>
                  </w:r>
                </w:p>
              </w:tc>
              <w:tc>
                <w:tcPr>
                  <w:tcW w:w="1037" w:type="pct"/>
                  <w:vMerge w:val="continue"/>
                  <w:noWrap w:val="0"/>
                  <w:vAlign w:val="center"/>
                </w:tcPr>
                <w:p w14:paraId="165D50D4">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r w14:paraId="51882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0" w:type="pct"/>
                  <w:vMerge w:val="continue"/>
                  <w:noWrap w:val="0"/>
                  <w:vAlign w:val="center"/>
                </w:tcPr>
                <w:p w14:paraId="77CDA1F3">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4" w:type="pct"/>
                  <w:vMerge w:val="continue"/>
                  <w:noWrap w:val="0"/>
                  <w:vAlign w:val="center"/>
                </w:tcPr>
                <w:p w14:paraId="64AA93C4">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color w:val="auto"/>
                      <w:sz w:val="21"/>
                      <w:szCs w:val="21"/>
                      <w:lang w:val="en-US" w:eastAsia="zh-CN"/>
                    </w:rPr>
                  </w:pPr>
                </w:p>
              </w:tc>
              <w:tc>
                <w:tcPr>
                  <w:tcW w:w="392" w:type="pct"/>
                  <w:noWrap w:val="0"/>
                  <w:vAlign w:val="center"/>
                </w:tcPr>
                <w:p w14:paraId="0BFFB91E">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8</w:t>
                  </w:r>
                  <w:r>
                    <w:rPr>
                      <w:color w:val="auto"/>
                      <w:sz w:val="21"/>
                      <w:szCs w:val="21"/>
                      <w:lang w:val="en-US" w:eastAsia="zh-CN"/>
                    </w:rPr>
                    <w:t>#</w:t>
                  </w:r>
                  <w:r>
                    <w:rPr>
                      <w:rFonts w:hint="eastAsia"/>
                      <w:color w:val="auto"/>
                      <w:sz w:val="21"/>
                      <w:szCs w:val="21"/>
                      <w:lang w:val="en-US" w:eastAsia="zh-CN"/>
                    </w:rPr>
                    <w:t>矿粉</w:t>
                  </w:r>
                  <w:r>
                    <w:rPr>
                      <w:color w:val="auto"/>
                      <w:sz w:val="21"/>
                      <w:szCs w:val="21"/>
                      <w:lang w:val="en-US" w:eastAsia="zh-CN"/>
                    </w:rPr>
                    <w:t>筒仓仓顶呼吸口</w:t>
                  </w:r>
                </w:p>
              </w:tc>
              <w:tc>
                <w:tcPr>
                  <w:tcW w:w="469" w:type="pct"/>
                  <w:noWrap w:val="0"/>
                  <w:vAlign w:val="center"/>
                </w:tcPr>
                <w:p w14:paraId="581E99C4">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eastAsia="宋体"/>
                      <w:color w:val="auto"/>
                      <w:szCs w:val="21"/>
                      <w:lang w:eastAsia="zh-CN"/>
                    </w:rPr>
                  </w:pPr>
                  <w:r>
                    <w:rPr>
                      <w:color w:val="auto"/>
                      <w:szCs w:val="21"/>
                    </w:rPr>
                    <w:t>DA00</w:t>
                  </w:r>
                  <w:r>
                    <w:rPr>
                      <w:rFonts w:hint="eastAsia"/>
                      <w:color w:val="auto"/>
                      <w:szCs w:val="21"/>
                      <w:lang w:val="en-US" w:eastAsia="zh-CN"/>
                    </w:rPr>
                    <w:t>8</w:t>
                  </w:r>
                </w:p>
              </w:tc>
              <w:tc>
                <w:tcPr>
                  <w:tcW w:w="242" w:type="pct"/>
                  <w:vMerge w:val="continue"/>
                  <w:noWrap w:val="0"/>
                  <w:vAlign w:val="center"/>
                </w:tcPr>
                <w:p w14:paraId="6EFC62DA">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253" w:type="pct"/>
                  <w:noWrap w:val="0"/>
                  <w:vAlign w:val="center"/>
                </w:tcPr>
                <w:p w14:paraId="57F33830">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28" w:type="pct"/>
                  <w:noWrap w:val="0"/>
                  <w:vAlign w:val="center"/>
                </w:tcPr>
                <w:p w14:paraId="26F3CF8B">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0.25</w:t>
                  </w:r>
                </w:p>
              </w:tc>
              <w:tc>
                <w:tcPr>
                  <w:tcW w:w="329" w:type="pct"/>
                  <w:noWrap w:val="0"/>
                  <w:vAlign w:val="center"/>
                </w:tcPr>
                <w:p w14:paraId="692CB569">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w:t>
                  </w:r>
                </w:p>
              </w:tc>
              <w:tc>
                <w:tcPr>
                  <w:tcW w:w="240" w:type="pct"/>
                  <w:vMerge w:val="continue"/>
                  <w:noWrap w:val="0"/>
                  <w:vAlign w:val="center"/>
                </w:tcPr>
                <w:p w14:paraId="575E8E9C">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c>
                <w:tcPr>
                  <w:tcW w:w="921" w:type="pct"/>
                  <w:noWrap w:val="0"/>
                  <w:vAlign w:val="center"/>
                </w:tcPr>
                <w:p w14:paraId="54DC2EA4">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r>
                    <w:rPr>
                      <w:rFonts w:hint="eastAsia"/>
                      <w:color w:val="auto"/>
                      <w:sz w:val="21"/>
                      <w:szCs w:val="21"/>
                      <w:lang w:val="en-US" w:eastAsia="zh-CN"/>
                    </w:rPr>
                    <w:t>103.22079062,25.54982124</w:t>
                  </w:r>
                </w:p>
              </w:tc>
              <w:tc>
                <w:tcPr>
                  <w:tcW w:w="1037" w:type="pct"/>
                  <w:vMerge w:val="continue"/>
                  <w:noWrap w:val="0"/>
                  <w:vAlign w:val="center"/>
                </w:tcPr>
                <w:p w14:paraId="2197E7FC">
                  <w:pPr>
                    <w:pStyle w:val="14"/>
                    <w:keepNext w:val="0"/>
                    <w:keepLines w:val="0"/>
                    <w:pageBreakBefore w:val="0"/>
                    <w:kinsoku/>
                    <w:wordWrap/>
                    <w:overflowPunct/>
                    <w:topLinePunct w:val="0"/>
                    <w:autoSpaceDE/>
                    <w:autoSpaceDN/>
                    <w:bidi w:val="0"/>
                    <w:adjustRightInd/>
                    <w:spacing w:before="0" w:after="0" w:line="240" w:lineRule="auto"/>
                    <w:ind w:right="0" w:firstLine="0" w:firstLineChars="0"/>
                    <w:jc w:val="center"/>
                    <w:textAlignment w:val="auto"/>
                    <w:rPr>
                      <w:color w:val="auto"/>
                      <w:sz w:val="21"/>
                      <w:szCs w:val="21"/>
                      <w:lang w:val="en-US" w:eastAsia="zh-CN"/>
                    </w:rPr>
                  </w:pPr>
                </w:p>
              </w:tc>
            </w:tr>
          </w:tbl>
          <w:p w14:paraId="1DEE4B44">
            <w:pPr>
              <w:widowControl/>
              <w:spacing w:line="360" w:lineRule="auto"/>
              <w:ind w:firstLine="482" w:firstLineChars="200"/>
              <w:jc w:val="left"/>
              <w:rPr>
                <w:rStyle w:val="52"/>
                <w:rFonts w:hint="default" w:ascii="Times New Roman" w:hAnsi="Times New Roman"/>
                <w:b/>
                <w:color w:val="auto"/>
              </w:rPr>
            </w:pPr>
            <w:r>
              <w:rPr>
                <w:rStyle w:val="52"/>
                <w:rFonts w:hint="default" w:ascii="Times New Roman" w:hAnsi="Times New Roman"/>
                <w:b/>
                <w:color w:val="auto"/>
              </w:rPr>
              <w:t>（</w:t>
            </w:r>
            <w:r>
              <w:rPr>
                <w:rStyle w:val="52"/>
                <w:rFonts w:hint="eastAsia"/>
                <w:b/>
                <w:color w:val="auto"/>
                <w:lang w:val="en-US" w:eastAsia="zh-CN"/>
              </w:rPr>
              <w:t>四</w:t>
            </w:r>
            <w:r>
              <w:rPr>
                <w:rStyle w:val="52"/>
                <w:rFonts w:hint="default" w:ascii="Times New Roman" w:hAnsi="Times New Roman"/>
                <w:b/>
                <w:color w:val="auto"/>
              </w:rPr>
              <w:t>）监测要求</w:t>
            </w:r>
          </w:p>
          <w:p w14:paraId="790882E7">
            <w:pPr>
              <w:spacing w:line="356" w:lineRule="auto"/>
              <w:ind w:firstLine="480" w:firstLineChars="200"/>
              <w:rPr>
                <w:rStyle w:val="52"/>
                <w:rFonts w:hint="default" w:ascii="Times New Roman" w:hAnsi="Times New Roman"/>
                <w:color w:val="auto"/>
              </w:rPr>
            </w:pPr>
            <w:r>
              <w:rPr>
                <w:color w:val="auto"/>
                <w:sz w:val="24"/>
              </w:rPr>
              <w:t>参照</w:t>
            </w:r>
            <w:r>
              <w:rPr>
                <w:rFonts w:hint="eastAsia"/>
                <w:color w:val="auto"/>
                <w:sz w:val="24"/>
                <w:lang w:eastAsia="zh-CN"/>
              </w:rPr>
              <w:t>《</w:t>
            </w:r>
            <w:r>
              <w:rPr>
                <w:rFonts w:hint="eastAsia"/>
                <w:color w:val="auto"/>
                <w:sz w:val="24"/>
              </w:rPr>
              <w:t>排污单位自行监测技术指南 总则》（HJ819-2018）</w:t>
            </w:r>
            <w:r>
              <w:rPr>
                <w:color w:val="auto"/>
                <w:sz w:val="24"/>
              </w:rPr>
              <w:t>中的相关要求及本项目的建设特点，本项目废气监测要求如下：</w:t>
            </w:r>
          </w:p>
          <w:p w14:paraId="37BC9DE8">
            <w:pPr>
              <w:ind w:firstLine="422" w:firstLineChars="200"/>
              <w:jc w:val="center"/>
              <w:rPr>
                <w:rStyle w:val="52"/>
                <w:rFonts w:hint="default" w:ascii="Times New Roman" w:hAnsi="Times New Roman"/>
                <w:b/>
                <w:color w:val="auto"/>
                <w:sz w:val="21"/>
                <w:szCs w:val="21"/>
              </w:rPr>
            </w:pPr>
            <w:r>
              <w:rPr>
                <w:b/>
                <w:color w:val="auto"/>
                <w:szCs w:val="21"/>
              </w:rPr>
              <w:t xml:space="preserve">表4-6  </w:t>
            </w:r>
            <w:r>
              <w:rPr>
                <w:rFonts w:hint="eastAsia"/>
                <w:b/>
                <w:color w:val="auto"/>
                <w:szCs w:val="21"/>
                <w:lang w:val="en-US" w:eastAsia="zh-CN"/>
              </w:rPr>
              <w:t xml:space="preserve"> </w:t>
            </w:r>
            <w:r>
              <w:rPr>
                <w:b/>
                <w:color w:val="auto"/>
                <w:szCs w:val="21"/>
              </w:rPr>
              <w:t>废气</w:t>
            </w:r>
            <w:r>
              <w:rPr>
                <w:rStyle w:val="52"/>
                <w:rFonts w:hint="default" w:ascii="Times New Roman" w:hAnsi="Times New Roman"/>
                <w:b/>
                <w:color w:val="auto"/>
                <w:sz w:val="21"/>
                <w:szCs w:val="21"/>
              </w:rPr>
              <w:t>监测要求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2675"/>
              <w:gridCol w:w="901"/>
              <w:gridCol w:w="1032"/>
              <w:gridCol w:w="3669"/>
            </w:tblGrid>
            <w:tr w14:paraId="1CFEAF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03" w:type="pct"/>
                  <w:noWrap w:val="0"/>
                  <w:vAlign w:val="center"/>
                </w:tcPr>
                <w:p w14:paraId="641ED20D">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污染</w:t>
                  </w:r>
                </w:p>
                <w:p w14:paraId="14BFCAA0">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类别</w:t>
                  </w:r>
                </w:p>
              </w:tc>
              <w:tc>
                <w:tcPr>
                  <w:tcW w:w="1485" w:type="pct"/>
                  <w:noWrap w:val="0"/>
                  <w:vAlign w:val="center"/>
                </w:tcPr>
                <w:p w14:paraId="0E285BDF">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监测点位</w:t>
                  </w:r>
                </w:p>
              </w:tc>
              <w:tc>
                <w:tcPr>
                  <w:tcW w:w="500" w:type="pct"/>
                  <w:noWrap w:val="0"/>
                  <w:vAlign w:val="center"/>
                </w:tcPr>
                <w:p w14:paraId="7152F0A3">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监测</w:t>
                  </w:r>
                </w:p>
                <w:p w14:paraId="7C0A3BB2">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项目</w:t>
                  </w:r>
                </w:p>
              </w:tc>
              <w:tc>
                <w:tcPr>
                  <w:tcW w:w="573" w:type="pct"/>
                  <w:noWrap w:val="0"/>
                  <w:vAlign w:val="center"/>
                </w:tcPr>
                <w:p w14:paraId="15CE5703">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监测</w:t>
                  </w:r>
                </w:p>
                <w:p w14:paraId="287A7B17">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频次</w:t>
                  </w:r>
                </w:p>
              </w:tc>
              <w:tc>
                <w:tcPr>
                  <w:tcW w:w="2037" w:type="pct"/>
                  <w:noWrap w:val="0"/>
                  <w:vAlign w:val="center"/>
                </w:tcPr>
                <w:p w14:paraId="3299D33D">
                  <w:pPr>
                    <w:keepNext w:val="0"/>
                    <w:keepLines w:val="0"/>
                    <w:pageBreakBefore w:val="0"/>
                    <w:widowControl w:val="0"/>
                    <w:kinsoku/>
                    <w:wordWrap/>
                    <w:overflowPunct/>
                    <w:topLinePunct w:val="0"/>
                    <w:bidi w:val="0"/>
                    <w:adjustRightInd/>
                    <w:snapToGrid w:val="0"/>
                    <w:ind w:firstLine="0" w:firstLineChars="0"/>
                    <w:jc w:val="center"/>
                    <w:textAlignment w:val="auto"/>
                    <w:rPr>
                      <w:b/>
                      <w:bCs/>
                      <w:color w:val="auto"/>
                      <w:szCs w:val="21"/>
                    </w:rPr>
                  </w:pPr>
                  <w:r>
                    <w:rPr>
                      <w:b/>
                      <w:bCs/>
                      <w:color w:val="auto"/>
                      <w:szCs w:val="21"/>
                    </w:rPr>
                    <w:t>控制指标</w:t>
                  </w:r>
                </w:p>
              </w:tc>
            </w:tr>
            <w:tr w14:paraId="1495C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403" w:type="pct"/>
                  <w:vMerge w:val="restart"/>
                  <w:tcBorders>
                    <w:top w:val="single" w:color="auto" w:sz="4" w:space="0"/>
                  </w:tcBorders>
                  <w:noWrap w:val="0"/>
                  <w:vAlign w:val="center"/>
                </w:tcPr>
                <w:p w14:paraId="313736CB">
                  <w:pPr>
                    <w:keepNext w:val="0"/>
                    <w:keepLines w:val="0"/>
                    <w:pageBreakBefore w:val="0"/>
                    <w:widowControl w:val="0"/>
                    <w:kinsoku/>
                    <w:wordWrap/>
                    <w:overflowPunct/>
                    <w:topLinePunct w:val="0"/>
                    <w:bidi w:val="0"/>
                    <w:adjustRightInd/>
                    <w:snapToGrid w:val="0"/>
                    <w:ind w:firstLine="0" w:firstLineChars="0"/>
                    <w:jc w:val="center"/>
                    <w:textAlignment w:val="auto"/>
                    <w:rPr>
                      <w:color w:val="auto"/>
                      <w:szCs w:val="21"/>
                    </w:rPr>
                  </w:pPr>
                  <w:r>
                    <w:rPr>
                      <w:color w:val="auto"/>
                      <w:szCs w:val="21"/>
                    </w:rPr>
                    <w:t>废气</w:t>
                  </w:r>
                </w:p>
              </w:tc>
              <w:tc>
                <w:tcPr>
                  <w:tcW w:w="1485" w:type="pct"/>
                  <w:tcBorders>
                    <w:top w:val="single" w:color="auto" w:sz="4" w:space="0"/>
                  </w:tcBorders>
                  <w:noWrap w:val="0"/>
                  <w:vAlign w:val="center"/>
                </w:tcPr>
                <w:p w14:paraId="5E7E79EA">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eastAsia="宋体"/>
                      <w:color w:val="auto"/>
                      <w:szCs w:val="21"/>
                      <w:lang w:eastAsia="zh-CN"/>
                    </w:rPr>
                  </w:pPr>
                  <w:r>
                    <w:rPr>
                      <w:color w:val="auto"/>
                      <w:sz w:val="21"/>
                      <w:szCs w:val="21"/>
                      <w:lang w:val="en-US" w:eastAsia="zh-CN"/>
                    </w:rPr>
                    <w:t>DA00</w:t>
                  </w:r>
                  <w:r>
                    <w:rPr>
                      <w:rFonts w:hint="eastAsia"/>
                      <w:color w:val="auto"/>
                      <w:sz w:val="21"/>
                      <w:szCs w:val="21"/>
                      <w:lang w:val="en-US" w:eastAsia="zh-CN"/>
                    </w:rPr>
                    <w:t>1、</w:t>
                  </w:r>
                  <w:r>
                    <w:rPr>
                      <w:color w:val="auto"/>
                      <w:sz w:val="21"/>
                      <w:szCs w:val="21"/>
                      <w:lang w:val="en-US" w:eastAsia="zh-CN"/>
                    </w:rPr>
                    <w:t>DA00</w:t>
                  </w:r>
                  <w:r>
                    <w:rPr>
                      <w:rFonts w:hint="eastAsia"/>
                      <w:color w:val="auto"/>
                      <w:sz w:val="21"/>
                      <w:szCs w:val="21"/>
                      <w:lang w:val="en-US" w:eastAsia="zh-CN"/>
                    </w:rPr>
                    <w:t>2、</w:t>
                  </w:r>
                  <w:r>
                    <w:rPr>
                      <w:color w:val="auto"/>
                      <w:sz w:val="21"/>
                      <w:szCs w:val="21"/>
                      <w:lang w:val="en-US" w:eastAsia="zh-CN"/>
                    </w:rPr>
                    <w:t>DA00</w:t>
                  </w:r>
                  <w:r>
                    <w:rPr>
                      <w:rFonts w:hint="eastAsia"/>
                      <w:color w:val="auto"/>
                      <w:sz w:val="21"/>
                      <w:szCs w:val="21"/>
                      <w:lang w:val="en-US" w:eastAsia="zh-CN"/>
                    </w:rPr>
                    <w:t>3、</w:t>
                  </w:r>
                  <w:r>
                    <w:rPr>
                      <w:color w:val="auto"/>
                      <w:sz w:val="21"/>
                      <w:szCs w:val="21"/>
                      <w:lang w:val="en-US" w:eastAsia="zh-CN"/>
                    </w:rPr>
                    <w:t>DA00</w:t>
                  </w:r>
                  <w:r>
                    <w:rPr>
                      <w:rFonts w:hint="eastAsia"/>
                      <w:color w:val="auto"/>
                      <w:sz w:val="21"/>
                      <w:szCs w:val="21"/>
                      <w:lang w:val="en-US" w:eastAsia="zh-CN"/>
                    </w:rPr>
                    <w:t>4、</w:t>
                  </w:r>
                  <w:r>
                    <w:rPr>
                      <w:rFonts w:hint="eastAsia"/>
                      <w:color w:val="auto"/>
                      <w:szCs w:val="21"/>
                    </w:rPr>
                    <w:t>DA00</w:t>
                  </w:r>
                  <w:r>
                    <w:rPr>
                      <w:rFonts w:hint="eastAsia"/>
                      <w:color w:val="auto"/>
                      <w:szCs w:val="21"/>
                      <w:lang w:val="en-US" w:eastAsia="zh-CN"/>
                    </w:rPr>
                    <w:t>5、</w:t>
                  </w:r>
                  <w:r>
                    <w:rPr>
                      <w:color w:val="auto"/>
                      <w:sz w:val="21"/>
                      <w:szCs w:val="21"/>
                      <w:lang w:val="en-US" w:eastAsia="zh-CN"/>
                    </w:rPr>
                    <w:t>DA00</w:t>
                  </w:r>
                  <w:r>
                    <w:rPr>
                      <w:rFonts w:hint="eastAsia"/>
                      <w:color w:val="auto"/>
                      <w:sz w:val="21"/>
                      <w:szCs w:val="21"/>
                      <w:lang w:val="en-US" w:eastAsia="zh-CN"/>
                    </w:rPr>
                    <w:t>6、</w:t>
                  </w:r>
                  <w:r>
                    <w:rPr>
                      <w:color w:val="auto"/>
                      <w:sz w:val="21"/>
                      <w:szCs w:val="21"/>
                      <w:lang w:val="en-US" w:eastAsia="zh-CN"/>
                    </w:rPr>
                    <w:t>DA00</w:t>
                  </w:r>
                  <w:r>
                    <w:rPr>
                      <w:rFonts w:hint="eastAsia"/>
                      <w:color w:val="auto"/>
                      <w:sz w:val="21"/>
                      <w:szCs w:val="21"/>
                      <w:lang w:val="en-US" w:eastAsia="zh-CN"/>
                    </w:rPr>
                    <w:t>7、</w:t>
                  </w:r>
                  <w:r>
                    <w:rPr>
                      <w:color w:val="auto"/>
                      <w:sz w:val="21"/>
                      <w:szCs w:val="21"/>
                      <w:lang w:val="en-US" w:eastAsia="zh-CN"/>
                    </w:rPr>
                    <w:t>DA00</w:t>
                  </w:r>
                  <w:r>
                    <w:rPr>
                      <w:rFonts w:hint="eastAsia"/>
                      <w:color w:val="auto"/>
                      <w:sz w:val="21"/>
                      <w:szCs w:val="21"/>
                      <w:lang w:val="en-US" w:eastAsia="zh-CN"/>
                    </w:rPr>
                    <w:t>8</w:t>
                  </w:r>
                  <w:r>
                    <w:rPr>
                      <w:rFonts w:hint="eastAsia"/>
                      <w:color w:val="auto"/>
                      <w:szCs w:val="21"/>
                    </w:rPr>
                    <w:t>排气筒</w:t>
                  </w:r>
                </w:p>
              </w:tc>
              <w:tc>
                <w:tcPr>
                  <w:tcW w:w="500" w:type="pct"/>
                  <w:vMerge w:val="restart"/>
                  <w:tcBorders>
                    <w:top w:val="single" w:color="auto" w:sz="4" w:space="0"/>
                  </w:tcBorders>
                  <w:noWrap w:val="0"/>
                  <w:vAlign w:val="center"/>
                </w:tcPr>
                <w:p w14:paraId="61AD98D8">
                  <w:pPr>
                    <w:keepNext w:val="0"/>
                    <w:keepLines w:val="0"/>
                    <w:pageBreakBefore w:val="0"/>
                    <w:widowControl w:val="0"/>
                    <w:kinsoku/>
                    <w:wordWrap/>
                    <w:overflowPunct/>
                    <w:topLinePunct w:val="0"/>
                    <w:bidi w:val="0"/>
                    <w:adjustRightInd/>
                    <w:snapToGrid w:val="0"/>
                    <w:ind w:firstLine="0" w:firstLineChars="0"/>
                    <w:jc w:val="center"/>
                    <w:textAlignment w:val="auto"/>
                    <w:rPr>
                      <w:color w:val="auto"/>
                      <w:kern w:val="24"/>
                      <w:szCs w:val="21"/>
                    </w:rPr>
                  </w:pPr>
                  <w:r>
                    <w:rPr>
                      <w:color w:val="auto"/>
                      <w:kern w:val="24"/>
                      <w:szCs w:val="21"/>
                    </w:rPr>
                    <w:t>颗粒物</w:t>
                  </w:r>
                </w:p>
              </w:tc>
              <w:tc>
                <w:tcPr>
                  <w:tcW w:w="573" w:type="pct"/>
                  <w:vMerge w:val="restart"/>
                  <w:tcBorders>
                    <w:top w:val="single" w:color="auto" w:sz="4" w:space="0"/>
                  </w:tcBorders>
                  <w:noWrap w:val="0"/>
                  <w:vAlign w:val="center"/>
                </w:tcPr>
                <w:p w14:paraId="25422B4D">
                  <w:pPr>
                    <w:keepNext w:val="0"/>
                    <w:keepLines w:val="0"/>
                    <w:pageBreakBefore w:val="0"/>
                    <w:widowControl w:val="0"/>
                    <w:kinsoku/>
                    <w:wordWrap/>
                    <w:overflowPunct/>
                    <w:topLinePunct w:val="0"/>
                    <w:bidi w:val="0"/>
                    <w:adjustRightInd/>
                    <w:snapToGrid w:val="0"/>
                    <w:ind w:firstLine="0" w:firstLineChars="0"/>
                    <w:jc w:val="center"/>
                    <w:textAlignment w:val="auto"/>
                    <w:rPr>
                      <w:color w:val="auto"/>
                      <w:szCs w:val="21"/>
                    </w:rPr>
                  </w:pPr>
                  <w:r>
                    <w:rPr>
                      <w:rFonts w:hint="eastAsia"/>
                      <w:color w:val="auto"/>
                      <w:szCs w:val="21"/>
                    </w:rPr>
                    <w:t>1次/年</w:t>
                  </w:r>
                </w:p>
              </w:tc>
              <w:tc>
                <w:tcPr>
                  <w:tcW w:w="2037" w:type="pct"/>
                  <w:tcBorders>
                    <w:top w:val="single" w:color="auto" w:sz="4" w:space="0"/>
                  </w:tcBorders>
                  <w:noWrap w:val="0"/>
                  <w:vAlign w:val="center"/>
                </w:tcPr>
                <w:p w14:paraId="23D5826F">
                  <w:pPr>
                    <w:keepNext w:val="0"/>
                    <w:keepLines w:val="0"/>
                    <w:pageBreakBefore w:val="0"/>
                    <w:widowControl w:val="0"/>
                    <w:kinsoku/>
                    <w:wordWrap/>
                    <w:overflowPunct/>
                    <w:topLinePunct w:val="0"/>
                    <w:autoSpaceDE w:val="0"/>
                    <w:autoSpaceDN w:val="0"/>
                    <w:bidi w:val="0"/>
                    <w:adjustRightInd/>
                    <w:snapToGrid w:val="0"/>
                    <w:ind w:firstLine="0" w:firstLineChars="0"/>
                    <w:jc w:val="center"/>
                    <w:textAlignment w:val="auto"/>
                    <w:rPr>
                      <w:bCs/>
                      <w:color w:val="auto"/>
                      <w:szCs w:val="21"/>
                    </w:rPr>
                  </w:pPr>
                  <w:r>
                    <w:rPr>
                      <w:rFonts w:hint="eastAsia"/>
                      <w:bCs/>
                      <w:color w:val="auto"/>
                      <w:szCs w:val="21"/>
                    </w:rPr>
                    <w:t>《水泥工业大气污染物排放标准》（GB4915-2013）表1中颗粒物排放浓度限值</w:t>
                  </w:r>
                </w:p>
              </w:tc>
            </w:tr>
            <w:tr w14:paraId="0C79E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403" w:type="pct"/>
                  <w:vMerge w:val="continue"/>
                  <w:noWrap w:val="0"/>
                  <w:vAlign w:val="center"/>
                </w:tcPr>
                <w:p w14:paraId="55B0FED4">
                  <w:pPr>
                    <w:keepNext w:val="0"/>
                    <w:keepLines w:val="0"/>
                    <w:pageBreakBefore w:val="0"/>
                    <w:widowControl w:val="0"/>
                    <w:kinsoku/>
                    <w:wordWrap/>
                    <w:overflowPunct/>
                    <w:topLinePunct w:val="0"/>
                    <w:bidi w:val="0"/>
                    <w:adjustRightInd/>
                    <w:snapToGrid w:val="0"/>
                    <w:ind w:firstLine="0" w:firstLineChars="0"/>
                    <w:jc w:val="center"/>
                    <w:textAlignment w:val="auto"/>
                    <w:rPr>
                      <w:color w:val="auto"/>
                      <w:szCs w:val="21"/>
                    </w:rPr>
                  </w:pPr>
                </w:p>
              </w:tc>
              <w:tc>
                <w:tcPr>
                  <w:tcW w:w="1485" w:type="pct"/>
                  <w:tcBorders>
                    <w:top w:val="single" w:color="auto" w:sz="4" w:space="0"/>
                  </w:tcBorders>
                  <w:noWrap w:val="0"/>
                  <w:vAlign w:val="center"/>
                </w:tcPr>
                <w:p w14:paraId="43EE262B">
                  <w:pPr>
                    <w:keepNext w:val="0"/>
                    <w:keepLines w:val="0"/>
                    <w:pageBreakBefore w:val="0"/>
                    <w:widowControl w:val="0"/>
                    <w:kinsoku/>
                    <w:wordWrap/>
                    <w:overflowPunct/>
                    <w:topLinePunct w:val="0"/>
                    <w:bidi w:val="0"/>
                    <w:adjustRightInd/>
                    <w:snapToGrid w:val="0"/>
                    <w:ind w:firstLine="0" w:firstLineChars="0"/>
                    <w:jc w:val="center"/>
                    <w:textAlignment w:val="auto"/>
                    <w:rPr>
                      <w:color w:val="auto"/>
                      <w:szCs w:val="21"/>
                    </w:rPr>
                  </w:pPr>
                  <w:r>
                    <w:rPr>
                      <w:color w:val="auto"/>
                      <w:szCs w:val="21"/>
                    </w:rPr>
                    <w:t>厂界上风向2</w:t>
                  </w:r>
                  <w:r>
                    <w:rPr>
                      <w:rFonts w:hint="eastAsia"/>
                      <w:color w:val="auto"/>
                      <w:szCs w:val="21"/>
                      <w:lang w:eastAsia="zh-CN"/>
                    </w:rPr>
                    <w:t>～</w:t>
                  </w:r>
                  <w:r>
                    <w:rPr>
                      <w:color w:val="auto"/>
                      <w:szCs w:val="21"/>
                    </w:rPr>
                    <w:t>50m设1个参照点、厂界下风向2</w:t>
                  </w:r>
                  <w:r>
                    <w:rPr>
                      <w:rFonts w:hint="eastAsia"/>
                      <w:color w:val="auto"/>
                      <w:szCs w:val="21"/>
                      <w:lang w:eastAsia="zh-CN"/>
                    </w:rPr>
                    <w:t>～</w:t>
                  </w:r>
                  <w:r>
                    <w:rPr>
                      <w:color w:val="auto"/>
                      <w:szCs w:val="21"/>
                    </w:rPr>
                    <w:t>50m设3个监测点</w:t>
                  </w:r>
                </w:p>
              </w:tc>
              <w:tc>
                <w:tcPr>
                  <w:tcW w:w="500" w:type="pct"/>
                  <w:vMerge w:val="continue"/>
                  <w:noWrap w:val="0"/>
                  <w:vAlign w:val="center"/>
                </w:tcPr>
                <w:p w14:paraId="33017E10">
                  <w:pPr>
                    <w:keepNext w:val="0"/>
                    <w:keepLines w:val="0"/>
                    <w:pageBreakBefore w:val="0"/>
                    <w:widowControl w:val="0"/>
                    <w:kinsoku/>
                    <w:wordWrap/>
                    <w:overflowPunct/>
                    <w:topLinePunct w:val="0"/>
                    <w:bidi w:val="0"/>
                    <w:adjustRightInd/>
                    <w:snapToGrid w:val="0"/>
                    <w:ind w:firstLine="0" w:firstLineChars="0"/>
                    <w:jc w:val="center"/>
                    <w:textAlignment w:val="auto"/>
                    <w:rPr>
                      <w:color w:val="auto"/>
                      <w:kern w:val="24"/>
                      <w:szCs w:val="21"/>
                    </w:rPr>
                  </w:pPr>
                </w:p>
              </w:tc>
              <w:tc>
                <w:tcPr>
                  <w:tcW w:w="573" w:type="pct"/>
                  <w:vMerge w:val="continue"/>
                  <w:noWrap w:val="0"/>
                  <w:vAlign w:val="center"/>
                </w:tcPr>
                <w:p w14:paraId="595B2B9D">
                  <w:pPr>
                    <w:keepNext w:val="0"/>
                    <w:keepLines w:val="0"/>
                    <w:pageBreakBefore w:val="0"/>
                    <w:widowControl w:val="0"/>
                    <w:kinsoku/>
                    <w:wordWrap/>
                    <w:overflowPunct/>
                    <w:topLinePunct w:val="0"/>
                    <w:bidi w:val="0"/>
                    <w:adjustRightInd/>
                    <w:snapToGrid w:val="0"/>
                    <w:ind w:firstLine="0" w:firstLineChars="0"/>
                    <w:jc w:val="center"/>
                    <w:textAlignment w:val="auto"/>
                    <w:rPr>
                      <w:color w:val="auto"/>
                      <w:szCs w:val="21"/>
                    </w:rPr>
                  </w:pPr>
                </w:p>
              </w:tc>
              <w:tc>
                <w:tcPr>
                  <w:tcW w:w="2037" w:type="pct"/>
                  <w:tcBorders>
                    <w:top w:val="single" w:color="auto" w:sz="4" w:space="0"/>
                  </w:tcBorders>
                  <w:noWrap w:val="0"/>
                  <w:vAlign w:val="center"/>
                </w:tcPr>
                <w:p w14:paraId="6E8C9271">
                  <w:pPr>
                    <w:keepNext w:val="0"/>
                    <w:keepLines w:val="0"/>
                    <w:pageBreakBefore w:val="0"/>
                    <w:widowControl w:val="0"/>
                    <w:kinsoku/>
                    <w:wordWrap/>
                    <w:overflowPunct/>
                    <w:topLinePunct w:val="0"/>
                    <w:autoSpaceDE w:val="0"/>
                    <w:autoSpaceDN w:val="0"/>
                    <w:bidi w:val="0"/>
                    <w:adjustRightInd/>
                    <w:snapToGrid w:val="0"/>
                    <w:ind w:firstLine="0" w:firstLineChars="0"/>
                    <w:jc w:val="center"/>
                    <w:textAlignment w:val="auto"/>
                    <w:rPr>
                      <w:bCs/>
                      <w:color w:val="auto"/>
                      <w:szCs w:val="21"/>
                    </w:rPr>
                  </w:pPr>
                  <w:r>
                    <w:rPr>
                      <w:bCs/>
                      <w:color w:val="auto"/>
                      <w:szCs w:val="21"/>
                    </w:rPr>
                    <w:t>《水泥工业大气污染物排放标准》（GB4915-2013）表3无组织排放限值</w:t>
                  </w:r>
                </w:p>
              </w:tc>
            </w:tr>
          </w:tbl>
          <w:p w14:paraId="363BBE13">
            <w:pPr>
              <w:widowControl/>
              <w:spacing w:line="360" w:lineRule="auto"/>
              <w:ind w:firstLine="482" w:firstLineChars="200"/>
              <w:jc w:val="both"/>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2、废水环境影响及治理措施</w:t>
            </w:r>
          </w:p>
          <w:p w14:paraId="3D4CBCB1">
            <w:pPr>
              <w:widowControl/>
              <w:spacing w:line="360" w:lineRule="auto"/>
              <w:ind w:firstLine="480" w:firstLineChars="20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（1）废水污染源源强</w:t>
            </w:r>
          </w:p>
          <w:p w14:paraId="3476FD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项目年总用水量为</w:t>
            </w:r>
            <w:r>
              <w:rPr>
                <w:rFonts w:hint="eastAsia" w:ascii="Times New Roman" w:hAnsi="Times New Roman" w:cs="Times New Roman"/>
                <w:color w:val="auto"/>
                <w:sz w:val="24"/>
                <w:lang w:val="en-US" w:eastAsia="zh-CN"/>
              </w:rPr>
              <w:t>50016</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w:t>
            </w:r>
            <w:r>
              <w:rPr>
                <w:rFonts w:hint="eastAsia" w:ascii="Times New Roman" w:hAnsi="Times New Roman" w:cs="Times New Roman"/>
                <w:color w:val="auto"/>
                <w:sz w:val="24"/>
                <w:lang w:val="en-US" w:eastAsia="zh-CN"/>
              </w:rPr>
              <w:t>总废水产生量为7003.2，</w:t>
            </w:r>
            <w:r>
              <w:rPr>
                <w:rFonts w:hint="default" w:ascii="Times New Roman" w:hAnsi="Times New Roman" w:cs="Times New Roman"/>
                <w:color w:val="auto"/>
                <w:sz w:val="24"/>
                <w:lang w:val="en-US" w:eastAsia="zh-CN"/>
              </w:rPr>
              <w:t>其中搅拌机清洗</w:t>
            </w:r>
            <w:r>
              <w:rPr>
                <w:rFonts w:hint="eastAsia" w:ascii="Times New Roman" w:hAnsi="Times New Roman" w:cs="Times New Roman"/>
                <w:color w:val="auto"/>
                <w:sz w:val="24"/>
                <w:lang w:val="en-US" w:eastAsia="zh-CN"/>
              </w:rPr>
              <w:t>废水600</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/a，车辆清洗</w:t>
            </w:r>
            <w:r>
              <w:rPr>
                <w:rFonts w:hint="eastAsia" w:ascii="Times New Roman" w:hAnsi="Times New Roman" w:cs="Times New Roman"/>
                <w:color w:val="auto"/>
                <w:sz w:val="24"/>
                <w:lang w:val="en-US" w:eastAsia="zh-CN"/>
              </w:rPr>
              <w:t>废水1603.2</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w:t>
            </w:r>
            <w:r>
              <w:rPr>
                <w:rFonts w:hint="default" w:ascii="Times New Roman" w:hAnsi="Times New Roman" w:cs="Times New Roman"/>
                <w:color w:val="auto"/>
                <w:sz w:val="24"/>
              </w:rPr>
              <w:t>搅拌作业区地面清洗</w:t>
            </w:r>
            <w:r>
              <w:rPr>
                <w:rFonts w:hint="eastAsia" w:ascii="Times New Roman" w:hAnsi="Times New Roman" w:cs="Times New Roman"/>
                <w:color w:val="auto"/>
                <w:sz w:val="24"/>
                <w:lang w:val="en-US" w:eastAsia="zh-CN"/>
              </w:rPr>
              <w:t>废水4800</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项目搅拌机清洗废水、车辆清洗废水和</w:t>
            </w:r>
            <w:r>
              <w:rPr>
                <w:rFonts w:hint="default" w:ascii="Times New Roman" w:hAnsi="Times New Roman" w:cs="Times New Roman"/>
                <w:color w:val="auto"/>
                <w:sz w:val="24"/>
              </w:rPr>
              <w:t>搅拌作业区地面清洗</w:t>
            </w:r>
            <w:r>
              <w:rPr>
                <w:rFonts w:hint="default" w:ascii="Times New Roman" w:hAnsi="Times New Roman" w:cs="Times New Roman"/>
                <w:color w:val="auto"/>
                <w:sz w:val="24"/>
                <w:lang w:val="en-US" w:eastAsia="zh-CN"/>
              </w:rPr>
              <w:t>废水经150m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沉淀池沉淀后回用于生产工序，不外排，生产废水主要污染因子为SS。</w:t>
            </w:r>
          </w:p>
          <w:p w14:paraId="505249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（2）依托原项目污水处理设施的可行性</w:t>
            </w:r>
          </w:p>
          <w:p w14:paraId="0A2AD7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zh-CN" w:eastAsia="zh-CN"/>
              </w:rPr>
            </w:pPr>
            <w:r>
              <w:rPr>
                <w:rFonts w:hint="default" w:ascii="Times New Roman" w:hAnsi="Times New Roman" w:cs="Times New Roman"/>
                <w:color w:val="auto"/>
                <w:sz w:val="24"/>
                <w:lang w:val="en-US" w:eastAsia="zh-CN"/>
              </w:rPr>
              <w:t>①</w:t>
            </w:r>
            <w:r>
              <w:rPr>
                <w:rFonts w:hint="default" w:ascii="Times New Roman" w:hAnsi="Times New Roman" w:cs="Times New Roman"/>
                <w:color w:val="auto"/>
                <w:sz w:val="24"/>
                <w:lang w:val="zh-CN" w:eastAsia="zh-CN"/>
              </w:rPr>
              <w:t>隔油池</w:t>
            </w:r>
          </w:p>
          <w:p w14:paraId="7DBC8F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根据工程分析可知，本次扩建项目无新增工作人员，食堂废水产生量和原项目一致为0.24m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/d；根据中华人民共和国国家环境保护标准《饮食业环境保护技术规范》（HJ554-2010），隔油池设计符合下列规定：</w:t>
            </w:r>
          </w:p>
          <w:p w14:paraId="6ADDC7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a</w:t>
            </w:r>
            <w:r>
              <w:rPr>
                <w:rFonts w:hint="eastAsia" w:cs="Times New Roman"/>
                <w:color w:val="auto"/>
                <w:sz w:val="24"/>
                <w:lang w:val="en-US" w:eastAsia="zh-CN"/>
              </w:rPr>
              <w:t>.</w:t>
            </w:r>
            <w:r>
              <w:rPr>
                <w:rFonts w:hint="default" w:ascii="Times New Roman" w:hAnsi="Times New Roman" w:cs="Times New Roman"/>
                <w:color w:val="auto"/>
                <w:sz w:val="24"/>
                <w:lang w:val="en-US" w:eastAsia="zh-CN"/>
              </w:rPr>
              <w:t>含油污水的水力停留时间不宜小于0.5h；</w:t>
            </w:r>
          </w:p>
          <w:p w14:paraId="3036BD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b</w:t>
            </w:r>
            <w:r>
              <w:rPr>
                <w:rFonts w:hint="eastAsia" w:cs="Times New Roman"/>
                <w:color w:val="auto"/>
                <w:sz w:val="24"/>
                <w:lang w:val="en-US" w:eastAsia="zh-CN"/>
              </w:rPr>
              <w:t>.</w:t>
            </w:r>
            <w:r>
              <w:rPr>
                <w:rFonts w:hint="default" w:ascii="Times New Roman" w:hAnsi="Times New Roman" w:cs="Times New Roman"/>
                <w:color w:val="auto"/>
                <w:sz w:val="24"/>
                <w:lang w:val="en-US" w:eastAsia="zh-CN"/>
              </w:rPr>
              <w:t>池内水流流速不宜大于0.005m/s；</w:t>
            </w:r>
          </w:p>
          <w:p w14:paraId="319AFB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c</w:t>
            </w:r>
            <w:r>
              <w:rPr>
                <w:rFonts w:hint="eastAsia" w:cs="Times New Roman"/>
                <w:color w:val="auto"/>
                <w:sz w:val="24"/>
                <w:lang w:val="en-US" w:eastAsia="zh-CN"/>
              </w:rPr>
              <w:t>.</w:t>
            </w:r>
            <w:r>
              <w:rPr>
                <w:rFonts w:hint="default" w:ascii="Times New Roman" w:hAnsi="Times New Roman" w:cs="Times New Roman"/>
                <w:color w:val="auto"/>
                <w:sz w:val="24"/>
                <w:lang w:val="en-US" w:eastAsia="zh-CN"/>
              </w:rPr>
              <w:t>池内分格宜取两档三格；</w:t>
            </w:r>
          </w:p>
          <w:p w14:paraId="0F9DC7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d</w:t>
            </w:r>
            <w:r>
              <w:rPr>
                <w:rFonts w:hint="eastAsia" w:cs="Times New Roman"/>
                <w:color w:val="auto"/>
                <w:sz w:val="24"/>
                <w:lang w:val="en-US" w:eastAsia="zh-CN"/>
              </w:rPr>
              <w:t>.</w:t>
            </w:r>
            <w:r>
              <w:rPr>
                <w:rFonts w:hint="default" w:ascii="Times New Roman" w:hAnsi="Times New Roman" w:cs="Times New Roman"/>
                <w:color w:val="auto"/>
                <w:sz w:val="24"/>
                <w:lang w:val="en-US" w:eastAsia="zh-CN"/>
              </w:rPr>
              <w:t>人工除油的隔油池内存油部分的容积不得小于该池有效容积的25%，隔油池出水管管底至池底的深度，不得小于0.6m。</w:t>
            </w:r>
          </w:p>
          <w:p w14:paraId="71C420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原项目食堂已配套设置了1个容积约为2m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的隔油池进行使用，用于接纳厨房餐饮含油废水。根据上文分析，本次扩建项目建成后整个食堂厨房含油废水产生量为0.24m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/d（原项目与扩建职工全部在厂内用餐），按炊事时间4小时计算，则隔油池容积大于0.12m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即可满足项目扩建完成后整个项目区水量停留时间要求，本项目已设置的隔油池容积为2m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，隔油池容积能够满足扩建项目建设完成后整个项目区含油污水的水量停留时间不小于0.5h的要求，能够确保隔油池的隔油效果。</w:t>
            </w:r>
          </w:p>
          <w:p w14:paraId="66DCF2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zh-CN" w:eastAsia="zh-CN"/>
              </w:rPr>
            </w:pPr>
            <w:r>
              <w:rPr>
                <w:rFonts w:hint="default" w:ascii="Times New Roman" w:hAnsi="Times New Roman" w:cs="Times New Roman"/>
                <w:color w:val="auto"/>
                <w:sz w:val="24"/>
                <w:lang w:val="zh-CN" w:eastAsia="zh-CN"/>
              </w:rPr>
              <w:t>②化粪池</w:t>
            </w:r>
          </w:p>
          <w:p w14:paraId="1A3857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本次扩建工作人员保留原项目工作人员无人员新增，原项目厂房已设置了1个的</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化粪池，并且定期委托周边农户用于周边农田施肥，满足《化粪池设计规范》中提出的污水在池中停留时间为12</w:t>
            </w:r>
            <w:r>
              <w:rPr>
                <w:rFonts w:hint="eastAsia" w:cs="Times New Roman"/>
                <w:color w:val="auto"/>
                <w:sz w:val="24"/>
                <w:lang w:val="en-US" w:eastAsia="zh-CN"/>
              </w:rPr>
              <w:t>～</w:t>
            </w:r>
            <w:r>
              <w:rPr>
                <w:rFonts w:hint="default" w:ascii="Times New Roman" w:hAnsi="Times New Roman" w:cs="Times New Roman"/>
                <w:color w:val="auto"/>
                <w:sz w:val="24"/>
                <w:lang w:val="en-US" w:eastAsia="zh-CN"/>
              </w:rPr>
              <w:t>24h要求。因此，本项目依托原项目已设置的化粪池可行。</w:t>
            </w:r>
          </w:p>
          <w:p w14:paraId="096C2F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lang w:val="zh-CN" w:eastAsia="zh-CN"/>
              </w:rPr>
            </w:pPr>
            <w:r>
              <w:rPr>
                <w:rFonts w:hint="default" w:ascii="Times New Roman" w:hAnsi="Times New Roman" w:cs="Times New Roman"/>
                <w:color w:val="auto"/>
                <w:sz w:val="24"/>
                <w:lang w:val="zh-CN" w:eastAsia="zh-CN"/>
              </w:rPr>
              <w:t>③</w:t>
            </w:r>
            <w:r>
              <w:rPr>
                <w:rFonts w:hint="default" w:ascii="Times New Roman" w:hAnsi="Times New Roman" w:cs="Times New Roman"/>
                <w:color w:val="auto"/>
                <w:sz w:val="24"/>
                <w:lang w:val="en-US" w:eastAsia="zh-CN"/>
              </w:rPr>
              <w:t>沉淀</w:t>
            </w:r>
            <w:r>
              <w:rPr>
                <w:rFonts w:hint="default" w:ascii="Times New Roman" w:hAnsi="Times New Roman" w:cs="Times New Roman"/>
                <w:color w:val="auto"/>
                <w:sz w:val="24"/>
                <w:lang w:val="zh-CN" w:eastAsia="zh-CN"/>
              </w:rPr>
              <w:t>池</w:t>
            </w:r>
          </w:p>
          <w:p w14:paraId="6CD62410">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spacing w:val="2"/>
                <w:sz w:val="24"/>
                <w:szCs w:val="24"/>
                <w:highlight w:val="none"/>
                <w:lang w:val="en-US" w:eastAsia="zh-CN"/>
              </w:rPr>
              <w:t>原项目</w:t>
            </w:r>
            <w:r>
              <w:rPr>
                <w:rFonts w:hint="default" w:ascii="Times New Roman" w:hAnsi="Times New Roman" w:eastAsia="宋体" w:cs="Times New Roman"/>
                <w:color w:val="auto"/>
                <w:sz w:val="24"/>
                <w:highlight w:val="none"/>
                <w:lang w:val="zh-CN"/>
              </w:rPr>
              <w:t>在</w:t>
            </w:r>
            <w:r>
              <w:rPr>
                <w:rFonts w:hint="default" w:ascii="Times New Roman" w:hAnsi="Times New Roman" w:eastAsia="宋体" w:cs="Times New Roman"/>
                <w:color w:val="auto"/>
                <w:sz w:val="24"/>
                <w:highlight w:val="none"/>
                <w:lang w:val="en-US" w:eastAsia="zh-CN"/>
              </w:rPr>
              <w:t>厂区</w:t>
            </w:r>
            <w:r>
              <w:rPr>
                <w:rFonts w:hint="default" w:ascii="Times New Roman" w:hAnsi="Times New Roman" w:eastAsia="宋体" w:cs="Times New Roman"/>
                <w:color w:val="auto"/>
                <w:sz w:val="24"/>
                <w:highlight w:val="none"/>
                <w:lang w:val="zh-CN"/>
              </w:rPr>
              <w:t>平台南侧</w:t>
            </w:r>
            <w:r>
              <w:rPr>
                <w:rFonts w:hint="default" w:ascii="Times New Roman" w:hAnsi="Times New Roman" w:eastAsia="宋体" w:cs="Times New Roman"/>
                <w:color w:val="auto"/>
                <w:sz w:val="24"/>
                <w:highlight w:val="none"/>
                <w:lang w:val="en-US" w:eastAsia="zh-CN"/>
              </w:rPr>
              <w:t>已建</w:t>
            </w:r>
            <w:r>
              <w:rPr>
                <w:rFonts w:hint="default" w:ascii="Times New Roman" w:hAnsi="Times New Roman" w:eastAsia="宋体" w:cs="Times New Roman"/>
                <w:color w:val="auto"/>
                <w:sz w:val="24"/>
                <w:highlight w:val="none"/>
                <w:lang w:val="zh-CN"/>
              </w:rPr>
              <w:t>设1座容积</w:t>
            </w:r>
            <w:r>
              <w:rPr>
                <w:rFonts w:hint="default" w:ascii="Times New Roman" w:hAnsi="Times New Roman" w:eastAsia="宋体" w:cs="Times New Roman"/>
                <w:color w:val="auto"/>
                <w:sz w:val="24"/>
                <w:highlight w:val="none"/>
                <w:lang w:val="en-US" w:eastAsia="zh-CN"/>
              </w:rPr>
              <w:t>约</w:t>
            </w:r>
            <w:r>
              <w:rPr>
                <w:rFonts w:hint="default" w:ascii="Times New Roman" w:hAnsi="Times New Roman" w:eastAsia="宋体" w:cs="Times New Roman"/>
                <w:color w:val="auto"/>
                <w:sz w:val="24"/>
                <w:highlight w:val="none"/>
                <w:lang w:val="zh-CN"/>
              </w:rPr>
              <w:t>为</w:t>
            </w:r>
            <w:r>
              <w:rPr>
                <w:rFonts w:hint="default" w:ascii="Times New Roman" w:hAnsi="Times New Roman" w:eastAsia="宋体" w:cs="Times New Roman"/>
                <w:color w:val="auto"/>
                <w:sz w:val="24"/>
                <w:highlight w:val="none"/>
                <w:lang w:val="en-US" w:eastAsia="zh-CN"/>
              </w:rPr>
              <w:t>15</w:t>
            </w:r>
            <w:r>
              <w:rPr>
                <w:rFonts w:hint="default" w:ascii="Times New Roman" w:hAnsi="Times New Roman" w:eastAsia="宋体" w:cs="Times New Roman"/>
                <w:color w:val="auto"/>
                <w:sz w:val="24"/>
                <w:highlight w:val="none"/>
              </w:rPr>
              <w:t>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沉淀池，</w:t>
            </w:r>
            <w:r>
              <w:rPr>
                <w:rFonts w:hint="default" w:ascii="Times New Roman" w:hAnsi="Times New Roman" w:eastAsia="宋体" w:cs="Times New Roman"/>
                <w:color w:val="auto"/>
                <w:sz w:val="24"/>
                <w:highlight w:val="none"/>
                <w:lang w:val="en-US" w:eastAsia="zh-CN"/>
              </w:rPr>
              <w:t>计划在东南侧再建设一个约60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沉淀池</w:t>
            </w:r>
            <w:r>
              <w:rPr>
                <w:rFonts w:hint="default" w:ascii="Times New Roman" w:hAnsi="Times New Roman" w:cs="Times New Roman"/>
                <w:color w:val="auto"/>
                <w:sz w:val="24"/>
                <w:highlight w:val="none"/>
                <w:lang w:val="zh-CN"/>
              </w:rPr>
              <w:t>。</w:t>
            </w:r>
            <w:r>
              <w:rPr>
                <w:rFonts w:hint="default" w:ascii="Times New Roman" w:hAnsi="Times New Roman" w:cs="Times New Roman"/>
                <w:color w:val="auto"/>
                <w:sz w:val="24"/>
                <w:highlight w:val="none"/>
                <w:lang w:val="en-US" w:eastAsia="zh-CN"/>
              </w:rPr>
              <w:t>沉淀池</w:t>
            </w:r>
            <w:r>
              <w:rPr>
                <w:rFonts w:hint="default" w:ascii="Times New Roman" w:hAnsi="Times New Roman" w:eastAsia="宋体" w:cs="Times New Roman"/>
                <w:color w:val="auto"/>
                <w:sz w:val="24"/>
                <w:highlight w:val="none"/>
                <w:lang w:val="zh-CN"/>
              </w:rPr>
              <w:t>用于处理项目搅拌机清洗废水、混凝土运输车辆清洗废水</w:t>
            </w:r>
            <w:r>
              <w:rPr>
                <w:rFonts w:hint="default" w:ascii="Times New Roman" w:hAnsi="Times New Roman" w:eastAsia="宋体" w:cs="Times New Roman"/>
                <w:color w:val="auto"/>
                <w:sz w:val="24"/>
                <w:highlight w:val="none"/>
                <w:lang w:val="en-US" w:eastAsia="zh-CN"/>
              </w:rPr>
              <w:t>和露天收集雨水</w:t>
            </w:r>
            <w:r>
              <w:rPr>
                <w:rFonts w:hint="default" w:ascii="Times New Roman" w:hAnsi="Times New Roman" w:eastAsia="宋体" w:cs="Times New Roman"/>
                <w:color w:val="auto"/>
                <w:sz w:val="24"/>
                <w:highlight w:val="none"/>
                <w:lang w:val="zh-CN"/>
              </w:rPr>
              <w:t>，废水通过</w:t>
            </w:r>
            <w:r>
              <w:rPr>
                <w:rFonts w:hint="default" w:ascii="Times New Roman" w:hAnsi="Times New Roman" w:cs="Times New Roman"/>
                <w:color w:val="auto"/>
                <w:sz w:val="24"/>
                <w:highlight w:val="none"/>
                <w:lang w:val="en-US" w:eastAsia="zh-CN"/>
              </w:rPr>
              <w:t>地势引导</w:t>
            </w:r>
            <w:r>
              <w:rPr>
                <w:rFonts w:hint="default" w:ascii="Times New Roman" w:hAnsi="Times New Roman" w:eastAsia="宋体" w:cs="Times New Roman"/>
                <w:color w:val="auto"/>
                <w:sz w:val="24"/>
                <w:highlight w:val="none"/>
                <w:lang w:val="zh-CN"/>
              </w:rPr>
              <w:t>排至沉淀</w:t>
            </w:r>
            <w:r>
              <w:rPr>
                <w:rFonts w:hint="default" w:ascii="Times New Roman" w:hAnsi="Times New Roman" w:cs="Times New Roman"/>
                <w:color w:val="auto"/>
                <w:sz w:val="24"/>
                <w:highlight w:val="none"/>
                <w:lang w:val="en-US" w:eastAsia="zh-CN"/>
              </w:rPr>
              <w:t>池</w:t>
            </w:r>
            <w:r>
              <w:rPr>
                <w:rFonts w:hint="default" w:ascii="Times New Roman" w:hAnsi="Times New Roman" w:eastAsia="宋体" w:cs="Times New Roman"/>
                <w:color w:val="auto"/>
                <w:sz w:val="24"/>
                <w:highlight w:val="none"/>
                <w:lang w:val="zh-CN"/>
              </w:rPr>
              <w:t>处理后回用于生产。</w:t>
            </w:r>
            <w:r>
              <w:rPr>
                <w:rFonts w:hint="default" w:ascii="Times New Roman" w:hAnsi="Times New Roman" w:eastAsia="宋体" w:cs="Times New Roman"/>
                <w:color w:val="auto"/>
                <w:sz w:val="24"/>
                <w:highlight w:val="none"/>
                <w:lang w:val="en-US" w:eastAsia="zh-CN"/>
              </w:rPr>
              <w:t>根据分析计算，项目生产</w:t>
            </w:r>
            <w:r>
              <w:rPr>
                <w:rFonts w:hint="default" w:ascii="Times New Roman" w:hAnsi="Times New Roman" w:cs="Times New Roman"/>
                <w:color w:val="auto"/>
                <w:sz w:val="24"/>
                <w:highlight w:val="none"/>
                <w:lang w:val="en-US" w:eastAsia="zh-CN"/>
              </w:rPr>
              <w:t>总用水162.48</w:t>
            </w:r>
            <w:r>
              <w:rPr>
                <w:rFonts w:hint="default" w:ascii="Times New Roman" w:hAnsi="Times New Roman" w:eastAsia="宋体" w:cs="Times New Roman"/>
                <w:color w:val="auto"/>
                <w:sz w:val="24"/>
                <w:highlight w:val="none"/>
                <w:lang w:val="en-US" w:eastAsia="zh-CN"/>
              </w:rPr>
              <w:t>m³/d</w:t>
            </w:r>
            <w:r>
              <w:rPr>
                <w:rFonts w:hint="default" w:ascii="Times New Roman" w:hAnsi="Times New Roman" w:cs="Times New Roman"/>
                <w:color w:val="auto"/>
                <w:sz w:val="24"/>
                <w:highlight w:val="none"/>
                <w:lang w:val="en-US" w:eastAsia="zh-CN"/>
              </w:rPr>
              <w:t>，48744</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清洗废水排放量共计23.344m³/d，</w:t>
            </w:r>
            <w:r>
              <w:rPr>
                <w:rFonts w:hint="default" w:ascii="Times New Roman" w:hAnsi="Times New Roman" w:cs="Times New Roman"/>
                <w:color w:val="auto"/>
                <w:sz w:val="24"/>
                <w:highlight w:val="none"/>
                <w:lang w:val="en-US" w:eastAsia="zh-CN"/>
              </w:rPr>
              <w:t>7003.2</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zh-CN"/>
              </w:rPr>
              <w:t>沉淀池</w:t>
            </w:r>
            <w:r>
              <w:rPr>
                <w:rFonts w:hint="default" w:ascii="Times New Roman" w:hAnsi="Times New Roman" w:cs="Times New Roman"/>
                <w:color w:val="auto"/>
                <w:sz w:val="24"/>
                <w:highlight w:val="none"/>
                <w:lang w:val="en-US" w:eastAsia="zh-CN"/>
              </w:rPr>
              <w:t>用于收集</w:t>
            </w:r>
            <w:r>
              <w:rPr>
                <w:rFonts w:hint="default" w:ascii="Times New Roman" w:hAnsi="Times New Roman" w:cs="Times New Roman"/>
                <w:color w:val="auto"/>
                <w:sz w:val="24"/>
                <w:lang w:val="en-US" w:eastAsia="zh-CN"/>
              </w:rPr>
              <w:t>沉淀</w:t>
            </w:r>
            <w:r>
              <w:rPr>
                <w:rFonts w:hint="default" w:ascii="Times New Roman" w:hAnsi="Times New Roman" w:cs="Times New Roman"/>
                <w:color w:val="auto"/>
                <w:sz w:val="24"/>
                <w:lang w:val="zh-CN" w:eastAsia="zh-CN"/>
              </w:rPr>
              <w:t>池</w:t>
            </w:r>
            <w:r>
              <w:rPr>
                <w:rFonts w:hint="default" w:ascii="Times New Roman" w:hAnsi="Times New Roman" w:cs="Times New Roman"/>
                <w:color w:val="auto"/>
                <w:sz w:val="24"/>
                <w:highlight w:val="none"/>
                <w:lang w:val="en-US" w:eastAsia="zh-CN"/>
              </w:rPr>
              <w:t>，现有沉淀池能收集150m3废水且计划再修建1个60</w:t>
            </w:r>
            <w:r>
              <w:rPr>
                <w:rFonts w:hint="default" w:ascii="Times New Roman" w:hAnsi="Times New Roman" w:eastAsia="Times New Roman" w:cs="Times New Roman"/>
                <w:color w:val="auto"/>
                <w:kern w:val="2"/>
                <w:sz w:val="21"/>
                <w:szCs w:val="21"/>
                <w:highlight w:val="none"/>
                <w:lang w:val="en-US" w:eastAsia="zh-CN" w:bidi="ar-SA"/>
              </w:rPr>
              <w:t>m</w:t>
            </w:r>
            <w:r>
              <w:rPr>
                <w:rFonts w:hint="default" w:ascii="Times New Roman" w:hAnsi="Times New Roman" w:eastAsia="Times New Roman" w:cs="Times New Roman"/>
                <w:color w:val="auto"/>
                <w:kern w:val="2"/>
                <w:sz w:val="21"/>
                <w:szCs w:val="21"/>
                <w:highlight w:val="none"/>
                <w:vertAlign w:val="superscript"/>
                <w:lang w:val="en-US" w:eastAsia="zh-CN" w:bidi="ar-SA"/>
              </w:rPr>
              <w:t>3</w:t>
            </w:r>
            <w:r>
              <w:rPr>
                <w:rFonts w:hint="default" w:ascii="Times New Roman" w:hAnsi="Times New Roman" w:cs="Times New Roman"/>
                <w:color w:val="auto"/>
                <w:sz w:val="24"/>
                <w:highlight w:val="none"/>
                <w:lang w:val="en-US" w:eastAsia="zh-CN"/>
              </w:rPr>
              <w:t>沉淀池，根据《年产25万吨商品混凝土生产线建设项目竣工环境保护验收监测报告表》原项目每日</w:t>
            </w:r>
            <w:r>
              <w:rPr>
                <w:rFonts w:hint="default" w:ascii="Times New Roman" w:hAnsi="Times New Roman" w:eastAsia="宋体" w:cs="Times New Roman"/>
                <w:color w:val="auto"/>
                <w:sz w:val="24"/>
                <w:highlight w:val="none"/>
                <w:lang w:val="en-US" w:eastAsia="zh-CN"/>
              </w:rPr>
              <w:t>清洗废水排放量共计50.6m³</w:t>
            </w:r>
            <w:r>
              <w:rPr>
                <w:rFonts w:hint="default" w:ascii="Times New Roman" w:hAnsi="Times New Roman" w:cs="Times New Roman"/>
                <w:color w:val="auto"/>
                <w:sz w:val="24"/>
                <w:lang w:val="en-US" w:eastAsia="zh-CN"/>
              </w:rPr>
              <w:t>，项目扩建后</w:t>
            </w:r>
            <w:r>
              <w:rPr>
                <w:rFonts w:hint="default" w:ascii="Times New Roman" w:hAnsi="Times New Roman" w:cs="Times New Roman"/>
                <w:color w:val="auto"/>
                <w:sz w:val="24"/>
                <w:highlight w:val="none"/>
                <w:lang w:val="en-US" w:eastAsia="zh-CN"/>
              </w:rPr>
              <w:t>每日</w:t>
            </w:r>
            <w:r>
              <w:rPr>
                <w:rFonts w:hint="default" w:ascii="Times New Roman" w:hAnsi="Times New Roman" w:eastAsia="宋体" w:cs="Times New Roman"/>
                <w:color w:val="auto"/>
                <w:sz w:val="24"/>
                <w:highlight w:val="none"/>
                <w:lang w:val="en-US" w:eastAsia="zh-CN"/>
              </w:rPr>
              <w:t>清洗废水排放量共计23.344m³</w:t>
            </w:r>
            <w:r>
              <w:rPr>
                <w:rFonts w:hint="default" w:ascii="Times New Roman" w:hAnsi="Times New Roman" w:cs="Times New Roman"/>
                <w:color w:val="auto"/>
                <w:sz w:val="24"/>
                <w:highlight w:val="none"/>
                <w:lang w:val="en-US" w:eastAsia="zh-CN"/>
              </w:rPr>
              <w:t>，因此</w:t>
            </w:r>
            <w:r>
              <w:rPr>
                <w:rFonts w:hint="default" w:ascii="Times New Roman" w:hAnsi="Times New Roman" w:cs="Times New Roman"/>
                <w:color w:val="auto"/>
                <w:sz w:val="24"/>
                <w:lang w:val="en-US" w:eastAsia="zh-CN"/>
              </w:rPr>
              <w:t>本项目依托原项目已设置的沉淀</w:t>
            </w:r>
            <w:r>
              <w:rPr>
                <w:rFonts w:hint="default" w:ascii="Times New Roman" w:hAnsi="Times New Roman" w:cs="Times New Roman"/>
                <w:color w:val="auto"/>
                <w:sz w:val="24"/>
                <w:lang w:val="zh-CN" w:eastAsia="zh-CN"/>
              </w:rPr>
              <w:t>池</w:t>
            </w:r>
            <w:r>
              <w:rPr>
                <w:rFonts w:hint="default" w:ascii="Times New Roman" w:hAnsi="Times New Roman" w:cs="Times New Roman"/>
                <w:color w:val="auto"/>
                <w:sz w:val="24"/>
                <w:lang w:val="en-US" w:eastAsia="zh-CN"/>
              </w:rPr>
              <w:t>可行。</w:t>
            </w:r>
          </w:p>
          <w:p w14:paraId="0930A7F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cs="Times New Roman"/>
                <w:color w:val="auto"/>
                <w:sz w:val="24"/>
                <w:lang w:val="en-US" w:eastAsia="zh-CN"/>
              </w:rPr>
              <w:t>（</w:t>
            </w:r>
            <w:r>
              <w:rPr>
                <w:rFonts w:hint="eastAsia" w:cs="Times New Roman"/>
                <w:color w:val="auto"/>
                <w:sz w:val="24"/>
                <w:lang w:val="en-US" w:eastAsia="zh-CN"/>
              </w:rPr>
              <w:t>3</w:t>
            </w:r>
            <w:r>
              <w:rPr>
                <w:rFonts w:hint="default" w:ascii="Times New Roman" w:hAnsi="Times New Roman" w:cs="Times New Roman"/>
                <w:color w:val="auto"/>
                <w:sz w:val="24"/>
                <w:lang w:val="en-US" w:eastAsia="zh-CN"/>
              </w:rPr>
              <w:t>）</w:t>
            </w:r>
            <w:r>
              <w:rPr>
                <w:rFonts w:hint="default" w:ascii="Times New Roman" w:hAnsi="Times New Roman" w:eastAsia="宋体" w:cs="Times New Roman"/>
                <w:color w:val="auto"/>
                <w:spacing w:val="2"/>
                <w:sz w:val="24"/>
                <w:szCs w:val="24"/>
                <w:highlight w:val="none"/>
                <w:lang w:val="en-US" w:eastAsia="zh-CN"/>
              </w:rPr>
              <w:t>生产废水不外排的可行性和可靠性</w:t>
            </w:r>
          </w:p>
          <w:p w14:paraId="7C5A872E">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pacing w:val="2"/>
                <w:sz w:val="24"/>
                <w:szCs w:val="24"/>
                <w:highlight w:val="none"/>
                <w:lang w:val="en-US" w:eastAsia="zh-CN"/>
              </w:rPr>
              <w:t>经统计，项目每天生产需要水量为139.159m</w:t>
            </w:r>
            <w:r>
              <w:rPr>
                <w:rFonts w:hint="default" w:ascii="Times New Roman" w:hAnsi="Times New Roman" w:eastAsia="宋体" w:cs="Times New Roman"/>
                <w:color w:val="auto"/>
                <w:spacing w:val="2"/>
                <w:sz w:val="24"/>
                <w:szCs w:val="24"/>
                <w:highlight w:val="none"/>
                <w:vertAlign w:val="superscript"/>
                <w:lang w:val="en-US" w:eastAsia="zh-CN"/>
              </w:rPr>
              <w:t>3</w:t>
            </w:r>
            <w:r>
              <w:rPr>
                <w:rFonts w:hint="default" w:ascii="Times New Roman" w:hAnsi="Times New Roman" w:eastAsia="宋体" w:cs="Times New Roman"/>
                <w:color w:val="auto"/>
                <w:spacing w:val="2"/>
                <w:sz w:val="24"/>
                <w:szCs w:val="24"/>
                <w:highlight w:val="none"/>
                <w:lang w:val="en-US" w:eastAsia="zh-CN"/>
              </w:rPr>
              <w:t>/d，</w:t>
            </w:r>
            <w:r>
              <w:rPr>
                <w:rFonts w:hint="eastAsia" w:cs="Times New Roman"/>
                <w:color w:val="auto"/>
                <w:spacing w:val="2"/>
                <w:sz w:val="24"/>
                <w:szCs w:val="24"/>
                <w:highlight w:val="none"/>
                <w:lang w:val="en-US" w:eastAsia="zh-CN"/>
              </w:rPr>
              <w:t>水量</w:t>
            </w:r>
            <w:r>
              <w:rPr>
                <w:rFonts w:hint="default" w:ascii="Times New Roman" w:hAnsi="Times New Roman" w:cs="Times New Roman"/>
                <w:color w:val="auto"/>
                <w:spacing w:val="2"/>
                <w:sz w:val="24"/>
                <w:szCs w:val="24"/>
                <w:highlight w:val="none"/>
                <w:lang w:val="en-US" w:eastAsia="zh-CN"/>
              </w:rPr>
              <w:t>大部分源于</w:t>
            </w:r>
            <w:r>
              <w:rPr>
                <w:rFonts w:hint="default" w:ascii="Times New Roman" w:hAnsi="Times New Roman" w:eastAsia="宋体" w:cs="Times New Roman"/>
                <w:color w:val="auto"/>
                <w:spacing w:val="2"/>
                <w:sz w:val="24"/>
                <w:szCs w:val="24"/>
                <w:highlight w:val="none"/>
                <w:lang w:val="en-US" w:eastAsia="zh-CN"/>
              </w:rPr>
              <w:t>供水管网补充，</w:t>
            </w:r>
            <w:r>
              <w:rPr>
                <w:rFonts w:hint="default" w:ascii="Times New Roman" w:hAnsi="Times New Roman" w:cs="Times New Roman"/>
                <w:color w:val="auto"/>
                <w:spacing w:val="2"/>
                <w:sz w:val="24"/>
                <w:szCs w:val="24"/>
                <w:highlight w:val="none"/>
                <w:lang w:val="en-US" w:eastAsia="zh-CN"/>
              </w:rPr>
              <w:t>只有少部分</w:t>
            </w:r>
            <w:r>
              <w:rPr>
                <w:rFonts w:hint="eastAsia" w:cs="Times New Roman"/>
                <w:color w:val="auto"/>
                <w:spacing w:val="2"/>
                <w:sz w:val="24"/>
                <w:szCs w:val="24"/>
                <w:highlight w:val="none"/>
                <w:lang w:val="en-US" w:eastAsia="zh-CN"/>
              </w:rPr>
              <w:t>来自</w:t>
            </w:r>
            <w:r>
              <w:rPr>
                <w:rFonts w:hint="default" w:ascii="Times New Roman" w:hAnsi="Times New Roman" w:eastAsia="宋体" w:cs="Times New Roman"/>
                <w:color w:val="auto"/>
                <w:spacing w:val="2"/>
                <w:sz w:val="24"/>
                <w:szCs w:val="24"/>
                <w:highlight w:val="none"/>
                <w:lang w:val="en-US" w:eastAsia="zh-CN"/>
              </w:rPr>
              <w:t>雨天补充</w:t>
            </w:r>
            <w:r>
              <w:rPr>
                <w:rFonts w:hint="default" w:ascii="Times New Roman" w:hAnsi="Times New Roman" w:cs="Times New Roman"/>
                <w:color w:val="auto"/>
                <w:spacing w:val="2"/>
                <w:sz w:val="24"/>
                <w:szCs w:val="24"/>
                <w:highlight w:val="none"/>
                <w:lang w:val="en-US" w:eastAsia="zh-CN"/>
              </w:rPr>
              <w:t>可忽略不计</w:t>
            </w:r>
            <w:r>
              <w:rPr>
                <w:rFonts w:hint="default" w:ascii="Times New Roman" w:hAnsi="Times New Roman" w:eastAsia="宋体" w:cs="Times New Roman"/>
                <w:color w:val="auto"/>
                <w:spacing w:val="2"/>
                <w:sz w:val="24"/>
                <w:szCs w:val="24"/>
                <w:highlight w:val="none"/>
                <w:lang w:val="en-US" w:eastAsia="zh-CN"/>
              </w:rPr>
              <w:t>。项目搅拌机清洗废水、罐车清洗废水、</w:t>
            </w:r>
            <w:r>
              <w:rPr>
                <w:rFonts w:hint="default" w:ascii="Times New Roman" w:hAnsi="Times New Roman" w:cs="Times New Roman"/>
                <w:color w:val="auto"/>
                <w:sz w:val="24"/>
              </w:rPr>
              <w:t>搅拌作业区地面清洗</w:t>
            </w:r>
            <w:r>
              <w:rPr>
                <w:rFonts w:hint="default" w:ascii="Times New Roman" w:hAnsi="Times New Roman" w:eastAsia="宋体" w:cs="Times New Roman"/>
                <w:color w:val="auto"/>
                <w:spacing w:val="2"/>
                <w:sz w:val="24"/>
                <w:szCs w:val="24"/>
                <w:highlight w:val="none"/>
                <w:lang w:val="en-US" w:eastAsia="zh-CN"/>
              </w:rPr>
              <w:t>废水主要污染物为SS，每天</w:t>
            </w:r>
            <w:r>
              <w:rPr>
                <w:rFonts w:hint="default" w:ascii="Times New Roman" w:hAnsi="Times New Roman" w:cs="Times New Roman"/>
                <w:color w:val="auto"/>
                <w:spacing w:val="2"/>
                <w:sz w:val="24"/>
                <w:szCs w:val="24"/>
                <w:highlight w:val="none"/>
                <w:lang w:val="en-US" w:eastAsia="zh-CN"/>
              </w:rPr>
              <w:t>产生的清洗废水</w:t>
            </w:r>
            <w:r>
              <w:rPr>
                <w:rFonts w:hint="default" w:ascii="Times New Roman" w:hAnsi="Times New Roman" w:eastAsia="宋体" w:cs="Times New Roman"/>
                <w:color w:val="auto"/>
                <w:spacing w:val="2"/>
                <w:sz w:val="24"/>
                <w:szCs w:val="24"/>
                <w:highlight w:val="none"/>
                <w:lang w:val="en-US" w:eastAsia="zh-CN"/>
              </w:rPr>
              <w:t>量为</w:t>
            </w:r>
            <w:r>
              <w:rPr>
                <w:rFonts w:hint="default" w:ascii="Times New Roman" w:hAnsi="Times New Roman" w:eastAsia="宋体" w:cs="Times New Roman"/>
                <w:color w:val="auto"/>
                <w:sz w:val="24"/>
                <w:highlight w:val="none"/>
                <w:lang w:val="en-US" w:eastAsia="zh-CN"/>
              </w:rPr>
              <w:t>23.344m³/d，</w:t>
            </w:r>
            <w:r>
              <w:rPr>
                <w:rFonts w:hint="default" w:ascii="Times New Roman" w:hAnsi="Times New Roman" w:cs="Times New Roman"/>
                <w:color w:val="auto"/>
                <w:sz w:val="24"/>
                <w:highlight w:val="none"/>
                <w:lang w:val="en-US" w:eastAsia="zh-CN"/>
              </w:rPr>
              <w:t>7003.2</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pacing w:val="2"/>
                <w:sz w:val="24"/>
                <w:szCs w:val="24"/>
                <w:highlight w:val="none"/>
                <w:lang w:val="en-US" w:eastAsia="zh-CN"/>
              </w:rPr>
              <w:t>经项目设置的沉淀池沉淀后回用于搅拌生产用水，项目搅拌用水每天需水量为</w:t>
            </w:r>
            <w:r>
              <w:rPr>
                <w:rFonts w:hint="eastAsia" w:ascii="Times New Roman" w:hAnsi="Times New Roman" w:eastAsia="宋体" w:cs="Times New Roman"/>
                <w:color w:val="auto"/>
                <w:spacing w:val="2"/>
                <w:sz w:val="24"/>
                <w:szCs w:val="24"/>
                <w:highlight w:val="none"/>
                <w:lang w:val="en-US" w:eastAsia="zh-CN"/>
              </w:rPr>
              <w:t>123.3</w:t>
            </w:r>
            <w:r>
              <w:rPr>
                <w:rFonts w:hint="default" w:ascii="Times New Roman" w:hAnsi="Times New Roman" w:eastAsia="宋体" w:cs="Times New Roman"/>
                <w:color w:val="auto"/>
                <w:spacing w:val="2"/>
                <w:sz w:val="24"/>
                <w:szCs w:val="24"/>
                <w:highlight w:val="none"/>
                <w:lang w:val="en-US" w:eastAsia="zh-CN"/>
              </w:rPr>
              <w:t>m</w:t>
            </w:r>
            <w:r>
              <w:rPr>
                <w:rFonts w:hint="default" w:ascii="Times New Roman" w:hAnsi="Times New Roman" w:eastAsia="宋体" w:cs="Times New Roman"/>
                <w:color w:val="auto"/>
                <w:spacing w:val="2"/>
                <w:sz w:val="24"/>
                <w:szCs w:val="24"/>
                <w:highlight w:val="none"/>
                <w:vertAlign w:val="superscript"/>
                <w:lang w:val="en-US" w:eastAsia="zh-CN"/>
              </w:rPr>
              <w:t>3</w:t>
            </w:r>
            <w:r>
              <w:rPr>
                <w:rFonts w:hint="default" w:ascii="Times New Roman" w:hAnsi="Times New Roman" w:eastAsia="宋体" w:cs="Times New Roman"/>
                <w:color w:val="auto"/>
                <w:spacing w:val="2"/>
                <w:sz w:val="24"/>
                <w:szCs w:val="24"/>
                <w:highlight w:val="none"/>
                <w:lang w:val="en-US" w:eastAsia="zh-CN"/>
              </w:rPr>
              <w:t>/d，</w:t>
            </w:r>
            <w:r>
              <w:rPr>
                <w:rFonts w:hint="eastAsia" w:cs="Times New Roman"/>
                <w:color w:val="auto"/>
                <w:spacing w:val="2"/>
                <w:sz w:val="24"/>
                <w:szCs w:val="24"/>
                <w:highlight w:val="none"/>
                <w:lang w:val="en-US" w:eastAsia="zh-CN"/>
              </w:rPr>
              <w:t>39990</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pacing w:val="2"/>
                <w:sz w:val="24"/>
                <w:szCs w:val="24"/>
                <w:highlight w:val="none"/>
                <w:lang w:val="en-US" w:eastAsia="zh-CN"/>
              </w:rPr>
              <w:t>沉淀池</w:t>
            </w:r>
            <w:r>
              <w:rPr>
                <w:rFonts w:hint="eastAsia" w:ascii="Times New Roman" w:hAnsi="Times New Roman" w:eastAsia="宋体" w:cs="Times New Roman"/>
                <w:color w:val="auto"/>
                <w:spacing w:val="2"/>
                <w:sz w:val="24"/>
                <w:szCs w:val="24"/>
                <w:highlight w:val="none"/>
                <w:lang w:val="en-US" w:eastAsia="zh-CN"/>
              </w:rPr>
              <w:t>回用水不能</w:t>
            </w:r>
            <w:r>
              <w:rPr>
                <w:rFonts w:hint="default" w:ascii="Times New Roman" w:hAnsi="Times New Roman" w:eastAsia="宋体" w:cs="Times New Roman"/>
                <w:color w:val="auto"/>
                <w:spacing w:val="2"/>
                <w:sz w:val="24"/>
                <w:szCs w:val="24"/>
                <w:highlight w:val="none"/>
                <w:lang w:val="en-US" w:eastAsia="zh-CN"/>
              </w:rPr>
              <w:t>完全容纳项目所有生产废水</w:t>
            </w:r>
            <w:r>
              <w:rPr>
                <w:rFonts w:hint="eastAsia" w:cs="Times New Roman"/>
                <w:color w:val="auto"/>
                <w:spacing w:val="2"/>
                <w:sz w:val="24"/>
                <w:szCs w:val="24"/>
                <w:highlight w:val="none"/>
                <w:lang w:val="en-US" w:eastAsia="zh-CN"/>
              </w:rPr>
              <w:t>，还需新鲜水109.979</w:t>
            </w:r>
            <w:r>
              <w:rPr>
                <w:rFonts w:hint="default" w:ascii="Times New Roman" w:hAnsi="Times New Roman" w:eastAsia="宋体" w:cs="Times New Roman"/>
                <w:color w:val="auto"/>
                <w:spacing w:val="2"/>
                <w:sz w:val="24"/>
                <w:szCs w:val="24"/>
                <w:highlight w:val="none"/>
                <w:lang w:val="en-US" w:eastAsia="zh-CN"/>
              </w:rPr>
              <w:t>m</w:t>
            </w:r>
            <w:r>
              <w:rPr>
                <w:rFonts w:hint="default" w:ascii="Times New Roman" w:hAnsi="Times New Roman" w:eastAsia="宋体" w:cs="Times New Roman"/>
                <w:color w:val="auto"/>
                <w:spacing w:val="2"/>
                <w:sz w:val="24"/>
                <w:szCs w:val="24"/>
                <w:highlight w:val="none"/>
                <w:vertAlign w:val="superscript"/>
                <w:lang w:val="en-US" w:eastAsia="zh-CN"/>
              </w:rPr>
              <w:t>3</w:t>
            </w:r>
            <w:r>
              <w:rPr>
                <w:rFonts w:hint="default" w:ascii="Times New Roman" w:hAnsi="Times New Roman" w:eastAsia="宋体" w:cs="Times New Roman"/>
                <w:color w:val="auto"/>
                <w:spacing w:val="2"/>
                <w:sz w:val="24"/>
                <w:szCs w:val="24"/>
                <w:highlight w:val="none"/>
                <w:lang w:val="en-US" w:eastAsia="zh-CN"/>
              </w:rPr>
              <w:t>/d，32993.7</w:t>
            </w:r>
            <w:r>
              <w:rPr>
                <w:rFonts w:hint="default" w:ascii="Times New Roman" w:hAnsi="Times New Roman" w:eastAsia="宋体" w:cs="Times New Roman"/>
                <w:color w:val="auto"/>
                <w:sz w:val="24"/>
                <w:highlight w:val="none"/>
                <w:lang w:val="en-US" w:eastAsia="zh-CN"/>
              </w:rPr>
              <w:t>m³/a</w:t>
            </w:r>
            <w:r>
              <w:rPr>
                <w:rFonts w:hint="default" w:ascii="Times New Roman" w:hAnsi="Times New Roman" w:eastAsia="宋体" w:cs="Times New Roman"/>
                <w:color w:val="auto"/>
                <w:spacing w:val="2"/>
                <w:sz w:val="24"/>
                <w:szCs w:val="24"/>
                <w:highlight w:val="none"/>
                <w:lang w:val="en-US" w:eastAsia="zh-CN"/>
              </w:rPr>
              <w:t>。</w:t>
            </w:r>
            <w:r>
              <w:rPr>
                <w:rFonts w:hint="default" w:ascii="Times New Roman" w:hAnsi="Times New Roman" w:cs="Times New Roman"/>
                <w:color w:val="auto"/>
                <w:spacing w:val="2"/>
                <w:sz w:val="24"/>
                <w:szCs w:val="24"/>
                <w:highlight w:val="none"/>
                <w:lang w:val="en-US" w:eastAsia="zh-CN"/>
              </w:rPr>
              <w:t>原</w:t>
            </w:r>
            <w:r>
              <w:rPr>
                <w:rFonts w:hint="default" w:ascii="Times New Roman" w:hAnsi="Times New Roman" w:eastAsia="宋体" w:cs="Times New Roman"/>
                <w:color w:val="auto"/>
                <w:spacing w:val="2"/>
                <w:sz w:val="24"/>
                <w:szCs w:val="24"/>
                <w:highlight w:val="none"/>
                <w:lang w:val="en-US" w:eastAsia="zh-CN"/>
              </w:rPr>
              <w:t>项目</w:t>
            </w:r>
            <w:r>
              <w:rPr>
                <w:rFonts w:hint="default" w:ascii="Times New Roman" w:hAnsi="Times New Roman" w:cs="Times New Roman"/>
                <w:color w:val="auto"/>
                <w:spacing w:val="2"/>
                <w:sz w:val="24"/>
                <w:szCs w:val="24"/>
                <w:highlight w:val="none"/>
                <w:lang w:val="en-US" w:eastAsia="zh-CN"/>
              </w:rPr>
              <w:t>已对沉淀</w:t>
            </w:r>
            <w:r>
              <w:rPr>
                <w:rFonts w:hint="default" w:ascii="Times New Roman" w:hAnsi="Times New Roman" w:eastAsia="宋体" w:cs="Times New Roman"/>
                <w:color w:val="auto"/>
                <w:spacing w:val="2"/>
                <w:sz w:val="24"/>
                <w:szCs w:val="24"/>
                <w:highlight w:val="none"/>
                <w:lang w:val="en-US" w:eastAsia="zh-CN"/>
              </w:rPr>
              <w:t>池进行硬化，</w:t>
            </w:r>
            <w:r>
              <w:rPr>
                <w:rFonts w:hint="default" w:ascii="Times New Roman" w:hAnsi="Times New Roman" w:cs="Times New Roman"/>
                <w:color w:val="auto"/>
                <w:spacing w:val="2"/>
                <w:sz w:val="24"/>
                <w:szCs w:val="24"/>
                <w:highlight w:val="none"/>
                <w:lang w:val="en-US" w:eastAsia="zh-CN"/>
              </w:rPr>
              <w:t>不会出现下渗情况，</w:t>
            </w:r>
            <w:r>
              <w:rPr>
                <w:rFonts w:hint="default" w:ascii="Times New Roman" w:hAnsi="Times New Roman" w:eastAsia="宋体" w:cs="Times New Roman"/>
                <w:color w:val="auto"/>
                <w:spacing w:val="2"/>
                <w:sz w:val="24"/>
                <w:szCs w:val="24"/>
                <w:highlight w:val="none"/>
                <w:lang w:val="en-US" w:eastAsia="zh-CN"/>
              </w:rPr>
              <w:t>容积</w:t>
            </w:r>
            <w:r>
              <w:rPr>
                <w:rFonts w:hint="default" w:ascii="Times New Roman" w:hAnsi="Times New Roman" w:cs="Times New Roman"/>
                <w:color w:val="auto"/>
                <w:spacing w:val="2"/>
                <w:sz w:val="24"/>
                <w:szCs w:val="24"/>
                <w:highlight w:val="none"/>
                <w:lang w:val="en-US" w:eastAsia="zh-CN"/>
              </w:rPr>
              <w:t>为150</w:t>
            </w:r>
            <w:r>
              <w:rPr>
                <w:rFonts w:hint="default" w:ascii="Times New Roman" w:hAnsi="Times New Roman" w:eastAsia="宋体" w:cs="Times New Roman"/>
                <w:color w:val="auto"/>
                <w:spacing w:val="2"/>
                <w:sz w:val="24"/>
                <w:szCs w:val="24"/>
                <w:highlight w:val="none"/>
                <w:lang w:val="en-US" w:eastAsia="zh-CN"/>
              </w:rPr>
              <w:t>m</w:t>
            </w:r>
            <w:r>
              <w:rPr>
                <w:rFonts w:hint="default" w:ascii="Times New Roman" w:hAnsi="Times New Roman" w:eastAsia="宋体" w:cs="Times New Roman"/>
                <w:color w:val="auto"/>
                <w:spacing w:val="2"/>
                <w:sz w:val="24"/>
                <w:szCs w:val="24"/>
                <w:highlight w:val="none"/>
                <w:vertAlign w:val="superscript"/>
                <w:lang w:val="en-US" w:eastAsia="zh-CN"/>
              </w:rPr>
              <w:t>3</w:t>
            </w:r>
            <w:r>
              <w:rPr>
                <w:rFonts w:hint="default" w:ascii="Times New Roman" w:hAnsi="Times New Roman" w:eastAsia="宋体" w:cs="Times New Roman"/>
                <w:color w:val="auto"/>
                <w:spacing w:val="2"/>
                <w:sz w:val="24"/>
                <w:szCs w:val="24"/>
                <w:highlight w:val="none"/>
                <w:lang w:val="en-US" w:eastAsia="zh-CN"/>
              </w:rPr>
              <w:t>，可保证收集的</w:t>
            </w:r>
            <w:r>
              <w:rPr>
                <w:rFonts w:hint="default" w:ascii="Times New Roman" w:hAnsi="Times New Roman" w:cs="Times New Roman"/>
                <w:color w:val="auto"/>
                <w:spacing w:val="2"/>
                <w:sz w:val="24"/>
                <w:szCs w:val="24"/>
                <w:highlight w:val="none"/>
                <w:lang w:val="en-US" w:eastAsia="zh-CN"/>
              </w:rPr>
              <w:t>清洗废水</w:t>
            </w:r>
            <w:r>
              <w:rPr>
                <w:rFonts w:hint="default" w:ascii="Times New Roman" w:hAnsi="Times New Roman" w:eastAsia="宋体" w:cs="Times New Roman"/>
                <w:color w:val="auto"/>
                <w:spacing w:val="2"/>
                <w:sz w:val="24"/>
                <w:szCs w:val="24"/>
                <w:highlight w:val="none"/>
                <w:lang w:val="en-US" w:eastAsia="zh-CN"/>
              </w:rPr>
              <w:t>全部用于生产，不外排；项目除尘用水采用</w:t>
            </w:r>
            <w:r>
              <w:rPr>
                <w:rFonts w:hint="default" w:ascii="Times New Roman" w:hAnsi="Times New Roman" w:cs="Times New Roman"/>
                <w:color w:val="auto"/>
                <w:spacing w:val="2"/>
                <w:sz w:val="24"/>
                <w:szCs w:val="24"/>
                <w:highlight w:val="none"/>
                <w:lang w:val="en-US" w:eastAsia="zh-CN"/>
              </w:rPr>
              <w:t>人工洒水、加强打扫</w:t>
            </w:r>
            <w:r>
              <w:rPr>
                <w:rFonts w:hint="default" w:ascii="Times New Roman" w:hAnsi="Times New Roman" w:eastAsia="宋体" w:cs="Times New Roman"/>
                <w:color w:val="auto"/>
                <w:spacing w:val="2"/>
                <w:sz w:val="24"/>
                <w:szCs w:val="24"/>
                <w:highlight w:val="none"/>
                <w:lang w:val="en-US" w:eastAsia="zh-CN"/>
              </w:rPr>
              <w:t>和软水管配合使用的方式，除尘</w:t>
            </w:r>
            <w:r>
              <w:rPr>
                <w:rFonts w:hint="default" w:ascii="Times New Roman" w:hAnsi="Times New Roman" w:cs="Times New Roman"/>
                <w:color w:val="auto"/>
                <w:spacing w:val="2"/>
                <w:sz w:val="24"/>
                <w:szCs w:val="24"/>
                <w:highlight w:val="none"/>
                <w:lang w:val="en-US" w:eastAsia="zh-CN"/>
              </w:rPr>
              <w:t>用水</w:t>
            </w:r>
            <w:r>
              <w:rPr>
                <w:rFonts w:hint="default" w:ascii="Times New Roman" w:hAnsi="Times New Roman" w:eastAsia="宋体" w:cs="Times New Roman"/>
                <w:color w:val="auto"/>
                <w:spacing w:val="2"/>
                <w:sz w:val="24"/>
                <w:szCs w:val="24"/>
                <w:highlight w:val="none"/>
                <w:lang w:val="en-US" w:eastAsia="zh-CN"/>
              </w:rPr>
              <w:t>主要用于道路除尘</w:t>
            </w:r>
            <w:r>
              <w:rPr>
                <w:rFonts w:hint="default" w:ascii="Times New Roman" w:hAnsi="Times New Roman" w:cs="Times New Roman"/>
                <w:color w:val="auto"/>
                <w:spacing w:val="2"/>
                <w:sz w:val="24"/>
                <w:szCs w:val="24"/>
                <w:highlight w:val="none"/>
                <w:lang w:val="en-US" w:eastAsia="zh-CN"/>
              </w:rPr>
              <w:t>、厂区除尘</w:t>
            </w:r>
            <w:r>
              <w:rPr>
                <w:rFonts w:hint="default" w:ascii="Times New Roman" w:hAnsi="Times New Roman" w:eastAsia="宋体" w:cs="Times New Roman"/>
                <w:color w:val="auto"/>
                <w:spacing w:val="2"/>
                <w:sz w:val="24"/>
                <w:szCs w:val="24"/>
                <w:highlight w:val="none"/>
                <w:lang w:val="en-US" w:eastAsia="zh-CN"/>
              </w:rPr>
              <w:t>，为短时用水，且除尘用水很快蒸发消耗，不会产生外排的情况。因此，在切实保证</w:t>
            </w:r>
            <w:r>
              <w:rPr>
                <w:rFonts w:hint="default" w:ascii="Times New Roman" w:hAnsi="Times New Roman" w:cs="Times New Roman"/>
                <w:color w:val="auto"/>
                <w:spacing w:val="2"/>
                <w:sz w:val="24"/>
                <w:szCs w:val="24"/>
                <w:highlight w:val="none"/>
                <w:lang w:val="en-US" w:eastAsia="zh-CN"/>
              </w:rPr>
              <w:t>沉淀</w:t>
            </w:r>
            <w:r>
              <w:rPr>
                <w:rFonts w:hint="default" w:ascii="Times New Roman" w:hAnsi="Times New Roman" w:eastAsia="宋体" w:cs="Times New Roman"/>
                <w:color w:val="auto"/>
                <w:spacing w:val="2"/>
                <w:sz w:val="24"/>
                <w:szCs w:val="24"/>
                <w:highlight w:val="none"/>
                <w:lang w:val="en-US" w:eastAsia="zh-CN"/>
              </w:rPr>
              <w:t>池正常使用，并按照环评要求采取相关措施后，项目生活及生产废水不外排是可行的。</w:t>
            </w:r>
          </w:p>
          <w:p w14:paraId="34896CE9">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color w:val="auto"/>
                <w:spacing w:val="2"/>
                <w:sz w:val="24"/>
                <w:szCs w:val="24"/>
                <w:highlight w:val="none"/>
                <w:lang w:val="en-US" w:eastAsia="zh-CN"/>
              </w:rPr>
            </w:pPr>
            <w:r>
              <w:rPr>
                <w:rFonts w:hint="default" w:ascii="Times New Roman" w:hAnsi="Times New Roman" w:eastAsia="宋体" w:cs="Times New Roman"/>
                <w:color w:val="auto"/>
                <w:spacing w:val="2"/>
                <w:sz w:val="24"/>
                <w:szCs w:val="24"/>
                <w:highlight w:val="none"/>
                <w:lang w:val="en-US" w:eastAsia="zh-CN"/>
              </w:rPr>
              <w:t>（</w:t>
            </w:r>
            <w:r>
              <w:rPr>
                <w:rFonts w:hint="default" w:ascii="Times New Roman" w:hAnsi="Times New Roman" w:cs="Times New Roman"/>
                <w:color w:val="auto"/>
                <w:spacing w:val="2"/>
                <w:sz w:val="24"/>
                <w:szCs w:val="24"/>
                <w:highlight w:val="none"/>
                <w:lang w:val="en-US" w:eastAsia="zh-CN"/>
              </w:rPr>
              <w:t>5</w:t>
            </w:r>
            <w:r>
              <w:rPr>
                <w:rFonts w:hint="default" w:ascii="Times New Roman" w:hAnsi="Times New Roman" w:eastAsia="宋体" w:cs="Times New Roman"/>
                <w:color w:val="auto"/>
                <w:spacing w:val="2"/>
                <w:sz w:val="24"/>
                <w:szCs w:val="24"/>
                <w:highlight w:val="none"/>
                <w:lang w:val="en-US" w:eastAsia="zh-CN"/>
              </w:rPr>
              <w:t>）监测计划</w:t>
            </w:r>
          </w:p>
          <w:p w14:paraId="382348F2">
            <w:pPr>
              <w:keepNext w:val="0"/>
              <w:keepLines w:val="0"/>
              <w:widowControl/>
              <w:suppressLineNumbers w:val="0"/>
              <w:ind w:left="0" w:leftChars="0" w:firstLine="0" w:firstLineChars="0"/>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表4.2-7 </w:t>
            </w:r>
            <w:r>
              <w:rPr>
                <w:rFonts w:hint="eastAsia" w:ascii="Times New Roman" w:hAnsi="Times New Roman" w:eastAsia="宋体" w:cs="Times New Roman"/>
                <w:b/>
                <w:bCs/>
                <w:color w:val="auto"/>
                <w:kern w:val="0"/>
                <w:sz w:val="21"/>
                <w:szCs w:val="21"/>
                <w:lang w:val="en-US" w:eastAsia="zh-CN" w:bidi="ar"/>
              </w:rPr>
              <w:t xml:space="preserve">  </w:t>
            </w:r>
            <w:r>
              <w:rPr>
                <w:rFonts w:hint="default" w:ascii="Times New Roman" w:hAnsi="Times New Roman" w:eastAsia="宋体" w:cs="Times New Roman"/>
                <w:b/>
                <w:bCs/>
                <w:color w:val="auto"/>
                <w:kern w:val="0"/>
                <w:sz w:val="21"/>
                <w:szCs w:val="21"/>
                <w:lang w:val="en-US" w:eastAsia="zh-CN" w:bidi="ar"/>
              </w:rPr>
              <w:t>废水监测计划表</w:t>
            </w:r>
          </w:p>
          <w:tbl>
            <w:tblPr>
              <w:tblStyle w:val="28"/>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909"/>
              <w:gridCol w:w="2440"/>
              <w:gridCol w:w="3353"/>
              <w:gridCol w:w="1375"/>
            </w:tblGrid>
            <w:tr w14:paraId="47FC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10" w:type="pct"/>
                  <w:vAlign w:val="center"/>
                </w:tcPr>
                <w:p w14:paraId="2903443A">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监测类别</w:t>
                  </w:r>
                </w:p>
              </w:tc>
              <w:tc>
                <w:tcPr>
                  <w:tcW w:w="505" w:type="pct"/>
                  <w:vAlign w:val="center"/>
                </w:tcPr>
                <w:p w14:paraId="248C794A">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356" w:type="pct"/>
                  <w:vAlign w:val="center"/>
                </w:tcPr>
                <w:p w14:paraId="2E50859E">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rPr>
                    <w:t>监测</w:t>
                  </w:r>
                  <w:r>
                    <w:rPr>
                      <w:rFonts w:hint="default" w:ascii="Times New Roman" w:hAnsi="Times New Roman" w:eastAsia="宋体" w:cs="Times New Roman"/>
                      <w:b/>
                      <w:bCs w:val="0"/>
                      <w:color w:val="auto"/>
                      <w:sz w:val="21"/>
                      <w:szCs w:val="21"/>
                      <w:highlight w:val="none"/>
                      <w:lang w:val="en-US" w:eastAsia="zh-CN"/>
                    </w:rPr>
                    <w:t>因子</w:t>
                  </w:r>
                </w:p>
              </w:tc>
              <w:tc>
                <w:tcPr>
                  <w:tcW w:w="1863" w:type="pct"/>
                  <w:vAlign w:val="center"/>
                </w:tcPr>
                <w:p w14:paraId="7EEA2B26">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764" w:type="pct"/>
                  <w:vAlign w:val="center"/>
                </w:tcPr>
                <w:p w14:paraId="303D8499">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14:paraId="2180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0" w:type="pct"/>
                  <w:vAlign w:val="center"/>
                </w:tcPr>
                <w:p w14:paraId="7D803BBF">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505" w:type="pct"/>
                  <w:vAlign w:val="center"/>
                </w:tcPr>
                <w:p w14:paraId="5616064F">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综合沉淀池</w:t>
                  </w:r>
                </w:p>
              </w:tc>
              <w:tc>
                <w:tcPr>
                  <w:tcW w:w="1356" w:type="pct"/>
                  <w:vAlign w:val="center"/>
                </w:tcPr>
                <w:p w14:paraId="73962D64">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bidi="ar-SA"/>
                    </w:rPr>
                    <w:t>pH值、总余氯、色度、嗅、浊度、溶解性总固体、生化需氧量（BOD5）、氨氮、阴离子表面活性剂、溶解氧、总余氯、粪大肠菌群数</w:t>
                  </w:r>
                </w:p>
              </w:tc>
              <w:tc>
                <w:tcPr>
                  <w:tcW w:w="1863" w:type="pct"/>
                  <w:vAlign w:val="center"/>
                </w:tcPr>
                <w:p w14:paraId="6DFDEB2F">
                  <w:pPr>
                    <w:pStyle w:val="42"/>
                    <w:keepNext w:val="0"/>
                    <w:keepLines w:val="0"/>
                    <w:pageBreakBefore w:val="0"/>
                    <w:widowControl w:val="0"/>
                    <w:kinsoku/>
                    <w:wordWrap/>
                    <w:overflowPunct/>
                    <w:topLinePunct w:val="0"/>
                    <w:autoSpaceDE/>
                    <w:autoSpaceDN/>
                    <w:bidi w:val="0"/>
                    <w:adjustRightInd/>
                    <w:snapToGrid/>
                    <w:spacing w:before="50"/>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《城市污水再生利用、城市杂用水水质》（GB/T18920-2020）标准，建筑施工杂用水指建筑施工现场的土壤压实、灰尘抑制、混凝土冲洗、混凝土拌合的用水。</w:t>
                  </w:r>
                </w:p>
              </w:tc>
              <w:tc>
                <w:tcPr>
                  <w:tcW w:w="764" w:type="pct"/>
                  <w:vAlign w:val="center"/>
                </w:tcPr>
                <w:p w14:paraId="314FF1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highlight w:val="none"/>
                      <w:lang w:val="en-US" w:eastAsia="zh-CN"/>
                    </w:rPr>
                    <w:t>验收时监测一次，后期根据相关要求进行</w:t>
                  </w:r>
                </w:p>
              </w:tc>
            </w:tr>
          </w:tbl>
          <w:p w14:paraId="702B9414">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default" w:ascii="Times New Roman" w:hAnsi="Times New Roman" w:eastAsia="宋体" w:cs="Times New Roman"/>
                <w:b/>
                <w:color w:val="auto"/>
                <w:sz w:val="24"/>
                <w:szCs w:val="24"/>
                <w:highlight w:val="none"/>
                <w:lang w:val="en-US" w:eastAsia="zh-CN"/>
              </w:rPr>
            </w:pPr>
          </w:p>
          <w:p w14:paraId="40F0020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3、噪声影响分析</w:t>
            </w:r>
          </w:p>
          <w:p w14:paraId="41ABE588">
            <w:pPr>
              <w:pStyle w:val="20"/>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）设备噪声影响分析</w:t>
            </w:r>
          </w:p>
          <w:p w14:paraId="53609ACB">
            <w:pPr>
              <w:pStyle w:val="20"/>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根据项目工程分析，本项目运营过程中主要噪声源为搅拌机、水泵、螺旋输送机、皮带输送机、装载机和运输车辆，噪声源强为 65~90dB（A）之间</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由于运输车辆为间断性移动噪声源，车辆出入具有不确定性，车辆运输噪声暂不列入下表进行核算。项目噪声源强见下表。</w:t>
            </w:r>
          </w:p>
          <w:p w14:paraId="1CDFEABB">
            <w:pPr>
              <w:keepNext w:val="0"/>
              <w:keepLines w:val="0"/>
              <w:widowControl/>
              <w:suppressLineNumbers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表 4.2-8 项目主要设备噪声源强调查清单（室外声源）</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064"/>
              <w:gridCol w:w="1130"/>
              <w:gridCol w:w="873"/>
              <w:gridCol w:w="768"/>
              <w:gridCol w:w="768"/>
              <w:gridCol w:w="525"/>
              <w:gridCol w:w="731"/>
              <w:gridCol w:w="867"/>
              <w:gridCol w:w="770"/>
              <w:gridCol w:w="775"/>
            </w:tblGrid>
            <w:tr w14:paraId="146A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Merge w:val="restart"/>
                  <w:vAlign w:val="center"/>
                </w:tcPr>
                <w:p w14:paraId="37992E3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声源名称</w:t>
                  </w:r>
                </w:p>
              </w:tc>
              <w:tc>
                <w:tcPr>
                  <w:tcW w:w="591" w:type="pct"/>
                  <w:vMerge w:val="restart"/>
                  <w:vAlign w:val="center"/>
                </w:tcPr>
                <w:p w14:paraId="52FC71B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设备数量</w:t>
                  </w:r>
                </w:p>
              </w:tc>
              <w:tc>
                <w:tcPr>
                  <w:tcW w:w="628" w:type="pct"/>
                  <w:vAlign w:val="center"/>
                </w:tcPr>
                <w:p w14:paraId="1C9BF0A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声</w:t>
                  </w:r>
                  <w:r>
                    <w:rPr>
                      <w:rFonts w:hint="eastAsia" w:cs="Times New Roman"/>
                      <w:b/>
                      <w:bCs/>
                      <w:color w:val="auto"/>
                      <w:sz w:val="21"/>
                      <w:szCs w:val="21"/>
                      <w:highlight w:val="none"/>
                      <w:vertAlign w:val="baseline"/>
                      <w:lang w:val="en-US" w:eastAsia="zh-CN"/>
                    </w:rPr>
                    <w:t>源</w:t>
                  </w:r>
                  <w:r>
                    <w:rPr>
                      <w:rFonts w:hint="default" w:ascii="Times New Roman" w:hAnsi="Times New Roman" w:cs="Times New Roman"/>
                      <w:b/>
                      <w:bCs/>
                      <w:color w:val="auto"/>
                      <w:sz w:val="21"/>
                      <w:szCs w:val="21"/>
                      <w:highlight w:val="none"/>
                      <w:vertAlign w:val="baseline"/>
                      <w:lang w:val="en-US" w:eastAsia="zh-CN"/>
                    </w:rPr>
                    <w:t>强</w:t>
                  </w:r>
                </w:p>
              </w:tc>
              <w:tc>
                <w:tcPr>
                  <w:tcW w:w="485" w:type="pct"/>
                  <w:vMerge w:val="restart"/>
                  <w:vAlign w:val="center"/>
                </w:tcPr>
                <w:p w14:paraId="4C18D97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声源控制措施</w:t>
                  </w:r>
                </w:p>
              </w:tc>
              <w:tc>
                <w:tcPr>
                  <w:tcW w:w="1146" w:type="pct"/>
                  <w:gridSpan w:val="3"/>
                  <w:vAlign w:val="center"/>
                </w:tcPr>
                <w:p w14:paraId="61B67AB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空间相对位置/m</w:t>
                  </w:r>
                </w:p>
              </w:tc>
              <w:tc>
                <w:tcPr>
                  <w:tcW w:w="406" w:type="pct"/>
                  <w:vMerge w:val="restart"/>
                  <w:vAlign w:val="center"/>
                </w:tcPr>
                <w:p w14:paraId="68CDB03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运行时段</w:t>
                  </w:r>
                </w:p>
              </w:tc>
              <w:tc>
                <w:tcPr>
                  <w:tcW w:w="482" w:type="pct"/>
                  <w:vMerge w:val="restart"/>
                  <w:vAlign w:val="center"/>
                </w:tcPr>
                <w:p w14:paraId="76BA4BD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建筑物插入损失值/dB（A）</w:t>
                  </w:r>
                </w:p>
              </w:tc>
              <w:tc>
                <w:tcPr>
                  <w:tcW w:w="855" w:type="pct"/>
                  <w:gridSpan w:val="2"/>
                  <w:vAlign w:val="center"/>
                </w:tcPr>
                <w:p w14:paraId="1916EA3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val="en-US" w:eastAsia="zh-CN"/>
                    </w:rPr>
                    <w:t>建筑物外噪声</w:t>
                  </w:r>
                </w:p>
              </w:tc>
            </w:tr>
            <w:tr w14:paraId="6304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Merge w:val="continue"/>
                  <w:vAlign w:val="center"/>
                </w:tcPr>
                <w:p w14:paraId="6FC28E03">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p>
              </w:tc>
              <w:tc>
                <w:tcPr>
                  <w:tcW w:w="591" w:type="pct"/>
                  <w:vMerge w:val="continue"/>
                  <w:vAlign w:val="center"/>
                </w:tcPr>
                <w:p w14:paraId="22137E42">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p>
              </w:tc>
              <w:tc>
                <w:tcPr>
                  <w:tcW w:w="628" w:type="pct"/>
                  <w:vAlign w:val="center"/>
                </w:tcPr>
                <w:p w14:paraId="45A6FB3E">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声压级/距声源距离/（dB</w:t>
                  </w:r>
                  <w:r>
                    <w:rPr>
                      <w:rFonts w:hint="eastAsia" w:cs="Times New Roman"/>
                      <w:b/>
                      <w:bCs/>
                      <w:color w:val="auto"/>
                      <w:sz w:val="21"/>
                      <w:szCs w:val="21"/>
                      <w:highlight w:val="none"/>
                      <w:vertAlign w:val="baseline"/>
                      <w:lang w:val="en-US" w:eastAsia="zh-CN"/>
                    </w:rPr>
                    <w:t>（</w:t>
                  </w:r>
                  <w:r>
                    <w:rPr>
                      <w:rFonts w:hint="default" w:ascii="Times New Roman" w:hAnsi="Times New Roman" w:cs="Times New Roman"/>
                      <w:b/>
                      <w:bCs/>
                      <w:color w:val="auto"/>
                      <w:sz w:val="21"/>
                      <w:szCs w:val="21"/>
                      <w:highlight w:val="none"/>
                      <w:vertAlign w:val="baseline"/>
                      <w:lang w:val="en-US" w:eastAsia="zh-CN"/>
                    </w:rPr>
                    <w:t>A）/1m</w:t>
                  </w:r>
                </w:p>
              </w:tc>
              <w:tc>
                <w:tcPr>
                  <w:tcW w:w="485" w:type="pct"/>
                  <w:vMerge w:val="continue"/>
                  <w:vAlign w:val="center"/>
                </w:tcPr>
                <w:p w14:paraId="288291B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p>
              </w:tc>
              <w:tc>
                <w:tcPr>
                  <w:tcW w:w="427" w:type="pct"/>
                  <w:vAlign w:val="center"/>
                </w:tcPr>
                <w:p w14:paraId="2B7C290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X</w:t>
                  </w:r>
                </w:p>
              </w:tc>
              <w:tc>
                <w:tcPr>
                  <w:tcW w:w="427" w:type="pct"/>
                  <w:vAlign w:val="center"/>
                </w:tcPr>
                <w:p w14:paraId="13F82203">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Y</w:t>
                  </w:r>
                </w:p>
              </w:tc>
              <w:tc>
                <w:tcPr>
                  <w:tcW w:w="292" w:type="pct"/>
                  <w:vAlign w:val="center"/>
                </w:tcPr>
                <w:p w14:paraId="3C54D697">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Z</w:t>
                  </w:r>
                </w:p>
              </w:tc>
              <w:tc>
                <w:tcPr>
                  <w:tcW w:w="406" w:type="pct"/>
                  <w:vMerge w:val="continue"/>
                  <w:vAlign w:val="center"/>
                </w:tcPr>
                <w:p w14:paraId="7C533E8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eastAsia="zh-CN"/>
                    </w:rPr>
                  </w:pPr>
                </w:p>
              </w:tc>
              <w:tc>
                <w:tcPr>
                  <w:tcW w:w="482" w:type="pct"/>
                  <w:vMerge w:val="continue"/>
                  <w:vAlign w:val="center"/>
                </w:tcPr>
                <w:p w14:paraId="08200160">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p>
              </w:tc>
              <w:tc>
                <w:tcPr>
                  <w:tcW w:w="428" w:type="pct"/>
                  <w:vAlign w:val="center"/>
                </w:tcPr>
                <w:p w14:paraId="4E4DACD1">
                  <w:pPr>
                    <w:keepNext w:val="0"/>
                    <w:keepLines w:val="0"/>
                    <w:pageBreakBefore w:val="0"/>
                    <w:widowControl/>
                    <w:suppressLineNumbers w:val="0"/>
                    <w:kinsoku/>
                    <w:wordWrap/>
                    <w:overflowPunct/>
                    <w:topLinePunct w:val="0"/>
                    <w:bidi w:val="0"/>
                    <w:snapToGrid/>
                    <w:ind w:left="0" w:leftChars="0" w:firstLine="0" w:firstLineChars="0"/>
                    <w:jc w:val="center"/>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声压级</w:t>
                  </w:r>
                  <w:r>
                    <w:rPr>
                      <w:rFonts w:hint="default" w:ascii="Times New Roman" w:hAnsi="Times New Roman" w:eastAsia="宋体" w:cs="Times New Roman"/>
                      <w:b/>
                      <w:bCs/>
                      <w:color w:val="auto"/>
                      <w:kern w:val="0"/>
                      <w:sz w:val="20"/>
                      <w:szCs w:val="20"/>
                      <w:lang w:val="en-US" w:eastAsia="zh-CN" w:bidi="ar"/>
                    </w:rPr>
                    <w:t>dB（A）</w:t>
                  </w:r>
                </w:p>
              </w:tc>
              <w:tc>
                <w:tcPr>
                  <w:tcW w:w="427" w:type="pct"/>
                  <w:vAlign w:val="center"/>
                </w:tcPr>
                <w:p w14:paraId="608574E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建筑物外距离/1m</w:t>
                  </w:r>
                </w:p>
              </w:tc>
            </w:tr>
            <w:tr w14:paraId="181E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21B7EF2">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打砂机</w:t>
                  </w:r>
                </w:p>
              </w:tc>
              <w:tc>
                <w:tcPr>
                  <w:tcW w:w="591" w:type="pct"/>
                  <w:vAlign w:val="center"/>
                </w:tcPr>
                <w:p w14:paraId="37C5527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1台</w:t>
                  </w:r>
                </w:p>
              </w:tc>
              <w:tc>
                <w:tcPr>
                  <w:tcW w:w="628" w:type="pct"/>
                  <w:vAlign w:val="center"/>
                </w:tcPr>
                <w:p w14:paraId="6CDD413A">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95</w:t>
                  </w:r>
                </w:p>
              </w:tc>
              <w:tc>
                <w:tcPr>
                  <w:tcW w:w="485" w:type="pct"/>
                  <w:vMerge w:val="restart"/>
                  <w:vAlign w:val="center"/>
                </w:tcPr>
                <w:p w14:paraId="1ACC43C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搅拌机采用封闭处理，</w:t>
                  </w:r>
                  <w:r>
                    <w:rPr>
                      <w:rFonts w:hint="default" w:ascii="Times New Roman" w:hAnsi="Times New Roman" w:eastAsia="宋体" w:cs="Times New Roman"/>
                      <w:color w:val="auto"/>
                      <w:sz w:val="21"/>
                      <w:szCs w:val="21"/>
                      <w:highlight w:val="none"/>
                      <w:vertAlign w:val="baseline"/>
                      <w:lang w:val="en-US" w:eastAsia="zh-CN"/>
                    </w:rPr>
                    <w:t>距离衰减</w:t>
                  </w:r>
                  <w:r>
                    <w:rPr>
                      <w:rFonts w:hint="default" w:ascii="Times New Roman" w:hAnsi="Times New Roman" w:eastAsia="宋体" w:cs="Times New Roman"/>
                      <w:color w:val="auto"/>
                      <w:sz w:val="21"/>
                      <w:szCs w:val="21"/>
                      <w:highlight w:val="none"/>
                      <w:vertAlign w:val="baseline"/>
                      <w:lang w:eastAsia="zh-CN"/>
                    </w:rPr>
                    <w:t>，基座安装减振基础</w:t>
                  </w:r>
                </w:p>
              </w:tc>
              <w:tc>
                <w:tcPr>
                  <w:tcW w:w="427" w:type="pct"/>
                  <w:vAlign w:val="center"/>
                </w:tcPr>
                <w:p w14:paraId="36288A6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78.53</w:t>
                  </w:r>
                </w:p>
              </w:tc>
              <w:tc>
                <w:tcPr>
                  <w:tcW w:w="427" w:type="pct"/>
                  <w:vAlign w:val="center"/>
                </w:tcPr>
                <w:p w14:paraId="4CB9893E">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24.73</w:t>
                  </w:r>
                </w:p>
              </w:tc>
              <w:tc>
                <w:tcPr>
                  <w:tcW w:w="292" w:type="pct"/>
                  <w:vAlign w:val="center"/>
                </w:tcPr>
                <w:p w14:paraId="584F23C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406" w:type="pct"/>
                  <w:vAlign w:val="center"/>
                </w:tcPr>
                <w:p w14:paraId="3688F1E0">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昼夜</w:t>
                  </w:r>
                </w:p>
              </w:tc>
              <w:tc>
                <w:tcPr>
                  <w:tcW w:w="482" w:type="pct"/>
                  <w:vAlign w:val="center"/>
                </w:tcPr>
                <w:p w14:paraId="6B42E10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w:t>
                  </w:r>
                </w:p>
              </w:tc>
              <w:tc>
                <w:tcPr>
                  <w:tcW w:w="428" w:type="pct"/>
                  <w:vAlign w:val="center"/>
                </w:tcPr>
                <w:p w14:paraId="29FCEDEE">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80</w:t>
                  </w:r>
                </w:p>
              </w:tc>
              <w:tc>
                <w:tcPr>
                  <w:tcW w:w="427" w:type="pct"/>
                  <w:vAlign w:val="center"/>
                </w:tcPr>
                <w:p w14:paraId="7A9BA87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r>
            <w:tr w14:paraId="4B5A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B7407D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振动筛</w:t>
                  </w:r>
                </w:p>
              </w:tc>
              <w:tc>
                <w:tcPr>
                  <w:tcW w:w="591" w:type="pct"/>
                  <w:vAlign w:val="center"/>
                </w:tcPr>
                <w:p w14:paraId="4E42C15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1台</w:t>
                  </w:r>
                </w:p>
              </w:tc>
              <w:tc>
                <w:tcPr>
                  <w:tcW w:w="628" w:type="pct"/>
                  <w:vAlign w:val="center"/>
                </w:tcPr>
                <w:p w14:paraId="740D37C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90</w:t>
                  </w:r>
                </w:p>
              </w:tc>
              <w:tc>
                <w:tcPr>
                  <w:tcW w:w="485" w:type="pct"/>
                  <w:vMerge w:val="continue"/>
                  <w:vAlign w:val="center"/>
                </w:tcPr>
                <w:p w14:paraId="4C454960">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p>
              </w:tc>
              <w:tc>
                <w:tcPr>
                  <w:tcW w:w="427" w:type="pct"/>
                  <w:vAlign w:val="center"/>
                </w:tcPr>
                <w:p w14:paraId="582A14A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80.86</w:t>
                  </w:r>
                </w:p>
              </w:tc>
              <w:tc>
                <w:tcPr>
                  <w:tcW w:w="427" w:type="pct"/>
                  <w:vAlign w:val="center"/>
                </w:tcPr>
                <w:p w14:paraId="6AACF52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14.92</w:t>
                  </w:r>
                </w:p>
              </w:tc>
              <w:tc>
                <w:tcPr>
                  <w:tcW w:w="292" w:type="pct"/>
                  <w:vAlign w:val="center"/>
                </w:tcPr>
                <w:p w14:paraId="27163CC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406" w:type="pct"/>
                  <w:vAlign w:val="center"/>
                </w:tcPr>
                <w:p w14:paraId="7371E834">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昼夜</w:t>
                  </w:r>
                </w:p>
              </w:tc>
              <w:tc>
                <w:tcPr>
                  <w:tcW w:w="482" w:type="pct"/>
                  <w:vAlign w:val="center"/>
                </w:tcPr>
                <w:p w14:paraId="20886452">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w:t>
                  </w:r>
                </w:p>
              </w:tc>
              <w:tc>
                <w:tcPr>
                  <w:tcW w:w="428" w:type="pct"/>
                  <w:vAlign w:val="center"/>
                </w:tcPr>
                <w:p w14:paraId="77D5834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75</w:t>
                  </w:r>
                </w:p>
              </w:tc>
              <w:tc>
                <w:tcPr>
                  <w:tcW w:w="427" w:type="pct"/>
                  <w:vAlign w:val="center"/>
                </w:tcPr>
                <w:p w14:paraId="28D6C0C7">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r>
            <w:tr w14:paraId="5C6B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4E441C3A">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搅拌机</w:t>
                  </w:r>
                </w:p>
              </w:tc>
              <w:tc>
                <w:tcPr>
                  <w:tcW w:w="591" w:type="pct"/>
                  <w:vAlign w:val="center"/>
                </w:tcPr>
                <w:p w14:paraId="76A7FDF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eastAsia="zh-CN"/>
                    </w:rPr>
                    <w:t>台</w:t>
                  </w:r>
                </w:p>
              </w:tc>
              <w:tc>
                <w:tcPr>
                  <w:tcW w:w="628" w:type="pct"/>
                  <w:vAlign w:val="center"/>
                </w:tcPr>
                <w:p w14:paraId="5DA61AA7">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85</w:t>
                  </w:r>
                </w:p>
              </w:tc>
              <w:tc>
                <w:tcPr>
                  <w:tcW w:w="485" w:type="pct"/>
                  <w:vMerge w:val="continue"/>
                  <w:vAlign w:val="center"/>
                </w:tcPr>
                <w:p w14:paraId="0588B51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p>
              </w:tc>
              <w:tc>
                <w:tcPr>
                  <w:tcW w:w="427" w:type="pct"/>
                  <w:vAlign w:val="center"/>
                </w:tcPr>
                <w:p w14:paraId="6CDB03E6">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-31.26</w:t>
                  </w:r>
                </w:p>
              </w:tc>
              <w:tc>
                <w:tcPr>
                  <w:tcW w:w="427" w:type="pct"/>
                  <w:vAlign w:val="center"/>
                </w:tcPr>
                <w:p w14:paraId="7425FDB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-12.18</w:t>
                  </w:r>
                </w:p>
              </w:tc>
              <w:tc>
                <w:tcPr>
                  <w:tcW w:w="292" w:type="pct"/>
                  <w:vAlign w:val="center"/>
                </w:tcPr>
                <w:p w14:paraId="557D291B">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406" w:type="pct"/>
                  <w:vAlign w:val="center"/>
                </w:tcPr>
                <w:p w14:paraId="67620E6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昼夜</w:t>
                  </w:r>
                </w:p>
              </w:tc>
              <w:tc>
                <w:tcPr>
                  <w:tcW w:w="482" w:type="pct"/>
                  <w:vAlign w:val="center"/>
                </w:tcPr>
                <w:p w14:paraId="061D369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w:t>
                  </w:r>
                </w:p>
              </w:tc>
              <w:tc>
                <w:tcPr>
                  <w:tcW w:w="428" w:type="pct"/>
                  <w:vAlign w:val="center"/>
                </w:tcPr>
                <w:p w14:paraId="2296FAFF">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70</w:t>
                  </w:r>
                </w:p>
              </w:tc>
              <w:tc>
                <w:tcPr>
                  <w:tcW w:w="427" w:type="pct"/>
                  <w:vAlign w:val="center"/>
                </w:tcPr>
                <w:p w14:paraId="592742D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r>
            <w:tr w14:paraId="55DE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7302212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皮带输送机</w:t>
                  </w:r>
                </w:p>
              </w:tc>
              <w:tc>
                <w:tcPr>
                  <w:tcW w:w="591" w:type="pct"/>
                  <w:vAlign w:val="center"/>
                </w:tcPr>
                <w:p w14:paraId="7CF2749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eastAsia="zh-CN"/>
                    </w:rPr>
                    <w:t>套</w:t>
                  </w:r>
                </w:p>
              </w:tc>
              <w:tc>
                <w:tcPr>
                  <w:tcW w:w="628" w:type="pct"/>
                  <w:vAlign w:val="center"/>
                </w:tcPr>
                <w:p w14:paraId="0A9573DE">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70</w:t>
                  </w:r>
                </w:p>
              </w:tc>
              <w:tc>
                <w:tcPr>
                  <w:tcW w:w="485" w:type="pct"/>
                  <w:vMerge w:val="continue"/>
                  <w:vAlign w:val="center"/>
                </w:tcPr>
                <w:p w14:paraId="18C5C54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p>
              </w:tc>
              <w:tc>
                <w:tcPr>
                  <w:tcW w:w="427" w:type="pct"/>
                  <w:vAlign w:val="center"/>
                </w:tcPr>
                <w:p w14:paraId="4246EA25">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-26.12</w:t>
                  </w:r>
                </w:p>
              </w:tc>
              <w:tc>
                <w:tcPr>
                  <w:tcW w:w="427" w:type="pct"/>
                  <w:vAlign w:val="center"/>
                </w:tcPr>
                <w:p w14:paraId="16A1B99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3.24</w:t>
                  </w:r>
                </w:p>
              </w:tc>
              <w:tc>
                <w:tcPr>
                  <w:tcW w:w="292" w:type="pct"/>
                  <w:vAlign w:val="center"/>
                </w:tcPr>
                <w:p w14:paraId="77033FA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406" w:type="pct"/>
                  <w:vAlign w:val="center"/>
                </w:tcPr>
                <w:p w14:paraId="58C16E2F">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昼夜</w:t>
                  </w:r>
                </w:p>
              </w:tc>
              <w:tc>
                <w:tcPr>
                  <w:tcW w:w="482" w:type="pct"/>
                  <w:vAlign w:val="center"/>
                </w:tcPr>
                <w:p w14:paraId="11F7A27A">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w:t>
                  </w:r>
                </w:p>
              </w:tc>
              <w:tc>
                <w:tcPr>
                  <w:tcW w:w="428" w:type="pct"/>
                  <w:vAlign w:val="center"/>
                </w:tcPr>
                <w:p w14:paraId="130DAFE1">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55</w:t>
                  </w:r>
                </w:p>
              </w:tc>
              <w:tc>
                <w:tcPr>
                  <w:tcW w:w="427" w:type="pct"/>
                  <w:vAlign w:val="center"/>
                </w:tcPr>
                <w:p w14:paraId="410B717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r>
            <w:tr w14:paraId="6E79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68FDB79">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三仓混凝土配料机</w:t>
                  </w:r>
                </w:p>
              </w:tc>
              <w:tc>
                <w:tcPr>
                  <w:tcW w:w="591" w:type="pct"/>
                  <w:vAlign w:val="center"/>
                </w:tcPr>
                <w:p w14:paraId="0A32C892">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eastAsia="zh-CN"/>
                    </w:rPr>
                    <w:t>台</w:t>
                  </w:r>
                </w:p>
              </w:tc>
              <w:tc>
                <w:tcPr>
                  <w:tcW w:w="628" w:type="pct"/>
                  <w:vAlign w:val="center"/>
                </w:tcPr>
                <w:p w14:paraId="5D2DB057">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85</w:t>
                  </w:r>
                </w:p>
              </w:tc>
              <w:tc>
                <w:tcPr>
                  <w:tcW w:w="485" w:type="pct"/>
                  <w:vMerge w:val="continue"/>
                  <w:vAlign w:val="center"/>
                </w:tcPr>
                <w:p w14:paraId="170B1548">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p>
              </w:tc>
              <w:tc>
                <w:tcPr>
                  <w:tcW w:w="427" w:type="pct"/>
                  <w:vAlign w:val="center"/>
                </w:tcPr>
                <w:p w14:paraId="25C2D5E0">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-34.53</w:t>
                  </w:r>
                </w:p>
              </w:tc>
              <w:tc>
                <w:tcPr>
                  <w:tcW w:w="427" w:type="pct"/>
                  <w:vAlign w:val="center"/>
                </w:tcPr>
                <w:p w14:paraId="33795D9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-3.77</w:t>
                  </w:r>
                </w:p>
              </w:tc>
              <w:tc>
                <w:tcPr>
                  <w:tcW w:w="292" w:type="pct"/>
                  <w:vAlign w:val="center"/>
                </w:tcPr>
                <w:p w14:paraId="3A87837A">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406" w:type="pct"/>
                  <w:vAlign w:val="center"/>
                </w:tcPr>
                <w:p w14:paraId="15161C0A">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昼夜</w:t>
                  </w:r>
                </w:p>
              </w:tc>
              <w:tc>
                <w:tcPr>
                  <w:tcW w:w="482" w:type="pct"/>
                  <w:vAlign w:val="center"/>
                </w:tcPr>
                <w:p w14:paraId="57479DDE">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w:t>
                  </w:r>
                </w:p>
              </w:tc>
              <w:tc>
                <w:tcPr>
                  <w:tcW w:w="428" w:type="pct"/>
                  <w:vAlign w:val="center"/>
                </w:tcPr>
                <w:p w14:paraId="4C360C0D">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55</w:t>
                  </w:r>
                </w:p>
              </w:tc>
              <w:tc>
                <w:tcPr>
                  <w:tcW w:w="427" w:type="pct"/>
                  <w:vAlign w:val="center"/>
                </w:tcPr>
                <w:p w14:paraId="43EF235C">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val="en-US" w:eastAsia="zh-CN"/>
                    </w:rPr>
                    <w:t>1</w:t>
                  </w:r>
                </w:p>
              </w:tc>
            </w:tr>
            <w:tr w14:paraId="2895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04A2179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厂界中心（E103°13′16.32825″,N25°32′59.17080″）为坐标原点</w:t>
                  </w:r>
                  <w:r>
                    <w:rPr>
                      <w:rFonts w:hint="default" w:ascii="Times New Roman" w:hAnsi="Times New Roman" w:eastAsia="宋体" w:cs="Times New Roman"/>
                      <w:bCs/>
                      <w:color w:val="auto"/>
                      <w:sz w:val="21"/>
                      <w:szCs w:val="21"/>
                      <w:highlight w:val="none"/>
                    </w:rPr>
                    <w:t>，正东向为X轴正方向，正北向为Y轴正方向。</w:t>
                  </w:r>
                </w:p>
              </w:tc>
            </w:tr>
          </w:tbl>
          <w:p w14:paraId="54D9A64D">
            <w:pPr>
              <w:pStyle w:val="21"/>
              <w:spacing w:line="240" w:lineRule="auto"/>
              <w:ind w:left="0" w:leftChars="0" w:firstLine="0" w:firstLineChars="0"/>
              <w:jc w:val="center"/>
              <w:rPr>
                <w:rFonts w:hint="default" w:ascii="Times New Roman" w:hAnsi="Times New Roman" w:cs="Times New Roman"/>
                <w:color w:val="auto"/>
                <w:highlight w:val="none"/>
                <w:lang w:eastAsia="zh-CN"/>
              </w:rPr>
            </w:pPr>
          </w:p>
          <w:p w14:paraId="53E598BC">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r>
              <w:rPr>
                <w:rFonts w:hint="default" w:ascii="Times New Roman" w:hAnsi="Times New Roman" w:eastAsia="宋体" w:cs="Times New Roman"/>
                <w:color w:val="auto"/>
                <w:sz w:val="24"/>
                <w:szCs w:val="24"/>
                <w:highlight w:val="none"/>
                <w:u w:val="none"/>
                <w:lang w:val="en-US" w:eastAsia="zh-CN"/>
              </w:rPr>
              <w:t>103</w:t>
            </w:r>
            <w:r>
              <w:rPr>
                <w:rFonts w:hint="default" w:ascii="Times New Roman" w:hAnsi="Times New Roman" w:eastAsia="宋体" w:cs="Times New Roman"/>
                <w:color w:val="auto"/>
                <w:sz w:val="24"/>
                <w:szCs w:val="24"/>
                <w:highlight w:val="none"/>
                <w:u w:val="none"/>
              </w:rPr>
              <w:t>度</w:t>
            </w:r>
            <w:r>
              <w:rPr>
                <w:rFonts w:hint="default" w:ascii="Times New Roman" w:hAnsi="Times New Roman" w:eastAsia="宋体" w:cs="Times New Roman"/>
                <w:color w:val="auto"/>
                <w:sz w:val="24"/>
                <w:szCs w:val="24"/>
                <w:highlight w:val="none"/>
                <w:u w:val="none"/>
                <w:lang w:val="en-US" w:eastAsia="zh-CN"/>
              </w:rPr>
              <w:t>12</w:t>
            </w:r>
            <w:r>
              <w:rPr>
                <w:rFonts w:hint="default" w:ascii="Times New Roman" w:hAnsi="Times New Roman" w:eastAsia="宋体" w:cs="Times New Roman"/>
                <w:color w:val="auto"/>
                <w:sz w:val="24"/>
                <w:szCs w:val="24"/>
                <w:highlight w:val="none"/>
                <w:u w:val="none"/>
              </w:rPr>
              <w:t>分</w:t>
            </w:r>
            <w:r>
              <w:rPr>
                <w:rFonts w:hint="default" w:ascii="Times New Roman" w:hAnsi="Times New Roman" w:eastAsia="宋体" w:cs="Times New Roman"/>
                <w:color w:val="auto"/>
                <w:sz w:val="24"/>
                <w:szCs w:val="24"/>
                <w:highlight w:val="none"/>
                <w:u w:val="none"/>
                <w:lang w:val="en-US" w:eastAsia="zh-CN"/>
              </w:rPr>
              <w:t>46.303</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color w:val="auto"/>
                <w:sz w:val="24"/>
                <w:szCs w:val="24"/>
                <w:highlight w:val="none"/>
                <w:u w:val="none"/>
                <w:lang w:val="en-US" w:eastAsia="zh-CN"/>
              </w:rPr>
              <w:t>25</w:t>
            </w:r>
            <w:r>
              <w:rPr>
                <w:rFonts w:hint="default" w:ascii="Times New Roman" w:hAnsi="Times New Roman" w:eastAsia="宋体" w:cs="Times New Roman"/>
                <w:color w:val="auto"/>
                <w:sz w:val="24"/>
                <w:szCs w:val="24"/>
                <w:highlight w:val="none"/>
                <w:u w:val="none"/>
              </w:rPr>
              <w:t>度</w:t>
            </w:r>
            <w:r>
              <w:rPr>
                <w:rFonts w:hint="default" w:ascii="Times New Roman" w:hAnsi="Times New Roman" w:eastAsia="宋体" w:cs="Times New Roman"/>
                <w:color w:val="auto"/>
                <w:sz w:val="24"/>
                <w:szCs w:val="24"/>
                <w:highlight w:val="none"/>
                <w:u w:val="none"/>
                <w:lang w:val="en-US" w:eastAsia="zh-CN"/>
              </w:rPr>
              <w:t>35</w:t>
            </w:r>
            <w:r>
              <w:rPr>
                <w:rFonts w:hint="default" w:ascii="Times New Roman" w:hAnsi="Times New Roman" w:eastAsia="宋体" w:cs="Times New Roman"/>
                <w:color w:val="auto"/>
                <w:sz w:val="24"/>
                <w:szCs w:val="24"/>
                <w:highlight w:val="none"/>
                <w:u w:val="none"/>
              </w:rPr>
              <w:t>分</w:t>
            </w:r>
            <w:r>
              <w:rPr>
                <w:rFonts w:hint="default" w:ascii="Times New Roman" w:hAnsi="Times New Roman" w:eastAsia="宋体" w:cs="Times New Roman"/>
                <w:color w:val="auto"/>
                <w:sz w:val="24"/>
                <w:szCs w:val="24"/>
                <w:highlight w:val="none"/>
                <w:u w:val="none"/>
                <w:lang w:val="en-US" w:eastAsia="zh-CN"/>
              </w:rPr>
              <w:t>15.503</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color w:val="auto"/>
                <w:sz w:val="24"/>
                <w:highlight w:val="none"/>
                <w:lang w:val="en-US" w:eastAsia="zh-CN"/>
              </w:rPr>
              <w:t>）为坐标原点，正东向为X轴正方向，正北向为Y轴正方向。</w:t>
            </w:r>
          </w:p>
          <w:p w14:paraId="6E894937">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14:paraId="7CD90F47">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14:paraId="53033A9B">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14:paraId="5C8CE28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14:paraId="7BCC645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14:paraId="1EC1F1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default" w:ascii="Times New Roman" w:hAnsi="Times New Roman" w:eastAsia="宋体"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p>
          <w:p w14:paraId="101D00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8"/>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45"/>
              <w:gridCol w:w="2953"/>
              <w:gridCol w:w="2254"/>
              <w:gridCol w:w="2254"/>
            </w:tblGrid>
            <w:tr w14:paraId="2FB70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5F42BF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序号</w:t>
                  </w:r>
                </w:p>
              </w:tc>
              <w:tc>
                <w:tcPr>
                  <w:tcW w:w="1639" w:type="pct"/>
                  <w:noWrap w:val="0"/>
                  <w:vAlign w:val="center"/>
                </w:tcPr>
                <w:p w14:paraId="3A69C7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14:paraId="3C32BD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14:paraId="3612F3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tc>
            </w:tr>
            <w:tr w14:paraId="01A92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5A21C2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14:paraId="627109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14:paraId="37E910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14:paraId="669E8C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14:paraId="06307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4AE94F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14:paraId="0B6D38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14:paraId="3A4261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14:paraId="4ECA75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14:paraId="0AA98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67DE3C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14:paraId="7E3B03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14:paraId="50A927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14:paraId="21F225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14:paraId="1E5EA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67A44B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14:paraId="2E34CE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14:paraId="230D15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14:paraId="74F8AB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14:paraId="6DF34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5A6DAA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14:paraId="0DF60B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14:paraId="448C31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14:paraId="356611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14:paraId="2954F1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w:t>
            </w:r>
            <w:r>
              <w:rPr>
                <w:rFonts w:hint="eastAsia" w:cs="Times New Roman"/>
                <w:color w:val="auto"/>
                <w:sz w:val="24"/>
                <w:highlight w:val="none"/>
                <w:lang w:eastAsia="zh-CN"/>
              </w:rPr>
              <w:t>总平面图</w:t>
            </w:r>
            <w:r>
              <w:rPr>
                <w:rFonts w:hint="default" w:ascii="Times New Roman" w:hAnsi="Times New Roman" w:eastAsia="宋体" w:cs="Times New Roman"/>
                <w:color w:val="auto"/>
                <w:sz w:val="24"/>
                <w:highlight w:val="none"/>
              </w:rPr>
              <w:t>等，并结合卫星图片地理信息数据确定，数据精度为10m。</w:t>
            </w:r>
          </w:p>
          <w:p w14:paraId="7389213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14:paraId="6B36355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val="0"/>
                <w:color w:val="auto"/>
                <w:sz w:val="24"/>
                <w:szCs w:val="24"/>
                <w:highlight w:val="none"/>
                <w:lang w:val="en-US" w:eastAsia="zh-CN"/>
              </w:rPr>
              <w:t>①</w:t>
            </w:r>
            <w:r>
              <w:rPr>
                <w:rFonts w:hint="default" w:ascii="Times New Roman" w:hAnsi="Times New Roman" w:eastAsia="宋体" w:cs="Times New Roman"/>
                <w:color w:val="auto"/>
                <w:sz w:val="24"/>
                <w:highlight w:val="none"/>
              </w:rPr>
              <w:t>预测方法</w:t>
            </w:r>
          </w:p>
          <w:p w14:paraId="0559C4E4">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14:paraId="07B39FB5">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14:paraId="22482A4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预测模式</w:t>
            </w:r>
          </w:p>
          <w:p w14:paraId="19899D5A">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14:paraId="0A5E29D0">
            <w:pPr>
              <w:pStyle w:val="54"/>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本项目只考虑几何发散衰减，公式按照：</w:t>
            </w:r>
          </w:p>
          <w:p w14:paraId="030CFF27">
            <w:pPr>
              <w:pStyle w:val="54"/>
              <w:keepNext w:val="0"/>
              <w:keepLines w:val="0"/>
              <w:pageBreakBefore w:val="0"/>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eastAsia" w:cs="Times New Roman"/>
                <w:color w:val="auto"/>
                <w:highlight w:val="none"/>
                <w:vertAlign w:val="subscript"/>
                <w:lang w:eastAsia="zh-CN"/>
              </w:rPr>
              <w:t>(</w:t>
            </w:r>
            <w:r>
              <w:rPr>
                <w:rFonts w:hint="default" w:ascii="Times New Roman" w:hAnsi="Times New Roman" w:eastAsia="宋体" w:cs="Times New Roman"/>
                <w:color w:val="auto"/>
                <w:highlight w:val="none"/>
              </w:rPr>
              <w:t>r</w:t>
            </w:r>
            <w:r>
              <w:rPr>
                <w:rFonts w:hint="eastAsia"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eastAsia" w:cs="Times New Roman"/>
                <w:color w:val="auto"/>
                <w:highlight w:val="none"/>
                <w:vertAlign w:val="subscript"/>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14:paraId="4AB7431D">
            <w:pPr>
              <w:pStyle w:val="19"/>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14:paraId="1CC58D15">
            <w:pPr>
              <w:pStyle w:val="19"/>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14:paraId="7A1B3FFF">
            <w:pPr>
              <w:pStyle w:val="54"/>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14:paraId="0B20EA95">
            <w:pPr>
              <w:pStyle w:val="54"/>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声源的几何发散衰减公式：</w:t>
            </w:r>
          </w:p>
          <w:p w14:paraId="0197DBD8">
            <w:pPr>
              <w:pStyle w:val="19"/>
              <w:keepNext w:val="0"/>
              <w:keepLines w:val="0"/>
              <w:pageBreakBefore w:val="0"/>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r/r</w:t>
            </w:r>
            <w:r>
              <w:rPr>
                <w:rFonts w:hint="default" w:ascii="Times New Roman" w:hAnsi="Times New Roman" w:eastAsia="宋体" w:cs="Times New Roman"/>
                <w:color w:val="auto"/>
                <w:sz w:val="24"/>
                <w:highlight w:val="none"/>
                <w:vertAlign w:val="subscript"/>
              </w:rPr>
              <w:t>0</w:t>
            </w:r>
            <w:r>
              <w:rPr>
                <w:rFonts w:hint="eastAsia" w:cs="Times New Roman"/>
                <w:color w:val="auto"/>
                <w:sz w:val="24"/>
                <w:highlight w:val="none"/>
                <w:vertAlign w:val="subscript"/>
                <w:lang w:eastAsia="zh-CN"/>
              </w:rPr>
              <w:t>)</w:t>
            </w:r>
          </w:p>
          <w:p w14:paraId="37D2D049">
            <w:pPr>
              <w:pStyle w:val="19"/>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14:paraId="77AF5534">
            <w:pPr>
              <w:pStyle w:val="54"/>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14:paraId="3FE93039">
            <w:pPr>
              <w:pStyle w:val="19"/>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14:paraId="72BE4595">
            <w:pPr>
              <w:pStyle w:val="54"/>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工业企业噪声计算公式：</w:t>
            </w:r>
          </w:p>
          <w:p w14:paraId="2308E249">
            <w:pPr>
              <w:pStyle w:val="19"/>
              <w:keepNext w:val="0"/>
              <w:keepLines w:val="0"/>
              <w:pageBreakBefore w:val="0"/>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0" o:spt="75" type="#_x0000_t75" style="height:40pt;width:203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7">
                  <o:LockedField>false</o:LockedField>
                </o:OLEObject>
              </w:object>
            </w:r>
          </w:p>
          <w:p w14:paraId="36CA3A33">
            <w:pPr>
              <w:pStyle w:val="19"/>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14:paraId="0F027ED2">
            <w:pPr>
              <w:pStyle w:val="19"/>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14:paraId="35C2C962">
            <w:pPr>
              <w:pStyle w:val="54"/>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14:paraId="1C2B976F">
            <w:pPr>
              <w:pStyle w:val="54"/>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14:paraId="2A669ED8">
            <w:pPr>
              <w:pStyle w:val="54"/>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14:paraId="7CCFF3FA">
            <w:pPr>
              <w:pStyle w:val="54"/>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14:paraId="24F528E6">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③预测结果</w:t>
            </w:r>
          </w:p>
          <w:p w14:paraId="0A08535E">
            <w:pPr>
              <w:widowControl/>
              <w:spacing w:line="360" w:lineRule="auto"/>
              <w:ind w:firstLine="480" w:firstLineChars="200"/>
              <w:rPr>
                <w:rFonts w:hint="default" w:ascii="Times New Roman" w:hAnsi="Times New Roman" w:eastAsia="宋体" w:cs="Times New Roman"/>
                <w:color w:val="auto"/>
                <w:kern w:val="0"/>
                <w:sz w:val="24"/>
                <w:highlight w:val="none"/>
                <w:lang w:eastAsia="zh-CN" w:bidi="ar"/>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default" w:ascii="Times New Roman" w:hAnsi="Times New Roman" w:eastAsia="宋体" w:cs="Times New Roman"/>
                <w:color w:val="auto"/>
                <w:kern w:val="0"/>
                <w:sz w:val="24"/>
                <w:highlight w:val="none"/>
                <w:lang w:val="en-US" w:eastAsia="zh-CN" w:bidi="ar"/>
              </w:rPr>
              <w:t>18</w:t>
            </w:r>
            <w:r>
              <w:rPr>
                <w:rFonts w:hint="default" w:ascii="Times New Roman" w:hAnsi="Times New Roman" w:eastAsia="宋体" w:cs="Times New Roman"/>
                <w:color w:val="auto"/>
                <w:kern w:val="0"/>
                <w:sz w:val="24"/>
                <w:highlight w:val="none"/>
                <w:lang w:bidi="ar"/>
              </w:rPr>
              <w:t>。</w:t>
            </w:r>
          </w:p>
          <w:p w14:paraId="0FA80B0F">
            <w:pPr>
              <w:ind w:left="0" w:leftChars="0" w:firstLine="0" w:firstLineChars="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highlight w:val="none"/>
              </w:rPr>
              <w:t>表4-15</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项目厂界噪声最终预测结果一览表单位：dB(A)</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1"/>
              <w:gridCol w:w="846"/>
              <w:gridCol w:w="846"/>
              <w:gridCol w:w="851"/>
              <w:gridCol w:w="1047"/>
              <w:gridCol w:w="1494"/>
              <w:gridCol w:w="747"/>
              <w:gridCol w:w="749"/>
              <w:gridCol w:w="1258"/>
            </w:tblGrid>
            <w:tr w14:paraId="0D7C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45" w:type="pct"/>
                  <w:vMerge w:val="restart"/>
                  <w:shd w:val="clear" w:color="auto" w:fill="auto"/>
                  <w:vAlign w:val="center"/>
                </w:tcPr>
                <w:p w14:paraId="349593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1413" w:type="pct"/>
                  <w:gridSpan w:val="3"/>
                  <w:shd w:val="clear" w:color="auto" w:fill="auto"/>
                  <w:vAlign w:val="center"/>
                </w:tcPr>
                <w:p w14:paraId="7436D8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582" w:type="pct"/>
                  <w:vMerge w:val="restart"/>
                  <w:shd w:val="clear" w:color="auto" w:fill="auto"/>
                  <w:vAlign w:val="center"/>
                </w:tcPr>
                <w:p w14:paraId="0926EA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830" w:type="pct"/>
                  <w:vMerge w:val="restart"/>
                  <w:shd w:val="clear" w:color="auto" w:fill="auto"/>
                  <w:vAlign w:val="center"/>
                </w:tcPr>
                <w:p w14:paraId="20410E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贡献值（dBA）</w:t>
                  </w:r>
                </w:p>
              </w:tc>
              <w:tc>
                <w:tcPr>
                  <w:tcW w:w="831" w:type="pct"/>
                  <w:gridSpan w:val="2"/>
                  <w:shd w:val="clear" w:color="auto" w:fill="auto"/>
                  <w:vAlign w:val="center"/>
                </w:tcPr>
                <w:p w14:paraId="098E06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标准限值（dBA）</w:t>
                  </w:r>
                </w:p>
              </w:tc>
              <w:tc>
                <w:tcPr>
                  <w:tcW w:w="696" w:type="pct"/>
                  <w:vMerge w:val="restart"/>
                  <w:shd w:val="clear" w:color="auto" w:fill="auto"/>
                  <w:vAlign w:val="center"/>
                </w:tcPr>
                <w:p w14:paraId="79B093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14:paraId="43C8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645" w:type="pct"/>
                  <w:vMerge w:val="continue"/>
                  <w:shd w:val="clear" w:color="auto" w:fill="auto"/>
                  <w:vAlign w:val="center"/>
                </w:tcPr>
                <w:p w14:paraId="285A69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470" w:type="pct"/>
                  <w:shd w:val="clear" w:color="auto" w:fill="auto"/>
                  <w:vAlign w:val="center"/>
                </w:tcPr>
                <w:p w14:paraId="4CFE2E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470" w:type="pct"/>
                  <w:shd w:val="clear" w:color="auto" w:fill="auto"/>
                  <w:vAlign w:val="center"/>
                </w:tcPr>
                <w:p w14:paraId="01B471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471" w:type="pct"/>
                  <w:shd w:val="clear" w:color="auto" w:fill="auto"/>
                  <w:vAlign w:val="center"/>
                </w:tcPr>
                <w:p w14:paraId="7FB49F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582" w:type="pct"/>
                  <w:vMerge w:val="continue"/>
                  <w:shd w:val="clear" w:color="auto" w:fill="auto"/>
                  <w:vAlign w:val="center"/>
                </w:tcPr>
                <w:p w14:paraId="1741D7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830" w:type="pct"/>
                  <w:vMerge w:val="continue"/>
                  <w:shd w:val="clear" w:color="auto" w:fill="auto"/>
                  <w:vAlign w:val="center"/>
                </w:tcPr>
                <w:p w14:paraId="429D1B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415" w:type="pct"/>
                  <w:shd w:val="clear" w:color="auto" w:fill="auto"/>
                  <w:vAlign w:val="center"/>
                </w:tcPr>
                <w:p w14:paraId="258FBC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15" w:type="pct"/>
                  <w:shd w:val="clear" w:color="auto" w:fill="auto"/>
                  <w:vAlign w:val="center"/>
                </w:tcPr>
                <w:p w14:paraId="022A89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夜</w:t>
                  </w:r>
                  <w:r>
                    <w:rPr>
                      <w:rFonts w:hint="default" w:ascii="Times New Roman" w:hAnsi="Times New Roman" w:eastAsia="宋体" w:cs="Times New Roman"/>
                      <w:color w:val="auto"/>
                      <w:sz w:val="21"/>
                      <w:szCs w:val="21"/>
                      <w:highlight w:val="none"/>
                    </w:rPr>
                    <w:t>间</w:t>
                  </w:r>
                </w:p>
              </w:tc>
              <w:tc>
                <w:tcPr>
                  <w:tcW w:w="696" w:type="pct"/>
                  <w:vMerge w:val="continue"/>
                  <w:shd w:val="clear" w:color="auto" w:fill="auto"/>
                  <w:vAlign w:val="center"/>
                </w:tcPr>
                <w:p w14:paraId="55F2D3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p>
              </w:tc>
            </w:tr>
            <w:tr w14:paraId="4C4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45" w:type="pct"/>
                  <w:shd w:val="clear" w:color="auto" w:fill="auto"/>
                  <w:vAlign w:val="center"/>
                </w:tcPr>
                <w:p w14:paraId="1E040D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470" w:type="pct"/>
                  <w:shd w:val="clear" w:color="auto" w:fill="auto"/>
                  <w:vAlign w:val="center"/>
                </w:tcPr>
                <w:p w14:paraId="5C1FCC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105.16</w:t>
                  </w:r>
                </w:p>
              </w:tc>
              <w:tc>
                <w:tcPr>
                  <w:tcW w:w="470" w:type="pct"/>
                  <w:shd w:val="clear" w:color="auto" w:fill="auto"/>
                  <w:vAlign w:val="center"/>
                </w:tcPr>
                <w:p w14:paraId="7A1E6F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6.04</w:t>
                  </w:r>
                </w:p>
              </w:tc>
              <w:tc>
                <w:tcPr>
                  <w:tcW w:w="471" w:type="pct"/>
                  <w:shd w:val="clear" w:color="auto" w:fill="auto"/>
                  <w:vAlign w:val="center"/>
                </w:tcPr>
                <w:p w14:paraId="6AF812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.0</w:t>
                  </w:r>
                </w:p>
              </w:tc>
              <w:tc>
                <w:tcPr>
                  <w:tcW w:w="582" w:type="pct"/>
                  <w:shd w:val="clear" w:color="auto" w:fill="auto"/>
                  <w:vAlign w:val="center"/>
                </w:tcPr>
                <w:p w14:paraId="67D2F2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昼</w:t>
                  </w:r>
                  <w:r>
                    <w:rPr>
                      <w:rFonts w:hint="default" w:ascii="Times New Roman" w:hAnsi="Times New Roman" w:eastAsia="宋体" w:cs="Times New Roman"/>
                      <w:color w:val="auto"/>
                      <w:sz w:val="21"/>
                      <w:szCs w:val="21"/>
                      <w:highlight w:val="none"/>
                      <w:lang w:val="en-US" w:eastAsia="zh-CN"/>
                    </w:rPr>
                    <w:t>夜</w:t>
                  </w:r>
                </w:p>
              </w:tc>
              <w:tc>
                <w:tcPr>
                  <w:tcW w:w="830" w:type="pct"/>
                  <w:shd w:val="clear" w:color="auto" w:fill="auto"/>
                  <w:vAlign w:val="center"/>
                </w:tcPr>
                <w:p w14:paraId="2D2EFD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53.75</w:t>
                  </w:r>
                </w:p>
              </w:tc>
              <w:tc>
                <w:tcPr>
                  <w:tcW w:w="415" w:type="pct"/>
                  <w:shd w:val="clear" w:color="auto" w:fill="auto"/>
                  <w:vAlign w:val="center"/>
                </w:tcPr>
                <w:p w14:paraId="058E13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415" w:type="pct"/>
                  <w:shd w:val="clear" w:color="auto" w:fill="auto"/>
                  <w:vAlign w:val="center"/>
                </w:tcPr>
                <w:p w14:paraId="018D65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w:t>
                  </w:r>
                </w:p>
              </w:tc>
              <w:tc>
                <w:tcPr>
                  <w:tcW w:w="696" w:type="pct"/>
                  <w:shd w:val="clear" w:color="auto" w:fill="auto"/>
                  <w:vAlign w:val="center"/>
                </w:tcPr>
                <w:p w14:paraId="0B4D2A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13D2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45" w:type="pct"/>
                  <w:shd w:val="clear" w:color="auto" w:fill="auto"/>
                  <w:vAlign w:val="center"/>
                </w:tcPr>
                <w:p w14:paraId="1236A2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470" w:type="pct"/>
                  <w:shd w:val="clear" w:color="auto" w:fill="auto"/>
                  <w:vAlign w:val="center"/>
                </w:tcPr>
                <w:p w14:paraId="5DDEC4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-3.31</w:t>
                  </w:r>
                </w:p>
              </w:tc>
              <w:tc>
                <w:tcPr>
                  <w:tcW w:w="470" w:type="pct"/>
                  <w:shd w:val="clear" w:color="auto" w:fill="auto"/>
                  <w:vAlign w:val="center"/>
                </w:tcPr>
                <w:p w14:paraId="513FF3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-46.59</w:t>
                  </w:r>
                </w:p>
              </w:tc>
              <w:tc>
                <w:tcPr>
                  <w:tcW w:w="471" w:type="pct"/>
                  <w:shd w:val="clear" w:color="auto" w:fill="auto"/>
                  <w:vAlign w:val="center"/>
                </w:tcPr>
                <w:p w14:paraId="3A74E7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.0</w:t>
                  </w:r>
                </w:p>
              </w:tc>
              <w:tc>
                <w:tcPr>
                  <w:tcW w:w="582" w:type="pct"/>
                  <w:shd w:val="clear" w:color="auto" w:fill="auto"/>
                  <w:vAlign w:val="center"/>
                </w:tcPr>
                <w:p w14:paraId="1F6D88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w:t>
                  </w:r>
                  <w:r>
                    <w:rPr>
                      <w:rFonts w:hint="default" w:ascii="Times New Roman" w:hAnsi="Times New Roman" w:eastAsia="宋体" w:cs="Times New Roman"/>
                      <w:color w:val="auto"/>
                      <w:sz w:val="21"/>
                      <w:szCs w:val="21"/>
                      <w:highlight w:val="none"/>
                      <w:lang w:val="en-US" w:eastAsia="zh-CN"/>
                    </w:rPr>
                    <w:t>夜</w:t>
                  </w:r>
                </w:p>
              </w:tc>
              <w:tc>
                <w:tcPr>
                  <w:tcW w:w="830" w:type="pct"/>
                  <w:shd w:val="clear" w:color="auto" w:fill="auto"/>
                  <w:vAlign w:val="center"/>
                </w:tcPr>
                <w:p w14:paraId="78A1EE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46.4</w:t>
                  </w:r>
                  <w:r>
                    <w:rPr>
                      <w:rFonts w:hint="default" w:ascii="Times New Roman" w:hAnsi="Times New Roman" w:eastAsia="宋体" w:cs="Times New Roman"/>
                      <w:color w:val="auto"/>
                      <w:sz w:val="21"/>
                      <w:szCs w:val="21"/>
                      <w:highlight w:val="none"/>
                      <w:lang w:val="en-US" w:eastAsia="zh-CN"/>
                    </w:rPr>
                    <w:t>0</w:t>
                  </w:r>
                </w:p>
              </w:tc>
              <w:tc>
                <w:tcPr>
                  <w:tcW w:w="415" w:type="pct"/>
                  <w:shd w:val="clear" w:color="auto" w:fill="auto"/>
                  <w:vAlign w:val="center"/>
                </w:tcPr>
                <w:p w14:paraId="6018D5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415" w:type="pct"/>
                  <w:shd w:val="clear" w:color="auto" w:fill="auto"/>
                  <w:vAlign w:val="center"/>
                </w:tcPr>
                <w:p w14:paraId="265CB2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50</w:t>
                  </w:r>
                </w:p>
              </w:tc>
              <w:tc>
                <w:tcPr>
                  <w:tcW w:w="696" w:type="pct"/>
                  <w:shd w:val="clear" w:color="auto" w:fill="auto"/>
                  <w:vAlign w:val="center"/>
                </w:tcPr>
                <w:p w14:paraId="0A0646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4FCB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645" w:type="pct"/>
                  <w:shd w:val="clear" w:color="auto" w:fill="auto"/>
                  <w:vAlign w:val="center"/>
                </w:tcPr>
                <w:p w14:paraId="1EB681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470" w:type="pct"/>
                  <w:shd w:val="clear" w:color="auto" w:fill="auto"/>
                  <w:vAlign w:val="center"/>
                </w:tcPr>
                <w:p w14:paraId="4BB894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-96.33</w:t>
                  </w:r>
                </w:p>
              </w:tc>
              <w:tc>
                <w:tcPr>
                  <w:tcW w:w="470" w:type="pct"/>
                  <w:shd w:val="clear" w:color="auto" w:fill="auto"/>
                  <w:vAlign w:val="center"/>
                </w:tcPr>
                <w:p w14:paraId="03F2C6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7.35</w:t>
                  </w:r>
                </w:p>
              </w:tc>
              <w:tc>
                <w:tcPr>
                  <w:tcW w:w="471" w:type="pct"/>
                  <w:shd w:val="clear" w:color="auto" w:fill="auto"/>
                  <w:vAlign w:val="center"/>
                </w:tcPr>
                <w:p w14:paraId="691B65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.0</w:t>
                  </w:r>
                </w:p>
              </w:tc>
              <w:tc>
                <w:tcPr>
                  <w:tcW w:w="582" w:type="pct"/>
                  <w:shd w:val="clear" w:color="auto" w:fill="auto"/>
                  <w:vAlign w:val="center"/>
                </w:tcPr>
                <w:p w14:paraId="1FCE87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w:t>
                  </w:r>
                  <w:r>
                    <w:rPr>
                      <w:rFonts w:hint="default" w:ascii="Times New Roman" w:hAnsi="Times New Roman" w:eastAsia="宋体" w:cs="Times New Roman"/>
                      <w:color w:val="auto"/>
                      <w:sz w:val="21"/>
                      <w:szCs w:val="21"/>
                      <w:highlight w:val="none"/>
                      <w:lang w:val="en-US" w:eastAsia="zh-CN"/>
                    </w:rPr>
                    <w:t>夜</w:t>
                  </w:r>
                </w:p>
              </w:tc>
              <w:tc>
                <w:tcPr>
                  <w:tcW w:w="830" w:type="pct"/>
                  <w:shd w:val="clear" w:color="auto" w:fill="auto"/>
                  <w:vAlign w:val="center"/>
                </w:tcPr>
                <w:p w14:paraId="2CB602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42.61</w:t>
                  </w:r>
                </w:p>
              </w:tc>
              <w:tc>
                <w:tcPr>
                  <w:tcW w:w="415" w:type="pct"/>
                  <w:shd w:val="clear" w:color="auto" w:fill="auto"/>
                  <w:vAlign w:val="center"/>
                </w:tcPr>
                <w:p w14:paraId="2143F2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415" w:type="pct"/>
                  <w:shd w:val="clear" w:color="auto" w:fill="auto"/>
                  <w:vAlign w:val="center"/>
                </w:tcPr>
                <w:p w14:paraId="19DE4F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50</w:t>
                  </w:r>
                </w:p>
              </w:tc>
              <w:tc>
                <w:tcPr>
                  <w:tcW w:w="696" w:type="pct"/>
                  <w:shd w:val="clear" w:color="auto" w:fill="auto"/>
                  <w:vAlign w:val="center"/>
                </w:tcPr>
                <w:p w14:paraId="6D608E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56D9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45" w:type="pct"/>
                  <w:shd w:val="clear" w:color="auto" w:fill="auto"/>
                  <w:vAlign w:val="center"/>
                </w:tcPr>
                <w:p w14:paraId="4B5721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470" w:type="pct"/>
                  <w:shd w:val="clear" w:color="auto" w:fill="auto"/>
                  <w:vAlign w:val="center"/>
                </w:tcPr>
                <w:p w14:paraId="09BFA4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7.64</w:t>
                  </w:r>
                </w:p>
              </w:tc>
              <w:tc>
                <w:tcPr>
                  <w:tcW w:w="470" w:type="pct"/>
                  <w:shd w:val="clear" w:color="auto" w:fill="auto"/>
                  <w:vAlign w:val="center"/>
                </w:tcPr>
                <w:p w14:paraId="3504F6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79.27</w:t>
                  </w:r>
                </w:p>
              </w:tc>
              <w:tc>
                <w:tcPr>
                  <w:tcW w:w="471" w:type="pct"/>
                  <w:shd w:val="clear" w:color="auto" w:fill="auto"/>
                  <w:vAlign w:val="center"/>
                </w:tcPr>
                <w:p w14:paraId="29DC22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.0</w:t>
                  </w:r>
                </w:p>
              </w:tc>
              <w:tc>
                <w:tcPr>
                  <w:tcW w:w="582" w:type="pct"/>
                  <w:shd w:val="clear" w:color="auto" w:fill="auto"/>
                  <w:vAlign w:val="center"/>
                </w:tcPr>
                <w:p w14:paraId="0D93C5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w:t>
                  </w:r>
                  <w:r>
                    <w:rPr>
                      <w:rFonts w:hint="default" w:ascii="Times New Roman" w:hAnsi="Times New Roman" w:eastAsia="宋体" w:cs="Times New Roman"/>
                      <w:color w:val="auto"/>
                      <w:sz w:val="21"/>
                      <w:szCs w:val="21"/>
                      <w:highlight w:val="none"/>
                      <w:lang w:val="en-US" w:eastAsia="zh-CN"/>
                    </w:rPr>
                    <w:t>夜</w:t>
                  </w:r>
                </w:p>
              </w:tc>
              <w:tc>
                <w:tcPr>
                  <w:tcW w:w="830" w:type="pct"/>
                  <w:shd w:val="clear" w:color="auto" w:fill="auto"/>
                  <w:vAlign w:val="center"/>
                </w:tcPr>
                <w:p w14:paraId="38C3C6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45.04</w:t>
                  </w:r>
                </w:p>
              </w:tc>
              <w:tc>
                <w:tcPr>
                  <w:tcW w:w="415" w:type="pct"/>
                  <w:shd w:val="clear" w:color="auto" w:fill="auto"/>
                  <w:vAlign w:val="center"/>
                </w:tcPr>
                <w:p w14:paraId="0EF3E3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415" w:type="pct"/>
                  <w:shd w:val="clear" w:color="auto" w:fill="auto"/>
                  <w:vAlign w:val="center"/>
                </w:tcPr>
                <w:p w14:paraId="442BF2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50</w:t>
                  </w:r>
                </w:p>
              </w:tc>
              <w:tc>
                <w:tcPr>
                  <w:tcW w:w="696" w:type="pct"/>
                  <w:shd w:val="clear" w:color="auto" w:fill="auto"/>
                  <w:vAlign w:val="center"/>
                </w:tcPr>
                <w:p w14:paraId="421A3C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0566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9"/>
                  <w:shd w:val="clear" w:color="auto" w:fill="auto"/>
                  <w:vAlign w:val="center"/>
                </w:tcPr>
                <w:p w14:paraId="4771E0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厂界中心（E103°13′16.32825″,N25°32′59.17080″）为坐标原点</w:t>
                  </w:r>
                  <w:r>
                    <w:rPr>
                      <w:rFonts w:hint="default" w:ascii="Times New Roman" w:hAnsi="Times New Roman" w:eastAsia="宋体" w:cs="Times New Roman"/>
                      <w:bCs/>
                      <w:color w:val="auto"/>
                      <w:sz w:val="21"/>
                      <w:szCs w:val="21"/>
                      <w:highlight w:val="none"/>
                    </w:rPr>
                    <w:t>，正东向为X轴正方向，正北向为Y轴正方向。</w:t>
                  </w:r>
                </w:p>
              </w:tc>
            </w:tr>
          </w:tbl>
          <w:p w14:paraId="208E2423">
            <w:pPr>
              <w:autoSpaceDE w:val="0"/>
              <w:autoSpaceDN w:val="0"/>
              <w:spacing w:line="360" w:lineRule="auto"/>
              <w:ind w:firstLine="480" w:firstLineChars="200"/>
              <w:rPr>
                <w:rFonts w:hint="default" w:ascii="Times New Roman" w:hAnsi="Times New Roman" w:eastAsia="宋体" w:cs="Times New Roman"/>
                <w:color w:val="auto"/>
                <w:sz w:val="24"/>
                <w:lang w:val="zh-CN" w:eastAsia="zh-CN"/>
              </w:rPr>
            </w:pPr>
            <w:r>
              <w:rPr>
                <w:rFonts w:hint="default" w:ascii="Times New Roman" w:hAnsi="Times New Roman" w:eastAsia="宋体" w:cs="Times New Roman"/>
                <w:color w:val="auto"/>
                <w:sz w:val="24"/>
                <w:highlight w:val="none"/>
                <w:lang w:val="zh-CN" w:bidi="ar"/>
              </w:rPr>
              <w:t>本项目装载机为间歇式工作运行时间短，本项目不涉及发电机，机械设备运转产生的噪声经减振、墙体隔声、距离衰减后，经预测本项目厂区设备噪声在</w:t>
            </w:r>
            <w:r>
              <w:rPr>
                <w:rFonts w:hint="default" w:ascii="Times New Roman" w:hAnsi="Times New Roman" w:eastAsia="宋体" w:cs="Times New Roman"/>
                <w:color w:val="auto"/>
                <w:sz w:val="24"/>
                <w:highlight w:val="none"/>
                <w:lang w:val="en-US" w:eastAsia="zh-CN" w:bidi="ar"/>
              </w:rPr>
              <w:t>东、</w:t>
            </w:r>
            <w:r>
              <w:rPr>
                <w:rFonts w:hint="default" w:ascii="Times New Roman" w:hAnsi="Times New Roman" w:eastAsia="宋体" w:cs="Times New Roman"/>
                <w:color w:val="auto"/>
                <w:sz w:val="24"/>
                <w:highlight w:val="none"/>
                <w:lang w:val="zh-CN" w:bidi="ar"/>
              </w:rPr>
              <w:t>南、</w:t>
            </w:r>
            <w:r>
              <w:rPr>
                <w:rFonts w:hint="default" w:ascii="Times New Roman" w:hAnsi="Times New Roman" w:eastAsia="宋体" w:cs="Times New Roman"/>
                <w:color w:val="auto"/>
                <w:sz w:val="24"/>
                <w:highlight w:val="none"/>
                <w:lang w:val="en-US" w:eastAsia="zh-CN" w:bidi="ar"/>
              </w:rPr>
              <w:t>西</w:t>
            </w:r>
            <w:r>
              <w:rPr>
                <w:rFonts w:hint="default" w:ascii="Times New Roman" w:hAnsi="Times New Roman" w:eastAsia="宋体" w:cs="Times New Roman"/>
                <w:color w:val="auto"/>
                <w:sz w:val="24"/>
                <w:lang w:val="zh-CN" w:eastAsia="zh-CN"/>
              </w:rPr>
              <w:t>、北厂界均可达到GB12348-2008《工业企业厂界环境噪声排放标准》3类标准，厂界噪声可实现达标排放。项目周围主要为工业企业和道路，</w:t>
            </w:r>
            <w:r>
              <w:rPr>
                <w:rFonts w:hint="default" w:ascii="Times New Roman" w:hAnsi="Times New Roman" w:eastAsia="宋体" w:cs="Times New Roman"/>
                <w:color w:val="auto"/>
                <w:sz w:val="24"/>
                <w:lang w:val="en-US" w:eastAsia="zh-CN"/>
              </w:rPr>
              <w:t>50m内无</w:t>
            </w:r>
            <w:r>
              <w:rPr>
                <w:rFonts w:hint="default" w:ascii="Times New Roman" w:hAnsi="Times New Roman" w:eastAsia="宋体" w:cs="Times New Roman"/>
                <w:color w:val="auto"/>
                <w:sz w:val="24"/>
                <w:lang w:val="zh-CN" w:eastAsia="zh-CN"/>
              </w:rPr>
              <w:t>居民</w:t>
            </w:r>
            <w:r>
              <w:rPr>
                <w:rFonts w:hint="default" w:ascii="Times New Roman" w:hAnsi="Times New Roman" w:eastAsia="宋体" w:cs="Times New Roman"/>
                <w:color w:val="auto"/>
                <w:sz w:val="24"/>
                <w:lang w:val="en-US" w:eastAsia="zh-CN"/>
              </w:rPr>
              <w:t>居住</w:t>
            </w:r>
            <w:r>
              <w:rPr>
                <w:rFonts w:hint="default" w:ascii="Times New Roman" w:hAnsi="Times New Roman" w:eastAsia="宋体" w:cs="Times New Roman"/>
                <w:color w:val="auto"/>
                <w:sz w:val="24"/>
                <w:lang w:val="zh-CN" w:eastAsia="zh-CN"/>
              </w:rPr>
              <w:t>，项目运营期产生的噪声对周围环境保护目标影响较小。</w:t>
            </w:r>
          </w:p>
          <w:p w14:paraId="1CA4014A">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为了减小噪声对区域声环境的不利影响，本环评要求采取如下噪声防治措施：</w:t>
            </w:r>
          </w:p>
          <w:p w14:paraId="3F37FA94">
            <w:pPr>
              <w:autoSpaceDE w:val="0"/>
              <w:autoSpaceDN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lang w:val="en-US" w:eastAsia="zh-CN"/>
              </w:rPr>
              <w:t>①优化厂区布局，将产生噪声较高的</w:t>
            </w:r>
            <w:r>
              <w:rPr>
                <w:rFonts w:hint="eastAsia" w:cs="Times New Roman"/>
                <w:color w:val="auto"/>
                <w:sz w:val="24"/>
                <w:lang w:val="en-US" w:eastAsia="zh-CN"/>
              </w:rPr>
              <w:t>拌合站</w:t>
            </w:r>
            <w:r>
              <w:rPr>
                <w:rFonts w:hint="default" w:ascii="Times New Roman" w:hAnsi="Times New Roman" w:eastAsia="宋体" w:cs="Times New Roman"/>
                <w:color w:val="auto"/>
                <w:sz w:val="24"/>
                <w:lang w:val="en-US" w:eastAsia="zh-CN"/>
              </w:rPr>
              <w:t>布置于场地中部，在东侧应考虑增加项目围挡，并在厂界</w:t>
            </w:r>
            <w:r>
              <w:rPr>
                <w:rFonts w:hint="default" w:ascii="Times New Roman" w:hAnsi="Times New Roman" w:cs="Times New Roman"/>
                <w:color w:val="auto"/>
                <w:sz w:val="24"/>
                <w:highlight w:val="none"/>
              </w:rPr>
              <w:t>四周尽量种植高大乔木，以起到隔声降噪的作用；</w:t>
            </w:r>
          </w:p>
          <w:p w14:paraId="3C6394CD">
            <w:pPr>
              <w:autoSpaceDE w:val="0"/>
              <w:autoSpaceDN w:val="0"/>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②对于空气动力性噪声的机械设备，出风口加装消声器，并将空压机布置在封闭机房内；</w:t>
            </w:r>
          </w:p>
          <w:p w14:paraId="251A5660">
            <w:pPr>
              <w:autoSpaceDE w:val="0"/>
              <w:autoSpaceDN w:val="0"/>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③皮带输送机采用封闭输送；</w:t>
            </w:r>
          </w:p>
          <w:p w14:paraId="7646725F">
            <w:pPr>
              <w:autoSpaceDE w:val="0"/>
              <w:autoSpaceDN w:val="0"/>
              <w:adjustRightIn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④强化行车管理制度，厂区内严禁鸣号，进入厂区低速行驶，最大限度减少流动噪声源；</w:t>
            </w:r>
          </w:p>
          <w:p w14:paraId="727FE467">
            <w:pPr>
              <w:autoSpaceDE w:val="0"/>
              <w:autoSpaceDN w:val="0"/>
              <w:adjustRightIn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⑤合理安排生产时间，若因生产需要存在夜间连续生产，须上报当地环保部门备案；</w:t>
            </w:r>
          </w:p>
          <w:p w14:paraId="779DC4D7">
            <w:pPr>
              <w:autoSpaceDE w:val="0"/>
              <w:autoSpaceDN w:val="0"/>
              <w:adjustRightIn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⑥建立设备定期维护、保养的管理制度，避免设备运转非正常噪声。</w:t>
            </w:r>
          </w:p>
          <w:p w14:paraId="1EF21180">
            <w:pPr>
              <w:autoSpaceDE w:val="0"/>
              <w:autoSpaceDN w:val="0"/>
              <w:adjustRightIn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在严格采取上述对策防治措施后，项目厂界噪声可达GB12348-2008《工业企业厂界环境噪声排放标准》3类标准，噪声对区域声环境影响不大。</w:t>
            </w:r>
          </w:p>
          <w:p w14:paraId="0D3321D1">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（4）监测要求</w:t>
            </w:r>
          </w:p>
          <w:p w14:paraId="7DAC6C0F">
            <w:pPr>
              <w:pStyle w:val="55"/>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rPr>
              <w:t>《排污单位自行监测技术指南 水泥工业》（HJ</w:t>
            </w:r>
            <w:r>
              <w:rPr>
                <w:rFonts w:hint="default" w:ascii="Times New Roman" w:hAnsi="Times New Roman" w:eastAsia="宋体" w:cs="Times New Roman"/>
                <w:color w:val="auto"/>
                <w:sz w:val="24"/>
                <w:highlight w:val="none"/>
                <w:lang w:val="en-US" w:eastAsia="zh-CN"/>
              </w:rPr>
              <w:t xml:space="preserve"> 848-2017</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highlight w:val="none"/>
              </w:rPr>
              <w:t>监测要求详见下表。</w:t>
            </w:r>
          </w:p>
          <w:p w14:paraId="601E5372">
            <w:pPr>
              <w:pStyle w:val="55"/>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19</w:t>
            </w:r>
            <w:r>
              <w:rPr>
                <w:rFonts w:hint="default" w:ascii="Times New Roman" w:hAnsi="Times New Roman" w:eastAsia="宋体" w:cs="Times New Roman"/>
                <w:b/>
                <w:bCs/>
                <w:color w:val="auto"/>
                <w:szCs w:val="21"/>
                <w:highlight w:val="none"/>
              </w:rPr>
              <w:t xml:space="preserve">   噪声监测计划一览表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345"/>
              <w:gridCol w:w="1754"/>
              <w:gridCol w:w="1718"/>
              <w:gridCol w:w="2080"/>
            </w:tblGrid>
            <w:tr w14:paraId="0DBF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tcPr>
                <w:p w14:paraId="63F89D86">
                  <w:pPr>
                    <w:pStyle w:val="5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b/>
                      <w:bCs/>
                      <w:color w:val="auto"/>
                      <w:szCs w:val="21"/>
                      <w:highlight w:val="none"/>
                      <w:vertAlign w:val="baseline"/>
                      <w:lang w:val="en-US" w:eastAsia="zh-CN"/>
                    </w:rPr>
                  </w:pPr>
                  <w:r>
                    <w:rPr>
                      <w:rFonts w:hint="default" w:ascii="Times New Roman" w:hAnsi="Times New Roman" w:eastAsia="宋体" w:cs="Times New Roman"/>
                      <w:b/>
                      <w:bCs/>
                      <w:color w:val="auto"/>
                      <w:szCs w:val="21"/>
                      <w:highlight w:val="none"/>
                    </w:rPr>
                    <w:t>监测</w:t>
                  </w:r>
                  <w:r>
                    <w:rPr>
                      <w:rFonts w:hint="default" w:ascii="Times New Roman" w:hAnsi="Times New Roman" w:eastAsia="宋体" w:cs="Times New Roman"/>
                      <w:b/>
                      <w:bCs/>
                      <w:color w:val="auto"/>
                      <w:szCs w:val="21"/>
                      <w:highlight w:val="none"/>
                      <w:lang w:val="en-US" w:eastAsia="zh-CN"/>
                    </w:rPr>
                    <w:t>类型</w:t>
                  </w:r>
                </w:p>
              </w:tc>
              <w:tc>
                <w:tcPr>
                  <w:tcW w:w="1302" w:type="pct"/>
                </w:tcPr>
                <w:p w14:paraId="276FAA52">
                  <w:pPr>
                    <w:pStyle w:val="5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b/>
                      <w:bCs/>
                      <w:color w:val="auto"/>
                      <w:szCs w:val="21"/>
                      <w:highlight w:val="none"/>
                    </w:rPr>
                    <w:t>监测点位</w:t>
                  </w:r>
                </w:p>
              </w:tc>
              <w:tc>
                <w:tcPr>
                  <w:tcW w:w="974" w:type="pct"/>
                </w:tcPr>
                <w:p w14:paraId="47E52697">
                  <w:pPr>
                    <w:pStyle w:val="5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b/>
                      <w:bCs/>
                      <w:color w:val="auto"/>
                      <w:szCs w:val="21"/>
                      <w:highlight w:val="none"/>
                      <w:vertAlign w:val="baseline"/>
                      <w:lang w:val="en-US" w:eastAsia="zh-CN"/>
                    </w:rPr>
                  </w:pPr>
                  <w:r>
                    <w:rPr>
                      <w:rFonts w:hint="default" w:ascii="Times New Roman" w:hAnsi="Times New Roman" w:eastAsia="宋体" w:cs="Times New Roman"/>
                      <w:b/>
                      <w:bCs/>
                      <w:color w:val="auto"/>
                      <w:szCs w:val="21"/>
                      <w:highlight w:val="none"/>
                    </w:rPr>
                    <w:t>监测</w:t>
                  </w:r>
                  <w:r>
                    <w:rPr>
                      <w:rFonts w:hint="default" w:ascii="Times New Roman" w:hAnsi="Times New Roman" w:eastAsia="宋体" w:cs="Times New Roman"/>
                      <w:b/>
                      <w:bCs/>
                      <w:color w:val="auto"/>
                      <w:szCs w:val="21"/>
                      <w:highlight w:val="none"/>
                      <w:lang w:val="en-US" w:eastAsia="zh-CN"/>
                    </w:rPr>
                    <w:t>因子</w:t>
                  </w:r>
                </w:p>
              </w:tc>
              <w:tc>
                <w:tcPr>
                  <w:tcW w:w="954" w:type="pct"/>
                </w:tcPr>
                <w:p w14:paraId="5EA1C3C8">
                  <w:pPr>
                    <w:pStyle w:val="5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b/>
                      <w:bCs/>
                      <w:color w:val="auto"/>
                      <w:szCs w:val="21"/>
                      <w:highlight w:val="none"/>
                    </w:rPr>
                    <w:t>监测频次</w:t>
                  </w:r>
                </w:p>
              </w:tc>
              <w:tc>
                <w:tcPr>
                  <w:tcW w:w="1155" w:type="pct"/>
                </w:tcPr>
                <w:p w14:paraId="7941A71A">
                  <w:pPr>
                    <w:pStyle w:val="5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b/>
                      <w:bCs/>
                      <w:color w:val="auto"/>
                      <w:szCs w:val="21"/>
                      <w:highlight w:val="none"/>
                      <w:vertAlign w:val="baseline"/>
                      <w:lang w:val="en-US" w:eastAsia="zh-CN"/>
                    </w:rPr>
                  </w:pPr>
                  <w:r>
                    <w:rPr>
                      <w:rFonts w:hint="default" w:ascii="Times New Roman" w:hAnsi="Times New Roman" w:eastAsia="宋体" w:cs="Times New Roman"/>
                      <w:b/>
                      <w:bCs/>
                      <w:color w:val="auto"/>
                      <w:szCs w:val="21"/>
                      <w:highlight w:val="none"/>
                      <w:vertAlign w:val="baseline"/>
                      <w:lang w:val="en-US" w:eastAsia="zh-CN"/>
                    </w:rPr>
                    <w:t>执行标准</w:t>
                  </w:r>
                </w:p>
              </w:tc>
            </w:tr>
            <w:tr w14:paraId="66D9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vAlign w:val="center"/>
                </w:tcPr>
                <w:p w14:paraId="5987651D">
                  <w:pPr>
                    <w:pStyle w:val="55"/>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b/>
                      <w:bCs/>
                      <w:color w:val="auto"/>
                      <w:szCs w:val="21"/>
                      <w:highlight w:val="none"/>
                      <w:vertAlign w:val="baseline"/>
                    </w:rPr>
                    <w:t>噪声</w:t>
                  </w:r>
                </w:p>
              </w:tc>
              <w:tc>
                <w:tcPr>
                  <w:tcW w:w="1302" w:type="pct"/>
                  <w:vAlign w:val="center"/>
                </w:tcPr>
                <w:p w14:paraId="4BE35129">
                  <w:pPr>
                    <w:pStyle w:val="55"/>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color w:val="auto"/>
                      <w:szCs w:val="21"/>
                      <w:highlight w:val="none"/>
                    </w:rPr>
                    <w:t>沿项目区厂界东、南、西、北界外1m处布点监测</w:t>
                  </w:r>
                </w:p>
              </w:tc>
              <w:tc>
                <w:tcPr>
                  <w:tcW w:w="974" w:type="pct"/>
                  <w:vAlign w:val="center"/>
                </w:tcPr>
                <w:p w14:paraId="07EE9155">
                  <w:pPr>
                    <w:pStyle w:val="55"/>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dB</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954" w:type="pct"/>
                  <w:vAlign w:val="center"/>
                </w:tcPr>
                <w:p w14:paraId="3943212C">
                  <w:pPr>
                    <w:pStyle w:val="55"/>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color w:val="auto"/>
                      <w:szCs w:val="21"/>
                      <w:highlight w:val="none"/>
                      <w:lang w:val="en-US" w:eastAsia="zh-CN"/>
                    </w:rPr>
                    <w:t>1次/季度</w:t>
                  </w:r>
                </w:p>
              </w:tc>
              <w:tc>
                <w:tcPr>
                  <w:tcW w:w="1155" w:type="pct"/>
                  <w:vAlign w:val="center"/>
                </w:tcPr>
                <w:p w14:paraId="0DB44CD2">
                  <w:pPr>
                    <w:pStyle w:val="55"/>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Cs w:val="21"/>
                      <w:highlight w:val="none"/>
                      <w:vertAlign w:val="baseline"/>
                    </w:rPr>
                  </w:pPr>
                  <w:r>
                    <w:rPr>
                      <w:rFonts w:hint="default" w:ascii="Times New Roman" w:hAnsi="Times New Roman" w:eastAsia="宋体" w:cs="Times New Roman"/>
                      <w:color w:val="auto"/>
                      <w:szCs w:val="21"/>
                      <w:highlight w:val="none"/>
                      <w:lang w:val="en-US" w:eastAsia="zh-CN"/>
                    </w:rPr>
                    <w:t>厂界执行《工业企业厂界环境噪声排放标准》（GB12348-2008）</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类标准</w:t>
                  </w:r>
                </w:p>
              </w:tc>
            </w:tr>
          </w:tbl>
          <w:p w14:paraId="4251B396">
            <w:pPr>
              <w:pStyle w:val="55"/>
              <w:adjustRightInd w:val="0"/>
              <w:snapToGrid w:val="0"/>
              <w:rPr>
                <w:rFonts w:hint="default" w:ascii="Times New Roman" w:hAnsi="Times New Roman" w:eastAsia="宋体" w:cs="Times New Roman"/>
                <w:b/>
                <w:bCs/>
                <w:color w:val="auto"/>
                <w:szCs w:val="21"/>
                <w:highlight w:val="none"/>
              </w:rPr>
            </w:pPr>
          </w:p>
          <w:p w14:paraId="4E500D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、固体废物环境影响及治理措施</w:t>
            </w:r>
          </w:p>
          <w:p w14:paraId="4BC90DF5">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w:t>
            </w:r>
            <w:r>
              <w:rPr>
                <w:rFonts w:hint="eastAsia" w:cs="Times New Roman"/>
                <w:color w:val="auto"/>
                <w:sz w:val="24"/>
                <w:highlight w:val="none"/>
                <w:lang w:val="en-US" w:eastAsia="zh-CN"/>
              </w:rPr>
              <w:t>扩建</w:t>
            </w:r>
            <w:r>
              <w:rPr>
                <w:rFonts w:hint="default" w:ascii="Times New Roman" w:hAnsi="Times New Roman" w:eastAsia="宋体" w:cs="Times New Roman"/>
                <w:color w:val="auto"/>
                <w:sz w:val="24"/>
                <w:highlight w:val="none"/>
                <w:lang w:val="en-US" w:eastAsia="zh-CN"/>
              </w:rPr>
              <w:t>项目运营产生的固体废物主要由沉淀池底泥、袋式除尘器收尘灰、生产废料、废机油及其包装桶等。</w:t>
            </w:r>
          </w:p>
          <w:p w14:paraId="0931EB6B">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）沉淀池底泥</w:t>
            </w:r>
          </w:p>
          <w:p w14:paraId="0D61710C">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根据工程分析，项目沉淀池年处理清洗废水量为23.344m³/d，7003.2m³/a，底泥产生量约0.1%，7.003</w:t>
            </w:r>
            <w:r>
              <w:rPr>
                <w:rFonts w:hint="default" w:ascii="Times New Roman" w:hAnsi="Times New Roman" w:cs="Times New Roman"/>
                <w:color w:val="auto"/>
                <w:sz w:val="24"/>
                <w:lang w:val="en-US" w:eastAsia="zh-CN"/>
              </w:rPr>
              <w:t>t</w:t>
            </w:r>
            <w:r>
              <w:rPr>
                <w:rFonts w:hint="default" w:ascii="Times New Roman" w:hAnsi="Times New Roman" w:eastAsia="宋体" w:cs="Times New Roman"/>
                <w:color w:val="auto"/>
                <w:sz w:val="24"/>
                <w:lang w:val="en-US" w:eastAsia="zh-CN"/>
              </w:rPr>
              <w:t>/a。产生的底泥定期清理后暂存于原料堆场，用作原料回用于搅拌生产。</w:t>
            </w:r>
          </w:p>
          <w:p w14:paraId="672CDD71">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）袋式除尘器收尘灰</w:t>
            </w:r>
          </w:p>
          <w:p w14:paraId="2C8CCA40">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运营期生产固废主要来源于脉冲式除尘器的除尘灰，除尘灰为粉料储存至筒仓时筒仓卸压以及搅拌机初期产生，除尘器收集的粉尘产生量为</w:t>
            </w:r>
            <w:r>
              <w:rPr>
                <w:rFonts w:hint="eastAsia" w:cs="Times New Roman"/>
                <w:color w:val="auto"/>
                <w:sz w:val="24"/>
                <w:lang w:val="en-US" w:eastAsia="zh-CN"/>
              </w:rPr>
              <w:t>59.5209</w:t>
            </w:r>
            <w:r>
              <w:rPr>
                <w:rFonts w:hint="default" w:ascii="Times New Roman" w:hAnsi="Times New Roman" w:eastAsia="宋体" w:cs="Times New Roman"/>
                <w:color w:val="auto"/>
                <w:sz w:val="24"/>
                <w:lang w:val="en-US" w:eastAsia="zh-CN"/>
              </w:rPr>
              <w:t>t/a，均可作为原料回用于混凝土生产，处置率100%。</w:t>
            </w:r>
          </w:p>
          <w:p w14:paraId="3E4C2400">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（3）生产废料</w:t>
            </w:r>
          </w:p>
          <w:p w14:paraId="7B59608D">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项目运营期生产固废主要有不合格的砂石料、剩余的混凝土、沉淀池沉淀渣等。通过调查不合格的砂石料和剩余的</w:t>
            </w:r>
            <w:r>
              <w:rPr>
                <w:rFonts w:hint="eastAsia" w:cs="Times New Roman"/>
                <w:color w:val="auto"/>
                <w:sz w:val="24"/>
                <w:lang w:val="en-US" w:eastAsia="zh-CN"/>
              </w:rPr>
              <w:t>混凝土</w:t>
            </w:r>
            <w:r>
              <w:rPr>
                <w:rFonts w:hint="default" w:ascii="Times New Roman" w:hAnsi="Times New Roman" w:eastAsia="宋体" w:cs="Times New Roman"/>
                <w:color w:val="auto"/>
                <w:sz w:val="24"/>
                <w:lang w:val="en-US" w:eastAsia="zh-CN"/>
              </w:rPr>
              <w:t>年产生量在40t左右，可用于路面的铺垫料，或者路面的平整料。</w:t>
            </w:r>
          </w:p>
          <w:p w14:paraId="0D90E33B">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）危险废物</w:t>
            </w:r>
          </w:p>
          <w:p w14:paraId="42578C8B">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项目定期对生产设备、运输车辆进行维修、保养，维修过程产生的废机油及其包装桶属于危险废物，根据《国家危险废物名录》（2021年版），属于HW08废矿物油与含矿物油废物，危险废物代码 900-249-08，危险特性T/I，废机油及其包装桶的产生量约0.</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t/a，危险废物统一收集暂存于危废暂存间后，委托有资质单位处置。</w:t>
            </w:r>
          </w:p>
          <w:p w14:paraId="5D1336D0">
            <w:pPr>
              <w:autoSpaceDE w:val="0"/>
              <w:autoSpaceDN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项目固废产生情况一览表如下：</w:t>
            </w:r>
          </w:p>
          <w:p w14:paraId="56DF741B">
            <w:pPr>
              <w:keepNext w:val="0"/>
              <w:keepLines w:val="0"/>
              <w:widowControl/>
              <w:suppressLineNumbers w:val="0"/>
              <w:ind w:left="0" w:leftChars="0" w:firstLine="0" w:firstLineChars="0"/>
              <w:jc w:val="center"/>
              <w:rPr>
                <w:rFonts w:hint="default" w:ascii="Times New Roman" w:hAnsi="Times New Roman" w:eastAsia="宋体" w:cs="Times New Roman"/>
                <w:b/>
                <w:bCs/>
                <w:color w:val="auto"/>
                <w:kern w:val="0"/>
                <w:sz w:val="21"/>
                <w:szCs w:val="21"/>
                <w:lang w:val="en-US" w:eastAsia="zh-CN" w:bidi="ar"/>
              </w:rPr>
            </w:pPr>
          </w:p>
          <w:p w14:paraId="37F357E2">
            <w:pPr>
              <w:keepNext w:val="0"/>
              <w:keepLines w:val="0"/>
              <w:widowControl/>
              <w:suppressLineNumbers w:val="0"/>
              <w:ind w:left="0" w:leftChars="0" w:firstLine="0" w:firstLineChars="0"/>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 xml:space="preserve">表4.2-12  </w:t>
            </w:r>
            <w:r>
              <w:rPr>
                <w:rFonts w:hint="eastAsia" w:ascii="Times New Roman" w:hAnsi="Times New Roman" w:cs="Times New Roman"/>
                <w:b/>
                <w:bCs/>
                <w:color w:val="auto"/>
                <w:kern w:val="0"/>
                <w:sz w:val="21"/>
                <w:szCs w:val="21"/>
                <w:lang w:val="en-US" w:eastAsia="zh-CN" w:bidi="ar"/>
              </w:rPr>
              <w:t xml:space="preserve"> </w:t>
            </w:r>
            <w:r>
              <w:rPr>
                <w:rFonts w:hint="default" w:ascii="Times New Roman" w:hAnsi="Times New Roman" w:eastAsia="宋体" w:cs="Times New Roman"/>
                <w:b/>
                <w:bCs/>
                <w:color w:val="auto"/>
                <w:kern w:val="0"/>
                <w:sz w:val="21"/>
                <w:szCs w:val="21"/>
                <w:lang w:val="en-US" w:eastAsia="zh-CN" w:bidi="ar"/>
              </w:rPr>
              <w:t>固体废物污染源源强核算结果及相关参数一览表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870"/>
              <w:gridCol w:w="605"/>
              <w:gridCol w:w="684"/>
              <w:gridCol w:w="1086"/>
              <w:gridCol w:w="994"/>
              <w:gridCol w:w="1918"/>
              <w:gridCol w:w="1019"/>
              <w:gridCol w:w="1158"/>
            </w:tblGrid>
            <w:tr w14:paraId="5B2A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noWrap w:val="0"/>
                  <w:vAlign w:val="center"/>
                </w:tcPr>
                <w:p w14:paraId="0C043D22">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污染物种类</w:t>
                  </w:r>
                </w:p>
              </w:tc>
              <w:tc>
                <w:tcPr>
                  <w:tcW w:w="483" w:type="pct"/>
                  <w:noWrap w:val="0"/>
                  <w:vAlign w:val="center"/>
                </w:tcPr>
                <w:p w14:paraId="291B81BA">
                  <w:pPr>
                    <w:pStyle w:val="11"/>
                    <w:adjustRightInd w:val="0"/>
                    <w:snapToGrid w:val="0"/>
                    <w:ind w:left="0" w:leftChars="0" w:right="0" w:rightChars="0" w:firstLine="0" w:firstLineChars="0"/>
                    <w:jc w:val="center"/>
                    <w:rPr>
                      <w:rFonts w:ascii="Times New Roman" w:hAnsi="Times New Roman" w:eastAsia="宋体" w:cs="Times New Roman"/>
                      <w:color w:val="auto"/>
                      <w:w w:val="90"/>
                      <w:szCs w:val="21"/>
                      <w:highlight w:val="none"/>
                    </w:rPr>
                  </w:pPr>
                  <w:r>
                    <w:rPr>
                      <w:rFonts w:hint="eastAsia" w:ascii="Times New Roman" w:hAnsi="Times New Roman" w:eastAsia="宋体" w:cs="Times New Roman"/>
                      <w:color w:val="auto"/>
                      <w:w w:val="90"/>
                      <w:szCs w:val="21"/>
                      <w:highlight w:val="none"/>
                    </w:rPr>
                    <w:t>污染物名称</w:t>
                  </w:r>
                </w:p>
              </w:tc>
              <w:tc>
                <w:tcPr>
                  <w:tcW w:w="336" w:type="pct"/>
                  <w:noWrap w:val="0"/>
                  <w:vAlign w:val="center"/>
                </w:tcPr>
                <w:p w14:paraId="5F39CF88">
                  <w:pPr>
                    <w:pStyle w:val="11"/>
                    <w:adjustRightInd w:val="0"/>
                    <w:snapToGrid w:val="0"/>
                    <w:ind w:left="0" w:leftChars="0" w:right="0" w:rightChars="0" w:firstLine="0" w:firstLineChars="0"/>
                    <w:jc w:val="center"/>
                    <w:rPr>
                      <w:rFonts w:ascii="Times New Roman" w:hAnsi="Times New Roman" w:eastAsia="宋体" w:cs="Times New Roman"/>
                      <w:color w:val="auto"/>
                      <w:w w:val="90"/>
                      <w:szCs w:val="21"/>
                      <w:highlight w:val="none"/>
                    </w:rPr>
                  </w:pPr>
                  <w:r>
                    <w:rPr>
                      <w:rFonts w:hint="eastAsia" w:ascii="Times New Roman" w:hAnsi="Times New Roman" w:eastAsia="宋体" w:cs="Times New Roman"/>
                      <w:color w:val="auto"/>
                      <w:w w:val="90"/>
                      <w:szCs w:val="21"/>
                      <w:highlight w:val="none"/>
                    </w:rPr>
                    <w:t>物理性状</w:t>
                  </w:r>
                </w:p>
              </w:tc>
              <w:tc>
                <w:tcPr>
                  <w:tcW w:w="380" w:type="pct"/>
                  <w:noWrap w:val="0"/>
                  <w:vAlign w:val="center"/>
                </w:tcPr>
                <w:p w14:paraId="2F013FB0">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危险特性</w:t>
                  </w:r>
                </w:p>
              </w:tc>
              <w:tc>
                <w:tcPr>
                  <w:tcW w:w="603" w:type="pct"/>
                  <w:noWrap w:val="0"/>
                  <w:vAlign w:val="center"/>
                </w:tcPr>
                <w:p w14:paraId="50E9FA9F">
                  <w:pPr>
                    <w:pStyle w:val="11"/>
                    <w:adjustRightInd w:val="0"/>
                    <w:snapToGrid w:val="0"/>
                    <w:ind w:left="0" w:leftChars="0" w:right="0" w:rightChars="0" w:firstLine="0" w:firstLineChars="0"/>
                    <w:jc w:val="center"/>
                    <w:rPr>
                      <w:rFonts w:ascii="Times New Roman" w:hAnsi="Times New Roman" w:eastAsia="宋体" w:cs="Times New Roman"/>
                      <w:color w:val="auto"/>
                      <w:w w:val="90"/>
                      <w:szCs w:val="21"/>
                      <w:highlight w:val="none"/>
                    </w:rPr>
                  </w:pPr>
                  <w:r>
                    <w:rPr>
                      <w:rFonts w:hint="eastAsia" w:ascii="Times New Roman" w:hAnsi="Times New Roman" w:eastAsia="宋体" w:cs="Times New Roman"/>
                      <w:color w:val="auto"/>
                      <w:w w:val="90"/>
                      <w:szCs w:val="21"/>
                      <w:highlight w:val="none"/>
                    </w:rPr>
                    <w:t>年产生量（t/a）</w:t>
                  </w:r>
                </w:p>
              </w:tc>
              <w:tc>
                <w:tcPr>
                  <w:tcW w:w="552" w:type="pct"/>
                  <w:noWrap w:val="0"/>
                  <w:vAlign w:val="center"/>
                </w:tcPr>
                <w:p w14:paraId="38DA29F5">
                  <w:pPr>
                    <w:pStyle w:val="11"/>
                    <w:adjustRightInd w:val="0"/>
                    <w:snapToGrid w:val="0"/>
                    <w:ind w:left="0" w:leftChars="0" w:right="0" w:rightChars="0" w:firstLine="0" w:firstLineChars="0"/>
                    <w:jc w:val="center"/>
                    <w:rPr>
                      <w:rFonts w:hint="eastAsia"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贮存方式</w:t>
                  </w:r>
                </w:p>
              </w:tc>
              <w:tc>
                <w:tcPr>
                  <w:tcW w:w="1065" w:type="pct"/>
                  <w:noWrap w:val="0"/>
                  <w:vAlign w:val="center"/>
                </w:tcPr>
                <w:p w14:paraId="4F9FEE8E">
                  <w:pPr>
                    <w:pStyle w:val="11"/>
                    <w:adjustRightInd w:val="0"/>
                    <w:snapToGrid w:val="0"/>
                    <w:ind w:left="0" w:leftChars="0" w:right="0" w:rightChars="0" w:firstLine="0" w:firstLineChars="0"/>
                    <w:jc w:val="center"/>
                    <w:rPr>
                      <w:rFonts w:ascii="Times New Roman" w:hAnsi="Times New Roman" w:eastAsia="宋体" w:cs="Times New Roman"/>
                      <w:color w:val="auto"/>
                      <w:w w:val="90"/>
                      <w:szCs w:val="21"/>
                      <w:highlight w:val="none"/>
                    </w:rPr>
                  </w:pPr>
                  <w:r>
                    <w:rPr>
                      <w:rFonts w:hint="eastAsia" w:ascii="Times New Roman" w:hAnsi="Times New Roman" w:eastAsia="宋体" w:cs="Times New Roman"/>
                      <w:color w:val="auto"/>
                      <w:w w:val="90"/>
                      <w:szCs w:val="21"/>
                      <w:highlight w:val="none"/>
                    </w:rPr>
                    <w:t>利用处置方式和去向</w:t>
                  </w:r>
                </w:p>
              </w:tc>
              <w:tc>
                <w:tcPr>
                  <w:tcW w:w="566" w:type="pct"/>
                  <w:noWrap w:val="0"/>
                  <w:vAlign w:val="center"/>
                </w:tcPr>
                <w:p w14:paraId="06DACAE0">
                  <w:pPr>
                    <w:pStyle w:val="11"/>
                    <w:adjustRightInd w:val="0"/>
                    <w:snapToGrid w:val="0"/>
                    <w:ind w:left="0" w:leftChars="0" w:right="0" w:rightChars="0" w:firstLine="0" w:firstLineChars="0"/>
                    <w:jc w:val="center"/>
                    <w:rPr>
                      <w:rFonts w:ascii="Times New Roman" w:hAnsi="Times New Roman" w:eastAsia="宋体" w:cs="Times New Roman"/>
                      <w:color w:val="auto"/>
                      <w:w w:val="90"/>
                      <w:szCs w:val="21"/>
                      <w:highlight w:val="none"/>
                    </w:rPr>
                  </w:pPr>
                  <w:r>
                    <w:rPr>
                      <w:rFonts w:hint="eastAsia" w:ascii="Times New Roman" w:hAnsi="Times New Roman" w:eastAsia="宋体" w:cs="Times New Roman"/>
                      <w:color w:val="auto"/>
                      <w:w w:val="90"/>
                      <w:szCs w:val="21"/>
                      <w:highlight w:val="none"/>
                    </w:rPr>
                    <w:t>处置量（t/a）</w:t>
                  </w:r>
                </w:p>
              </w:tc>
              <w:tc>
                <w:tcPr>
                  <w:tcW w:w="638" w:type="pct"/>
                  <w:noWrap w:val="0"/>
                  <w:vAlign w:val="center"/>
                </w:tcPr>
                <w:p w14:paraId="1001B93B">
                  <w:pPr>
                    <w:ind w:left="0" w:leftChars="0" w:right="0" w:rightChars="0" w:firstLine="0" w:firstLineChars="0"/>
                    <w:jc w:val="center"/>
                    <w:rPr>
                      <w:color w:val="auto"/>
                      <w:w w:val="90"/>
                      <w:szCs w:val="21"/>
                      <w:highlight w:val="none"/>
                    </w:rPr>
                  </w:pPr>
                  <w:r>
                    <w:rPr>
                      <w:rFonts w:hint="eastAsia"/>
                      <w:color w:val="auto"/>
                      <w:w w:val="90"/>
                      <w:szCs w:val="21"/>
                      <w:highlight w:val="none"/>
                    </w:rPr>
                    <w:t>备注</w:t>
                  </w:r>
                </w:p>
              </w:tc>
            </w:tr>
            <w:tr w14:paraId="3CB3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restart"/>
                  <w:noWrap w:val="0"/>
                  <w:vAlign w:val="center"/>
                </w:tcPr>
                <w:p w14:paraId="69EBF31E">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一般固废</w:t>
                  </w:r>
                </w:p>
              </w:tc>
              <w:tc>
                <w:tcPr>
                  <w:tcW w:w="483" w:type="pct"/>
                  <w:noWrap w:val="0"/>
                  <w:vAlign w:val="center"/>
                </w:tcPr>
                <w:p w14:paraId="5B290395">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沉淀池底泥</w:t>
                  </w:r>
                </w:p>
              </w:tc>
              <w:tc>
                <w:tcPr>
                  <w:tcW w:w="336" w:type="pct"/>
                  <w:noWrap w:val="0"/>
                  <w:vAlign w:val="center"/>
                </w:tcPr>
                <w:p w14:paraId="35C05A13">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固态</w:t>
                  </w:r>
                </w:p>
              </w:tc>
              <w:tc>
                <w:tcPr>
                  <w:tcW w:w="380" w:type="pct"/>
                  <w:noWrap w:val="0"/>
                  <w:vAlign w:val="center"/>
                </w:tcPr>
                <w:p w14:paraId="12641526">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w:t>
                  </w:r>
                </w:p>
              </w:tc>
              <w:tc>
                <w:tcPr>
                  <w:tcW w:w="603" w:type="pct"/>
                  <w:noWrap w:val="0"/>
                  <w:vAlign w:val="center"/>
                </w:tcPr>
                <w:p w14:paraId="14B6D572">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7.003</w:t>
                  </w:r>
                </w:p>
              </w:tc>
              <w:tc>
                <w:tcPr>
                  <w:tcW w:w="552" w:type="pct"/>
                  <w:noWrap w:val="0"/>
                  <w:vAlign w:val="center"/>
                </w:tcPr>
                <w:p w14:paraId="2549B6CC">
                  <w:pPr>
                    <w:pStyle w:val="11"/>
                    <w:adjustRightInd w:val="0"/>
                    <w:snapToGrid w:val="0"/>
                    <w:ind w:left="0" w:leftChars="0" w:right="0" w:rightChars="0" w:firstLine="0" w:firstLineChars="0"/>
                    <w:jc w:val="center"/>
                    <w:rPr>
                      <w:rFonts w:hint="eastAsia"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原料堆场</w:t>
                  </w:r>
                </w:p>
              </w:tc>
              <w:tc>
                <w:tcPr>
                  <w:tcW w:w="1065" w:type="pct"/>
                  <w:noWrap w:val="0"/>
                  <w:vAlign w:val="center"/>
                </w:tcPr>
                <w:p w14:paraId="0EE31322">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回用于生产</w:t>
                  </w:r>
                </w:p>
              </w:tc>
              <w:tc>
                <w:tcPr>
                  <w:tcW w:w="566" w:type="pct"/>
                  <w:noWrap w:val="0"/>
                  <w:vAlign w:val="center"/>
                </w:tcPr>
                <w:p w14:paraId="0020E69A">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7.003</w:t>
                  </w:r>
                </w:p>
              </w:tc>
              <w:tc>
                <w:tcPr>
                  <w:tcW w:w="638" w:type="pct"/>
                  <w:vMerge w:val="restart"/>
                  <w:noWrap w:val="0"/>
                  <w:vAlign w:val="center"/>
                </w:tcPr>
                <w:p w14:paraId="12DF11D8">
                  <w:pPr>
                    <w:ind w:left="0" w:leftChars="0" w:right="0" w:rightChars="0" w:firstLine="0" w:firstLineChars="0"/>
                    <w:jc w:val="center"/>
                    <w:rPr>
                      <w:color w:val="auto"/>
                      <w:w w:val="90"/>
                      <w:szCs w:val="21"/>
                      <w:highlight w:val="none"/>
                    </w:rPr>
                  </w:pPr>
                  <w:r>
                    <w:rPr>
                      <w:rFonts w:hint="eastAsia"/>
                      <w:color w:val="auto"/>
                      <w:w w:val="90"/>
                      <w:szCs w:val="21"/>
                      <w:highlight w:val="none"/>
                    </w:rPr>
                    <w:t>固体废物处置率100%</w:t>
                  </w:r>
                </w:p>
              </w:tc>
            </w:tr>
            <w:tr w14:paraId="3389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36A573FF">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p>
              </w:tc>
              <w:tc>
                <w:tcPr>
                  <w:tcW w:w="483" w:type="pct"/>
                  <w:noWrap w:val="0"/>
                  <w:vAlign w:val="center"/>
                </w:tcPr>
                <w:p w14:paraId="33134F18">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袋式除尘器收尘灰</w:t>
                  </w:r>
                </w:p>
              </w:tc>
              <w:tc>
                <w:tcPr>
                  <w:tcW w:w="336" w:type="pct"/>
                  <w:noWrap w:val="0"/>
                  <w:vAlign w:val="center"/>
                </w:tcPr>
                <w:p w14:paraId="74B9AAD5">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固态</w:t>
                  </w:r>
                </w:p>
              </w:tc>
              <w:tc>
                <w:tcPr>
                  <w:tcW w:w="380" w:type="pct"/>
                  <w:noWrap w:val="0"/>
                  <w:vAlign w:val="center"/>
                </w:tcPr>
                <w:p w14:paraId="1391DE32">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w:t>
                  </w:r>
                </w:p>
              </w:tc>
              <w:tc>
                <w:tcPr>
                  <w:tcW w:w="603" w:type="pct"/>
                  <w:noWrap w:val="0"/>
                  <w:vAlign w:val="center"/>
                </w:tcPr>
                <w:p w14:paraId="0363C75F">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59.5209</w:t>
                  </w:r>
                </w:p>
              </w:tc>
              <w:tc>
                <w:tcPr>
                  <w:tcW w:w="552" w:type="pct"/>
                  <w:noWrap w:val="0"/>
                  <w:vAlign w:val="center"/>
                </w:tcPr>
                <w:p w14:paraId="6D174354">
                  <w:pPr>
                    <w:pStyle w:val="11"/>
                    <w:adjustRightInd w:val="0"/>
                    <w:snapToGrid w:val="0"/>
                    <w:ind w:left="0" w:leftChars="0" w:right="0" w:rightChars="0" w:firstLine="0" w:firstLineChars="0"/>
                    <w:jc w:val="center"/>
                    <w:rPr>
                      <w:rFonts w:hint="eastAsia"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定期清理除尘灰，不贮存</w:t>
                  </w:r>
                </w:p>
              </w:tc>
              <w:tc>
                <w:tcPr>
                  <w:tcW w:w="1065" w:type="pct"/>
                  <w:noWrap w:val="0"/>
                  <w:vAlign w:val="center"/>
                </w:tcPr>
                <w:p w14:paraId="15E64D0B">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回用于生产</w:t>
                  </w:r>
                </w:p>
              </w:tc>
              <w:tc>
                <w:tcPr>
                  <w:tcW w:w="566" w:type="pct"/>
                  <w:noWrap w:val="0"/>
                  <w:vAlign w:val="center"/>
                </w:tcPr>
                <w:p w14:paraId="017AD601">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59.5209</w:t>
                  </w:r>
                </w:p>
              </w:tc>
              <w:tc>
                <w:tcPr>
                  <w:tcW w:w="638" w:type="pct"/>
                  <w:vMerge w:val="continue"/>
                  <w:noWrap w:val="0"/>
                  <w:vAlign w:val="center"/>
                </w:tcPr>
                <w:p w14:paraId="160787B5">
                  <w:pPr>
                    <w:ind w:left="0" w:leftChars="0" w:right="0" w:rightChars="0" w:firstLine="0" w:firstLineChars="0"/>
                    <w:jc w:val="center"/>
                    <w:rPr>
                      <w:color w:val="auto"/>
                      <w:w w:val="90"/>
                      <w:szCs w:val="21"/>
                      <w:highlight w:val="none"/>
                    </w:rPr>
                  </w:pPr>
                </w:p>
              </w:tc>
            </w:tr>
            <w:tr w14:paraId="3892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052A9879">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p>
              </w:tc>
              <w:tc>
                <w:tcPr>
                  <w:tcW w:w="483" w:type="pct"/>
                  <w:noWrap w:val="0"/>
                  <w:vAlign w:val="center"/>
                </w:tcPr>
                <w:p w14:paraId="3125FFBD">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生产废料</w:t>
                  </w:r>
                </w:p>
              </w:tc>
              <w:tc>
                <w:tcPr>
                  <w:tcW w:w="597" w:type="dxa"/>
                  <w:noWrap w:val="0"/>
                  <w:vAlign w:val="center"/>
                </w:tcPr>
                <w:p w14:paraId="65456F9D">
                  <w:pPr>
                    <w:pStyle w:val="11"/>
                    <w:adjustRightInd w:val="0"/>
                    <w:snapToGrid w:val="0"/>
                    <w:ind w:left="0" w:leftChars="0" w:right="0" w:rightChars="0" w:firstLine="0" w:firstLineChars="0"/>
                    <w:jc w:val="center"/>
                    <w:rPr>
                      <w:rFonts w:hint="eastAsia"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固态</w:t>
                  </w:r>
                </w:p>
              </w:tc>
              <w:tc>
                <w:tcPr>
                  <w:tcW w:w="676" w:type="dxa"/>
                  <w:noWrap w:val="0"/>
                  <w:vAlign w:val="center"/>
                </w:tcPr>
                <w:p w14:paraId="0CF8C802">
                  <w:pPr>
                    <w:pStyle w:val="11"/>
                    <w:adjustRightInd w:val="0"/>
                    <w:snapToGrid w:val="0"/>
                    <w:ind w:left="0" w:leftChars="0" w:right="0" w:rightChars="0" w:firstLine="0" w:firstLineChars="0"/>
                    <w:jc w:val="center"/>
                    <w:rPr>
                      <w:rFonts w:hint="eastAsia"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w:t>
                  </w:r>
                </w:p>
              </w:tc>
              <w:tc>
                <w:tcPr>
                  <w:tcW w:w="603" w:type="pct"/>
                  <w:noWrap w:val="0"/>
                  <w:vAlign w:val="center"/>
                </w:tcPr>
                <w:p w14:paraId="605C4F69">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40</w:t>
                  </w:r>
                </w:p>
              </w:tc>
              <w:tc>
                <w:tcPr>
                  <w:tcW w:w="552" w:type="pct"/>
                  <w:noWrap w:val="0"/>
                  <w:vAlign w:val="center"/>
                </w:tcPr>
                <w:p w14:paraId="5B444518">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生产线</w:t>
                  </w:r>
                </w:p>
              </w:tc>
              <w:tc>
                <w:tcPr>
                  <w:tcW w:w="1065" w:type="pct"/>
                  <w:noWrap w:val="0"/>
                  <w:vAlign w:val="center"/>
                </w:tcPr>
                <w:p w14:paraId="039CB74F">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用于路面的铺垫料，或者路面的平整料。</w:t>
                  </w:r>
                </w:p>
              </w:tc>
              <w:tc>
                <w:tcPr>
                  <w:tcW w:w="566" w:type="pct"/>
                  <w:noWrap w:val="0"/>
                  <w:vAlign w:val="center"/>
                </w:tcPr>
                <w:p w14:paraId="20D79AD7">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40</w:t>
                  </w:r>
                </w:p>
              </w:tc>
              <w:tc>
                <w:tcPr>
                  <w:tcW w:w="638" w:type="pct"/>
                  <w:vMerge w:val="continue"/>
                  <w:noWrap w:val="0"/>
                  <w:vAlign w:val="center"/>
                </w:tcPr>
                <w:p w14:paraId="50CA5770">
                  <w:pPr>
                    <w:ind w:left="0" w:leftChars="0" w:right="0" w:rightChars="0" w:firstLine="0" w:firstLineChars="0"/>
                    <w:jc w:val="center"/>
                    <w:rPr>
                      <w:color w:val="auto"/>
                      <w:w w:val="90"/>
                      <w:szCs w:val="21"/>
                      <w:highlight w:val="none"/>
                    </w:rPr>
                  </w:pPr>
                </w:p>
              </w:tc>
            </w:tr>
            <w:tr w14:paraId="5631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noWrap w:val="0"/>
                  <w:vAlign w:val="center"/>
                </w:tcPr>
                <w:p w14:paraId="20A46A78">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危险废物</w:t>
                  </w:r>
                </w:p>
              </w:tc>
              <w:tc>
                <w:tcPr>
                  <w:tcW w:w="483" w:type="pct"/>
                  <w:noWrap w:val="0"/>
                  <w:vAlign w:val="center"/>
                </w:tcPr>
                <w:p w14:paraId="63E03A1F">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宋体" w:cs="Times New Roman"/>
                      <w:color w:val="auto"/>
                      <w:w w:val="90"/>
                      <w:szCs w:val="21"/>
                      <w:highlight w:val="none"/>
                      <w:lang w:val="en-US" w:eastAsia="zh-CN"/>
                    </w:rPr>
                    <w:t>废机油及其包装桶</w:t>
                  </w:r>
                </w:p>
              </w:tc>
              <w:tc>
                <w:tcPr>
                  <w:tcW w:w="336" w:type="pct"/>
                  <w:noWrap w:val="0"/>
                  <w:vAlign w:val="center"/>
                </w:tcPr>
                <w:p w14:paraId="00E078A6">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液态</w:t>
                  </w:r>
                </w:p>
              </w:tc>
              <w:tc>
                <w:tcPr>
                  <w:tcW w:w="380" w:type="pct"/>
                  <w:noWrap w:val="0"/>
                  <w:vAlign w:val="center"/>
                </w:tcPr>
                <w:p w14:paraId="4CD2F8C7">
                  <w:pPr>
                    <w:pStyle w:val="11"/>
                    <w:adjustRightInd w:val="0"/>
                    <w:snapToGrid w:val="0"/>
                    <w:ind w:left="0" w:leftChars="0" w:right="0" w:rightChars="0" w:firstLine="0" w:firstLineChars="0"/>
                    <w:jc w:val="center"/>
                    <w:rPr>
                      <w:rFonts w:hint="eastAsia"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T</w:t>
                  </w:r>
                  <w:r>
                    <w:rPr>
                      <w:rFonts w:hint="eastAsia" w:cs="Times New Roman"/>
                      <w:color w:val="auto"/>
                      <w:w w:val="90"/>
                      <w:szCs w:val="21"/>
                      <w:highlight w:val="none"/>
                      <w:lang w:val="en-US" w:eastAsia="zh-CN"/>
                    </w:rPr>
                    <w:t>.</w:t>
                  </w:r>
                  <w:r>
                    <w:rPr>
                      <w:rFonts w:hint="eastAsia" w:ascii="Times New Roman" w:hAnsi="Times New Roman" w:eastAsia="宋体" w:cs="Times New Roman"/>
                      <w:color w:val="auto"/>
                      <w:w w:val="90"/>
                      <w:szCs w:val="21"/>
                      <w:highlight w:val="none"/>
                      <w:lang w:val="en-US" w:eastAsia="zh-CN"/>
                    </w:rPr>
                    <w:t>I</w:t>
                  </w:r>
                </w:p>
              </w:tc>
              <w:tc>
                <w:tcPr>
                  <w:tcW w:w="603" w:type="pct"/>
                  <w:noWrap w:val="0"/>
                  <w:vAlign w:val="center"/>
                </w:tcPr>
                <w:p w14:paraId="6212C351">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Times New Roman" w:cs="Times New Roman"/>
                      <w:color w:val="auto"/>
                      <w:sz w:val="21"/>
                      <w:vertAlign w:val="baseline"/>
                    </w:rPr>
                    <w:t>0.1</w:t>
                  </w:r>
                </w:p>
              </w:tc>
              <w:tc>
                <w:tcPr>
                  <w:tcW w:w="552" w:type="pct"/>
                  <w:noWrap w:val="0"/>
                  <w:vAlign w:val="center"/>
                </w:tcPr>
                <w:p w14:paraId="13E71D3F">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危废间废液桶暂存</w:t>
                  </w:r>
                </w:p>
              </w:tc>
              <w:tc>
                <w:tcPr>
                  <w:tcW w:w="1065" w:type="pct"/>
                  <w:noWrap w:val="0"/>
                  <w:vAlign w:val="center"/>
                </w:tcPr>
                <w:p w14:paraId="36A1E872">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eastAsia" w:ascii="Times New Roman" w:hAnsi="Times New Roman" w:eastAsia="宋体" w:cs="Times New Roman"/>
                      <w:color w:val="auto"/>
                      <w:w w:val="90"/>
                      <w:szCs w:val="21"/>
                      <w:highlight w:val="none"/>
                      <w:lang w:val="en-US" w:eastAsia="zh-CN"/>
                    </w:rPr>
                    <w:t>集中收集至危废间暂存，交由有资质单位统一处置</w:t>
                  </w:r>
                </w:p>
              </w:tc>
              <w:tc>
                <w:tcPr>
                  <w:tcW w:w="566" w:type="pct"/>
                  <w:noWrap w:val="0"/>
                  <w:vAlign w:val="center"/>
                </w:tcPr>
                <w:p w14:paraId="265636EB">
                  <w:pPr>
                    <w:pStyle w:val="11"/>
                    <w:adjustRightInd w:val="0"/>
                    <w:snapToGrid w:val="0"/>
                    <w:ind w:left="0" w:leftChars="0" w:right="0" w:rightChars="0" w:firstLine="0" w:firstLineChars="0"/>
                    <w:jc w:val="center"/>
                    <w:rPr>
                      <w:rFonts w:hint="default" w:ascii="Times New Roman" w:hAnsi="Times New Roman" w:eastAsia="宋体" w:cs="Times New Roman"/>
                      <w:color w:val="auto"/>
                      <w:w w:val="90"/>
                      <w:szCs w:val="21"/>
                      <w:highlight w:val="none"/>
                      <w:lang w:val="en-US" w:eastAsia="zh-CN"/>
                    </w:rPr>
                  </w:pPr>
                  <w:r>
                    <w:rPr>
                      <w:rFonts w:hint="default" w:ascii="Times New Roman" w:hAnsi="Times New Roman" w:eastAsia="Times New Roman" w:cs="Times New Roman"/>
                      <w:color w:val="auto"/>
                      <w:sz w:val="21"/>
                      <w:vertAlign w:val="baseline"/>
                    </w:rPr>
                    <w:t>0.1</w:t>
                  </w:r>
                </w:p>
              </w:tc>
              <w:tc>
                <w:tcPr>
                  <w:tcW w:w="638" w:type="pct"/>
                  <w:vMerge w:val="continue"/>
                  <w:noWrap w:val="0"/>
                  <w:vAlign w:val="center"/>
                </w:tcPr>
                <w:p w14:paraId="47A35518">
                  <w:pPr>
                    <w:ind w:left="0" w:leftChars="0" w:right="0" w:rightChars="0" w:firstLine="0" w:firstLineChars="0"/>
                    <w:jc w:val="center"/>
                    <w:rPr>
                      <w:color w:val="auto"/>
                      <w:w w:val="90"/>
                      <w:szCs w:val="21"/>
                      <w:highlight w:val="none"/>
                    </w:rPr>
                  </w:pPr>
                </w:p>
              </w:tc>
            </w:tr>
            <w:tr w14:paraId="6219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1189B0BA">
                  <w:pPr>
                    <w:ind w:left="0" w:leftChars="0" w:right="0" w:rightChars="0" w:firstLine="0" w:firstLineChars="0"/>
                    <w:jc w:val="both"/>
                    <w:rPr>
                      <w:rFonts w:hint="eastAsia"/>
                      <w:color w:val="auto"/>
                      <w:w w:val="90"/>
                      <w:szCs w:val="21"/>
                      <w:highlight w:val="none"/>
                      <w:lang w:val="en-US" w:eastAsia="zh-CN"/>
                    </w:rPr>
                  </w:pPr>
                  <w:r>
                    <w:rPr>
                      <w:rFonts w:hint="eastAsia"/>
                      <w:color w:val="auto"/>
                      <w:w w:val="90"/>
                      <w:szCs w:val="21"/>
                      <w:highlight w:val="none"/>
                      <w:lang w:val="en-US" w:eastAsia="zh-CN"/>
                    </w:rPr>
                    <w:t>备注：危险特性，是指对生态环境和人体健康具有有害影响的毒性（Toxicity, T）、腐蚀性（Corrosivity, C）、易燃性（Ignitability, I）、反应性（Reactivity, R）和感染性（Infectivity, In）。</w:t>
                  </w:r>
                </w:p>
              </w:tc>
            </w:tr>
          </w:tbl>
          <w:p w14:paraId="39D2D8FB">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1危废暂存间环境管理要求：</w:t>
            </w:r>
          </w:p>
          <w:p w14:paraId="4B89C055">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Cs/>
                <w:color w:val="auto"/>
                <w:sz w:val="24"/>
                <w:highlight w:val="none"/>
                <w:lang w:val="en-US" w:eastAsia="zh-CN"/>
              </w:rPr>
              <w:t>项目需新建一座危废暂存间并制定危险废物管理制度和管理程序，根据项目实际情况，危废暂存间拟建于综合楼1楼，本次环评根据《危险废物收集贮存运输技术规范》（</w:t>
            </w:r>
            <w:r>
              <w:rPr>
                <w:rFonts w:hint="default" w:ascii="Times New Roman" w:hAnsi="Times New Roman" w:eastAsia="宋体" w:cs="Times New Roman"/>
                <w:bCs/>
                <w:color w:val="auto"/>
                <w:sz w:val="24"/>
                <w:highlight w:val="none"/>
                <w:lang w:val="en-US" w:eastAsia="zh-CN"/>
              </w:rPr>
              <w:t>HJ 2025-2012</w:t>
            </w:r>
            <w:r>
              <w:rPr>
                <w:rFonts w:hint="eastAsia" w:ascii="Times New Roman" w:hAnsi="Times New Roman" w:eastAsia="宋体" w:cs="Times New Roman"/>
                <w:bCs/>
                <w:color w:val="auto"/>
                <w:sz w:val="24"/>
                <w:highlight w:val="none"/>
                <w:lang w:val="en-US" w:eastAsia="zh-CN"/>
              </w:rPr>
              <w:t>）及《危险废物贮存污染控制》（</w:t>
            </w:r>
            <w:r>
              <w:rPr>
                <w:rFonts w:hint="default" w:ascii="Times New Roman" w:hAnsi="Times New Roman" w:eastAsia="宋体" w:cs="Times New Roman"/>
                <w:bCs/>
                <w:color w:val="auto"/>
                <w:sz w:val="24"/>
                <w:highlight w:val="none"/>
                <w:lang w:val="en-US" w:eastAsia="zh-CN"/>
              </w:rPr>
              <w:t>GB18597-2023</w:t>
            </w:r>
            <w:r>
              <w:rPr>
                <w:rFonts w:hint="eastAsia" w:ascii="Times New Roman" w:hAnsi="Times New Roman" w:eastAsia="宋体" w:cs="Times New Roman"/>
                <w:bCs/>
                <w:color w:val="auto"/>
                <w:sz w:val="24"/>
                <w:highlight w:val="none"/>
                <w:lang w:val="en-US" w:eastAsia="zh-CN"/>
              </w:rPr>
              <w:t>）相关技术要求规定提出本项目危险废物的收集、贮存、运输、处置环节需要采取的各项污染防治措施。</w:t>
            </w:r>
          </w:p>
          <w:p w14:paraId="67076795">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2危废间建设：</w:t>
            </w:r>
          </w:p>
          <w:p w14:paraId="24D4C2CB">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A</w:t>
            </w:r>
            <w:r>
              <w:rPr>
                <w:rFonts w:hint="eastAsia" w:ascii="Times New Roman" w:hAnsi="Times New Roman" w:cs="Times New Roman"/>
                <w:color w:val="auto"/>
                <w:sz w:val="24"/>
                <w:lang w:val="en-US" w:eastAsia="zh-CN"/>
              </w:rPr>
              <w:t>.</w:t>
            </w:r>
            <w:r>
              <w:rPr>
                <w:rFonts w:hint="default" w:ascii="Times New Roman" w:hAnsi="Times New Roman" w:eastAsia="宋体" w:cs="Times New Roman"/>
                <w:color w:val="auto"/>
                <w:sz w:val="24"/>
                <w:lang w:val="en-US" w:eastAsia="zh-CN"/>
              </w:rPr>
              <w:t>防渗标准及措施</w:t>
            </w:r>
          </w:p>
          <w:p w14:paraId="6673FB65">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根据《危险废物贮存污染控制标准》（GB 18597-2023），危险废物暂存间地面和四周墙裙脚</w:t>
            </w:r>
            <w:r>
              <w:rPr>
                <w:rFonts w:hint="default" w:ascii="Times New Roman" w:hAnsi="Times New Roman" w:eastAsia="宋体" w:cs="Times New Roman"/>
                <w:color w:val="auto"/>
                <w:sz w:val="24"/>
                <w:lang w:val="zh-CN" w:eastAsia="zh-CN"/>
              </w:rPr>
              <w:t>采用“</w:t>
            </w:r>
            <w:r>
              <w:rPr>
                <w:rFonts w:hint="default" w:ascii="Times New Roman" w:hAnsi="Times New Roman" w:eastAsia="宋体" w:cs="Times New Roman"/>
                <w:color w:val="auto"/>
                <w:sz w:val="24"/>
                <w:lang w:val="en-US" w:eastAsia="zh-CN"/>
              </w:rPr>
              <w:t>抗渗混凝土</w:t>
            </w:r>
            <w:r>
              <w:rPr>
                <w:rFonts w:hint="default" w:ascii="Times New Roman" w:hAnsi="Times New Roman" w:eastAsia="宋体" w:cs="Times New Roman"/>
                <w:color w:val="auto"/>
                <w:sz w:val="24"/>
                <w:lang w:val="zh-CN" w:eastAsia="zh-CN"/>
              </w:rPr>
              <w:t>+2mm厚HDPE+环氧树脂”</w:t>
            </w:r>
            <w:r>
              <w:rPr>
                <w:rFonts w:hint="default" w:ascii="Times New Roman" w:hAnsi="Times New Roman" w:eastAsia="宋体" w:cs="Times New Roman"/>
                <w:color w:val="auto"/>
                <w:sz w:val="24"/>
                <w:lang w:val="en-US" w:eastAsia="zh-CN"/>
              </w:rPr>
              <w:t>进行重点防渗处理</w:t>
            </w:r>
            <w:r>
              <w:rPr>
                <w:rFonts w:hint="default" w:ascii="Times New Roman" w:hAnsi="Times New Roman" w:eastAsia="宋体" w:cs="Times New Roman"/>
                <w:color w:val="auto"/>
                <w:sz w:val="24"/>
                <w:lang w:val="zh-CN" w:eastAsia="zh-CN"/>
              </w:rPr>
              <w:t>，渗透系数≤10</w:t>
            </w:r>
            <w:r>
              <w:rPr>
                <w:rFonts w:hint="eastAsia" w:cs="Times New Roman"/>
                <w:color w:val="auto"/>
                <w:sz w:val="24"/>
                <w:lang w:val="zh-CN" w:eastAsia="zh-CN"/>
              </w:rPr>
              <w:t>—</w:t>
            </w:r>
            <w:r>
              <w:rPr>
                <w:rFonts w:hint="default" w:ascii="Times New Roman" w:hAnsi="Times New Roman" w:eastAsia="宋体" w:cs="Times New Roman"/>
                <w:color w:val="auto"/>
                <w:sz w:val="24"/>
                <w:lang w:val="zh-CN" w:eastAsia="zh-CN"/>
              </w:rPr>
              <w:t>10cm/s</w:t>
            </w:r>
            <w:r>
              <w:rPr>
                <w:rFonts w:hint="default" w:ascii="Times New Roman" w:hAnsi="Times New Roman" w:eastAsia="宋体" w:cs="Times New Roman"/>
                <w:color w:val="auto"/>
                <w:sz w:val="24"/>
                <w:lang w:val="en-US" w:eastAsia="zh-CN"/>
              </w:rPr>
              <w:t>，并按照要求设置规范的标识标牌。</w:t>
            </w:r>
          </w:p>
          <w:p w14:paraId="1C4B0BF1">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B</w:t>
            </w:r>
            <w:r>
              <w:rPr>
                <w:rFonts w:hint="eastAsia" w:ascii="Times New Roman" w:hAnsi="Times New Roman" w:cs="Times New Roman"/>
                <w:color w:val="auto"/>
                <w:sz w:val="24"/>
                <w:lang w:val="en-US" w:eastAsia="zh-CN"/>
              </w:rPr>
              <w:t>.</w:t>
            </w:r>
            <w:r>
              <w:rPr>
                <w:rFonts w:hint="default" w:ascii="Times New Roman" w:hAnsi="Times New Roman" w:eastAsia="宋体" w:cs="Times New Roman"/>
                <w:color w:val="auto"/>
                <w:sz w:val="24"/>
                <w:lang w:val="en-US" w:eastAsia="zh-CN"/>
              </w:rPr>
              <w:t>暂存</w:t>
            </w:r>
          </w:p>
          <w:p w14:paraId="61B1022D">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对于危险废物委托有资质的单位处置。应按《危险废物贮存污染控制标准》（GB 18597-2023）要求设置暂存场地，并要求做到以下几点：</w:t>
            </w:r>
          </w:p>
          <w:p w14:paraId="117C2D9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①贮存设施应根据危险废物的形态、物理化学性质、包装形式和污染物迁移途径，采取必要的防风、防晒、防雨、防漏、防渗、防腐以及其他环境污染防治措施，不应露天堆放危险废物。</w:t>
            </w:r>
          </w:p>
          <w:p w14:paraId="3D5A55D9">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②贮存设施应根据危险废物的类别、数量、形态、物理化学性质和污染防治等要求设置必要的贮存分区，避免不相容</w:t>
            </w:r>
            <w:r>
              <w:rPr>
                <w:rFonts w:hint="eastAsia" w:ascii="Times New Roman" w:hAnsi="Times New Roman" w:cs="Times New Roman"/>
                <w:color w:val="auto"/>
                <w:sz w:val="24"/>
                <w:lang w:val="en-US" w:eastAsia="zh-CN"/>
              </w:rPr>
              <w:t xml:space="preserve"> </w:t>
            </w:r>
            <w:r>
              <w:rPr>
                <w:rFonts w:hint="default" w:ascii="Times New Roman" w:hAnsi="Times New Roman" w:eastAsia="宋体" w:cs="Times New Roman"/>
                <w:color w:val="auto"/>
                <w:sz w:val="24"/>
                <w:lang w:val="en-US" w:eastAsia="zh-CN"/>
              </w:rPr>
              <w:t>的危险废物接触、混合。</w:t>
            </w:r>
          </w:p>
          <w:p w14:paraId="12CF19C6">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③贮存设施或贮存分区内地面、墙面裙脚、堵截泄漏的围堰、接触危险废物的隔板和墙体等应采用坚固的材料建造，表面无裂缝。</w:t>
            </w:r>
          </w:p>
          <w:p w14:paraId="5841E14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7cm/s），或至少2mm厚高密度聚乙烯膜等人工防渗材料（渗透系数不大于10</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10cm/s），或其他防渗性能等效的材料。</w:t>
            </w:r>
          </w:p>
          <w:p w14:paraId="2D8AF151">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⑤同一贮存设施宜采用相同的防渗、防腐工艺（包括防渗、防腐结构或材料），防渗、防腐材料应覆盖所有可能与废物及其渗滤液、渗漏液等接触的构筑物表面；采用不同防渗、防腐工艺应分别建设贮存分区。</w:t>
            </w:r>
          </w:p>
          <w:p w14:paraId="4807A41D">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⑥贮存设施应采取技术和管理措施防止无关人员进入。</w:t>
            </w:r>
          </w:p>
          <w:p w14:paraId="7EFE6359">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危废转移</w:t>
            </w:r>
          </w:p>
          <w:p w14:paraId="606A66F0">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危废转移过程应当严格遵守《危险废物转移管理办法》（部令 第23号）、《危险废物收集贮存运输技术规范》（HJ 2025-2012）相关要求，确保危险废物得到安全处置：</w:t>
            </w:r>
          </w:p>
          <w:p w14:paraId="5BF3E44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①做好危险废物转移手续，按照《危险废物转移管理办法》（部令 第23号）要求进行。建设单位在转移危险废物前，须按照国家有关规定报批危险废物转移计划；经批准后，产生单位应当向移出地环境保护行政主管部门申请领取联单。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14:paraId="35095D48">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②危险废物运输由持有危险废物经营许可证的单位按照其许可证的经营范围组织实施，承担危险废物运输单位应获得交通运输部门颁发的危险货物运输资质；</w:t>
            </w:r>
          </w:p>
          <w:p w14:paraId="7CDCD778">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③危险废物在运输途中若发生被盗、丢失、流散、泄漏等情况时，公司及押运人员必须立即向当地环保部门、公安部门报告，并采取一切可能的警示措施。</w:t>
            </w:r>
          </w:p>
          <w:p w14:paraId="2D463B74">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符合国家环境保护标准。</w:t>
            </w:r>
          </w:p>
          <w:p w14:paraId="3DC3C831">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在采取上述措施的前提下，项目运营期固体废物均能得到及时、妥善</w:t>
            </w:r>
            <w:r>
              <w:rPr>
                <w:rFonts w:hint="eastAsia" w:cs="Times New Roman"/>
                <w:color w:val="auto"/>
                <w:sz w:val="24"/>
                <w:lang w:val="en-US" w:eastAsia="zh-CN"/>
              </w:rPr>
              <w:t>地</w:t>
            </w:r>
            <w:r>
              <w:rPr>
                <w:rFonts w:hint="default" w:ascii="Times New Roman" w:hAnsi="Times New Roman" w:eastAsia="宋体" w:cs="Times New Roman"/>
                <w:color w:val="auto"/>
                <w:sz w:val="24"/>
                <w:lang w:val="en-US" w:eastAsia="zh-CN"/>
              </w:rPr>
              <w:t>处理和处置，不会对周围环境造成大的影响。</w:t>
            </w:r>
          </w:p>
          <w:p w14:paraId="2DF70FF3">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5、土壤、地下水环境影响分析</w:t>
            </w:r>
          </w:p>
          <w:p w14:paraId="30A2B779">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zh-CN" w:eastAsia="zh-CN"/>
              </w:rPr>
            </w:pPr>
            <w:r>
              <w:rPr>
                <w:rFonts w:hint="default" w:ascii="Times New Roman" w:hAnsi="Times New Roman" w:eastAsia="宋体" w:cs="Times New Roman"/>
                <w:color w:val="auto"/>
                <w:sz w:val="24"/>
                <w:lang w:val="zh-CN"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zh-CN" w:eastAsia="zh-CN"/>
              </w:rPr>
              <w:t>）污染源分析</w:t>
            </w:r>
          </w:p>
          <w:p w14:paraId="636FC8B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lang w:val="zh-CN" w:eastAsia="zh-CN"/>
              </w:rPr>
              <w:t>本项目正常工况下，不会</w:t>
            </w:r>
            <w:r>
              <w:rPr>
                <w:rFonts w:hint="default" w:ascii="Times New Roman" w:hAnsi="Times New Roman" w:eastAsia="宋体" w:cs="Times New Roman"/>
                <w:color w:val="auto"/>
                <w:sz w:val="24"/>
                <w:szCs w:val="24"/>
                <w:highlight w:val="none"/>
                <w:lang w:val="zh-CN"/>
              </w:rPr>
              <w:t>产生地下水、土壤污染，只有在事故状态下，项目内暂存的废矿物油可能会发生</w:t>
            </w:r>
            <w:r>
              <w:rPr>
                <w:rFonts w:hint="default" w:ascii="Times New Roman" w:hAnsi="Times New Roman" w:eastAsia="宋体" w:cs="Times New Roman"/>
                <w:color w:val="auto"/>
                <w:sz w:val="24"/>
                <w:szCs w:val="24"/>
                <w:highlight w:val="none"/>
                <w:lang w:val="en-US" w:eastAsia="zh-CN"/>
              </w:rPr>
              <w:t>泄漏</w:t>
            </w:r>
            <w:r>
              <w:rPr>
                <w:rFonts w:hint="default" w:ascii="Times New Roman" w:hAnsi="Times New Roman" w:eastAsia="宋体" w:cs="Times New Roman"/>
                <w:color w:val="auto"/>
                <w:sz w:val="24"/>
                <w:szCs w:val="24"/>
                <w:highlight w:val="none"/>
                <w:lang w:val="zh-CN"/>
              </w:rPr>
              <w:t>等情况，可能对周边土壤造成污染，长时间</w:t>
            </w:r>
            <w:r>
              <w:rPr>
                <w:rFonts w:hint="default" w:ascii="Times New Roman" w:hAnsi="Times New Roman" w:eastAsia="宋体" w:cs="Times New Roman"/>
                <w:color w:val="auto"/>
                <w:sz w:val="24"/>
                <w:szCs w:val="24"/>
                <w:highlight w:val="none"/>
                <w:lang w:val="en-US" w:eastAsia="zh-CN"/>
              </w:rPr>
              <w:t>泄漏</w:t>
            </w:r>
            <w:r>
              <w:rPr>
                <w:rFonts w:hint="default" w:ascii="Times New Roman" w:hAnsi="Times New Roman" w:eastAsia="宋体" w:cs="Times New Roman"/>
                <w:color w:val="auto"/>
                <w:sz w:val="24"/>
                <w:szCs w:val="24"/>
                <w:highlight w:val="none"/>
                <w:lang w:val="zh-CN"/>
              </w:rPr>
              <w:t>可能深入地下对地下水造成污染。</w:t>
            </w:r>
          </w:p>
          <w:p w14:paraId="67FE5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rPr>
              <w:t>污染物类型和污染途径识别</w:t>
            </w:r>
          </w:p>
          <w:p w14:paraId="487880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 1 \* GB3 \* MERGEFORMAT </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①</w:t>
            </w:r>
            <w:r>
              <w:rPr>
                <w:rFonts w:hint="default" w:ascii="Times New Roman" w:hAnsi="Times New Roman" w:eastAsia="宋体" w:cs="Times New Roman"/>
                <w:color w:val="auto"/>
                <w:sz w:val="24"/>
                <w:szCs w:val="24"/>
                <w:highlight w:val="none"/>
                <w:lang w:val="zh-CN"/>
              </w:rPr>
              <w:fldChar w:fldCharType="end"/>
            </w:r>
            <w:r>
              <w:rPr>
                <w:rFonts w:hint="default" w:ascii="Times New Roman" w:hAnsi="Times New Roman" w:eastAsia="宋体" w:cs="Times New Roman"/>
                <w:color w:val="auto"/>
                <w:sz w:val="24"/>
                <w:szCs w:val="24"/>
                <w:highlight w:val="none"/>
                <w:lang w:val="zh-CN"/>
              </w:rPr>
              <w:t>土壤、</w:t>
            </w:r>
            <w:r>
              <w:rPr>
                <w:rFonts w:hint="default" w:ascii="Times New Roman" w:hAnsi="Times New Roman" w:eastAsia="宋体" w:cs="Times New Roman"/>
                <w:color w:val="auto"/>
                <w:sz w:val="24"/>
                <w:szCs w:val="24"/>
                <w:highlight w:val="none"/>
                <w:lang w:val="en-US" w:eastAsia="zh-CN"/>
              </w:rPr>
              <w:t>地下水</w:t>
            </w:r>
            <w:r>
              <w:rPr>
                <w:rFonts w:hint="default" w:ascii="Times New Roman" w:hAnsi="Times New Roman" w:eastAsia="宋体" w:cs="Times New Roman"/>
                <w:color w:val="auto"/>
                <w:sz w:val="24"/>
                <w:szCs w:val="24"/>
                <w:highlight w:val="none"/>
                <w:lang w:val="zh-CN"/>
              </w:rPr>
              <w:t>环境影响类型与影响途径识别</w:t>
            </w:r>
          </w:p>
          <w:p w14:paraId="0057E0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本项目对周边</w:t>
            </w:r>
            <w:r>
              <w:rPr>
                <w:rFonts w:hint="default" w:ascii="Times New Roman" w:hAnsi="Times New Roman" w:eastAsia="宋体" w:cs="Times New Roman"/>
                <w:color w:val="auto"/>
                <w:sz w:val="24"/>
                <w:szCs w:val="24"/>
                <w:highlight w:val="none"/>
                <w:lang w:val="en-US" w:eastAsia="zh-CN"/>
              </w:rPr>
              <w:t>地下水、</w:t>
            </w:r>
            <w:r>
              <w:rPr>
                <w:rFonts w:hint="default" w:ascii="Times New Roman" w:hAnsi="Times New Roman" w:eastAsia="宋体" w:cs="Times New Roman"/>
                <w:color w:val="auto"/>
                <w:sz w:val="24"/>
                <w:szCs w:val="24"/>
                <w:highlight w:val="none"/>
                <w:lang w:val="zh-CN"/>
              </w:rPr>
              <w:t>土壤环境影响的类型与影响途径见表4-</w:t>
            </w:r>
            <w:r>
              <w:rPr>
                <w:rFonts w:hint="default"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zh-CN"/>
              </w:rPr>
              <w:t>。</w:t>
            </w:r>
          </w:p>
          <w:p w14:paraId="5B9F651E">
            <w:pPr>
              <w:pStyle w:val="5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6"/>
                <w:rFonts w:hint="default" w:ascii="Times New Roman" w:hAnsi="Times New Roman" w:eastAsia="宋体" w:cs="Times New Roman"/>
                <w:b/>
                <w:bCs w:val="0"/>
                <w:color w:val="auto"/>
                <w:sz w:val="21"/>
                <w:szCs w:val="21"/>
                <w:highlight w:val="none"/>
                <w:lang w:val="en-US" w:eastAsia="zh-CN"/>
              </w:rPr>
            </w:pPr>
            <w:r>
              <w:rPr>
                <w:rStyle w:val="56"/>
                <w:rFonts w:hint="default" w:ascii="Times New Roman" w:hAnsi="Times New Roman" w:eastAsia="宋体" w:cs="Times New Roman"/>
                <w:b/>
                <w:bCs w:val="0"/>
                <w:color w:val="auto"/>
                <w:sz w:val="21"/>
                <w:szCs w:val="21"/>
                <w:highlight w:val="none"/>
                <w:lang w:val="en-US" w:eastAsia="zh-CN"/>
              </w:rPr>
              <w:t>表4-22   项目土壤、地下水环境影响类型与影响途径识别表</w:t>
            </w:r>
          </w:p>
          <w:tbl>
            <w:tblPr>
              <w:tblStyle w:val="29"/>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484"/>
              <w:gridCol w:w="1724"/>
              <w:gridCol w:w="1760"/>
              <w:gridCol w:w="1557"/>
            </w:tblGrid>
            <w:tr w14:paraId="22B6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14:paraId="550BC63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时段</w:t>
                  </w:r>
                </w:p>
              </w:tc>
              <w:tc>
                <w:tcPr>
                  <w:tcW w:w="6525" w:type="dxa"/>
                  <w:gridSpan w:val="4"/>
                  <w:vAlign w:val="center"/>
                </w:tcPr>
                <w:p w14:paraId="5FB06CA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污染影响类型</w:t>
                  </w:r>
                </w:p>
              </w:tc>
            </w:tr>
            <w:tr w14:paraId="36FB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14:paraId="1FB27F53">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p>
              </w:tc>
              <w:tc>
                <w:tcPr>
                  <w:tcW w:w="1484" w:type="dxa"/>
                  <w:vAlign w:val="center"/>
                </w:tcPr>
                <w:p w14:paraId="33818E2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大气沉降</w:t>
                  </w:r>
                </w:p>
              </w:tc>
              <w:tc>
                <w:tcPr>
                  <w:tcW w:w="1724" w:type="dxa"/>
                  <w:vAlign w:val="center"/>
                </w:tcPr>
                <w:p w14:paraId="3040A49D">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地面漫流</w:t>
                  </w:r>
                </w:p>
              </w:tc>
              <w:tc>
                <w:tcPr>
                  <w:tcW w:w="1760" w:type="dxa"/>
                  <w:vAlign w:val="center"/>
                </w:tcPr>
                <w:p w14:paraId="3C4258D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垂直入渗</w:t>
                  </w:r>
                </w:p>
              </w:tc>
              <w:tc>
                <w:tcPr>
                  <w:tcW w:w="1557" w:type="dxa"/>
                  <w:vAlign w:val="center"/>
                </w:tcPr>
                <w:p w14:paraId="51AF33D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其他</w:t>
                  </w:r>
                </w:p>
              </w:tc>
            </w:tr>
            <w:tr w14:paraId="7A9A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14:paraId="117743F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运营期</w:t>
                  </w:r>
                </w:p>
              </w:tc>
              <w:tc>
                <w:tcPr>
                  <w:tcW w:w="1484" w:type="dxa"/>
                  <w:vAlign w:val="center"/>
                </w:tcPr>
                <w:p w14:paraId="29761892">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w:t>
                  </w:r>
                </w:p>
              </w:tc>
              <w:tc>
                <w:tcPr>
                  <w:tcW w:w="1724" w:type="dxa"/>
                  <w:vAlign w:val="center"/>
                </w:tcPr>
                <w:p w14:paraId="4905DAE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w:t>
                  </w:r>
                </w:p>
              </w:tc>
              <w:tc>
                <w:tcPr>
                  <w:tcW w:w="1760" w:type="dxa"/>
                  <w:vAlign w:val="center"/>
                </w:tcPr>
                <w:p w14:paraId="0FB7D01D">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w:t>
                  </w:r>
                </w:p>
              </w:tc>
              <w:tc>
                <w:tcPr>
                  <w:tcW w:w="1557" w:type="dxa"/>
                  <w:vAlign w:val="center"/>
                </w:tcPr>
                <w:p w14:paraId="2D0D97A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w:t>
                  </w:r>
                </w:p>
              </w:tc>
            </w:tr>
          </w:tbl>
          <w:p w14:paraId="6C4FF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 2 \* GB3 \* MERGEFORMAT </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lang w:val="zh-CN"/>
              </w:rPr>
              <w:fldChar w:fldCharType="end"/>
            </w:r>
            <w:r>
              <w:rPr>
                <w:rFonts w:hint="default" w:ascii="Times New Roman" w:hAnsi="Times New Roman" w:eastAsia="宋体" w:cs="Times New Roman"/>
                <w:color w:val="auto"/>
                <w:sz w:val="24"/>
                <w:szCs w:val="24"/>
                <w:highlight w:val="none"/>
                <w:lang w:val="zh-CN"/>
              </w:rPr>
              <w:t>土壤、</w:t>
            </w:r>
            <w:r>
              <w:rPr>
                <w:rFonts w:hint="default" w:ascii="Times New Roman" w:hAnsi="Times New Roman" w:eastAsia="宋体" w:cs="Times New Roman"/>
                <w:color w:val="auto"/>
                <w:sz w:val="24"/>
                <w:szCs w:val="24"/>
                <w:highlight w:val="none"/>
                <w:lang w:val="en-US" w:eastAsia="zh-CN"/>
              </w:rPr>
              <w:t>地下水</w:t>
            </w:r>
            <w:r>
              <w:rPr>
                <w:rFonts w:hint="default" w:ascii="Times New Roman" w:hAnsi="Times New Roman" w:eastAsia="宋体" w:cs="Times New Roman"/>
                <w:color w:val="auto"/>
                <w:sz w:val="24"/>
                <w:szCs w:val="24"/>
                <w:highlight w:val="none"/>
                <w:lang w:val="zh-CN"/>
              </w:rPr>
              <w:t>环境影响</w:t>
            </w:r>
            <w:r>
              <w:rPr>
                <w:rFonts w:hint="default" w:ascii="Times New Roman" w:hAnsi="Times New Roman" w:eastAsia="宋体" w:cs="Times New Roman"/>
                <w:color w:val="auto"/>
                <w:sz w:val="24"/>
                <w:szCs w:val="24"/>
                <w:highlight w:val="none"/>
                <w:lang w:val="en-US" w:eastAsia="zh-CN"/>
              </w:rPr>
              <w:t>源及影响因子</w:t>
            </w:r>
          </w:p>
          <w:p w14:paraId="1524D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项目对</w:t>
            </w:r>
            <w:r>
              <w:rPr>
                <w:rFonts w:hint="default" w:ascii="Times New Roman" w:hAnsi="Times New Roman" w:eastAsia="宋体" w:cs="Times New Roman"/>
                <w:color w:val="auto"/>
                <w:sz w:val="24"/>
                <w:szCs w:val="24"/>
                <w:highlight w:val="none"/>
                <w:lang w:val="zh-CN"/>
              </w:rPr>
              <w:t>土壤、</w:t>
            </w:r>
            <w:r>
              <w:rPr>
                <w:rFonts w:hint="default" w:ascii="Times New Roman" w:hAnsi="Times New Roman" w:eastAsia="宋体" w:cs="Times New Roman"/>
                <w:color w:val="auto"/>
                <w:sz w:val="24"/>
                <w:szCs w:val="24"/>
                <w:highlight w:val="none"/>
                <w:lang w:val="en-US" w:eastAsia="zh-CN"/>
              </w:rPr>
              <w:t>地下水</w:t>
            </w:r>
            <w:r>
              <w:rPr>
                <w:rFonts w:hint="default" w:ascii="Times New Roman" w:hAnsi="Times New Roman" w:eastAsia="宋体" w:cs="Times New Roman"/>
                <w:color w:val="auto"/>
                <w:sz w:val="24"/>
                <w:szCs w:val="24"/>
                <w:highlight w:val="none"/>
                <w:lang w:val="zh-CN"/>
              </w:rPr>
              <w:t>环境</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zh-CN"/>
              </w:rPr>
              <w:t>影响</w:t>
            </w:r>
            <w:r>
              <w:rPr>
                <w:rFonts w:hint="default" w:ascii="Times New Roman" w:hAnsi="Times New Roman" w:eastAsia="宋体" w:cs="Times New Roman"/>
                <w:color w:val="auto"/>
                <w:sz w:val="24"/>
                <w:szCs w:val="24"/>
                <w:highlight w:val="none"/>
                <w:lang w:val="en-US" w:eastAsia="zh-CN"/>
              </w:rPr>
              <w:t>源及影响因子</w:t>
            </w:r>
            <w:r>
              <w:rPr>
                <w:rFonts w:hint="default" w:ascii="Times New Roman" w:hAnsi="Times New Roman" w:eastAsia="宋体" w:cs="Times New Roman"/>
                <w:color w:val="auto"/>
                <w:sz w:val="24"/>
                <w:szCs w:val="24"/>
                <w:highlight w:val="none"/>
                <w:lang w:val="zh-CN"/>
              </w:rPr>
              <w:t>见表4-</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lang w:val="zh-CN"/>
              </w:rPr>
              <w:t>。</w:t>
            </w:r>
          </w:p>
          <w:p w14:paraId="60836487">
            <w:pPr>
              <w:pStyle w:val="5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6"/>
                <w:rFonts w:hint="default" w:ascii="Times New Roman" w:hAnsi="Times New Roman" w:eastAsia="宋体" w:cs="Times New Roman"/>
                <w:b/>
                <w:bCs w:val="0"/>
                <w:color w:val="auto"/>
                <w:sz w:val="21"/>
                <w:szCs w:val="21"/>
                <w:highlight w:val="none"/>
                <w:lang w:val="en-US" w:eastAsia="zh-CN"/>
              </w:rPr>
            </w:pPr>
            <w:r>
              <w:rPr>
                <w:rStyle w:val="56"/>
                <w:rFonts w:hint="default" w:ascii="Times New Roman" w:hAnsi="Times New Roman" w:eastAsia="宋体" w:cs="Times New Roman"/>
                <w:b/>
                <w:bCs w:val="0"/>
                <w:color w:val="auto"/>
                <w:sz w:val="21"/>
                <w:szCs w:val="21"/>
                <w:highlight w:val="none"/>
                <w:lang w:val="en-US" w:eastAsia="zh-CN"/>
              </w:rPr>
              <w:t>表4-23   项目土壤、地下水环境影响源及影响因子识别表</w:t>
            </w:r>
          </w:p>
          <w:tbl>
            <w:tblPr>
              <w:tblStyle w:val="29"/>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605"/>
              <w:gridCol w:w="1260"/>
              <w:gridCol w:w="1395"/>
              <w:gridCol w:w="2779"/>
            </w:tblGrid>
            <w:tr w14:paraId="0828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356" w:type="dxa"/>
                  <w:vAlign w:val="center"/>
                </w:tcPr>
                <w:p w14:paraId="51E063A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污染源</w:t>
                  </w:r>
                </w:p>
              </w:tc>
              <w:tc>
                <w:tcPr>
                  <w:tcW w:w="1605" w:type="dxa"/>
                  <w:vAlign w:val="center"/>
                </w:tcPr>
                <w:p w14:paraId="5579E6E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工艺流程/环节</w:t>
                  </w:r>
                </w:p>
              </w:tc>
              <w:tc>
                <w:tcPr>
                  <w:tcW w:w="1260" w:type="dxa"/>
                  <w:vAlign w:val="center"/>
                </w:tcPr>
                <w:p w14:paraId="663617B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污染途径</w:t>
                  </w:r>
                </w:p>
              </w:tc>
              <w:tc>
                <w:tcPr>
                  <w:tcW w:w="1395" w:type="dxa"/>
                  <w:vAlign w:val="center"/>
                </w:tcPr>
                <w:p w14:paraId="182D20F1">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污染物</w:t>
                  </w:r>
                </w:p>
              </w:tc>
              <w:tc>
                <w:tcPr>
                  <w:tcW w:w="2779" w:type="dxa"/>
                  <w:vAlign w:val="center"/>
                </w:tcPr>
                <w:p w14:paraId="48090C5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备注</w:t>
                  </w:r>
                </w:p>
              </w:tc>
            </w:tr>
            <w:tr w14:paraId="3922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14:paraId="6E886D7A">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危险废物暂存间</w:t>
                  </w:r>
                </w:p>
              </w:tc>
              <w:tc>
                <w:tcPr>
                  <w:tcW w:w="1605" w:type="dxa"/>
                  <w:vAlign w:val="center"/>
                </w:tcPr>
                <w:p w14:paraId="71A9F3A1">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危险废物暂存</w:t>
                  </w:r>
                </w:p>
              </w:tc>
              <w:tc>
                <w:tcPr>
                  <w:tcW w:w="1260" w:type="dxa"/>
                  <w:vAlign w:val="center"/>
                </w:tcPr>
                <w:p w14:paraId="61B30F2A">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垂直入渗</w:t>
                  </w:r>
                </w:p>
              </w:tc>
              <w:tc>
                <w:tcPr>
                  <w:tcW w:w="1395" w:type="dxa"/>
                  <w:vAlign w:val="center"/>
                </w:tcPr>
                <w:p w14:paraId="5D6B49F1">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2779" w:type="dxa"/>
                  <w:vAlign w:val="center"/>
                </w:tcPr>
                <w:p w14:paraId="31CB0F27">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危废收集容器损坏，废矿物油泄漏渗入土壤造成污染</w:t>
                  </w:r>
                </w:p>
              </w:tc>
            </w:tr>
          </w:tbl>
          <w:p w14:paraId="68C849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（3）分区防控措施</w:t>
            </w:r>
          </w:p>
          <w:p w14:paraId="5C2348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根据以上分析，项目存在土壤、地下水污染源的</w:t>
            </w:r>
            <w:r>
              <w:rPr>
                <w:rFonts w:hint="default" w:ascii="Times New Roman" w:hAnsi="Times New Roman" w:eastAsia="宋体" w:cs="Times New Roman"/>
                <w:color w:val="auto"/>
                <w:sz w:val="24"/>
                <w:szCs w:val="24"/>
                <w:highlight w:val="none"/>
                <w:lang w:val="zh-CN" w:eastAsia="zh-CN"/>
              </w:rPr>
              <w:t>区域主要为</w:t>
            </w:r>
            <w:r>
              <w:rPr>
                <w:rFonts w:hint="default" w:ascii="Times New Roman" w:hAnsi="Times New Roman" w:eastAsia="宋体" w:cs="Times New Roman"/>
                <w:color w:val="auto"/>
                <w:sz w:val="24"/>
                <w:szCs w:val="24"/>
                <w:highlight w:val="none"/>
                <w:lang w:val="en-US" w:eastAsia="zh-CN"/>
              </w:rPr>
              <w:t>危险废物</w:t>
            </w:r>
            <w:r>
              <w:rPr>
                <w:rFonts w:hint="default" w:ascii="Times New Roman" w:hAnsi="Times New Roman" w:eastAsia="宋体" w:cs="Times New Roman"/>
                <w:color w:val="auto"/>
                <w:sz w:val="24"/>
                <w:szCs w:val="24"/>
                <w:highlight w:val="none"/>
                <w:lang w:val="zh-CN" w:eastAsia="zh-CN"/>
              </w:rPr>
              <w:t>暂存间，</w:t>
            </w:r>
            <w:r>
              <w:rPr>
                <w:rFonts w:hint="default" w:ascii="Times New Roman" w:hAnsi="Times New Roman" w:eastAsia="宋体" w:cs="Times New Roman"/>
                <w:color w:val="auto"/>
                <w:sz w:val="24"/>
                <w:highlight w:val="none"/>
                <w:lang w:val="zh-CN"/>
              </w:rPr>
              <w:t>因此提出厂内进行分区防渗措施，其中</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暂存间为重点防渗区，采用“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highlight w:val="none"/>
                <w:lang w:val="zh-CN"/>
              </w:rPr>
              <w:t>+2mm厚HDPE+环氧树脂”</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Style w:val="3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并设危险废物备用储存容器，避免废矿物油泄漏污染土壤、地下水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化粪池、</w:t>
            </w:r>
            <w:r>
              <w:rPr>
                <w:rFonts w:hint="default" w:ascii="Times New Roman" w:hAnsi="Times New Roman" w:eastAsia="宋体" w:cs="Times New Roman"/>
                <w:color w:val="auto"/>
                <w:sz w:val="24"/>
                <w:szCs w:val="24"/>
                <w:highlight w:val="none"/>
                <w:lang w:val="en-US" w:eastAsia="zh-CN"/>
              </w:rPr>
              <w:t>隔油池</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污水处理设施、事故应急池、</w:t>
            </w:r>
            <w:r>
              <w:rPr>
                <w:rFonts w:hint="default" w:ascii="Times New Roman" w:hAnsi="Times New Roman" w:eastAsia="宋体" w:cs="Times New Roman"/>
                <w:color w:val="auto"/>
                <w:sz w:val="24"/>
                <w:szCs w:val="24"/>
                <w:highlight w:val="none"/>
                <w:lang w:val="zh-CN"/>
              </w:rPr>
              <w:t>一般固体废物暂存</w:t>
            </w:r>
            <w:r>
              <w:rPr>
                <w:rFonts w:hint="default" w:ascii="Times New Roman" w:hAnsi="Times New Roman" w:eastAsia="宋体" w:cs="Times New Roman"/>
                <w:color w:val="auto"/>
                <w:sz w:val="24"/>
                <w:szCs w:val="24"/>
                <w:highlight w:val="none"/>
                <w:lang w:val="en-US" w:eastAsia="zh-CN"/>
              </w:rPr>
              <w:t>区</w:t>
            </w:r>
            <w:r>
              <w:rPr>
                <w:rFonts w:hint="default" w:ascii="Times New Roman" w:hAnsi="Times New Roman" w:eastAsia="宋体" w:cs="Times New Roman"/>
                <w:color w:val="auto"/>
                <w:sz w:val="24"/>
                <w:szCs w:val="24"/>
                <w:highlight w:val="none"/>
                <w:vertAlign w:val="baseline"/>
                <w:lang w:val="en-US" w:eastAsia="zh-CN"/>
              </w:rPr>
              <w:t>进行一般</w:t>
            </w:r>
            <w:r>
              <w:rPr>
                <w:rFonts w:hint="default" w:ascii="Times New Roman" w:hAnsi="Times New Roman" w:eastAsia="宋体" w:cs="Times New Roman"/>
                <w:color w:val="auto"/>
                <w:sz w:val="24"/>
                <w:highlight w:val="none"/>
                <w:lang w:val="en-US" w:eastAsia="zh-CN"/>
              </w:rPr>
              <w:t>防渗，</w:t>
            </w:r>
            <w:r>
              <w:rPr>
                <w:rFonts w:hint="default" w:ascii="Times New Roman" w:hAnsi="Times New Roman" w:eastAsia="宋体" w:cs="Times New Roman"/>
                <w:color w:val="auto"/>
                <w:sz w:val="24"/>
                <w:highlight w:val="none"/>
                <w:lang w:val="zh-CN" w:eastAsia="zh-CN"/>
              </w:rPr>
              <w:t>防渗技术要求达到等效黏土防渗层Mb≥1.5m，渗透系数≤10</w:t>
            </w:r>
            <w:r>
              <w:rPr>
                <w:rFonts w:hint="eastAsia" w:cs="Times New Roman"/>
                <w:color w:val="auto"/>
                <w:sz w:val="24"/>
                <w:highlight w:val="none"/>
                <w:lang w:val="zh-CN" w:eastAsia="zh-CN"/>
              </w:rPr>
              <w:t>—</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lang w:val="zh-CN" w:eastAsia="zh-CN"/>
              </w:rPr>
              <w:t>cm/s。其余生产区、</w:t>
            </w:r>
            <w:r>
              <w:rPr>
                <w:rFonts w:hint="default" w:ascii="Times New Roman" w:hAnsi="Times New Roman" w:eastAsia="宋体" w:cs="Times New Roman"/>
                <w:color w:val="auto"/>
                <w:sz w:val="24"/>
                <w:highlight w:val="none"/>
                <w:lang w:val="en-US" w:eastAsia="zh-CN"/>
              </w:rPr>
              <w:t>道路及办公区域（除绿化外）</w:t>
            </w:r>
            <w:r>
              <w:rPr>
                <w:rFonts w:hint="default" w:ascii="Times New Roman" w:hAnsi="Times New Roman" w:eastAsia="宋体" w:cs="Times New Roman"/>
                <w:color w:val="auto"/>
                <w:sz w:val="24"/>
                <w:highlight w:val="none"/>
                <w:lang w:val="zh-CN" w:eastAsia="zh-CN"/>
              </w:rPr>
              <w:t>进行一般</w:t>
            </w:r>
            <w:r>
              <w:rPr>
                <w:rFonts w:hint="default" w:ascii="Times New Roman" w:hAnsi="Times New Roman" w:eastAsia="宋体" w:cs="Times New Roman"/>
                <w:color w:val="auto"/>
                <w:sz w:val="24"/>
                <w:highlight w:val="none"/>
                <w:lang w:val="en-US" w:eastAsia="zh-CN"/>
              </w:rPr>
              <w:t>硬化处理，为简单防渗区。</w:t>
            </w:r>
          </w:p>
          <w:p w14:paraId="496CB0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采取以上措施后可有效避免生产废水及危险废物对土壤及地下水的污染。</w:t>
            </w:r>
          </w:p>
          <w:p w14:paraId="0B3F994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6、生态环境</w:t>
            </w:r>
          </w:p>
          <w:p w14:paraId="05A6F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eastAsia" w:cs="Times New Roman"/>
                <w:color w:val="auto"/>
                <w:sz w:val="24"/>
                <w:highlight w:val="none"/>
                <w:lang w:val="en-US" w:eastAsia="zh-CN"/>
              </w:rPr>
              <w:t>本项目位于</w:t>
            </w:r>
            <w:r>
              <w:rPr>
                <w:rFonts w:hint="default" w:ascii="Times New Roman" w:hAnsi="Times New Roman" w:eastAsia="宋体" w:cs="Times New Roman"/>
                <w:color w:val="auto"/>
                <w:sz w:val="24"/>
                <w:highlight w:val="none"/>
                <w:lang w:val="en-US" w:eastAsia="zh-CN"/>
              </w:rPr>
              <w:t>寻甸金所乡哨上大村内，在原项目已建成厂房内建设，场地均已硬化，无植被附着，项目不涉及自然保护区、风景名胜区、生态功能保护区等需特殊保护的环境敏感区，以及天然林、重要湿地等生态敏感区与脆弱区，项目用地范围及其周边无古树名木及文物保护单位分布，项目建设期和运营期均不会对区域生态环境造成影响。</w:t>
            </w:r>
          </w:p>
          <w:p w14:paraId="4735ACA7">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cs="Times New Roman"/>
                <w:b/>
                <w:bCs/>
                <w:color w:val="auto"/>
                <w:sz w:val="24"/>
                <w:szCs w:val="22"/>
                <w:highlight w:val="none"/>
                <w:lang w:val="en-US" w:eastAsia="zh-CN"/>
              </w:rPr>
              <w:t>7</w:t>
            </w:r>
            <w:r>
              <w:rPr>
                <w:rFonts w:hint="default" w:ascii="Times New Roman" w:hAnsi="Times New Roman" w:eastAsia="宋体" w:cs="Times New Roman"/>
                <w:b/>
                <w:bCs/>
                <w:color w:val="auto"/>
                <w:sz w:val="24"/>
                <w:szCs w:val="22"/>
                <w:highlight w:val="none"/>
                <w:lang w:val="en-US" w:eastAsia="zh-CN"/>
              </w:rPr>
              <w:t>、风险分析措施</w:t>
            </w:r>
          </w:p>
          <w:p w14:paraId="547D94C2">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14:paraId="5EF670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r>
              <w:rPr>
                <w:rFonts w:hint="default" w:ascii="Times New Roman" w:hAnsi="Times New Roman" w:eastAsia="宋体" w:cs="Times New Roman"/>
                <w:color w:val="auto"/>
                <w:sz w:val="24"/>
                <w:szCs w:val="24"/>
                <w:highlight w:val="none"/>
                <w:lang w:val="en-US" w:eastAsia="zh-CN"/>
              </w:rPr>
              <w:t>项目主要产品为混凝土，主要使用水泥、砂子和石子为原料。生产原辅材料中不含有危险化学品等风险物质，</w:t>
            </w:r>
            <w:r>
              <w:rPr>
                <w:rFonts w:hint="eastAsia" w:cs="Times New Roman"/>
                <w:color w:val="auto"/>
                <w:sz w:val="24"/>
                <w:szCs w:val="24"/>
                <w:highlight w:val="none"/>
                <w:lang w:val="en-US" w:eastAsia="zh-CN"/>
              </w:rPr>
              <w:t>本项目涉及的</w:t>
            </w:r>
            <w:r>
              <w:rPr>
                <w:rFonts w:hint="default" w:ascii="Times New Roman" w:hAnsi="Times New Roman" w:eastAsia="宋体" w:cs="Times New Roman"/>
                <w:color w:val="auto"/>
                <w:sz w:val="24"/>
                <w:szCs w:val="24"/>
                <w:highlight w:val="none"/>
                <w:lang w:val="en-US" w:eastAsia="zh-CN"/>
              </w:rPr>
              <w:t>环境风险物质主要为</w:t>
            </w:r>
            <w:r>
              <w:rPr>
                <w:rFonts w:hint="eastAsia" w:cs="Times New Roman"/>
                <w:color w:val="auto"/>
                <w:sz w:val="24"/>
                <w:szCs w:val="24"/>
                <w:highlight w:val="none"/>
                <w:lang w:val="en-US" w:eastAsia="zh-CN"/>
              </w:rPr>
              <w:t>设备维护、车辆维修过程中产生的废机油，</w:t>
            </w:r>
            <w:r>
              <w:rPr>
                <w:rFonts w:hint="default" w:ascii="Times New Roman" w:hAnsi="Times New Roman" w:eastAsia="宋体" w:cs="Times New Roman"/>
                <w:color w:val="auto"/>
                <w:sz w:val="24"/>
                <w:szCs w:val="24"/>
                <w:highlight w:val="none"/>
                <w:lang w:val="en-US" w:eastAsia="zh-CN"/>
              </w:rPr>
              <w:t>整个厂区内存在风险物质如下。</w:t>
            </w:r>
          </w:p>
          <w:p w14:paraId="273DC510">
            <w:pPr>
              <w:pStyle w:val="5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6"/>
                <w:rFonts w:hint="default" w:ascii="Times New Roman" w:hAnsi="Times New Roman" w:eastAsia="宋体" w:cs="Times New Roman"/>
                <w:b/>
                <w:bCs w:val="0"/>
                <w:color w:val="auto"/>
                <w:sz w:val="21"/>
                <w:szCs w:val="21"/>
                <w:highlight w:val="none"/>
                <w:lang w:val="en-US" w:eastAsia="zh-CN"/>
              </w:rPr>
            </w:pPr>
            <w:r>
              <w:rPr>
                <w:rStyle w:val="56"/>
                <w:rFonts w:hint="default" w:ascii="Times New Roman" w:hAnsi="Times New Roman" w:eastAsia="宋体" w:cs="Times New Roman"/>
                <w:b/>
                <w:bCs w:val="0"/>
                <w:color w:val="auto"/>
                <w:sz w:val="21"/>
                <w:szCs w:val="21"/>
                <w:highlight w:val="none"/>
                <w:lang w:val="en-US" w:eastAsia="zh-CN"/>
              </w:rPr>
              <w:t>表</w:t>
            </w:r>
            <w:r>
              <w:rPr>
                <w:rStyle w:val="56"/>
                <w:rFonts w:hint="eastAsia" w:cs="Times New Roman"/>
                <w:b/>
                <w:bCs w:val="0"/>
                <w:color w:val="auto"/>
                <w:sz w:val="21"/>
                <w:szCs w:val="21"/>
                <w:highlight w:val="none"/>
                <w:lang w:val="en-US" w:eastAsia="zh-CN"/>
              </w:rPr>
              <w:t>4-24</w:t>
            </w:r>
            <w:r>
              <w:rPr>
                <w:rStyle w:val="56"/>
                <w:rFonts w:hint="default" w:ascii="Times New Roman" w:hAnsi="Times New Roman" w:eastAsia="宋体" w:cs="Times New Roman"/>
                <w:b/>
                <w:bCs w:val="0"/>
                <w:color w:val="auto"/>
                <w:sz w:val="21"/>
                <w:szCs w:val="21"/>
                <w:highlight w:val="none"/>
                <w:lang w:val="en-US" w:eastAsia="zh-CN"/>
              </w:rPr>
              <w:t xml:space="preserve">   厂区物质风险识别</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499"/>
              <w:gridCol w:w="1500"/>
              <w:gridCol w:w="1500"/>
              <w:gridCol w:w="1500"/>
              <w:gridCol w:w="1500"/>
            </w:tblGrid>
            <w:tr w14:paraId="1BA0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DF4DF2D">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类别</w:t>
                  </w:r>
                </w:p>
              </w:tc>
              <w:tc>
                <w:tcPr>
                  <w:tcW w:w="833" w:type="pct"/>
                  <w:vAlign w:val="center"/>
                </w:tcPr>
                <w:p w14:paraId="53A01BC3">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物质名称</w:t>
                  </w:r>
                </w:p>
              </w:tc>
              <w:tc>
                <w:tcPr>
                  <w:tcW w:w="833" w:type="pct"/>
                  <w:vAlign w:val="center"/>
                </w:tcPr>
                <w:p w14:paraId="6E0D27DD">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最大储量</w:t>
                  </w:r>
                </w:p>
              </w:tc>
              <w:tc>
                <w:tcPr>
                  <w:tcW w:w="833" w:type="pct"/>
                  <w:vAlign w:val="center"/>
                </w:tcPr>
                <w:p w14:paraId="05E1587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风险类型</w:t>
                  </w:r>
                </w:p>
              </w:tc>
              <w:tc>
                <w:tcPr>
                  <w:tcW w:w="833" w:type="pct"/>
                  <w:vAlign w:val="center"/>
                </w:tcPr>
                <w:p w14:paraId="142EDE00">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是否能够发生突发环境事件</w:t>
                  </w:r>
                </w:p>
              </w:tc>
              <w:tc>
                <w:tcPr>
                  <w:tcW w:w="833" w:type="pct"/>
                  <w:vAlign w:val="center"/>
                </w:tcPr>
                <w:p w14:paraId="411F3C4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是否为环境</w:t>
                  </w:r>
                </w:p>
                <w:p w14:paraId="6F8BB7D8">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风险物质</w:t>
                  </w:r>
                </w:p>
              </w:tc>
            </w:tr>
            <w:tr w14:paraId="4237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396F672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液态</w:t>
                  </w:r>
                </w:p>
              </w:tc>
              <w:tc>
                <w:tcPr>
                  <w:tcW w:w="833" w:type="pct"/>
                  <w:vAlign w:val="center"/>
                </w:tcPr>
                <w:p w14:paraId="44CA41D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eastAsia" w:cs="Times New Roman"/>
                      <w:b w:val="0"/>
                      <w:bCs/>
                      <w:color w:val="auto"/>
                      <w:sz w:val="21"/>
                      <w:szCs w:val="21"/>
                      <w:highlight w:val="none"/>
                      <w:vertAlign w:val="baseline"/>
                      <w:lang w:val="en-US" w:eastAsia="zh-CN"/>
                    </w:rPr>
                    <w:t>废机油</w:t>
                  </w:r>
                </w:p>
              </w:tc>
              <w:tc>
                <w:tcPr>
                  <w:tcW w:w="833" w:type="pct"/>
                  <w:vAlign w:val="center"/>
                </w:tcPr>
                <w:p w14:paraId="20F22BB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eastAsia" w:cs="Times New Roman"/>
                      <w:b w:val="0"/>
                      <w:bCs/>
                      <w:color w:val="auto"/>
                      <w:sz w:val="21"/>
                      <w:szCs w:val="21"/>
                      <w:highlight w:val="none"/>
                      <w:vertAlign w:val="baseline"/>
                      <w:lang w:val="en-US" w:eastAsia="zh-CN"/>
                    </w:rPr>
                    <w:t>0.1</w:t>
                  </w:r>
                  <w:r>
                    <w:rPr>
                      <w:rStyle w:val="56"/>
                      <w:rFonts w:hint="default" w:ascii="Times New Roman" w:hAnsi="Times New Roman" w:eastAsia="宋体" w:cs="Times New Roman"/>
                      <w:b w:val="0"/>
                      <w:bCs/>
                      <w:color w:val="auto"/>
                      <w:sz w:val="21"/>
                      <w:szCs w:val="21"/>
                      <w:highlight w:val="none"/>
                      <w:vertAlign w:val="baseline"/>
                      <w:lang w:val="en-US" w:eastAsia="zh-CN"/>
                    </w:rPr>
                    <w:t>t</w:t>
                  </w:r>
                </w:p>
              </w:tc>
              <w:tc>
                <w:tcPr>
                  <w:tcW w:w="833" w:type="pct"/>
                  <w:vAlign w:val="center"/>
                </w:tcPr>
                <w:p w14:paraId="799D4175">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泄露、火灾</w:t>
                  </w:r>
                </w:p>
              </w:tc>
              <w:tc>
                <w:tcPr>
                  <w:tcW w:w="833" w:type="pct"/>
                  <w:vAlign w:val="center"/>
                </w:tcPr>
                <w:p w14:paraId="54FB9E7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是</w:t>
                  </w:r>
                </w:p>
              </w:tc>
              <w:tc>
                <w:tcPr>
                  <w:tcW w:w="833" w:type="pct"/>
                  <w:vAlign w:val="center"/>
                </w:tcPr>
                <w:p w14:paraId="4937AA21">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是</w:t>
                  </w:r>
                </w:p>
              </w:tc>
            </w:tr>
          </w:tbl>
          <w:p w14:paraId="7C540E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宋体" w:cs="Times New Roman"/>
                <w:color w:val="auto"/>
                <w:sz w:val="24"/>
                <w:szCs w:val="24"/>
                <w:highlight w:val="none"/>
                <w:lang w:val="en-US" w:eastAsia="zh-CN"/>
              </w:rPr>
            </w:pPr>
          </w:p>
          <w:p w14:paraId="326FE9B7">
            <w:pPr>
              <w:pStyle w:val="20"/>
              <w:rPr>
                <w:rFonts w:hint="default" w:ascii="Times New Roman" w:hAnsi="Times New Roman" w:eastAsia="宋体" w:cs="Times New Roman"/>
                <w:color w:val="auto"/>
                <w:spacing w:val="-1"/>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根据上表的识别结果可知，厂区内的风险物质为柴油。</w:t>
            </w:r>
          </w:p>
          <w:p w14:paraId="758C8146">
            <w:pPr>
              <w:pStyle w:val="4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风险</w:t>
            </w:r>
            <w:r>
              <w:rPr>
                <w:rFonts w:hint="default" w:ascii="Times New Roman" w:hAnsi="Times New Roman" w:eastAsia="宋体" w:cs="Times New Roman"/>
                <w:color w:val="auto"/>
                <w:sz w:val="24"/>
                <w:highlight w:val="none"/>
                <w:lang w:val="en-US" w:eastAsia="zh-CN"/>
              </w:rPr>
              <w:t>识别评价</w:t>
            </w:r>
          </w:p>
          <w:p w14:paraId="12F14F9B">
            <w:pPr>
              <w:keepNext w:val="0"/>
              <w:keepLines w:val="0"/>
              <w:widowControl/>
              <w:suppressLineNumbers w:val="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kern w:val="0"/>
                <w:sz w:val="24"/>
                <w:szCs w:val="24"/>
                <w:lang w:val="en-US" w:eastAsia="zh-CN" w:bidi="ar"/>
              </w:rPr>
              <w:t>本项目采用《建设项目环境风险评价技术导则》（HJ169-2018）进行评价。</w:t>
            </w:r>
          </w:p>
          <w:p w14:paraId="4B4ED96A">
            <w:pPr>
              <w:pStyle w:val="42"/>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z w:val="24"/>
                <w:highlight w:val="none"/>
              </w:rPr>
              <w:t>建设项目风险源调查</w:t>
            </w:r>
          </w:p>
          <w:p w14:paraId="48A0958D">
            <w:pPr>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1"/>
                <w:sz w:val="24"/>
                <w:szCs w:val="24"/>
              </w:rPr>
              <w:t>根据《建设项目环境风险评价技术导则》（</w:t>
            </w:r>
            <w:r>
              <w:rPr>
                <w:rFonts w:hint="default" w:ascii="Times New Roman" w:hAnsi="Times New Roman" w:eastAsia="Times New Roman" w:cs="Times New Roman"/>
                <w:color w:val="auto"/>
                <w:sz w:val="24"/>
                <w:szCs w:val="24"/>
              </w:rPr>
              <w:t>HJ</w:t>
            </w:r>
            <w:r>
              <w:rPr>
                <w:rFonts w:hint="default" w:ascii="Times New Roman" w:hAnsi="Times New Roman" w:eastAsia="Times New Roman" w:cs="Times New Roman"/>
                <w:color w:val="auto"/>
                <w:spacing w:val="1"/>
                <w:sz w:val="24"/>
                <w:szCs w:val="24"/>
              </w:rPr>
              <w:t>169-2018</w:t>
            </w:r>
            <w:r>
              <w:rPr>
                <w:rFonts w:hint="default" w:ascii="Times New Roman" w:hAnsi="Times New Roman" w:eastAsia="宋体" w:cs="Times New Roman"/>
                <w:color w:val="auto"/>
                <w:spacing w:val="1"/>
                <w:sz w:val="24"/>
                <w:szCs w:val="24"/>
              </w:rPr>
              <w:t>）中附录</w:t>
            </w:r>
            <w:r>
              <w:rPr>
                <w:rFonts w:hint="default" w:ascii="Times New Roman" w:hAnsi="Times New Roman" w:eastAsia="Times New Roman" w:cs="Times New Roman"/>
                <w:color w:val="auto"/>
                <w:spacing w:val="1"/>
                <w:sz w:val="24"/>
                <w:szCs w:val="24"/>
              </w:rPr>
              <w:t>B</w:t>
            </w:r>
            <w:r>
              <w:rPr>
                <w:rFonts w:hint="default" w:ascii="Times New Roman" w:hAnsi="Times New Roman" w:eastAsia="宋体" w:cs="Times New Roman"/>
                <w:color w:val="auto"/>
                <w:spacing w:val="1"/>
                <w:sz w:val="24"/>
                <w:szCs w:val="24"/>
              </w:rPr>
              <w:t>《危险</w:t>
            </w:r>
            <w:r>
              <w:rPr>
                <w:rFonts w:hint="default" w:ascii="Times New Roman" w:hAnsi="Times New Roman" w:eastAsia="宋体" w:cs="Times New Roman"/>
                <w:color w:val="auto"/>
                <w:spacing w:val="-1"/>
                <w:sz w:val="24"/>
                <w:szCs w:val="24"/>
              </w:rPr>
              <w:t>化学品目录》（</w:t>
            </w:r>
            <w:r>
              <w:rPr>
                <w:rFonts w:hint="default" w:ascii="Times New Roman" w:hAnsi="Times New Roman" w:eastAsia="Times New Roman" w:cs="Times New Roman"/>
                <w:color w:val="auto"/>
                <w:spacing w:val="-1"/>
                <w:sz w:val="24"/>
                <w:szCs w:val="24"/>
              </w:rPr>
              <w:t xml:space="preserve">2015 </w:t>
            </w:r>
            <w:r>
              <w:rPr>
                <w:rFonts w:hint="default" w:ascii="Times New Roman" w:hAnsi="Times New Roman" w:eastAsia="宋体" w:cs="Times New Roman"/>
                <w:color w:val="auto"/>
                <w:spacing w:val="-1"/>
                <w:sz w:val="24"/>
                <w:szCs w:val="24"/>
              </w:rPr>
              <w:t>版）及《危险化学品重大危险源辨识》（</w:t>
            </w:r>
            <w:r>
              <w:rPr>
                <w:rFonts w:hint="default" w:ascii="Times New Roman" w:hAnsi="Times New Roman" w:eastAsia="Times New Roman" w:cs="Times New Roman"/>
                <w:color w:val="auto"/>
                <w:spacing w:val="-1"/>
                <w:sz w:val="24"/>
                <w:szCs w:val="24"/>
              </w:rPr>
              <w:t>GB</w:t>
            </w:r>
            <w:r>
              <w:rPr>
                <w:rFonts w:hint="default" w:ascii="Times New Roman" w:hAnsi="Times New Roman" w:eastAsia="Times New Roman" w:cs="Times New Roman"/>
                <w:color w:val="auto"/>
                <w:spacing w:val="-2"/>
                <w:sz w:val="24"/>
                <w:szCs w:val="24"/>
              </w:rPr>
              <w:t>18218-2018</w:t>
            </w:r>
            <w:r>
              <w:rPr>
                <w:rFonts w:hint="default" w:ascii="Times New Roman" w:hAnsi="Times New Roman" w:eastAsia="宋体" w:cs="Times New Roman"/>
                <w:color w:val="auto"/>
                <w:spacing w:val="-2"/>
                <w:sz w:val="24"/>
                <w:szCs w:val="24"/>
              </w:rPr>
              <w:t>）对</w:t>
            </w:r>
            <w:r>
              <w:rPr>
                <w:rFonts w:hint="default" w:ascii="Times New Roman" w:hAnsi="Times New Roman" w:eastAsia="宋体" w:cs="Times New Roman"/>
                <w:color w:val="auto"/>
                <w:spacing w:val="2"/>
                <w:sz w:val="24"/>
                <w:szCs w:val="24"/>
              </w:rPr>
              <w:t>项目所用原辅材料进行识别，本项目涉及的风险物质</w:t>
            </w:r>
            <w:r>
              <w:rPr>
                <w:rFonts w:hint="default" w:ascii="Times New Roman" w:hAnsi="Times New Roman" w:eastAsia="宋体" w:cs="Times New Roman"/>
                <w:color w:val="auto"/>
                <w:spacing w:val="1"/>
                <w:sz w:val="24"/>
                <w:szCs w:val="24"/>
              </w:rPr>
              <w:t>主要为油类物质：柴油和废</w:t>
            </w:r>
            <w:r>
              <w:rPr>
                <w:rFonts w:hint="default" w:ascii="Times New Roman" w:hAnsi="Times New Roman" w:eastAsia="宋体" w:cs="Times New Roman"/>
                <w:color w:val="auto"/>
                <w:spacing w:val="-1"/>
                <w:sz w:val="24"/>
                <w:szCs w:val="24"/>
              </w:rPr>
              <w:t>矿物油，其中柴油主要理化性质见下表：矿物油，其中柴油主要理化性质见下表：</w:t>
            </w:r>
          </w:p>
          <w:p w14:paraId="490BD5AF">
            <w:pPr>
              <w:pStyle w:val="5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6"/>
                <w:rFonts w:hint="default" w:ascii="Times New Roman" w:hAnsi="Times New Roman" w:eastAsia="宋体" w:cs="Times New Roman"/>
                <w:b/>
                <w:bCs w:val="0"/>
                <w:color w:val="auto"/>
                <w:sz w:val="21"/>
                <w:szCs w:val="21"/>
                <w:highlight w:val="none"/>
                <w:lang w:val="en-US" w:eastAsia="zh-CN"/>
              </w:rPr>
            </w:pPr>
            <w:r>
              <w:rPr>
                <w:rStyle w:val="56"/>
                <w:rFonts w:hint="default" w:ascii="Times New Roman" w:hAnsi="Times New Roman" w:eastAsia="宋体" w:cs="Times New Roman"/>
                <w:b/>
                <w:bCs w:val="0"/>
                <w:color w:val="auto"/>
                <w:sz w:val="21"/>
                <w:szCs w:val="21"/>
                <w:highlight w:val="none"/>
                <w:lang w:val="en-US" w:eastAsia="zh-CN"/>
              </w:rPr>
              <w:t>表4-</w:t>
            </w:r>
            <w:r>
              <w:rPr>
                <w:rStyle w:val="56"/>
                <w:rFonts w:hint="eastAsia" w:cs="Times New Roman"/>
                <w:b/>
                <w:bCs w:val="0"/>
                <w:color w:val="auto"/>
                <w:sz w:val="21"/>
                <w:szCs w:val="21"/>
                <w:highlight w:val="none"/>
                <w:lang w:val="en-US" w:eastAsia="zh-CN"/>
              </w:rPr>
              <w:t>2</w:t>
            </w:r>
            <w:r>
              <w:rPr>
                <w:rStyle w:val="56"/>
                <w:rFonts w:hint="default" w:ascii="Times New Roman" w:hAnsi="Times New Roman" w:eastAsia="宋体" w:cs="Times New Roman"/>
                <w:b/>
                <w:bCs w:val="0"/>
                <w:color w:val="auto"/>
                <w:sz w:val="21"/>
                <w:szCs w:val="21"/>
                <w:highlight w:val="none"/>
                <w:lang w:val="en-US" w:eastAsia="zh-CN"/>
              </w:rPr>
              <w:t>5  废</w:t>
            </w:r>
            <w:r>
              <w:rPr>
                <w:rStyle w:val="56"/>
                <w:rFonts w:hint="eastAsia" w:cs="Times New Roman"/>
                <w:b/>
                <w:bCs w:val="0"/>
                <w:color w:val="auto"/>
                <w:sz w:val="21"/>
                <w:szCs w:val="21"/>
                <w:highlight w:val="none"/>
                <w:lang w:val="en-US" w:eastAsia="zh-CN"/>
              </w:rPr>
              <w:t>机</w:t>
            </w:r>
            <w:r>
              <w:rPr>
                <w:rStyle w:val="56"/>
                <w:rFonts w:hint="default" w:ascii="Times New Roman" w:hAnsi="Times New Roman" w:eastAsia="宋体" w:cs="Times New Roman"/>
                <w:b/>
                <w:bCs w:val="0"/>
                <w:color w:val="auto"/>
                <w:sz w:val="21"/>
                <w:szCs w:val="21"/>
                <w:highlight w:val="none"/>
                <w:lang w:val="en-US" w:eastAsia="zh-CN"/>
              </w:rPr>
              <w:t>油的理化性质及危险特性表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350"/>
              <w:gridCol w:w="5099"/>
            </w:tblGrid>
            <w:tr w14:paraId="55DB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136B45AD">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中文名：</w:t>
                  </w:r>
                  <w:r>
                    <w:rPr>
                      <w:rStyle w:val="56"/>
                      <w:rFonts w:hint="eastAsia" w:cs="Times New Roman"/>
                      <w:b w:val="0"/>
                      <w:bCs/>
                      <w:color w:val="auto"/>
                      <w:sz w:val="21"/>
                      <w:szCs w:val="21"/>
                      <w:highlight w:val="none"/>
                      <w:vertAlign w:val="baseline"/>
                      <w:lang w:val="en-US" w:eastAsia="zh-CN"/>
                    </w:rPr>
                    <w:t>废机油</w:t>
                  </w:r>
                  <w:r>
                    <w:rPr>
                      <w:rStyle w:val="56"/>
                      <w:rFonts w:hint="default" w:ascii="Times New Roman" w:hAnsi="Times New Roman" w:eastAsia="宋体" w:cs="Times New Roman"/>
                      <w:b w:val="0"/>
                      <w:bCs/>
                      <w:color w:val="auto"/>
                      <w:sz w:val="21"/>
                      <w:szCs w:val="21"/>
                      <w:highlight w:val="none"/>
                      <w:vertAlign w:val="baseline"/>
                      <w:lang w:val="en-US" w:eastAsia="zh-CN"/>
                    </w:rPr>
                    <w:t xml:space="preserve">                                   CAS号</w:t>
                  </w:r>
                  <w:r>
                    <w:rPr>
                      <w:rStyle w:val="56"/>
                      <w:rFonts w:hint="eastAsia" w:cs="Times New Roman"/>
                      <w:b w:val="0"/>
                      <w:bCs/>
                      <w:color w:val="auto"/>
                      <w:sz w:val="21"/>
                      <w:szCs w:val="21"/>
                      <w:highlight w:val="none"/>
                      <w:vertAlign w:val="baseline"/>
                      <w:lang w:val="en-US" w:eastAsia="zh-CN"/>
                    </w:rPr>
                    <w:t>：</w:t>
                  </w:r>
                  <w:r>
                    <w:rPr>
                      <w:rStyle w:val="56"/>
                      <w:rFonts w:hint="default" w:ascii="Times New Roman" w:hAnsi="Times New Roman" w:eastAsia="宋体" w:cs="Times New Roman"/>
                      <w:b w:val="0"/>
                      <w:bCs/>
                      <w:color w:val="auto"/>
                      <w:sz w:val="21"/>
                      <w:szCs w:val="21"/>
                      <w:highlight w:val="none"/>
                      <w:vertAlign w:val="baseline"/>
                      <w:lang w:val="en-US" w:eastAsia="zh-CN"/>
                    </w:rPr>
                    <w:t>900-249-08</w:t>
                  </w:r>
                </w:p>
              </w:tc>
            </w:tr>
            <w:tr w14:paraId="7CF1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tcPr>
                <w:p w14:paraId="429066BC">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理化性质</w:t>
                  </w:r>
                </w:p>
              </w:tc>
              <w:tc>
                <w:tcPr>
                  <w:tcW w:w="1305" w:type="pct"/>
                </w:tcPr>
                <w:p w14:paraId="3D8A89CC">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外观及性状</w:t>
                  </w:r>
                </w:p>
              </w:tc>
              <w:tc>
                <w:tcPr>
                  <w:tcW w:w="2831" w:type="pct"/>
                </w:tcPr>
                <w:p w14:paraId="787D6FA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液体</w:t>
                  </w:r>
                </w:p>
              </w:tc>
            </w:tr>
            <w:tr w14:paraId="4487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top"/>
                </w:tcPr>
                <w:p w14:paraId="79AE365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毒性及健</w:t>
                  </w:r>
                </w:p>
                <w:p w14:paraId="25FF64D1">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康危害</w:t>
                  </w:r>
                </w:p>
              </w:tc>
              <w:tc>
                <w:tcPr>
                  <w:tcW w:w="4136" w:type="pct"/>
                  <w:gridSpan w:val="2"/>
                  <w:vAlign w:val="top"/>
                </w:tcPr>
                <w:p w14:paraId="5EBF6535">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毒性：侵入途径：食入、经皮吸收。</w:t>
                  </w:r>
                </w:p>
                <w:p w14:paraId="75CAA4E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健康危害：造成皮肤生理功能受损。</w:t>
                  </w:r>
                </w:p>
              </w:tc>
            </w:tr>
            <w:tr w14:paraId="2DC0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restart"/>
                </w:tcPr>
                <w:p w14:paraId="4DF45DBF">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燃烧爆炸</w:t>
                  </w:r>
                </w:p>
                <w:p w14:paraId="2D341E16">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危险性</w:t>
                  </w:r>
                </w:p>
              </w:tc>
              <w:tc>
                <w:tcPr>
                  <w:tcW w:w="4136" w:type="pct"/>
                  <w:gridSpan w:val="2"/>
                  <w:vAlign w:val="top"/>
                </w:tcPr>
                <w:p w14:paraId="16D222FF">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易燃性</w:t>
                  </w:r>
                </w:p>
              </w:tc>
            </w:tr>
            <w:tr w14:paraId="59DE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tcPr>
                <w:p w14:paraId="3C7D6F7A">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p>
              </w:tc>
              <w:tc>
                <w:tcPr>
                  <w:tcW w:w="4136" w:type="pct"/>
                  <w:gridSpan w:val="2"/>
                  <w:vAlign w:val="top"/>
                </w:tcPr>
                <w:p w14:paraId="6438E44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燃烧</w:t>
                  </w:r>
                  <w:r>
                    <w:rPr>
                      <w:rStyle w:val="56"/>
                      <w:rFonts w:hint="eastAsia" w:cs="Times New Roman"/>
                      <w:b w:val="0"/>
                      <w:bCs/>
                      <w:color w:val="auto"/>
                      <w:sz w:val="21"/>
                      <w:szCs w:val="21"/>
                      <w:highlight w:val="none"/>
                      <w:vertAlign w:val="baseline"/>
                      <w:lang w:val="en-US" w:eastAsia="zh-CN"/>
                    </w:rPr>
                    <w:t>（</w:t>
                  </w:r>
                  <w:r>
                    <w:rPr>
                      <w:rStyle w:val="56"/>
                      <w:rFonts w:hint="default" w:ascii="Times New Roman" w:hAnsi="Times New Roman" w:eastAsia="宋体" w:cs="Times New Roman"/>
                      <w:b w:val="0"/>
                      <w:bCs/>
                      <w:color w:val="auto"/>
                      <w:sz w:val="21"/>
                      <w:szCs w:val="21"/>
                      <w:highlight w:val="none"/>
                      <w:vertAlign w:val="baseline"/>
                      <w:lang w:val="en-US" w:eastAsia="zh-CN"/>
                    </w:rPr>
                    <w:t>分解</w:t>
                  </w:r>
                  <w:r>
                    <w:rPr>
                      <w:rStyle w:val="56"/>
                      <w:rFonts w:hint="eastAsia" w:cs="Times New Roman"/>
                      <w:b w:val="0"/>
                      <w:bCs/>
                      <w:color w:val="auto"/>
                      <w:sz w:val="21"/>
                      <w:szCs w:val="21"/>
                      <w:highlight w:val="none"/>
                      <w:vertAlign w:val="baseline"/>
                      <w:lang w:val="en-US" w:eastAsia="zh-CN"/>
                    </w:rPr>
                    <w:t>）</w:t>
                  </w:r>
                  <w:r>
                    <w:rPr>
                      <w:rStyle w:val="56"/>
                      <w:rFonts w:hint="default" w:ascii="Times New Roman" w:hAnsi="Times New Roman" w:eastAsia="宋体" w:cs="Times New Roman"/>
                      <w:b w:val="0"/>
                      <w:bCs/>
                      <w:color w:val="auto"/>
                      <w:sz w:val="21"/>
                      <w:szCs w:val="21"/>
                      <w:highlight w:val="none"/>
                      <w:vertAlign w:val="baseline"/>
                      <w:lang w:val="en-US" w:eastAsia="zh-CN"/>
                    </w:rPr>
                    <w:t>产物：一氧化氮、碳氢化合物、氮氧化物</w:t>
                  </w:r>
                </w:p>
              </w:tc>
            </w:tr>
            <w:tr w14:paraId="78C7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top"/>
                </w:tcPr>
                <w:p w14:paraId="47422326">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泄漏应急处理</w:t>
                  </w:r>
                </w:p>
              </w:tc>
              <w:tc>
                <w:tcPr>
                  <w:tcW w:w="4136" w:type="pct"/>
                  <w:gridSpan w:val="2"/>
                  <w:vAlign w:val="top"/>
                </w:tcPr>
                <w:p w14:paraId="63EFA05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当发生泄漏时，迅速撤离人员至安全区，切断火源，尽可能切断</w:t>
                  </w:r>
                  <w:r>
                    <w:rPr>
                      <w:rStyle w:val="56"/>
                      <w:rFonts w:hint="eastAsia" w:cs="Times New Roman"/>
                      <w:b w:val="0"/>
                      <w:bCs/>
                      <w:color w:val="auto"/>
                      <w:sz w:val="21"/>
                      <w:szCs w:val="21"/>
                      <w:highlight w:val="none"/>
                      <w:vertAlign w:val="baseline"/>
                      <w:lang w:val="en-US" w:eastAsia="zh-CN"/>
                    </w:rPr>
                    <w:t>泄漏</w:t>
                  </w:r>
                  <w:r>
                    <w:rPr>
                      <w:rStyle w:val="56"/>
                      <w:rFonts w:hint="default" w:ascii="Times New Roman" w:hAnsi="Times New Roman" w:eastAsia="宋体" w:cs="Times New Roman"/>
                      <w:b w:val="0"/>
                      <w:bCs/>
                      <w:color w:val="auto"/>
                      <w:sz w:val="21"/>
                      <w:szCs w:val="21"/>
                      <w:highlight w:val="none"/>
                      <w:vertAlign w:val="baseline"/>
                      <w:lang w:val="en-US" w:eastAsia="zh-CN"/>
                    </w:rPr>
                    <w:t>源， 防止流入下水道、排洪沟等限制性空间。</w:t>
                  </w:r>
                </w:p>
              </w:tc>
            </w:tr>
            <w:tr w14:paraId="765F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top"/>
                </w:tcPr>
                <w:p w14:paraId="06C0486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消防措施</w:t>
                  </w:r>
                </w:p>
              </w:tc>
              <w:tc>
                <w:tcPr>
                  <w:tcW w:w="4136" w:type="pct"/>
                  <w:gridSpan w:val="2"/>
                  <w:vAlign w:val="top"/>
                </w:tcPr>
                <w:p w14:paraId="26123EE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佩戴防毒面具，穿全身消防服，在上风向灭火。</w:t>
                  </w:r>
                </w:p>
              </w:tc>
            </w:tr>
            <w:tr w14:paraId="2CFF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top"/>
                </w:tcPr>
                <w:p w14:paraId="05B11014">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急救措施</w:t>
                  </w:r>
                </w:p>
              </w:tc>
              <w:tc>
                <w:tcPr>
                  <w:tcW w:w="4136" w:type="pct"/>
                  <w:gridSpan w:val="2"/>
                  <w:vAlign w:val="top"/>
                </w:tcPr>
                <w:p w14:paraId="3D1E4FF9">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食入：饮足量温水，催吐，就医。</w:t>
                  </w:r>
                </w:p>
                <w:p w14:paraId="6E3F9AA5">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皮肤接触：及时清洗。</w:t>
                  </w:r>
                </w:p>
                <w:p w14:paraId="5289A27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眼睛接触：用流动清水或生理盐水清洗、就医。</w:t>
                  </w:r>
                </w:p>
              </w:tc>
            </w:tr>
            <w:tr w14:paraId="3B58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top"/>
                </w:tcPr>
                <w:p w14:paraId="6D5882DE">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安全防护</w:t>
                  </w:r>
                </w:p>
              </w:tc>
              <w:tc>
                <w:tcPr>
                  <w:tcW w:w="4136" w:type="pct"/>
                  <w:gridSpan w:val="2"/>
                  <w:vAlign w:val="top"/>
                </w:tcPr>
                <w:p w14:paraId="2419EABA">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1、工程控制：提供良好的自然通风条件，地面采用防渗漏处理。</w:t>
                  </w:r>
                </w:p>
                <w:p w14:paraId="5537F44C">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2 、眼睛防护： 防护眼睛。</w:t>
                  </w:r>
                </w:p>
                <w:p w14:paraId="5099609F">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3、皮肤防护：操作时戴橡胶耐油手套。</w:t>
                  </w:r>
                </w:p>
                <w:p w14:paraId="05C763D7">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4、其他防护：场地内严禁吸烟。</w:t>
                  </w:r>
                </w:p>
              </w:tc>
            </w:tr>
          </w:tbl>
          <w:p w14:paraId="03EFA8DC">
            <w:pPr>
              <w:keepNext w:val="0"/>
              <w:keepLines w:val="0"/>
              <w:pageBreakBefore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default" w:ascii="Times New Roman" w:hAnsi="Times New Roman" w:eastAsia="宋体" w:cs="Times New Roman"/>
                <w:b/>
                <w:bCs w:val="0"/>
                <w:color w:val="auto"/>
                <w:sz w:val="24"/>
                <w:szCs w:val="24"/>
                <w:highlight w:val="none"/>
                <w:lang w:val="en-US" w:eastAsia="zh-CN"/>
              </w:rPr>
            </w:pPr>
          </w:p>
          <w:p w14:paraId="24CE7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2环境风险事故分析</w:t>
            </w:r>
          </w:p>
          <w:p w14:paraId="73B11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①风险事故类型识别</w:t>
            </w:r>
          </w:p>
          <w:p w14:paraId="7C7E3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本项目风险事故主要是风险物质储存过程中的火灾、爆炸、泄漏事故。</w:t>
            </w:r>
          </w:p>
          <w:p w14:paraId="55597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②危险源辨别</w:t>
            </w:r>
          </w:p>
          <w:p w14:paraId="324D2043">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eastAsia"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内</w:t>
            </w:r>
            <w:r>
              <w:rPr>
                <w:rFonts w:hint="eastAsia"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最大</w:t>
            </w:r>
            <w:r>
              <w:rPr>
                <w:rFonts w:hint="default" w:ascii="Times New Roman" w:hAnsi="Times New Roman" w:eastAsia="宋体" w:cs="Times New Roman"/>
                <w:color w:val="auto"/>
                <w:sz w:val="24"/>
                <w:szCs w:val="24"/>
                <w:highlight w:val="none"/>
                <w:lang w:val="en-US" w:eastAsia="zh-CN"/>
              </w:rPr>
              <w:t>储存量为</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t，按照《危险化学品目录》（2015 版）及《危险化学品重大危险源辨识》（GB18218-2018），附录C危险物质数量与临界量进行比值计算</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14:paraId="4FF70643">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当只涉及一种危险物质时，计算该物质的总量与其临界量比值，即为 Q；</w:t>
            </w:r>
          </w:p>
          <w:p w14:paraId="242DA8D1">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w:t>
            </w:r>
            <w:r>
              <w:rPr>
                <w:rFonts w:hint="eastAsia"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当存在多种危险物质时，则按下式计算物质总量与其临界量的比值（Q）：</w:t>
            </w:r>
          </w:p>
          <w:p w14:paraId="2F4AD881">
            <w:pPr>
              <w:keepNext w:val="0"/>
              <w:keepLines w:val="0"/>
              <w:pageBreakBefore w:val="0"/>
              <w:widowControl w:val="0"/>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1" o:spt="75" type="#_x0000_t75" style="height:33pt;width:106pt;" o:ole="t" filled="f" o:preferrelative="t" stroked="f" coordsize="21600,21600">
                  <v:path/>
                  <v:fill on="f" focussize="0,0"/>
                  <v:stroke on="f"/>
                  <v:imagedata r:id="rId20" o:title=""/>
                  <o:lock v:ext="edit" aspectratio="t"/>
                  <w10:wrap type="none"/>
                  <w10:anchorlock/>
                </v:shape>
                <o:OLEObject Type="Embed" ProgID="Equation.KSEE3" ShapeID="_x0000_i1031" DrawAspect="Content" ObjectID="_1468075731" r:id="rId19">
                  <o:LockedField>false</o:LockedField>
                </o:OLEObject>
              </w:object>
            </w:r>
          </w:p>
          <w:p w14:paraId="77E4C8DD">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14:paraId="52A63DB6">
            <w:pPr>
              <w:keepNext w:val="0"/>
              <w:keepLines w:val="0"/>
              <w:pageBreakBefore w:val="0"/>
              <w:widowControl w:val="0"/>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14:paraId="55F32AC6">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14:paraId="7D7F6C5C">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14:paraId="3706FF5B">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14:paraId="253BCD4D">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 xml:space="preserve">表4.2-16 </w:t>
            </w:r>
            <w:r>
              <w:rPr>
                <w:rFonts w:hint="default" w:ascii="Times New Roman" w:hAnsi="Times New Roman" w:cs="Times New Roman"/>
                <w:b/>
                <w:bCs w:val="0"/>
                <w:color w:val="auto"/>
                <w:sz w:val="21"/>
                <w:szCs w:val="21"/>
                <w:highlight w:val="none"/>
                <w:lang w:val="en-US" w:eastAsia="zh-CN"/>
              </w:rPr>
              <w:t xml:space="preserve"> </w:t>
            </w:r>
            <w:r>
              <w:rPr>
                <w:rFonts w:hint="default" w:ascii="Times New Roman" w:hAnsi="Times New Roman" w:eastAsia="宋体" w:cs="Times New Roman"/>
                <w:b/>
                <w:bCs w:val="0"/>
                <w:color w:val="auto"/>
                <w:sz w:val="21"/>
                <w:szCs w:val="21"/>
                <w:highlight w:val="none"/>
                <w:lang w:val="en-US" w:eastAsia="zh-CN"/>
              </w:rPr>
              <w:t>Q值计算结果</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37"/>
              <w:gridCol w:w="1460"/>
              <w:gridCol w:w="1837"/>
              <w:gridCol w:w="1286"/>
              <w:gridCol w:w="1286"/>
              <w:gridCol w:w="1286"/>
            </w:tblGrid>
            <w:tr w14:paraId="2A6C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3A48D24">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序号</w:t>
                  </w:r>
                </w:p>
              </w:tc>
              <w:tc>
                <w:tcPr>
                  <w:tcW w:w="632" w:type="pct"/>
                  <w:vAlign w:val="center"/>
                </w:tcPr>
                <w:p w14:paraId="508D4ED7">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危险物质名称</w:t>
                  </w:r>
                </w:p>
              </w:tc>
              <w:tc>
                <w:tcPr>
                  <w:tcW w:w="811" w:type="pct"/>
                  <w:vAlign w:val="center"/>
                </w:tcPr>
                <w:p w14:paraId="7C3EE365">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CAS号</w:t>
                  </w:r>
                </w:p>
              </w:tc>
              <w:tc>
                <w:tcPr>
                  <w:tcW w:w="1020" w:type="pct"/>
                  <w:vAlign w:val="center"/>
                </w:tcPr>
                <w:p w14:paraId="05601737">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危险物质最大储存量（t/a）</w:t>
                  </w:r>
                </w:p>
              </w:tc>
              <w:tc>
                <w:tcPr>
                  <w:tcW w:w="714" w:type="pct"/>
                  <w:vAlign w:val="center"/>
                </w:tcPr>
                <w:p w14:paraId="764FF5AF">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临界量（t/a）</w:t>
                  </w:r>
                </w:p>
              </w:tc>
              <w:tc>
                <w:tcPr>
                  <w:tcW w:w="714" w:type="pct"/>
                  <w:vAlign w:val="center"/>
                </w:tcPr>
                <w:p w14:paraId="72B63528">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Qi</w:t>
                  </w:r>
                  <w:r>
                    <w:rPr>
                      <w:rStyle w:val="56"/>
                      <w:rFonts w:hint="eastAsia" w:ascii="Times New Roman" w:hAnsi="Times New Roman" w:eastAsia="宋体" w:cs="Times New Roman"/>
                      <w:b/>
                      <w:bCs w:val="0"/>
                      <w:color w:val="auto"/>
                      <w:sz w:val="21"/>
                      <w:szCs w:val="21"/>
                      <w:highlight w:val="none"/>
                      <w:vertAlign w:val="baseline"/>
                      <w:lang w:val="en-US" w:eastAsia="zh-CN"/>
                    </w:rPr>
                    <w:t>/</w:t>
                  </w:r>
                  <w:r>
                    <w:rPr>
                      <w:rStyle w:val="56"/>
                      <w:rFonts w:hint="default" w:ascii="Times New Roman" w:hAnsi="Times New Roman" w:eastAsia="宋体" w:cs="Times New Roman"/>
                      <w:b/>
                      <w:bCs w:val="0"/>
                      <w:color w:val="auto"/>
                      <w:sz w:val="21"/>
                      <w:szCs w:val="21"/>
                      <w:highlight w:val="none"/>
                      <w:vertAlign w:val="baseline"/>
                      <w:lang w:val="en-US" w:eastAsia="zh-CN"/>
                    </w:rPr>
                    <w:t>Qi</w:t>
                  </w:r>
                </w:p>
              </w:tc>
              <w:tc>
                <w:tcPr>
                  <w:tcW w:w="714" w:type="pct"/>
                  <w:vAlign w:val="center"/>
                </w:tcPr>
                <w:p w14:paraId="0C00B1B7">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bCs w:val="0"/>
                      <w:color w:val="auto"/>
                      <w:sz w:val="21"/>
                      <w:szCs w:val="21"/>
                      <w:highlight w:val="none"/>
                      <w:vertAlign w:val="baseline"/>
                      <w:lang w:val="en-US" w:eastAsia="zh-CN"/>
                    </w:rPr>
                  </w:pPr>
                  <w:r>
                    <w:rPr>
                      <w:rStyle w:val="56"/>
                      <w:rFonts w:hint="default" w:ascii="Times New Roman" w:hAnsi="Times New Roman" w:eastAsia="宋体" w:cs="Times New Roman"/>
                      <w:b/>
                      <w:bCs w:val="0"/>
                      <w:color w:val="auto"/>
                      <w:sz w:val="21"/>
                      <w:szCs w:val="21"/>
                      <w:highlight w:val="none"/>
                      <w:vertAlign w:val="baseline"/>
                      <w:lang w:val="en-US" w:eastAsia="zh-CN"/>
                    </w:rPr>
                    <w:t>结果</w:t>
                  </w:r>
                </w:p>
              </w:tc>
            </w:tr>
            <w:tr w14:paraId="7CBB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41F80B7">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2</w:t>
                  </w:r>
                </w:p>
              </w:tc>
              <w:tc>
                <w:tcPr>
                  <w:tcW w:w="632" w:type="pct"/>
                  <w:vAlign w:val="center"/>
                </w:tcPr>
                <w:p w14:paraId="7ECFD042">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油类物质</w:t>
                  </w:r>
                </w:p>
              </w:tc>
              <w:tc>
                <w:tcPr>
                  <w:tcW w:w="811" w:type="pct"/>
                  <w:vAlign w:val="center"/>
                </w:tcPr>
                <w:p w14:paraId="285BA6FC">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900-249-08</w:t>
                  </w:r>
                </w:p>
              </w:tc>
              <w:tc>
                <w:tcPr>
                  <w:tcW w:w="1020" w:type="pct"/>
                  <w:vAlign w:val="center"/>
                </w:tcPr>
                <w:p w14:paraId="04E4FDC0">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0.1</w:t>
                  </w:r>
                </w:p>
              </w:tc>
              <w:tc>
                <w:tcPr>
                  <w:tcW w:w="714" w:type="pct"/>
                  <w:vAlign w:val="center"/>
                </w:tcPr>
                <w:p w14:paraId="2FCA1F3B">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2500</w:t>
                  </w:r>
                </w:p>
              </w:tc>
              <w:tc>
                <w:tcPr>
                  <w:tcW w:w="714" w:type="pct"/>
                  <w:vAlign w:val="center"/>
                </w:tcPr>
                <w:p w14:paraId="649B7026">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0.00004</w:t>
                  </w:r>
                </w:p>
              </w:tc>
              <w:tc>
                <w:tcPr>
                  <w:tcW w:w="714" w:type="pct"/>
                  <w:vAlign w:val="center"/>
                </w:tcPr>
                <w:p w14:paraId="71FABC44">
                  <w:pPr>
                    <w:pStyle w:val="5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Q值&lt;1.0</w:t>
                  </w:r>
                </w:p>
              </w:tc>
            </w:tr>
          </w:tbl>
          <w:p w14:paraId="2474F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对照《建设项目环境风险评价技术导则》（HJ169-2018）附录C，Q值小于1.0，本项目环境风险潜势为Ⅰ，按《建设项目环境风险评价技术导则》HJ169-2018表1评价工作等级划分表进行判别，本项目环境风险潜势为Ⅰ，开展简单分析。</w:t>
            </w:r>
          </w:p>
          <w:p w14:paraId="6DAB9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3风险影响分析</w:t>
            </w:r>
          </w:p>
          <w:p w14:paraId="7B9D4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涉及的危险物质主要为矿物油类，分布在检修车间内。主要环境风险为操作不当或管理不当造成矿物油泄漏或下渗，污染地表水、地下水。矿物油类具有易燃特性，遇到明火、高热会引起燃烧爆炸，爆炸燃烧物对周边空气环境产生影响。</w:t>
            </w:r>
          </w:p>
          <w:p w14:paraId="381518ED">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（4）风险事故防范措施</w:t>
            </w:r>
            <w:r>
              <w:rPr>
                <w:rFonts w:hint="default" w:ascii="Times New Roman" w:hAnsi="Times New Roman" w:cs="Times New Roman"/>
                <w:color w:val="auto"/>
                <w:sz w:val="24"/>
                <w:szCs w:val="24"/>
                <w:highlight w:val="none"/>
                <w:lang w:val="en-US" w:eastAsia="zh-CN"/>
              </w:rPr>
              <w:t>与</w:t>
            </w:r>
            <w:r>
              <w:rPr>
                <w:rFonts w:hint="default" w:ascii="Times New Roman" w:hAnsi="Times New Roman" w:eastAsia="宋体" w:cs="Times New Roman"/>
                <w:color w:val="auto"/>
                <w:sz w:val="24"/>
                <w:highlight w:val="none"/>
              </w:rPr>
              <w:t>应急要求</w:t>
            </w:r>
          </w:p>
          <w:p w14:paraId="0C5D44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危险化学品储存区应设安全警示标志，车间内配备足够数量的干粉灭火器或泡沫灭火器，设置防火、易燃等警示标牌，远离火种、热源、易燃、可燃物，工作场所严禁吸烟，配备适量的1211灭火器，以及适量砂土作为灭火剂。</w:t>
            </w:r>
          </w:p>
          <w:p w14:paraId="6F022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②建设单位必须严格遵守</w:t>
            </w:r>
            <w:r>
              <w:rPr>
                <w:rFonts w:hint="eastAsia" w:cs="Times New Roman"/>
                <w:color w:val="auto"/>
                <w:sz w:val="24"/>
                <w:szCs w:val="24"/>
                <w:highlight w:val="none"/>
                <w:lang w:val="en-US" w:eastAsia="zh-CN"/>
              </w:rPr>
              <w:t>《危险化学品安全管理条例》</w:t>
            </w:r>
            <w:r>
              <w:rPr>
                <w:rFonts w:hint="default" w:ascii="Times New Roman" w:hAnsi="Times New Roman" w:eastAsia="宋体" w:cs="Times New Roman"/>
                <w:color w:val="auto"/>
                <w:sz w:val="24"/>
                <w:szCs w:val="24"/>
                <w:highlight w:val="none"/>
                <w:lang w:val="en-US" w:eastAsia="zh-CN"/>
              </w:rPr>
              <w:t>，物料储存过程必须按照</w:t>
            </w:r>
            <w:r>
              <w:rPr>
                <w:rFonts w:hint="eastAsia" w:cs="Times New Roman"/>
                <w:color w:val="auto"/>
                <w:sz w:val="24"/>
                <w:szCs w:val="24"/>
                <w:highlight w:val="none"/>
                <w:lang w:val="en-US" w:eastAsia="zh-CN"/>
              </w:rPr>
              <w:t>《危险化学品安全管理条例》</w:t>
            </w:r>
            <w:r>
              <w:rPr>
                <w:rFonts w:hint="default" w:ascii="Times New Roman" w:hAnsi="Times New Roman" w:eastAsia="宋体" w:cs="Times New Roman"/>
                <w:color w:val="auto"/>
                <w:sz w:val="24"/>
                <w:szCs w:val="24"/>
                <w:highlight w:val="none"/>
                <w:lang w:val="en-US" w:eastAsia="zh-CN"/>
              </w:rPr>
              <w:t>和《仓库防火安全管理规则》等规定做到安全储存。</w:t>
            </w:r>
          </w:p>
          <w:p w14:paraId="3B36B0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③应配备有专业知识技术人员管理，管理人员配备可靠的个人安全防护用品。</w:t>
            </w:r>
          </w:p>
          <w:p w14:paraId="39FE53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④加强危废收集暂存、储运管理，加强日常检查，保证容器的完好程度，对生产过程洒落、滴漏的少量污染物应及时收集处理。</w:t>
            </w:r>
          </w:p>
          <w:p w14:paraId="20BB3BA6">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建设单位应严格落实各项风险防范措施，避免环境风险事故的发生，一旦发生事故，按照完善的事故应急措施及时控制事故，防止事故蔓延，则在此基础上，项目的环境风险可接受。</w:t>
            </w:r>
          </w:p>
          <w:p w14:paraId="5744EA67">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应急要求</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14:paraId="2253F12A">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表4.2-17  建设项目简单分析内容表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242"/>
              <w:gridCol w:w="2355"/>
              <w:gridCol w:w="1161"/>
              <w:gridCol w:w="2444"/>
            </w:tblGrid>
            <w:tr w14:paraId="59F7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5BE88F16">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建设项目名称</w:t>
                  </w:r>
                </w:p>
              </w:tc>
              <w:tc>
                <w:tcPr>
                  <w:tcW w:w="4000" w:type="pct"/>
                  <w:gridSpan w:val="4"/>
                  <w:vAlign w:val="center"/>
                </w:tcPr>
                <w:p w14:paraId="696B4700">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年产10万t商品混凝土搅拌站生产线项目</w:t>
                  </w:r>
                </w:p>
              </w:tc>
            </w:tr>
            <w:tr w14:paraId="4070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643E79B3">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建设地点</w:t>
                  </w:r>
                </w:p>
              </w:tc>
              <w:tc>
                <w:tcPr>
                  <w:tcW w:w="4000" w:type="pct"/>
                  <w:gridSpan w:val="4"/>
                  <w:vAlign w:val="center"/>
                </w:tcPr>
                <w:p w14:paraId="6A0427C6">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云南省昆明市安宁市青龙街道白塔村委会</w:t>
                  </w:r>
                </w:p>
              </w:tc>
            </w:tr>
            <w:tr w14:paraId="15A3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6D3B44FB">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地理坐标</w:t>
                  </w:r>
                </w:p>
              </w:tc>
              <w:tc>
                <w:tcPr>
                  <w:tcW w:w="690" w:type="pct"/>
                  <w:vAlign w:val="center"/>
                </w:tcPr>
                <w:p w14:paraId="656C89C4">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经度</w:t>
                  </w:r>
                </w:p>
              </w:tc>
              <w:tc>
                <w:tcPr>
                  <w:tcW w:w="1308" w:type="pct"/>
                  <w:vAlign w:val="center"/>
                </w:tcPr>
                <w:p w14:paraId="195AD73C">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103°13′16.88777″</w:t>
                  </w:r>
                </w:p>
              </w:tc>
              <w:tc>
                <w:tcPr>
                  <w:tcW w:w="645" w:type="pct"/>
                  <w:vAlign w:val="center"/>
                </w:tcPr>
                <w:p w14:paraId="6F1DA41F">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纬度</w:t>
                  </w:r>
                </w:p>
              </w:tc>
              <w:tc>
                <w:tcPr>
                  <w:tcW w:w="1356" w:type="pct"/>
                  <w:vAlign w:val="center"/>
                </w:tcPr>
                <w:p w14:paraId="3B2DE753">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25°33′0.34827″</w:t>
                  </w:r>
                </w:p>
              </w:tc>
            </w:tr>
            <w:tr w14:paraId="0A47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6B79B55">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主要危险物质及分布</w:t>
                  </w:r>
                </w:p>
              </w:tc>
              <w:tc>
                <w:tcPr>
                  <w:tcW w:w="4000" w:type="pct"/>
                  <w:gridSpan w:val="4"/>
                  <w:vAlign w:val="center"/>
                </w:tcPr>
                <w:p w14:paraId="2DD684F3">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油类物质，主要分布于检修车间内。</w:t>
                  </w:r>
                </w:p>
              </w:tc>
            </w:tr>
            <w:tr w14:paraId="55F6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3C3F410">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环境影响途径及危害后果（大气、地表水、地下水等）</w:t>
                  </w:r>
                </w:p>
              </w:tc>
              <w:tc>
                <w:tcPr>
                  <w:tcW w:w="4000" w:type="pct"/>
                  <w:gridSpan w:val="4"/>
                  <w:vAlign w:val="center"/>
                </w:tcPr>
                <w:p w14:paraId="358C9291">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主要环境影响途径为化学品泄漏和引发火灾爆炸危害，引发火灾爆炸后产生的有毒有害烟雾对周边环境空气产生影响，同时在火灾事故的处理过程中，还会产生地表水、地下水等污染。</w:t>
                  </w:r>
                </w:p>
              </w:tc>
            </w:tr>
            <w:tr w14:paraId="0D87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4BB6FE9">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风险防范措施要求</w:t>
                  </w:r>
                </w:p>
              </w:tc>
              <w:tc>
                <w:tcPr>
                  <w:tcW w:w="4000" w:type="pct"/>
                  <w:gridSpan w:val="4"/>
                  <w:vAlign w:val="center"/>
                </w:tcPr>
                <w:p w14:paraId="3C4F8183">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①危险化学品储存区应设安全警示标志，车间内配备足够数量的干粉灭火器或泡沫灭火器，设置防火、易燃等警示标牌，远离火种、热源、易燃、可燃物，工作场所严禁吸烟，配备适量的1211灭火器，以及适量砂土作为灭火剂。</w:t>
                  </w:r>
                </w:p>
                <w:p w14:paraId="5D0E215A">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②建设单位必须严格遵守</w:t>
                  </w:r>
                  <w:r>
                    <w:rPr>
                      <w:rStyle w:val="56"/>
                      <w:rFonts w:hint="eastAsia" w:cs="Times New Roman"/>
                      <w:b w:val="0"/>
                      <w:bCs/>
                      <w:color w:val="auto"/>
                      <w:sz w:val="21"/>
                      <w:szCs w:val="21"/>
                      <w:highlight w:val="none"/>
                      <w:vertAlign w:val="baseline"/>
                      <w:lang w:val="en-US" w:eastAsia="zh-CN"/>
                    </w:rPr>
                    <w:t>《危险化学品安全管理条例》</w:t>
                  </w:r>
                  <w:r>
                    <w:rPr>
                      <w:rStyle w:val="56"/>
                      <w:rFonts w:hint="default" w:ascii="Times New Roman" w:hAnsi="Times New Roman" w:eastAsia="宋体" w:cs="Times New Roman"/>
                      <w:b w:val="0"/>
                      <w:bCs/>
                      <w:color w:val="auto"/>
                      <w:sz w:val="21"/>
                      <w:szCs w:val="21"/>
                      <w:highlight w:val="none"/>
                      <w:vertAlign w:val="baseline"/>
                      <w:lang w:val="en-US" w:eastAsia="zh-CN"/>
                    </w:rPr>
                    <w:t>，物料储存过程必须按照</w:t>
                  </w:r>
                  <w:r>
                    <w:rPr>
                      <w:rStyle w:val="56"/>
                      <w:rFonts w:hint="eastAsia" w:cs="Times New Roman"/>
                      <w:b w:val="0"/>
                      <w:bCs/>
                      <w:color w:val="auto"/>
                      <w:sz w:val="21"/>
                      <w:szCs w:val="21"/>
                      <w:highlight w:val="none"/>
                      <w:vertAlign w:val="baseline"/>
                      <w:lang w:val="en-US" w:eastAsia="zh-CN"/>
                    </w:rPr>
                    <w:t>《危险化学品安全管理条例》</w:t>
                  </w:r>
                  <w:r>
                    <w:rPr>
                      <w:rStyle w:val="56"/>
                      <w:rFonts w:hint="default" w:ascii="Times New Roman" w:hAnsi="Times New Roman" w:eastAsia="宋体" w:cs="Times New Roman"/>
                      <w:b w:val="0"/>
                      <w:bCs/>
                      <w:color w:val="auto"/>
                      <w:sz w:val="21"/>
                      <w:szCs w:val="21"/>
                      <w:highlight w:val="none"/>
                      <w:vertAlign w:val="baseline"/>
                      <w:lang w:val="en-US" w:eastAsia="zh-CN"/>
                    </w:rPr>
                    <w:t>和《仓库防火安全管理规则》等规定做到 安全储存。</w:t>
                  </w:r>
                </w:p>
                <w:p w14:paraId="71FC7F51">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③应配备有专业知识技术人员管理，管理人员配备可靠的个人安全防护用品。</w:t>
                  </w:r>
                </w:p>
                <w:p w14:paraId="4E424B52">
                  <w:pPr>
                    <w:pStyle w:val="5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Style w:val="56"/>
                      <w:rFonts w:hint="default" w:ascii="Times New Roman" w:hAnsi="Times New Roman" w:eastAsia="宋体" w:cs="Times New Roman"/>
                      <w:b w:val="0"/>
                      <w:bCs/>
                      <w:color w:val="auto"/>
                      <w:sz w:val="21"/>
                      <w:szCs w:val="21"/>
                      <w:highlight w:val="none"/>
                      <w:vertAlign w:val="baseline"/>
                      <w:lang w:val="en-US" w:eastAsia="zh-CN"/>
                    </w:rPr>
                  </w:pPr>
                  <w:r>
                    <w:rPr>
                      <w:rStyle w:val="56"/>
                      <w:rFonts w:hint="default" w:ascii="Times New Roman" w:hAnsi="Times New Roman" w:eastAsia="宋体" w:cs="Times New Roman"/>
                      <w:b w:val="0"/>
                      <w:bCs/>
                      <w:color w:val="auto"/>
                      <w:sz w:val="21"/>
                      <w:szCs w:val="21"/>
                      <w:highlight w:val="none"/>
                      <w:vertAlign w:val="baseline"/>
                      <w:lang w:val="en-US" w:eastAsia="zh-CN"/>
                    </w:rPr>
                    <w:t>④加强危废收集暂存、储运管理，加强日常检查，保证容器的完好程度，对 生产过程洒落、滴漏的少量污染物应及时收集处理。</w:t>
                  </w:r>
                </w:p>
              </w:tc>
            </w:tr>
          </w:tbl>
          <w:p w14:paraId="35C620B6">
            <w:pPr>
              <w:keepNext w:val="0"/>
              <w:keepLines w:val="0"/>
              <w:pageBreakBefore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default" w:ascii="Times New Roman" w:hAnsi="Times New Roman" w:eastAsia="宋体" w:cs="Times New Roman"/>
                <w:b/>
                <w:bCs w:val="0"/>
                <w:color w:val="auto"/>
                <w:sz w:val="24"/>
                <w:szCs w:val="24"/>
                <w:highlight w:val="none"/>
                <w:lang w:val="en-US" w:eastAsia="zh-CN"/>
              </w:rPr>
            </w:pPr>
          </w:p>
          <w:p w14:paraId="7DB70DCD">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14:paraId="75720D93">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环境管理与监测计划</w:t>
            </w:r>
          </w:p>
          <w:p w14:paraId="54E2E4EB">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（1）环境管理</w:t>
            </w:r>
          </w:p>
          <w:p w14:paraId="6782297F">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为了缓解建设项目生产运行期对环境构成的不良影响，在采取环保治理工程措施解决建设项目环境影响的同时，必须制定全面的企业环境管理计划，配备专职环保人员，负责环境监督管理工作，同时要加强对管理人员的环保培训，不断提高管理水平。</w:t>
            </w:r>
          </w:p>
          <w:p w14:paraId="51D93966">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②企业排污发生重大变化、污染治理设施改变或生产运行计划改变等都必须向当地环保部门申报，经审批同意后方可实施。</w:t>
            </w:r>
          </w:p>
          <w:p w14:paraId="33A57B21">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③对污染治理设施和管理必须与生产经营活动一起纳入企业的日常管理中，要建立岗位责任制，制定操作规程，建立</w:t>
            </w:r>
            <w:r>
              <w:rPr>
                <w:rFonts w:hint="eastAsia" w:cs="Times New Roman"/>
                <w:color w:val="auto"/>
                <w:sz w:val="24"/>
                <w:szCs w:val="24"/>
                <w:highlight w:val="none"/>
                <w:lang w:val="en-US" w:eastAsia="zh-CN"/>
              </w:rPr>
              <w:t>管理台账</w:t>
            </w:r>
            <w:r>
              <w:rPr>
                <w:rFonts w:hint="default" w:ascii="Times New Roman" w:hAnsi="Times New Roman" w:eastAsia="宋体" w:cs="Times New Roman"/>
                <w:color w:val="auto"/>
                <w:sz w:val="24"/>
                <w:szCs w:val="24"/>
                <w:highlight w:val="none"/>
                <w:lang w:val="en-US" w:eastAsia="zh-CN"/>
              </w:rPr>
              <w:t>，接受环保主管部门的检查监督，定期上报各项环境管理工作的执行情况。</w:t>
            </w:r>
          </w:p>
          <w:p w14:paraId="4896011E">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（2）监测计划</w:t>
            </w:r>
          </w:p>
          <w:p w14:paraId="49DB566C">
            <w:pPr>
              <w:pStyle w:val="42"/>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环境监测是环境管理的依据和基础，它为环境统计和环境定量评价提供科学依据，并据此制定污染防治对策和规划。建设单位现不具备单独进行环境监测的能力，委托有资质的环境监测机构进行监测工作。</w:t>
            </w:r>
          </w:p>
          <w:p w14:paraId="729AE3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lang w:val="en-US" w:eastAsia="zh-CN"/>
              </w:rPr>
              <w:t>、“三本账”核算</w:t>
            </w:r>
          </w:p>
          <w:p w14:paraId="5F5D322A">
            <w:pPr>
              <w:keepNext w:val="0"/>
              <w:keepLines w:val="0"/>
              <w:pageBreakBefore w:val="0"/>
              <w:widowControl w:val="0"/>
              <w:kinsoku/>
              <w:wordWrap/>
              <w:overflowPunct/>
              <w:topLinePunct w:val="0"/>
              <w:bidi w:val="0"/>
              <w:spacing w:line="360" w:lineRule="auto"/>
              <w:ind w:leftChars="0"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w:t>
            </w:r>
            <w:r>
              <w:rPr>
                <w:rFonts w:hint="default" w:ascii="Times New Roman" w:hAnsi="Times New Roman" w:eastAsia="宋体" w:cs="Times New Roman"/>
                <w:color w:val="auto"/>
                <w:sz w:val="24"/>
                <w:highlight w:val="none"/>
                <w:lang w:val="en-US" w:eastAsia="zh-CN"/>
              </w:rPr>
              <w:t>扩建</w:t>
            </w:r>
            <w:r>
              <w:rPr>
                <w:rFonts w:hint="default" w:ascii="Times New Roman" w:hAnsi="Times New Roman" w:eastAsia="宋体" w:cs="Times New Roman"/>
                <w:color w:val="auto"/>
                <w:sz w:val="24"/>
                <w:highlight w:val="none"/>
                <w:lang w:val="zh-CN"/>
              </w:rPr>
              <w:t>前后污染物排放变化情况详见表</w:t>
            </w:r>
            <w:r>
              <w:rPr>
                <w:rFonts w:hint="default" w:ascii="Times New Roman" w:hAnsi="Times New Roman" w:eastAsia="宋体" w:cs="Times New Roman"/>
                <w:color w:val="auto"/>
                <w:sz w:val="24"/>
                <w:highlight w:val="none"/>
                <w:lang w:val="en-US" w:eastAsia="zh-CN"/>
              </w:rPr>
              <w:t>4-27</w:t>
            </w:r>
            <w:r>
              <w:rPr>
                <w:rFonts w:hint="default" w:ascii="Times New Roman" w:hAnsi="Times New Roman" w:eastAsia="宋体" w:cs="Times New Roman"/>
                <w:color w:val="auto"/>
                <w:sz w:val="24"/>
                <w:highlight w:val="none"/>
                <w:lang w:val="zh-CN"/>
              </w:rPr>
              <w:t>。</w:t>
            </w:r>
          </w:p>
          <w:p w14:paraId="35AF4DCC">
            <w:pPr>
              <w:spacing w:line="400" w:lineRule="exact"/>
              <w:ind w:firstLine="480"/>
              <w:jc w:val="center"/>
              <w:rPr>
                <w:rFonts w:hint="default" w:ascii="Times New Roman" w:hAnsi="Times New Roman" w:eastAsia="宋体" w:cs="Times New Roman"/>
                <w:b/>
                <w:bCs/>
                <w:color w:val="auto"/>
                <w:szCs w:val="21"/>
                <w:highlight w:val="none"/>
                <w:lang w:val="zh-CN"/>
              </w:rPr>
            </w:pPr>
            <w:r>
              <w:rPr>
                <w:rFonts w:hint="default" w:ascii="Times New Roman" w:hAnsi="Times New Roman" w:eastAsia="宋体" w:cs="Times New Roman"/>
                <w:b/>
                <w:bCs/>
                <w:color w:val="auto"/>
                <w:szCs w:val="21"/>
                <w:highlight w:val="none"/>
                <w:lang w:val="zh-CN"/>
              </w:rPr>
              <w:t>表</w:t>
            </w:r>
            <w:r>
              <w:rPr>
                <w:rFonts w:hint="default" w:ascii="Times New Roman" w:hAnsi="Times New Roman" w:eastAsia="宋体" w:cs="Times New Roman"/>
                <w:b/>
                <w:bCs/>
                <w:color w:val="auto"/>
                <w:szCs w:val="21"/>
                <w:highlight w:val="none"/>
                <w:lang w:val="en-US" w:eastAsia="zh-CN"/>
              </w:rPr>
              <w:t xml:space="preserve">4-27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zh-CN"/>
              </w:rPr>
              <w:t>项目</w:t>
            </w:r>
            <w:r>
              <w:rPr>
                <w:rFonts w:hint="default" w:ascii="Times New Roman" w:hAnsi="Times New Roman" w:eastAsia="宋体" w:cs="Times New Roman"/>
                <w:b/>
                <w:bCs/>
                <w:color w:val="auto"/>
                <w:szCs w:val="21"/>
                <w:highlight w:val="none"/>
                <w:lang w:val="en-US" w:eastAsia="zh-CN"/>
              </w:rPr>
              <w:t>扩建</w:t>
            </w:r>
            <w:r>
              <w:rPr>
                <w:rFonts w:hint="default" w:ascii="Times New Roman" w:hAnsi="Times New Roman" w:eastAsia="宋体" w:cs="Times New Roman"/>
                <w:b/>
                <w:bCs/>
                <w:color w:val="auto"/>
                <w:szCs w:val="21"/>
                <w:highlight w:val="none"/>
                <w:lang w:val="zh-CN"/>
              </w:rPr>
              <w:t>前后污染物排放</w:t>
            </w:r>
            <w:r>
              <w:rPr>
                <w:rFonts w:hint="eastAsia" w:cs="Times New Roman"/>
                <w:b/>
                <w:bCs/>
                <w:color w:val="auto"/>
                <w:szCs w:val="21"/>
                <w:highlight w:val="none"/>
                <w:lang w:val="zh-CN"/>
              </w:rPr>
              <w:t>三本账</w:t>
            </w:r>
            <w:r>
              <w:rPr>
                <w:rFonts w:hint="default" w:ascii="Times New Roman" w:hAnsi="Times New Roman" w:eastAsia="宋体" w:cs="Times New Roman"/>
                <w:b/>
                <w:bCs/>
                <w:color w:val="auto"/>
                <w:szCs w:val="21"/>
                <w:highlight w:val="none"/>
                <w:lang w:val="zh-CN"/>
              </w:rPr>
              <w:t>一览表</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22"/>
              <w:gridCol w:w="924"/>
              <w:gridCol w:w="871"/>
              <w:gridCol w:w="941"/>
              <w:gridCol w:w="1004"/>
              <w:gridCol w:w="941"/>
              <w:gridCol w:w="923"/>
              <w:gridCol w:w="993"/>
              <w:gridCol w:w="953"/>
            </w:tblGrid>
            <w:tr w14:paraId="3FB3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4" w:type="pct"/>
                  <w:gridSpan w:val="2"/>
                  <w:vMerge w:val="restart"/>
                  <w:tcBorders>
                    <w:tl2br w:val="single" w:color="auto" w:sz="4" w:space="0"/>
                  </w:tcBorders>
                  <w:noWrap w:val="0"/>
                  <w:vAlign w:val="center"/>
                </w:tcPr>
                <w:p w14:paraId="6619A495">
                  <w:pPr>
                    <w:keepNext w:val="0"/>
                    <w:keepLines w:val="0"/>
                    <w:pageBreakBefore w:val="0"/>
                    <w:widowControl w:val="0"/>
                    <w:kinsoku/>
                    <w:wordWrap/>
                    <w:overflowPunct/>
                    <w:topLinePunct w:val="0"/>
                    <w:autoSpaceDE/>
                    <w:autoSpaceDN/>
                    <w:bidi w:val="0"/>
                    <w:adjustRightInd w:val="0"/>
                    <w:snapToGrid w:val="0"/>
                    <w:ind w:firstLine="422" w:firstLineChars="20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数量</w:t>
                  </w:r>
                </w:p>
                <w:p w14:paraId="0882390F">
                  <w:pPr>
                    <w:keepNext w:val="0"/>
                    <w:keepLines w:val="0"/>
                    <w:pageBreakBefore w:val="0"/>
                    <w:kinsoku/>
                    <w:wordWrap/>
                    <w:overflowPunct/>
                    <w:topLinePunct w:val="0"/>
                    <w:autoSpaceDE/>
                    <w:autoSpaceDN/>
                    <w:bidi w:val="0"/>
                    <w:adjustRightInd w:val="0"/>
                    <w:snapToGrid w:val="0"/>
                    <w:ind w:firstLine="0" w:firstLineChars="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指标</w:t>
                  </w:r>
                </w:p>
              </w:tc>
              <w:tc>
                <w:tcPr>
                  <w:tcW w:w="980" w:type="pct"/>
                  <w:gridSpan w:val="2"/>
                  <w:noWrap w:val="0"/>
                  <w:vAlign w:val="center"/>
                </w:tcPr>
                <w:p w14:paraId="13984BD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现有</w:t>
                  </w:r>
                  <w:r>
                    <w:rPr>
                      <w:rFonts w:hint="default" w:ascii="Times New Roman" w:hAnsi="Times New Roman" w:eastAsia="宋体" w:cs="Times New Roman"/>
                      <w:b/>
                      <w:bCs/>
                      <w:color w:val="auto"/>
                      <w:szCs w:val="21"/>
                      <w:highlight w:val="none"/>
                    </w:rPr>
                    <w:t>工程</w:t>
                  </w:r>
                </w:p>
              </w:tc>
              <w:tc>
                <w:tcPr>
                  <w:tcW w:w="1547" w:type="pct"/>
                  <w:gridSpan w:val="3"/>
                  <w:noWrap w:val="0"/>
                  <w:vAlign w:val="center"/>
                </w:tcPr>
                <w:p w14:paraId="0385C32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扩建</w:t>
                  </w:r>
                  <w:r>
                    <w:rPr>
                      <w:rFonts w:hint="default" w:ascii="Times New Roman" w:hAnsi="Times New Roman" w:eastAsia="宋体" w:cs="Times New Roman"/>
                      <w:b/>
                      <w:bCs/>
                      <w:color w:val="auto"/>
                      <w:szCs w:val="21"/>
                      <w:highlight w:val="none"/>
                    </w:rPr>
                    <w:t>工程</w:t>
                  </w:r>
                </w:p>
              </w:tc>
              <w:tc>
                <w:tcPr>
                  <w:tcW w:w="1637" w:type="pct"/>
                  <w:gridSpan w:val="3"/>
                  <w:noWrap w:val="0"/>
                  <w:vAlign w:val="center"/>
                </w:tcPr>
                <w:p w14:paraId="6BF8483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总体工程</w:t>
                  </w:r>
                </w:p>
              </w:tc>
            </w:tr>
            <w:tr w14:paraId="1C8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gridSpan w:val="2"/>
                  <w:vMerge w:val="continue"/>
                  <w:noWrap w:val="0"/>
                  <w:vAlign w:val="center"/>
                </w:tcPr>
                <w:p w14:paraId="2CE1173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p>
              </w:tc>
              <w:tc>
                <w:tcPr>
                  <w:tcW w:w="528" w:type="pct"/>
                  <w:noWrap w:val="0"/>
                  <w:vAlign w:val="center"/>
                </w:tcPr>
                <w:p w14:paraId="6001486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产生量（t/a）</w:t>
                  </w:r>
                </w:p>
              </w:tc>
              <w:tc>
                <w:tcPr>
                  <w:tcW w:w="451" w:type="pct"/>
                  <w:noWrap w:val="0"/>
                  <w:vAlign w:val="center"/>
                </w:tcPr>
                <w:p w14:paraId="72AD7CC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排放量（t/a）</w:t>
                  </w:r>
                </w:p>
              </w:tc>
              <w:tc>
                <w:tcPr>
                  <w:tcW w:w="537" w:type="pct"/>
                  <w:noWrap w:val="0"/>
                  <w:vAlign w:val="center"/>
                </w:tcPr>
                <w:p w14:paraId="6B87317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产生量（t/a）</w:t>
                  </w:r>
                </w:p>
              </w:tc>
              <w:tc>
                <w:tcPr>
                  <w:tcW w:w="473" w:type="pct"/>
                  <w:noWrap w:val="0"/>
                  <w:vAlign w:val="center"/>
                </w:tcPr>
                <w:p w14:paraId="47BD0AE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自身削减量（t/a）</w:t>
                  </w:r>
                </w:p>
              </w:tc>
              <w:tc>
                <w:tcPr>
                  <w:tcW w:w="535" w:type="pct"/>
                  <w:noWrap w:val="0"/>
                  <w:vAlign w:val="center"/>
                </w:tcPr>
                <w:p w14:paraId="24B871B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排放量（t/a）</w:t>
                  </w:r>
                </w:p>
              </w:tc>
              <w:tc>
                <w:tcPr>
                  <w:tcW w:w="527" w:type="pct"/>
                  <w:noWrap w:val="0"/>
                  <w:vAlign w:val="center"/>
                </w:tcPr>
                <w:p w14:paraId="0D24930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排放量（t/a）</w:t>
                  </w:r>
                </w:p>
              </w:tc>
              <w:tc>
                <w:tcPr>
                  <w:tcW w:w="566" w:type="pct"/>
                  <w:noWrap w:val="0"/>
                  <w:vAlign w:val="center"/>
                </w:tcPr>
                <w:p w14:paraId="5ADAB06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“以新带老”消减量（t/a）</w:t>
                  </w:r>
                </w:p>
              </w:tc>
              <w:tc>
                <w:tcPr>
                  <w:tcW w:w="544" w:type="pct"/>
                  <w:noWrap w:val="0"/>
                  <w:vAlign w:val="center"/>
                </w:tcPr>
                <w:p w14:paraId="5841AD5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排放增减量（t/a）</w:t>
                  </w:r>
                </w:p>
              </w:tc>
            </w:tr>
            <w:tr w14:paraId="6EAD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noWrap w:val="0"/>
                  <w:vAlign w:val="center"/>
                </w:tcPr>
                <w:p w14:paraId="5825E91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废气</w:t>
                  </w:r>
                </w:p>
              </w:tc>
              <w:tc>
                <w:tcPr>
                  <w:tcW w:w="584" w:type="pct"/>
                  <w:noWrap w:val="0"/>
                  <w:vAlign w:val="center"/>
                </w:tcPr>
                <w:p w14:paraId="12792C8D">
                  <w:pPr>
                    <w:keepNext w:val="0"/>
                    <w:keepLines w:val="0"/>
                    <w:pageBreakBefore w:val="0"/>
                    <w:kinsoku/>
                    <w:wordWrap/>
                    <w:overflowPunct/>
                    <w:topLinePunct w:val="0"/>
                    <w:autoSpaceDE/>
                    <w:autoSpaceDN/>
                    <w:bidi w:val="0"/>
                    <w:ind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颗粒物</w:t>
                  </w:r>
                </w:p>
              </w:tc>
              <w:tc>
                <w:tcPr>
                  <w:tcW w:w="528" w:type="pct"/>
                  <w:noWrap w:val="0"/>
                  <w:vAlign w:val="center"/>
                </w:tcPr>
                <w:p w14:paraId="6F731E9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152.5</w:t>
                  </w:r>
                </w:p>
              </w:tc>
              <w:tc>
                <w:tcPr>
                  <w:tcW w:w="451" w:type="pct"/>
                  <w:noWrap w:val="0"/>
                  <w:vAlign w:val="center"/>
                </w:tcPr>
                <w:p w14:paraId="7752DBF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537" w:type="pct"/>
                  <w:noWrap w:val="0"/>
                  <w:vAlign w:val="center"/>
                </w:tcPr>
                <w:p w14:paraId="151A840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123.748</w:t>
                  </w:r>
                </w:p>
              </w:tc>
              <w:tc>
                <w:tcPr>
                  <w:tcW w:w="473" w:type="pct"/>
                  <w:noWrap w:val="0"/>
                  <w:vAlign w:val="center"/>
                </w:tcPr>
                <w:p w14:paraId="1D53A115">
                  <w:pPr>
                    <w:keepNext w:val="0"/>
                    <w:keepLines w:val="0"/>
                    <w:pageBreakBefore w:val="0"/>
                    <w:widowControl/>
                    <w:kinsoku/>
                    <w:wordWrap/>
                    <w:overflowPunct/>
                    <w:topLinePunct w:val="0"/>
                    <w:autoSpaceDE/>
                    <w:autoSpaceDN/>
                    <w:bidi w:val="0"/>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118.5489</w:t>
                  </w:r>
                </w:p>
              </w:tc>
              <w:tc>
                <w:tcPr>
                  <w:tcW w:w="535" w:type="pct"/>
                  <w:noWrap w:val="0"/>
                  <w:vAlign w:val="center"/>
                </w:tcPr>
                <w:p w14:paraId="5C849F7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5.1991</w:t>
                  </w:r>
                </w:p>
              </w:tc>
              <w:tc>
                <w:tcPr>
                  <w:tcW w:w="527" w:type="pct"/>
                  <w:noWrap w:val="0"/>
                  <w:vAlign w:val="center"/>
                </w:tcPr>
                <w:p w14:paraId="57037CA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18.5591</w:t>
                  </w:r>
                </w:p>
              </w:tc>
              <w:tc>
                <w:tcPr>
                  <w:tcW w:w="566" w:type="pct"/>
                  <w:noWrap w:val="0"/>
                  <w:vAlign w:val="center"/>
                </w:tcPr>
                <w:p w14:paraId="113A83E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44" w:type="pct"/>
                  <w:noWrap w:val="0"/>
                  <w:vAlign w:val="center"/>
                </w:tcPr>
                <w:p w14:paraId="26148E8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5.1991</w:t>
                  </w:r>
                </w:p>
              </w:tc>
            </w:tr>
            <w:tr w14:paraId="389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noWrap w:val="0"/>
                  <w:vAlign w:val="center"/>
                </w:tcPr>
                <w:p w14:paraId="431CB55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废水</w:t>
                  </w:r>
                </w:p>
              </w:tc>
              <w:tc>
                <w:tcPr>
                  <w:tcW w:w="584" w:type="pct"/>
                  <w:noWrap w:val="0"/>
                  <w:vAlign w:val="center"/>
                </w:tcPr>
                <w:p w14:paraId="092DE31A">
                  <w:pPr>
                    <w:keepNext w:val="0"/>
                    <w:keepLines w:val="0"/>
                    <w:widowControl w:val="0"/>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 w:val="21"/>
                      <w:szCs w:val="21"/>
                      <w:highlight w:val="none"/>
                    </w:rPr>
                    <w:t>职工生活</w:t>
                  </w:r>
                  <w:r>
                    <w:rPr>
                      <w:rFonts w:hint="eastAsia" w:cs="Times New Roman"/>
                      <w:color w:val="auto"/>
                      <w:sz w:val="21"/>
                      <w:szCs w:val="21"/>
                      <w:highlight w:val="none"/>
                      <w:lang w:val="en-US" w:eastAsia="zh-CN"/>
                    </w:rPr>
                    <w:t>污水</w:t>
                  </w:r>
                </w:p>
              </w:tc>
              <w:tc>
                <w:tcPr>
                  <w:tcW w:w="528" w:type="pct"/>
                  <w:noWrap w:val="0"/>
                  <w:vAlign w:val="center"/>
                </w:tcPr>
                <w:p w14:paraId="3119277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highlight w:val="none"/>
                      <w:lang w:val="en-US" w:eastAsia="zh-CN"/>
                    </w:rPr>
                    <w:t>540</w:t>
                  </w:r>
                </w:p>
              </w:tc>
              <w:tc>
                <w:tcPr>
                  <w:tcW w:w="451" w:type="pct"/>
                  <w:noWrap w:val="0"/>
                  <w:vAlign w:val="center"/>
                </w:tcPr>
                <w:p w14:paraId="31A15E4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37" w:type="pct"/>
                  <w:noWrap w:val="0"/>
                  <w:vAlign w:val="center"/>
                </w:tcPr>
                <w:p w14:paraId="368FF7F5">
                  <w:pPr>
                    <w:keepNext w:val="0"/>
                    <w:keepLines w:val="0"/>
                    <w:pageBreakBefore w:val="0"/>
                    <w:kinsoku/>
                    <w:wordWrap/>
                    <w:overflowPunct/>
                    <w:topLinePunct w:val="0"/>
                    <w:autoSpaceDE/>
                    <w:autoSpaceDN/>
                    <w:bidi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highlight w:val="none"/>
                      <w:lang w:val="en-US" w:eastAsia="zh-CN"/>
                    </w:rPr>
                    <w:t>0</w:t>
                  </w:r>
                </w:p>
              </w:tc>
              <w:tc>
                <w:tcPr>
                  <w:tcW w:w="473" w:type="pct"/>
                  <w:noWrap w:val="0"/>
                  <w:vAlign w:val="center"/>
                </w:tcPr>
                <w:p w14:paraId="48E645B4">
                  <w:pPr>
                    <w:keepNext w:val="0"/>
                    <w:keepLines w:val="0"/>
                    <w:pageBreakBefore w:val="0"/>
                    <w:widowControl/>
                    <w:kinsoku/>
                    <w:wordWrap/>
                    <w:overflowPunct/>
                    <w:topLinePunct w:val="0"/>
                    <w:autoSpaceDE/>
                    <w:autoSpaceDN/>
                    <w:bidi w:val="0"/>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w:t>
                  </w:r>
                </w:p>
              </w:tc>
              <w:tc>
                <w:tcPr>
                  <w:tcW w:w="535" w:type="pct"/>
                  <w:noWrap w:val="0"/>
                  <w:vAlign w:val="center"/>
                </w:tcPr>
                <w:p w14:paraId="1AED523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27" w:type="pct"/>
                  <w:noWrap w:val="0"/>
                  <w:vAlign w:val="center"/>
                </w:tcPr>
                <w:p w14:paraId="328D292F">
                  <w:pPr>
                    <w:keepNext w:val="0"/>
                    <w:keepLines w:val="0"/>
                    <w:pageBreakBefore w:val="0"/>
                    <w:widowControl/>
                    <w:kinsoku/>
                    <w:wordWrap/>
                    <w:overflowPunct/>
                    <w:topLinePunct w:val="0"/>
                    <w:autoSpaceDE/>
                    <w:autoSpaceDN/>
                    <w:bidi w:val="0"/>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pct"/>
                  <w:noWrap w:val="0"/>
                  <w:vAlign w:val="center"/>
                </w:tcPr>
                <w:p w14:paraId="7E1B21C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44" w:type="pct"/>
                  <w:noWrap w:val="0"/>
                  <w:vAlign w:val="center"/>
                </w:tcPr>
                <w:p w14:paraId="03A50D6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14:paraId="7871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noWrap w:val="0"/>
                  <w:vAlign w:val="center"/>
                </w:tcPr>
                <w:p w14:paraId="651314A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lang w:val="en-US" w:eastAsia="zh-CN"/>
                    </w:rPr>
                  </w:pPr>
                </w:p>
              </w:tc>
              <w:tc>
                <w:tcPr>
                  <w:tcW w:w="584" w:type="pct"/>
                  <w:noWrap w:val="0"/>
                  <w:vAlign w:val="center"/>
                </w:tcPr>
                <w:p w14:paraId="58E60CDF">
                  <w:pPr>
                    <w:keepNext w:val="0"/>
                    <w:keepLines w:val="0"/>
                    <w:widowControl w:val="0"/>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 w:val="21"/>
                      <w:szCs w:val="21"/>
                      <w:highlight w:val="none"/>
                      <w:lang w:val="en-US" w:eastAsia="zh-CN"/>
                    </w:rPr>
                    <w:t>生产清洗废水</w:t>
                  </w:r>
                </w:p>
              </w:tc>
              <w:tc>
                <w:tcPr>
                  <w:tcW w:w="528" w:type="pct"/>
                  <w:noWrap w:val="0"/>
                  <w:vAlign w:val="center"/>
                </w:tcPr>
                <w:p w14:paraId="11B8F95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15180</w:t>
                  </w:r>
                </w:p>
              </w:tc>
              <w:tc>
                <w:tcPr>
                  <w:tcW w:w="451" w:type="pct"/>
                  <w:noWrap w:val="0"/>
                  <w:vAlign w:val="center"/>
                </w:tcPr>
                <w:p w14:paraId="53E1508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37" w:type="pct"/>
                  <w:noWrap w:val="0"/>
                  <w:vAlign w:val="center"/>
                </w:tcPr>
                <w:p w14:paraId="5679AE1A">
                  <w:pPr>
                    <w:keepNext w:val="0"/>
                    <w:keepLines w:val="0"/>
                    <w:pageBreakBefore w:val="0"/>
                    <w:kinsoku/>
                    <w:wordWrap/>
                    <w:overflowPunct/>
                    <w:topLinePunct w:val="0"/>
                    <w:autoSpaceDE/>
                    <w:autoSpaceDN/>
                    <w:bidi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highlight w:val="none"/>
                      <w:lang w:val="en-US" w:eastAsia="zh-CN"/>
                    </w:rPr>
                    <w:t>7003.2</w:t>
                  </w:r>
                </w:p>
              </w:tc>
              <w:tc>
                <w:tcPr>
                  <w:tcW w:w="473" w:type="pct"/>
                  <w:noWrap w:val="0"/>
                  <w:vAlign w:val="center"/>
                </w:tcPr>
                <w:p w14:paraId="4794F29B">
                  <w:pPr>
                    <w:keepNext w:val="0"/>
                    <w:keepLines w:val="0"/>
                    <w:pageBreakBefore w:val="0"/>
                    <w:widowControl/>
                    <w:kinsoku/>
                    <w:wordWrap/>
                    <w:overflowPunct/>
                    <w:topLinePunct w:val="0"/>
                    <w:autoSpaceDE/>
                    <w:autoSpaceDN/>
                    <w:bidi w:val="0"/>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highlight w:val="none"/>
                      <w:lang w:val="en-US" w:eastAsia="zh-CN"/>
                    </w:rPr>
                    <w:t>7003.2</w:t>
                  </w:r>
                </w:p>
              </w:tc>
              <w:tc>
                <w:tcPr>
                  <w:tcW w:w="535" w:type="pct"/>
                  <w:noWrap w:val="0"/>
                  <w:vAlign w:val="center"/>
                </w:tcPr>
                <w:p w14:paraId="73429EC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27" w:type="pct"/>
                  <w:noWrap w:val="0"/>
                  <w:vAlign w:val="center"/>
                </w:tcPr>
                <w:p w14:paraId="72C1ACE5">
                  <w:pPr>
                    <w:keepNext w:val="0"/>
                    <w:keepLines w:val="0"/>
                    <w:pageBreakBefore w:val="0"/>
                    <w:widowControl/>
                    <w:kinsoku/>
                    <w:wordWrap/>
                    <w:overflowPunct/>
                    <w:topLinePunct w:val="0"/>
                    <w:autoSpaceDE/>
                    <w:autoSpaceDN/>
                    <w:bidi w:val="0"/>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pct"/>
                  <w:noWrap w:val="0"/>
                  <w:vAlign w:val="center"/>
                </w:tcPr>
                <w:p w14:paraId="3B656FB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44" w:type="pct"/>
                  <w:noWrap w:val="0"/>
                  <w:vAlign w:val="center"/>
                </w:tcPr>
                <w:p w14:paraId="311FBD8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14:paraId="640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noWrap w:val="0"/>
                  <w:vAlign w:val="center"/>
                </w:tcPr>
                <w:p w14:paraId="7482FC0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固废</w:t>
                  </w:r>
                </w:p>
              </w:tc>
              <w:tc>
                <w:tcPr>
                  <w:tcW w:w="584" w:type="pct"/>
                  <w:noWrap w:val="0"/>
                  <w:vAlign w:val="center"/>
                </w:tcPr>
                <w:p w14:paraId="47CC942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lang w:val="en-US" w:eastAsia="zh-CN"/>
                    </w:rPr>
                    <w:t>生产废料</w:t>
                  </w:r>
                </w:p>
              </w:tc>
              <w:tc>
                <w:tcPr>
                  <w:tcW w:w="528" w:type="pct"/>
                  <w:noWrap w:val="0"/>
                  <w:vAlign w:val="center"/>
                </w:tcPr>
                <w:p w14:paraId="1D37E5A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lang w:val="en-US" w:eastAsia="zh-CN"/>
                    </w:rPr>
                    <w:t>100</w:t>
                  </w:r>
                </w:p>
              </w:tc>
              <w:tc>
                <w:tcPr>
                  <w:tcW w:w="451" w:type="pct"/>
                  <w:noWrap w:val="0"/>
                  <w:vAlign w:val="center"/>
                </w:tcPr>
                <w:p w14:paraId="46F5E46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0</w:t>
                  </w:r>
                </w:p>
              </w:tc>
              <w:tc>
                <w:tcPr>
                  <w:tcW w:w="537" w:type="pct"/>
                  <w:noWrap w:val="0"/>
                  <w:vAlign w:val="center"/>
                </w:tcPr>
                <w:p w14:paraId="59E6D47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lang w:val="en-US" w:eastAsia="zh-CN"/>
                    </w:rPr>
                    <w:t>40</w:t>
                  </w:r>
                </w:p>
              </w:tc>
              <w:tc>
                <w:tcPr>
                  <w:tcW w:w="473" w:type="pct"/>
                  <w:noWrap w:val="0"/>
                  <w:vAlign w:val="center"/>
                </w:tcPr>
                <w:p w14:paraId="51165B2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lang w:val="en-US" w:eastAsia="zh-CN"/>
                    </w:rPr>
                    <w:t>40</w:t>
                  </w:r>
                </w:p>
              </w:tc>
              <w:tc>
                <w:tcPr>
                  <w:tcW w:w="535" w:type="pct"/>
                  <w:noWrap w:val="0"/>
                  <w:vAlign w:val="center"/>
                </w:tcPr>
                <w:p w14:paraId="65D5230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0</w:t>
                  </w:r>
                </w:p>
              </w:tc>
              <w:tc>
                <w:tcPr>
                  <w:tcW w:w="527" w:type="pct"/>
                  <w:noWrap w:val="0"/>
                  <w:vAlign w:val="center"/>
                </w:tcPr>
                <w:p w14:paraId="3E4525A0">
                  <w:pPr>
                    <w:keepNext w:val="0"/>
                    <w:keepLines w:val="0"/>
                    <w:pageBreakBefore w:val="0"/>
                    <w:widowControl/>
                    <w:kinsoku/>
                    <w:wordWrap/>
                    <w:overflowPunct/>
                    <w:topLinePunct w:val="0"/>
                    <w:autoSpaceDE/>
                    <w:autoSpaceDN/>
                    <w:bidi w:val="0"/>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pct"/>
                  <w:noWrap w:val="0"/>
                  <w:vAlign w:val="center"/>
                </w:tcPr>
                <w:p w14:paraId="0AC6DA1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44" w:type="pct"/>
                  <w:noWrap w:val="0"/>
                  <w:vAlign w:val="center"/>
                </w:tcPr>
                <w:p w14:paraId="7895970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14:paraId="2800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noWrap w:val="0"/>
                  <w:vAlign w:val="center"/>
                </w:tcPr>
                <w:p w14:paraId="334B039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p>
              </w:tc>
              <w:tc>
                <w:tcPr>
                  <w:tcW w:w="584" w:type="pct"/>
                  <w:noWrap w:val="0"/>
                  <w:vAlign w:val="center"/>
                </w:tcPr>
                <w:p w14:paraId="7FB4275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沉淀池底泥</w:t>
                  </w:r>
                </w:p>
              </w:tc>
              <w:tc>
                <w:tcPr>
                  <w:tcW w:w="528" w:type="pct"/>
                  <w:noWrap w:val="0"/>
                  <w:vAlign w:val="center"/>
                </w:tcPr>
                <w:p w14:paraId="7DBF6B3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17.5075</w:t>
                  </w:r>
                </w:p>
              </w:tc>
              <w:tc>
                <w:tcPr>
                  <w:tcW w:w="451" w:type="pct"/>
                  <w:noWrap w:val="0"/>
                  <w:vAlign w:val="center"/>
                </w:tcPr>
                <w:p w14:paraId="18AFDFD5">
                  <w:pPr>
                    <w:keepNext w:val="0"/>
                    <w:keepLines w:val="0"/>
                    <w:pageBreakBefore w:val="0"/>
                    <w:kinsoku/>
                    <w:wordWrap/>
                    <w:overflowPunct/>
                    <w:topLinePunct w:val="0"/>
                    <w:autoSpaceDE/>
                    <w:autoSpaceDN/>
                    <w:bidi w:val="0"/>
                    <w:adjustRightInd w:val="0"/>
                    <w:snapToGrid w:val="0"/>
                    <w:ind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537" w:type="pct"/>
                  <w:noWrap w:val="0"/>
                  <w:vAlign w:val="center"/>
                </w:tcPr>
                <w:p w14:paraId="1BC2995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7.003</w:t>
                  </w:r>
                </w:p>
              </w:tc>
              <w:tc>
                <w:tcPr>
                  <w:tcW w:w="473" w:type="pct"/>
                  <w:noWrap w:val="0"/>
                  <w:vAlign w:val="center"/>
                </w:tcPr>
                <w:p w14:paraId="5278D9E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7.003</w:t>
                  </w:r>
                </w:p>
              </w:tc>
              <w:tc>
                <w:tcPr>
                  <w:tcW w:w="535" w:type="pct"/>
                  <w:noWrap w:val="0"/>
                  <w:vAlign w:val="center"/>
                </w:tcPr>
                <w:p w14:paraId="1ABCEEC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527" w:type="pct"/>
                  <w:noWrap w:val="0"/>
                  <w:vAlign w:val="center"/>
                </w:tcPr>
                <w:p w14:paraId="199A05CE">
                  <w:pPr>
                    <w:keepNext w:val="0"/>
                    <w:keepLines w:val="0"/>
                    <w:pageBreakBefore w:val="0"/>
                    <w:widowControl/>
                    <w:kinsoku/>
                    <w:wordWrap/>
                    <w:overflowPunct/>
                    <w:topLinePunct w:val="0"/>
                    <w:autoSpaceDE/>
                    <w:autoSpaceDN/>
                    <w:bidi w:val="0"/>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pct"/>
                  <w:noWrap w:val="0"/>
                  <w:vAlign w:val="center"/>
                </w:tcPr>
                <w:p w14:paraId="0F6C545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44" w:type="pct"/>
                  <w:noWrap w:val="0"/>
                  <w:vAlign w:val="center"/>
                </w:tcPr>
                <w:p w14:paraId="0D81ABF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14:paraId="5674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noWrap w:val="0"/>
                  <w:vAlign w:val="center"/>
                </w:tcPr>
                <w:p w14:paraId="4DFFC57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p>
              </w:tc>
              <w:tc>
                <w:tcPr>
                  <w:tcW w:w="584" w:type="pct"/>
                  <w:noWrap w:val="0"/>
                  <w:vAlign w:val="center"/>
                </w:tcPr>
                <w:p w14:paraId="1FC54C5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除尘器收尘</w:t>
                  </w:r>
                </w:p>
              </w:tc>
              <w:tc>
                <w:tcPr>
                  <w:tcW w:w="528" w:type="pct"/>
                  <w:noWrap w:val="0"/>
                  <w:vAlign w:val="center"/>
                </w:tcPr>
                <w:p w14:paraId="1AA51C8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451" w:type="pct"/>
                  <w:noWrap w:val="0"/>
                  <w:vAlign w:val="center"/>
                </w:tcPr>
                <w:p w14:paraId="56AC756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537" w:type="pct"/>
                  <w:noWrap w:val="0"/>
                  <w:vAlign w:val="center"/>
                </w:tcPr>
                <w:p w14:paraId="062CA88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59.5209</w:t>
                  </w:r>
                </w:p>
              </w:tc>
              <w:tc>
                <w:tcPr>
                  <w:tcW w:w="473" w:type="pct"/>
                  <w:noWrap w:val="0"/>
                  <w:vAlign w:val="center"/>
                </w:tcPr>
                <w:p w14:paraId="770A70F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59.5209</w:t>
                  </w:r>
                </w:p>
              </w:tc>
              <w:tc>
                <w:tcPr>
                  <w:tcW w:w="535" w:type="pct"/>
                  <w:noWrap w:val="0"/>
                  <w:vAlign w:val="center"/>
                </w:tcPr>
                <w:p w14:paraId="5D65FD90">
                  <w:pPr>
                    <w:keepNext w:val="0"/>
                    <w:keepLines w:val="0"/>
                    <w:pageBreakBefore w:val="0"/>
                    <w:kinsoku/>
                    <w:wordWrap/>
                    <w:overflowPunct/>
                    <w:topLinePunct w:val="0"/>
                    <w:autoSpaceDE/>
                    <w:autoSpaceDN/>
                    <w:bidi w:val="0"/>
                    <w:adjustRightInd w:val="0"/>
                    <w:snapToGrid w:val="0"/>
                    <w:ind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527" w:type="pct"/>
                  <w:noWrap w:val="0"/>
                  <w:vAlign w:val="center"/>
                </w:tcPr>
                <w:p w14:paraId="1D060EE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566" w:type="pct"/>
                  <w:noWrap w:val="0"/>
                  <w:vAlign w:val="center"/>
                </w:tcPr>
                <w:p w14:paraId="73EE5D0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544" w:type="pct"/>
                  <w:noWrap w:val="0"/>
                  <w:vAlign w:val="center"/>
                </w:tcPr>
                <w:p w14:paraId="743C0BD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r>
            <w:tr w14:paraId="7964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noWrap w:val="0"/>
                  <w:vAlign w:val="center"/>
                </w:tcPr>
                <w:p w14:paraId="5D820F5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p>
              </w:tc>
              <w:tc>
                <w:tcPr>
                  <w:tcW w:w="584" w:type="pct"/>
                  <w:noWrap w:val="0"/>
                  <w:vAlign w:val="center"/>
                </w:tcPr>
                <w:p w14:paraId="5D88706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生活固废（生活垃圾、餐厨垃圾）</w:t>
                  </w:r>
                </w:p>
              </w:tc>
              <w:tc>
                <w:tcPr>
                  <w:tcW w:w="528" w:type="pct"/>
                  <w:noWrap w:val="0"/>
                  <w:vAlign w:val="center"/>
                </w:tcPr>
                <w:p w14:paraId="60C6BFD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9</w:t>
                  </w:r>
                </w:p>
              </w:tc>
              <w:tc>
                <w:tcPr>
                  <w:tcW w:w="451" w:type="pct"/>
                  <w:noWrap w:val="0"/>
                  <w:vAlign w:val="center"/>
                </w:tcPr>
                <w:p w14:paraId="292C99D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w:t>
                  </w:r>
                </w:p>
              </w:tc>
              <w:tc>
                <w:tcPr>
                  <w:tcW w:w="537" w:type="pct"/>
                  <w:noWrap w:val="0"/>
                  <w:vAlign w:val="center"/>
                </w:tcPr>
                <w:p w14:paraId="35C795F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473" w:type="pct"/>
                  <w:noWrap w:val="0"/>
                  <w:vAlign w:val="center"/>
                </w:tcPr>
                <w:p w14:paraId="1BB1119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535" w:type="pct"/>
                  <w:noWrap w:val="0"/>
                  <w:vAlign w:val="center"/>
                </w:tcPr>
                <w:p w14:paraId="66AB5C1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527" w:type="pct"/>
                  <w:noWrap w:val="0"/>
                  <w:vAlign w:val="center"/>
                </w:tcPr>
                <w:p w14:paraId="45E73B2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w:t>
                  </w:r>
                </w:p>
              </w:tc>
              <w:tc>
                <w:tcPr>
                  <w:tcW w:w="566" w:type="pct"/>
                  <w:noWrap w:val="0"/>
                  <w:vAlign w:val="center"/>
                </w:tcPr>
                <w:p w14:paraId="39BE61E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544" w:type="pct"/>
                  <w:noWrap w:val="0"/>
                  <w:vAlign w:val="center"/>
                </w:tcPr>
                <w:p w14:paraId="5399A37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r>
            <w:tr w14:paraId="72F5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noWrap w:val="0"/>
                  <w:vAlign w:val="center"/>
                </w:tcPr>
                <w:p w14:paraId="5DEA575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p>
              </w:tc>
              <w:tc>
                <w:tcPr>
                  <w:tcW w:w="584" w:type="pct"/>
                  <w:noWrap w:val="0"/>
                  <w:vAlign w:val="center"/>
                </w:tcPr>
                <w:p w14:paraId="0B7FB6A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危险固废</w:t>
                  </w:r>
                </w:p>
              </w:tc>
              <w:tc>
                <w:tcPr>
                  <w:tcW w:w="528" w:type="pct"/>
                  <w:noWrap w:val="0"/>
                  <w:vAlign w:val="center"/>
                </w:tcPr>
                <w:p w14:paraId="74427E9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r>
                    <w:rPr>
                      <w:rFonts w:hint="default" w:ascii="Times New Roman" w:hAnsi="Times New Roman" w:cs="Times New Roman"/>
                      <w:color w:val="auto"/>
                      <w:sz w:val="21"/>
                      <w:szCs w:val="21"/>
                      <w:highlight w:val="none"/>
                      <w:lang w:val="en-US" w:eastAsia="zh-CN"/>
                    </w:rPr>
                    <w:t>5</w:t>
                  </w:r>
                </w:p>
              </w:tc>
              <w:tc>
                <w:tcPr>
                  <w:tcW w:w="451" w:type="pct"/>
                  <w:noWrap w:val="0"/>
                  <w:vAlign w:val="center"/>
                </w:tcPr>
                <w:p w14:paraId="1A2068D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r>
                    <w:rPr>
                      <w:rFonts w:hint="default" w:ascii="Times New Roman" w:hAnsi="Times New Roman" w:cs="Times New Roman"/>
                      <w:color w:val="auto"/>
                      <w:sz w:val="21"/>
                      <w:szCs w:val="21"/>
                      <w:highlight w:val="none"/>
                      <w:lang w:val="en-US" w:eastAsia="zh-CN"/>
                    </w:rPr>
                    <w:t>5</w:t>
                  </w:r>
                </w:p>
              </w:tc>
              <w:tc>
                <w:tcPr>
                  <w:tcW w:w="537" w:type="pct"/>
                  <w:noWrap w:val="0"/>
                  <w:vAlign w:val="center"/>
                </w:tcPr>
                <w:p w14:paraId="0F27EF8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p>
              </w:tc>
              <w:tc>
                <w:tcPr>
                  <w:tcW w:w="473" w:type="pct"/>
                  <w:noWrap w:val="0"/>
                  <w:vAlign w:val="center"/>
                </w:tcPr>
                <w:p w14:paraId="4D737D9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p>
              </w:tc>
              <w:tc>
                <w:tcPr>
                  <w:tcW w:w="535" w:type="pct"/>
                  <w:noWrap w:val="0"/>
                  <w:vAlign w:val="center"/>
                </w:tcPr>
                <w:p w14:paraId="0C4B8C4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p>
              </w:tc>
              <w:tc>
                <w:tcPr>
                  <w:tcW w:w="527" w:type="pct"/>
                  <w:noWrap w:val="0"/>
                  <w:vAlign w:val="center"/>
                </w:tcPr>
                <w:p w14:paraId="783F861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0.35</w:t>
                  </w:r>
                </w:p>
              </w:tc>
              <w:tc>
                <w:tcPr>
                  <w:tcW w:w="566" w:type="pct"/>
                  <w:noWrap w:val="0"/>
                  <w:vAlign w:val="center"/>
                </w:tcPr>
                <w:p w14:paraId="0BF9CD5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544" w:type="pct"/>
                  <w:noWrap w:val="0"/>
                  <w:vAlign w:val="center"/>
                </w:tcPr>
                <w:p w14:paraId="554770F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r>
          </w:tbl>
          <w:p w14:paraId="304A7E4C">
            <w:pPr>
              <w:pStyle w:val="3"/>
              <w:rPr>
                <w:rFonts w:hint="default" w:ascii="Times New Roman" w:hAnsi="Times New Roman" w:eastAsia="宋体" w:cs="Times New Roman"/>
                <w:color w:val="auto"/>
                <w:sz w:val="24"/>
                <w:highlight w:val="none"/>
                <w:lang w:val="zh-CN"/>
              </w:rPr>
            </w:pPr>
          </w:p>
          <w:p w14:paraId="492D40E1">
            <w:pPr>
              <w:rPr>
                <w:rFonts w:hint="default" w:ascii="Times New Roman" w:hAnsi="Times New Roman" w:eastAsia="宋体" w:cs="Times New Roman"/>
                <w:color w:val="auto"/>
                <w:sz w:val="24"/>
                <w:highlight w:val="none"/>
                <w:lang w:val="zh-CN"/>
              </w:rPr>
            </w:pPr>
          </w:p>
          <w:p w14:paraId="2BB50C07">
            <w:pPr>
              <w:rPr>
                <w:rFonts w:hint="default" w:ascii="Times New Roman" w:hAnsi="Times New Roman" w:eastAsia="宋体" w:cs="Times New Roman"/>
                <w:color w:val="auto"/>
                <w:sz w:val="24"/>
                <w:highlight w:val="none"/>
                <w:lang w:val="zh-CN"/>
              </w:rPr>
            </w:pPr>
          </w:p>
          <w:p w14:paraId="255726B4">
            <w:pPr>
              <w:rPr>
                <w:rFonts w:hint="default" w:ascii="Times New Roman" w:hAnsi="Times New Roman" w:eastAsia="宋体" w:cs="Times New Roman"/>
                <w:color w:val="auto"/>
                <w:sz w:val="24"/>
                <w:highlight w:val="none"/>
                <w:lang w:val="zh-CN"/>
              </w:rPr>
            </w:pPr>
          </w:p>
          <w:p w14:paraId="2157DB40">
            <w:pPr>
              <w:rPr>
                <w:rFonts w:hint="default" w:ascii="Times New Roman" w:hAnsi="Times New Roman" w:eastAsia="宋体" w:cs="Times New Roman"/>
                <w:color w:val="auto"/>
                <w:sz w:val="24"/>
                <w:highlight w:val="none"/>
                <w:lang w:val="zh-CN"/>
              </w:rPr>
            </w:pPr>
          </w:p>
          <w:p w14:paraId="40A1BBF7">
            <w:pPr>
              <w:rPr>
                <w:rFonts w:hint="default" w:ascii="Times New Roman" w:hAnsi="Times New Roman" w:eastAsia="宋体" w:cs="Times New Roman"/>
                <w:color w:val="auto"/>
                <w:sz w:val="24"/>
                <w:highlight w:val="none"/>
                <w:lang w:val="zh-CN"/>
              </w:rPr>
            </w:pPr>
          </w:p>
          <w:p w14:paraId="3CD73932">
            <w:pPr>
              <w:rPr>
                <w:rFonts w:hint="default" w:ascii="Times New Roman" w:hAnsi="Times New Roman" w:eastAsia="宋体" w:cs="Times New Roman"/>
                <w:color w:val="auto"/>
                <w:sz w:val="24"/>
                <w:highlight w:val="none"/>
                <w:lang w:val="zh-CN"/>
              </w:rPr>
            </w:pPr>
          </w:p>
          <w:p w14:paraId="53AC389B">
            <w:pPr>
              <w:rPr>
                <w:rFonts w:hint="default" w:ascii="Times New Roman" w:hAnsi="Times New Roman" w:eastAsia="宋体" w:cs="Times New Roman"/>
                <w:color w:val="auto"/>
                <w:sz w:val="24"/>
                <w:highlight w:val="none"/>
                <w:lang w:val="zh-CN"/>
              </w:rPr>
            </w:pPr>
          </w:p>
          <w:p w14:paraId="04BD6397">
            <w:pPr>
              <w:rPr>
                <w:rFonts w:hint="default" w:ascii="Times New Roman" w:hAnsi="Times New Roman" w:eastAsia="宋体" w:cs="Times New Roman"/>
                <w:color w:val="auto"/>
                <w:sz w:val="24"/>
                <w:highlight w:val="none"/>
                <w:lang w:val="zh-CN"/>
              </w:rPr>
            </w:pPr>
          </w:p>
          <w:p w14:paraId="0C141964">
            <w:pPr>
              <w:rPr>
                <w:rFonts w:hint="default" w:ascii="Times New Roman" w:hAnsi="Times New Roman" w:eastAsia="宋体" w:cs="Times New Roman"/>
                <w:color w:val="auto"/>
                <w:sz w:val="24"/>
                <w:highlight w:val="none"/>
                <w:lang w:val="zh-CN"/>
              </w:rPr>
            </w:pPr>
          </w:p>
          <w:p w14:paraId="65A9CAFE">
            <w:pPr>
              <w:rPr>
                <w:rFonts w:hint="default" w:ascii="Times New Roman" w:hAnsi="Times New Roman" w:eastAsia="宋体" w:cs="Times New Roman"/>
                <w:color w:val="auto"/>
                <w:sz w:val="24"/>
                <w:highlight w:val="none"/>
                <w:lang w:val="zh-CN"/>
              </w:rPr>
            </w:pPr>
          </w:p>
          <w:p w14:paraId="32923711">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firstLine="0" w:firstLineChars="0"/>
              <w:jc w:val="both"/>
              <w:textAlignment w:val="auto"/>
              <w:outlineLvl w:val="0"/>
              <w:rPr>
                <w:rFonts w:hint="default" w:ascii="Times New Roman" w:hAnsi="Times New Roman" w:eastAsia="宋体" w:cs="Times New Roman"/>
                <w:b/>
                <w:bCs/>
                <w:snapToGrid w:val="0"/>
                <w:color w:val="auto"/>
                <w:sz w:val="30"/>
                <w:szCs w:val="30"/>
                <w:highlight w:val="none"/>
                <w:vertAlign w:val="baseline"/>
              </w:rPr>
            </w:pPr>
          </w:p>
        </w:tc>
      </w:tr>
    </w:tbl>
    <w:p w14:paraId="343F3BE1">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firstLine="0" w:firstLineChars="0"/>
        <w:jc w:val="both"/>
        <w:textAlignment w:val="auto"/>
        <w:outlineLvl w:val="0"/>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42EBF4">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bCs/>
          <w:snapToGrid w:val="0"/>
          <w:color w:val="auto"/>
          <w:sz w:val="30"/>
          <w:szCs w:val="30"/>
          <w:highlight w:val="none"/>
        </w:rPr>
      </w:pPr>
      <w:bookmarkStart w:id="18" w:name="_Toc6939"/>
      <w:r>
        <w:rPr>
          <w:rFonts w:hint="default" w:ascii="Times New Roman" w:hAnsi="Times New Roman" w:eastAsia="宋体" w:cs="Times New Roman"/>
          <w:b/>
          <w:bCs/>
          <w:snapToGrid w:val="0"/>
          <w:color w:val="auto"/>
          <w:sz w:val="30"/>
          <w:szCs w:val="30"/>
          <w:highlight w:val="none"/>
        </w:rPr>
        <w:t>五、</w:t>
      </w:r>
      <w:bookmarkStart w:id="19" w:name="_Hlk54167917"/>
      <w:r>
        <w:rPr>
          <w:rFonts w:hint="default" w:ascii="Times New Roman" w:hAnsi="Times New Roman" w:eastAsia="宋体" w:cs="Times New Roman"/>
          <w:b/>
          <w:bCs/>
          <w:snapToGrid w:val="0"/>
          <w:color w:val="auto"/>
          <w:sz w:val="30"/>
          <w:szCs w:val="30"/>
          <w:highlight w:val="none"/>
        </w:rPr>
        <w:t>环境保护措施监督检查清单</w:t>
      </w:r>
      <w:bookmarkEnd w:id="17"/>
      <w:bookmarkEnd w:id="18"/>
      <w:bookmarkEnd w:id="19"/>
    </w:p>
    <w:tbl>
      <w:tblPr>
        <w:tblStyle w:val="37"/>
        <w:tblpPr w:leftFromText="180" w:rightFromText="180" w:vertAnchor="text" w:horzAnchor="page" w:tblpX="1789" w:tblpY="337"/>
        <w:tblOverlap w:val="never"/>
        <w:tblW w:w="88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Layout w:type="fixed"/>
        <w:tblCellMar>
          <w:top w:w="0" w:type="dxa"/>
          <w:left w:w="0" w:type="dxa"/>
          <w:bottom w:w="0" w:type="dxa"/>
          <w:right w:w="0" w:type="dxa"/>
        </w:tblCellMar>
      </w:tblPr>
      <w:tblGrid>
        <w:gridCol w:w="916"/>
        <w:gridCol w:w="2397"/>
        <w:gridCol w:w="1196"/>
        <w:gridCol w:w="779"/>
        <w:gridCol w:w="1752"/>
        <w:gridCol w:w="1764"/>
      </w:tblGrid>
      <w:tr w14:paraId="1651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554" w:hRule="atLeast"/>
        </w:trPr>
        <w:tc>
          <w:tcPr>
            <w:tcW w:w="916" w:type="dxa"/>
            <w:tcBorders>
              <w:tl2br w:val="nil"/>
              <w:tr2bl w:val="nil"/>
            </w:tcBorders>
            <w:vAlign w:val="center"/>
          </w:tcPr>
          <w:p w14:paraId="6BCE138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内容要素</w:t>
            </w:r>
          </w:p>
        </w:tc>
        <w:tc>
          <w:tcPr>
            <w:tcW w:w="3593" w:type="dxa"/>
            <w:gridSpan w:val="2"/>
            <w:tcBorders>
              <w:tl2br w:val="nil"/>
              <w:tr2bl w:val="nil"/>
            </w:tcBorders>
            <w:vAlign w:val="center"/>
          </w:tcPr>
          <w:p w14:paraId="13196D16">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排放口</w:t>
            </w:r>
            <w:r>
              <w:rPr>
                <w:rFonts w:hint="eastAsia"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编号、名称</w:t>
            </w:r>
            <w:r>
              <w:rPr>
                <w:rFonts w:hint="eastAsia"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/污染源</w:t>
            </w:r>
          </w:p>
        </w:tc>
        <w:tc>
          <w:tcPr>
            <w:tcW w:w="779" w:type="dxa"/>
            <w:tcBorders>
              <w:tl2br w:val="nil"/>
              <w:tr2bl w:val="nil"/>
            </w:tcBorders>
            <w:vAlign w:val="center"/>
          </w:tcPr>
          <w:p w14:paraId="1854B553">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污染物项目</w:t>
            </w:r>
          </w:p>
        </w:tc>
        <w:tc>
          <w:tcPr>
            <w:tcW w:w="1752" w:type="dxa"/>
            <w:tcBorders>
              <w:tl2br w:val="nil"/>
              <w:tr2bl w:val="nil"/>
            </w:tcBorders>
            <w:vAlign w:val="center"/>
          </w:tcPr>
          <w:p w14:paraId="2EA321E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环境保护措施</w:t>
            </w:r>
          </w:p>
        </w:tc>
        <w:tc>
          <w:tcPr>
            <w:tcW w:w="1764" w:type="dxa"/>
            <w:tcBorders>
              <w:tl2br w:val="nil"/>
              <w:tr2bl w:val="nil"/>
            </w:tcBorders>
            <w:vAlign w:val="center"/>
          </w:tcPr>
          <w:p w14:paraId="1B9CC6D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执行标准</w:t>
            </w:r>
          </w:p>
        </w:tc>
      </w:tr>
      <w:tr w14:paraId="0D0C4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1" w:hRule="atLeast"/>
        </w:trPr>
        <w:tc>
          <w:tcPr>
            <w:tcW w:w="916" w:type="dxa"/>
            <w:vMerge w:val="restart"/>
            <w:tcBorders>
              <w:tl2br w:val="nil"/>
              <w:tr2bl w:val="nil"/>
            </w:tcBorders>
            <w:vAlign w:val="center"/>
          </w:tcPr>
          <w:p w14:paraId="781EA15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大气环境</w:t>
            </w:r>
          </w:p>
        </w:tc>
        <w:tc>
          <w:tcPr>
            <w:tcW w:w="2397" w:type="dxa"/>
            <w:vMerge w:val="restart"/>
            <w:tcBorders>
              <w:tl2br w:val="nil"/>
              <w:tr2bl w:val="nil"/>
            </w:tcBorders>
            <w:vAlign w:val="center"/>
          </w:tcPr>
          <w:p w14:paraId="1299028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eastAsia" w:cs="Times New Roman"/>
                <w:b w:val="0"/>
                <w:bCs w:val="0"/>
                <w:color w:val="auto"/>
                <w:sz w:val="24"/>
                <w:szCs w:val="24"/>
                <w:highlight w:val="none"/>
                <w:lang w:val="en-US" w:eastAsia="zh-CN"/>
              </w:rPr>
              <w:t>现有项目</w:t>
            </w:r>
            <w:r>
              <w:rPr>
                <w:rFonts w:hint="default" w:ascii="Times New Roman" w:hAnsi="Times New Roman" w:eastAsia="宋体" w:cs="Times New Roman"/>
                <w:b w:val="0"/>
                <w:bCs w:val="0"/>
                <w:color w:val="auto"/>
                <w:sz w:val="24"/>
                <w:szCs w:val="24"/>
                <w:highlight w:val="none"/>
              </w:rPr>
              <w:t>粉料筒仓有组织粉尘</w:t>
            </w:r>
          </w:p>
        </w:tc>
        <w:tc>
          <w:tcPr>
            <w:tcW w:w="1196" w:type="dxa"/>
            <w:tcBorders>
              <w:tl2br w:val="nil"/>
              <w:tr2bl w:val="nil"/>
            </w:tcBorders>
            <w:vAlign w:val="center"/>
          </w:tcPr>
          <w:p w14:paraId="5D85E32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1</w:t>
            </w:r>
          </w:p>
        </w:tc>
        <w:tc>
          <w:tcPr>
            <w:tcW w:w="779" w:type="dxa"/>
            <w:vMerge w:val="restart"/>
            <w:tcBorders>
              <w:tl2br w:val="nil"/>
              <w:tr2bl w:val="nil"/>
            </w:tcBorders>
            <w:vAlign w:val="center"/>
          </w:tcPr>
          <w:p w14:paraId="3E5E862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颗粒物</w:t>
            </w:r>
          </w:p>
        </w:tc>
        <w:tc>
          <w:tcPr>
            <w:tcW w:w="1752" w:type="dxa"/>
            <w:tcBorders>
              <w:tl2br w:val="nil"/>
              <w:tr2bl w:val="nil"/>
            </w:tcBorders>
            <w:vAlign w:val="center"/>
          </w:tcPr>
          <w:p w14:paraId="6AE253E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restart"/>
            <w:tcBorders>
              <w:tl2br w:val="nil"/>
              <w:tr2bl w:val="nil"/>
            </w:tcBorders>
            <w:vAlign w:val="center"/>
          </w:tcPr>
          <w:p w14:paraId="3CAFBFB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执行《水泥工业大气污染物排放标准》（GB4915-2013） 表1现有与新建 企业大气污染物排放限值</w:t>
            </w:r>
          </w:p>
        </w:tc>
      </w:tr>
      <w:tr w14:paraId="18A77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1" w:hRule="atLeast"/>
        </w:trPr>
        <w:tc>
          <w:tcPr>
            <w:tcW w:w="916" w:type="dxa"/>
            <w:vMerge w:val="continue"/>
            <w:tcBorders>
              <w:tl2br w:val="nil"/>
              <w:tr2bl w:val="nil"/>
            </w:tcBorders>
            <w:vAlign w:val="center"/>
          </w:tcPr>
          <w:p w14:paraId="4E896116">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continue"/>
            <w:tcBorders>
              <w:tl2br w:val="nil"/>
              <w:tr2bl w:val="nil"/>
            </w:tcBorders>
            <w:vAlign w:val="center"/>
          </w:tcPr>
          <w:p w14:paraId="6CA1A57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196" w:type="dxa"/>
            <w:tcBorders>
              <w:tl2br w:val="nil"/>
              <w:tr2bl w:val="nil"/>
            </w:tcBorders>
            <w:vAlign w:val="center"/>
          </w:tcPr>
          <w:p w14:paraId="65CAA86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2</w:t>
            </w:r>
          </w:p>
        </w:tc>
        <w:tc>
          <w:tcPr>
            <w:tcW w:w="779" w:type="dxa"/>
            <w:vMerge w:val="continue"/>
            <w:tcBorders>
              <w:tl2br w:val="nil"/>
              <w:tr2bl w:val="nil"/>
            </w:tcBorders>
            <w:vAlign w:val="center"/>
          </w:tcPr>
          <w:p w14:paraId="0902563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3E007A1E">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38A0051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205A7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1" w:hRule="atLeast"/>
        </w:trPr>
        <w:tc>
          <w:tcPr>
            <w:tcW w:w="916" w:type="dxa"/>
            <w:vMerge w:val="continue"/>
            <w:tcBorders>
              <w:tl2br w:val="nil"/>
              <w:tr2bl w:val="nil"/>
            </w:tcBorders>
            <w:vAlign w:val="center"/>
          </w:tcPr>
          <w:p w14:paraId="6CB6C34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continue"/>
            <w:tcBorders>
              <w:tl2br w:val="nil"/>
              <w:tr2bl w:val="nil"/>
            </w:tcBorders>
            <w:vAlign w:val="center"/>
          </w:tcPr>
          <w:p w14:paraId="75A005D2">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196" w:type="dxa"/>
            <w:tcBorders>
              <w:tl2br w:val="nil"/>
              <w:tr2bl w:val="nil"/>
            </w:tcBorders>
            <w:vAlign w:val="center"/>
          </w:tcPr>
          <w:p w14:paraId="4B2ED3E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3</w:t>
            </w:r>
          </w:p>
        </w:tc>
        <w:tc>
          <w:tcPr>
            <w:tcW w:w="779" w:type="dxa"/>
            <w:vMerge w:val="continue"/>
            <w:tcBorders>
              <w:tl2br w:val="nil"/>
              <w:tr2bl w:val="nil"/>
            </w:tcBorders>
            <w:vAlign w:val="center"/>
          </w:tcPr>
          <w:p w14:paraId="257730B6">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3A59EF10">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00D2F0CF">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4324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1" w:hRule="atLeast"/>
        </w:trPr>
        <w:tc>
          <w:tcPr>
            <w:tcW w:w="916" w:type="dxa"/>
            <w:vMerge w:val="continue"/>
            <w:tcBorders>
              <w:tl2br w:val="nil"/>
              <w:tr2bl w:val="nil"/>
            </w:tcBorders>
            <w:vAlign w:val="center"/>
          </w:tcPr>
          <w:p w14:paraId="7257389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continue"/>
            <w:tcBorders>
              <w:tl2br w:val="nil"/>
              <w:tr2bl w:val="nil"/>
            </w:tcBorders>
            <w:vAlign w:val="center"/>
          </w:tcPr>
          <w:p w14:paraId="01EF4EC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196" w:type="dxa"/>
            <w:tcBorders>
              <w:tl2br w:val="nil"/>
              <w:tr2bl w:val="nil"/>
            </w:tcBorders>
            <w:vAlign w:val="center"/>
          </w:tcPr>
          <w:p w14:paraId="1762FF80">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4</w:t>
            </w:r>
          </w:p>
        </w:tc>
        <w:tc>
          <w:tcPr>
            <w:tcW w:w="779" w:type="dxa"/>
            <w:vMerge w:val="continue"/>
            <w:tcBorders>
              <w:tl2br w:val="nil"/>
              <w:tr2bl w:val="nil"/>
            </w:tcBorders>
            <w:vAlign w:val="center"/>
          </w:tcPr>
          <w:p w14:paraId="76181A9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3B1AA349">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449A562D">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401C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1" w:hRule="atLeast"/>
        </w:trPr>
        <w:tc>
          <w:tcPr>
            <w:tcW w:w="916" w:type="dxa"/>
            <w:vMerge w:val="continue"/>
            <w:tcBorders>
              <w:tl2br w:val="nil"/>
              <w:tr2bl w:val="nil"/>
            </w:tcBorders>
            <w:vAlign w:val="center"/>
          </w:tcPr>
          <w:p w14:paraId="1D8DB2D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restart"/>
            <w:tcBorders>
              <w:tl2br w:val="nil"/>
              <w:tr2bl w:val="nil"/>
            </w:tcBorders>
            <w:vAlign w:val="center"/>
          </w:tcPr>
          <w:p w14:paraId="2E6EAD3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eastAsia" w:cs="Times New Roman"/>
                <w:b w:val="0"/>
                <w:bCs w:val="0"/>
                <w:color w:val="auto"/>
                <w:sz w:val="24"/>
                <w:szCs w:val="24"/>
                <w:highlight w:val="none"/>
                <w:lang w:val="en-US" w:eastAsia="zh-CN"/>
              </w:rPr>
              <w:t>本次改扩建项目</w:t>
            </w:r>
            <w:r>
              <w:rPr>
                <w:rFonts w:hint="default" w:ascii="Times New Roman" w:hAnsi="Times New Roman" w:eastAsia="宋体" w:cs="Times New Roman"/>
                <w:b w:val="0"/>
                <w:bCs w:val="0"/>
                <w:color w:val="auto"/>
                <w:sz w:val="24"/>
                <w:szCs w:val="24"/>
                <w:highlight w:val="none"/>
              </w:rPr>
              <w:t>粉料筒仓有组织粉尘</w:t>
            </w:r>
          </w:p>
        </w:tc>
        <w:tc>
          <w:tcPr>
            <w:tcW w:w="1196" w:type="dxa"/>
            <w:tcBorders>
              <w:tl2br w:val="nil"/>
              <w:tr2bl w:val="nil"/>
            </w:tcBorders>
            <w:vAlign w:val="center"/>
          </w:tcPr>
          <w:p w14:paraId="01E392E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5</w:t>
            </w:r>
          </w:p>
        </w:tc>
        <w:tc>
          <w:tcPr>
            <w:tcW w:w="779" w:type="dxa"/>
            <w:vMerge w:val="continue"/>
            <w:tcBorders>
              <w:tl2br w:val="nil"/>
              <w:tr2bl w:val="nil"/>
            </w:tcBorders>
            <w:vAlign w:val="center"/>
          </w:tcPr>
          <w:p w14:paraId="5B68FBC2">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06CB12B0">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701E38F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6761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2" w:hRule="atLeast"/>
        </w:trPr>
        <w:tc>
          <w:tcPr>
            <w:tcW w:w="916" w:type="dxa"/>
            <w:vMerge w:val="continue"/>
            <w:tcBorders>
              <w:tl2br w:val="nil"/>
              <w:tr2bl w:val="nil"/>
            </w:tcBorders>
            <w:vAlign w:val="center"/>
          </w:tcPr>
          <w:p w14:paraId="2AE86DC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continue"/>
            <w:tcBorders>
              <w:tl2br w:val="nil"/>
              <w:tr2bl w:val="nil"/>
            </w:tcBorders>
            <w:vAlign w:val="center"/>
          </w:tcPr>
          <w:p w14:paraId="5BFDB003">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196" w:type="dxa"/>
            <w:tcBorders>
              <w:tl2br w:val="nil"/>
              <w:tr2bl w:val="nil"/>
            </w:tcBorders>
            <w:vAlign w:val="center"/>
          </w:tcPr>
          <w:p w14:paraId="5F644C8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6</w:t>
            </w:r>
          </w:p>
        </w:tc>
        <w:tc>
          <w:tcPr>
            <w:tcW w:w="779" w:type="dxa"/>
            <w:vMerge w:val="continue"/>
            <w:tcBorders>
              <w:tl2br w:val="nil"/>
              <w:tr2bl w:val="nil"/>
            </w:tcBorders>
            <w:vAlign w:val="center"/>
          </w:tcPr>
          <w:p w14:paraId="18E6CCA2">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4AB09709">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128B4060">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69CD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2" w:hRule="atLeast"/>
        </w:trPr>
        <w:tc>
          <w:tcPr>
            <w:tcW w:w="916" w:type="dxa"/>
            <w:vMerge w:val="continue"/>
            <w:tcBorders>
              <w:tl2br w:val="nil"/>
              <w:tr2bl w:val="nil"/>
            </w:tcBorders>
            <w:vAlign w:val="center"/>
          </w:tcPr>
          <w:p w14:paraId="35B97D1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continue"/>
            <w:tcBorders>
              <w:tl2br w:val="nil"/>
              <w:tr2bl w:val="nil"/>
            </w:tcBorders>
            <w:vAlign w:val="center"/>
          </w:tcPr>
          <w:p w14:paraId="27B10105">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196" w:type="dxa"/>
            <w:tcBorders>
              <w:tl2br w:val="nil"/>
              <w:tr2bl w:val="nil"/>
            </w:tcBorders>
            <w:vAlign w:val="center"/>
          </w:tcPr>
          <w:p w14:paraId="5F9568B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7</w:t>
            </w:r>
          </w:p>
        </w:tc>
        <w:tc>
          <w:tcPr>
            <w:tcW w:w="779" w:type="dxa"/>
            <w:vMerge w:val="continue"/>
            <w:tcBorders>
              <w:tl2br w:val="nil"/>
              <w:tr2bl w:val="nil"/>
            </w:tcBorders>
            <w:vAlign w:val="center"/>
          </w:tcPr>
          <w:p w14:paraId="2A63044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1D589FE6">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484559B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4851A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401" w:hRule="atLeast"/>
        </w:trPr>
        <w:tc>
          <w:tcPr>
            <w:tcW w:w="916" w:type="dxa"/>
            <w:vMerge w:val="continue"/>
            <w:tcBorders>
              <w:tl2br w:val="nil"/>
              <w:tr2bl w:val="nil"/>
            </w:tcBorders>
            <w:vAlign w:val="center"/>
          </w:tcPr>
          <w:p w14:paraId="719BF90D">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2397" w:type="dxa"/>
            <w:vMerge w:val="continue"/>
            <w:tcBorders>
              <w:tl2br w:val="nil"/>
              <w:tr2bl w:val="nil"/>
            </w:tcBorders>
            <w:vAlign w:val="center"/>
          </w:tcPr>
          <w:p w14:paraId="1AD226B5">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196" w:type="dxa"/>
            <w:tcBorders>
              <w:tl2br w:val="nil"/>
              <w:tr2bl w:val="nil"/>
            </w:tcBorders>
            <w:vAlign w:val="center"/>
          </w:tcPr>
          <w:p w14:paraId="50DFA826">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DA00</w:t>
            </w:r>
            <w:r>
              <w:rPr>
                <w:rFonts w:hint="eastAsia" w:cs="Times New Roman"/>
                <w:b w:val="0"/>
                <w:bCs w:val="0"/>
                <w:color w:val="auto"/>
                <w:sz w:val="24"/>
                <w:szCs w:val="24"/>
                <w:highlight w:val="none"/>
                <w:lang w:val="en-US" w:eastAsia="zh-CN"/>
              </w:rPr>
              <w:t>8</w:t>
            </w:r>
          </w:p>
        </w:tc>
        <w:tc>
          <w:tcPr>
            <w:tcW w:w="779" w:type="dxa"/>
            <w:vMerge w:val="continue"/>
            <w:tcBorders>
              <w:tl2br w:val="nil"/>
              <w:tr2bl w:val="nil"/>
            </w:tcBorders>
            <w:vAlign w:val="center"/>
          </w:tcPr>
          <w:p w14:paraId="6216083F">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1752" w:type="dxa"/>
            <w:tcBorders>
              <w:tl2br w:val="nil"/>
              <w:tr2bl w:val="nil"/>
            </w:tcBorders>
            <w:vAlign w:val="center"/>
          </w:tcPr>
          <w:p w14:paraId="4619ACA3">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脉冲布袋除尘器</w:t>
            </w:r>
            <w:r>
              <w:rPr>
                <w:rFonts w:hint="eastAsia" w:cs="Times New Roman"/>
                <w:b w:val="0"/>
                <w:bCs w:val="0"/>
                <w:color w:val="auto"/>
                <w:sz w:val="24"/>
                <w:szCs w:val="24"/>
                <w:highlight w:val="none"/>
                <w:lang w:val="en-US" w:eastAsia="zh-CN"/>
              </w:rPr>
              <w:t>+仓顶排气筒</w:t>
            </w:r>
          </w:p>
        </w:tc>
        <w:tc>
          <w:tcPr>
            <w:tcW w:w="1764" w:type="dxa"/>
            <w:vMerge w:val="continue"/>
            <w:tcBorders>
              <w:tl2br w:val="nil"/>
              <w:tr2bl w:val="nil"/>
            </w:tcBorders>
            <w:vAlign w:val="center"/>
          </w:tcPr>
          <w:p w14:paraId="231D797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5AD4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517" w:hRule="atLeast"/>
        </w:trPr>
        <w:tc>
          <w:tcPr>
            <w:tcW w:w="916" w:type="dxa"/>
            <w:vMerge w:val="continue"/>
            <w:tcBorders>
              <w:tl2br w:val="nil"/>
              <w:tr2bl w:val="nil"/>
            </w:tcBorders>
            <w:vAlign w:val="center"/>
          </w:tcPr>
          <w:p w14:paraId="54437F50">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3593" w:type="dxa"/>
            <w:gridSpan w:val="2"/>
            <w:tcBorders>
              <w:tl2br w:val="nil"/>
              <w:tr2bl w:val="nil"/>
            </w:tcBorders>
            <w:vAlign w:val="center"/>
          </w:tcPr>
          <w:p w14:paraId="030B00E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拌合站搅拌</w:t>
            </w:r>
            <w:r>
              <w:rPr>
                <w:rFonts w:hint="eastAsia" w:cs="Times New Roman"/>
                <w:b w:val="0"/>
                <w:bCs w:val="0"/>
                <w:color w:val="auto"/>
                <w:sz w:val="24"/>
                <w:szCs w:val="24"/>
                <w:highlight w:val="none"/>
                <w:lang w:val="en-US" w:eastAsia="zh-CN"/>
              </w:rPr>
              <w:t>无</w:t>
            </w:r>
            <w:r>
              <w:rPr>
                <w:rFonts w:hint="default" w:ascii="Times New Roman" w:hAnsi="Times New Roman" w:eastAsia="宋体" w:cs="Times New Roman"/>
                <w:b w:val="0"/>
                <w:bCs w:val="0"/>
                <w:color w:val="auto"/>
                <w:sz w:val="24"/>
                <w:szCs w:val="24"/>
                <w:highlight w:val="none"/>
              </w:rPr>
              <w:t>组织粉尘</w:t>
            </w:r>
          </w:p>
        </w:tc>
        <w:tc>
          <w:tcPr>
            <w:tcW w:w="779" w:type="dxa"/>
            <w:tcBorders>
              <w:tl2br w:val="nil"/>
              <w:tr2bl w:val="nil"/>
            </w:tcBorders>
            <w:vAlign w:val="center"/>
          </w:tcPr>
          <w:p w14:paraId="2B1A1B2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颗粒物</w:t>
            </w:r>
          </w:p>
        </w:tc>
        <w:tc>
          <w:tcPr>
            <w:tcW w:w="1752" w:type="dxa"/>
            <w:tcBorders>
              <w:tl2br w:val="nil"/>
              <w:tr2bl w:val="nil"/>
            </w:tcBorders>
            <w:vAlign w:val="center"/>
          </w:tcPr>
          <w:p w14:paraId="4A1E1C0F">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布袋除尘器</w:t>
            </w:r>
            <w:r>
              <w:rPr>
                <w:rFonts w:hint="eastAsia" w:ascii="Times New Roman" w:hAnsi="Times New Roman" w:eastAsia="宋体" w:cs="Times New Roman"/>
                <w:b w:val="0"/>
                <w:bCs w:val="0"/>
                <w:color w:val="auto"/>
                <w:sz w:val="24"/>
                <w:szCs w:val="24"/>
                <w:highlight w:val="none"/>
                <w:lang w:val="en-US" w:eastAsia="zh-CN"/>
              </w:rPr>
              <w:t>+厂房阻隔</w:t>
            </w:r>
          </w:p>
        </w:tc>
        <w:tc>
          <w:tcPr>
            <w:tcW w:w="1764" w:type="dxa"/>
            <w:vMerge w:val="restart"/>
            <w:tcBorders>
              <w:tl2br w:val="nil"/>
              <w:tr2bl w:val="nil"/>
            </w:tcBorders>
            <w:vAlign w:val="center"/>
          </w:tcPr>
          <w:p w14:paraId="4019035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《水泥工业大气污染物排放标准》（GB4915-2013）表3中颗粒物排放浓度限值要求</w:t>
            </w:r>
          </w:p>
        </w:tc>
      </w:tr>
      <w:tr w14:paraId="56B9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517" w:hRule="atLeast"/>
        </w:trPr>
        <w:tc>
          <w:tcPr>
            <w:tcW w:w="916" w:type="dxa"/>
            <w:vMerge w:val="continue"/>
            <w:tcBorders>
              <w:tl2br w:val="nil"/>
              <w:tr2bl w:val="nil"/>
            </w:tcBorders>
            <w:vAlign w:val="center"/>
          </w:tcPr>
          <w:p w14:paraId="28675B0F">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3593" w:type="dxa"/>
            <w:gridSpan w:val="2"/>
            <w:tcBorders>
              <w:tl2br w:val="nil"/>
              <w:tr2bl w:val="nil"/>
            </w:tcBorders>
            <w:vAlign w:val="center"/>
          </w:tcPr>
          <w:p w14:paraId="7E768F6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cs="Times New Roman"/>
                <w:b w:val="0"/>
                <w:bCs w:val="0"/>
                <w:color w:val="auto"/>
                <w:sz w:val="24"/>
                <w:szCs w:val="24"/>
                <w:highlight w:val="none"/>
                <w:lang w:val="en-US" w:eastAsia="zh-CN"/>
              </w:rPr>
            </w:pPr>
            <w:r>
              <w:rPr>
                <w:rFonts w:hint="eastAsia" w:ascii="Times New Roman" w:hAnsi="Times New Roman" w:eastAsia="宋体" w:cs="Times New Roman"/>
                <w:color w:val="auto"/>
                <w:sz w:val="24"/>
                <w:lang w:val="en-US" w:eastAsia="zh-CN"/>
              </w:rPr>
              <w:t>制砂</w:t>
            </w:r>
            <w:r>
              <w:rPr>
                <w:rFonts w:ascii="Times New Roman" w:hAnsi="Times New Roman" w:eastAsia="宋体" w:cs="Times New Roman"/>
                <w:color w:val="auto"/>
                <w:sz w:val="24"/>
              </w:rPr>
              <w:t>生产线</w:t>
            </w:r>
            <w:r>
              <w:rPr>
                <w:rFonts w:hint="eastAsia" w:cs="Times New Roman"/>
                <w:b w:val="0"/>
                <w:bCs w:val="0"/>
                <w:color w:val="auto"/>
                <w:sz w:val="24"/>
                <w:szCs w:val="24"/>
                <w:highlight w:val="none"/>
                <w:lang w:val="en-US" w:eastAsia="zh-CN"/>
              </w:rPr>
              <w:t>无</w:t>
            </w:r>
            <w:r>
              <w:rPr>
                <w:rFonts w:hint="default" w:ascii="Times New Roman" w:hAnsi="Times New Roman" w:eastAsia="宋体" w:cs="Times New Roman"/>
                <w:b w:val="0"/>
                <w:bCs w:val="0"/>
                <w:color w:val="auto"/>
                <w:sz w:val="24"/>
                <w:szCs w:val="24"/>
                <w:highlight w:val="none"/>
              </w:rPr>
              <w:t>组织粉尘</w:t>
            </w:r>
          </w:p>
        </w:tc>
        <w:tc>
          <w:tcPr>
            <w:tcW w:w="779" w:type="dxa"/>
            <w:tcBorders>
              <w:tl2br w:val="nil"/>
              <w:tr2bl w:val="nil"/>
            </w:tcBorders>
            <w:vAlign w:val="center"/>
          </w:tcPr>
          <w:p w14:paraId="042F502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颗粒物</w:t>
            </w:r>
          </w:p>
        </w:tc>
        <w:tc>
          <w:tcPr>
            <w:tcW w:w="1752" w:type="dxa"/>
            <w:tcBorders>
              <w:tl2br w:val="nil"/>
              <w:tr2bl w:val="nil"/>
            </w:tcBorders>
            <w:vAlign w:val="center"/>
          </w:tcPr>
          <w:p w14:paraId="3292F1E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喷雾降尘+厂房阻隔</w:t>
            </w:r>
          </w:p>
        </w:tc>
        <w:tc>
          <w:tcPr>
            <w:tcW w:w="1764" w:type="dxa"/>
            <w:vMerge w:val="continue"/>
            <w:tcBorders>
              <w:tl2br w:val="nil"/>
              <w:tr2bl w:val="nil"/>
            </w:tcBorders>
            <w:vAlign w:val="center"/>
          </w:tcPr>
          <w:p w14:paraId="58ACB065">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12BC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549" w:hRule="atLeast"/>
        </w:trPr>
        <w:tc>
          <w:tcPr>
            <w:tcW w:w="916" w:type="dxa"/>
            <w:vMerge w:val="continue"/>
            <w:tcBorders>
              <w:tl2br w:val="nil"/>
              <w:tr2bl w:val="nil"/>
            </w:tcBorders>
            <w:vAlign w:val="center"/>
          </w:tcPr>
          <w:p w14:paraId="55AC356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3593" w:type="dxa"/>
            <w:gridSpan w:val="2"/>
            <w:tcBorders>
              <w:tl2br w:val="nil"/>
              <w:tr2bl w:val="nil"/>
            </w:tcBorders>
            <w:vAlign w:val="center"/>
          </w:tcPr>
          <w:p w14:paraId="4DDD727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车辆扬尘</w:t>
            </w:r>
          </w:p>
        </w:tc>
        <w:tc>
          <w:tcPr>
            <w:tcW w:w="779" w:type="dxa"/>
            <w:tcBorders>
              <w:tl2br w:val="nil"/>
              <w:tr2bl w:val="nil"/>
            </w:tcBorders>
            <w:vAlign w:val="center"/>
          </w:tcPr>
          <w:p w14:paraId="2F20B81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颗粒物</w:t>
            </w:r>
          </w:p>
        </w:tc>
        <w:tc>
          <w:tcPr>
            <w:tcW w:w="1752" w:type="dxa"/>
            <w:tcBorders>
              <w:tl2br w:val="nil"/>
              <w:tr2bl w:val="nil"/>
            </w:tcBorders>
            <w:vAlign w:val="center"/>
          </w:tcPr>
          <w:p w14:paraId="7387EB71">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非雨天软水管洒水除尘</w:t>
            </w:r>
          </w:p>
        </w:tc>
        <w:tc>
          <w:tcPr>
            <w:tcW w:w="1764" w:type="dxa"/>
            <w:vMerge w:val="continue"/>
            <w:tcBorders>
              <w:tl2br w:val="nil"/>
              <w:tr2bl w:val="nil"/>
            </w:tcBorders>
            <w:vAlign w:val="center"/>
          </w:tcPr>
          <w:p w14:paraId="1A0A87D6">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1436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548" w:hRule="atLeast"/>
        </w:trPr>
        <w:tc>
          <w:tcPr>
            <w:tcW w:w="916" w:type="dxa"/>
            <w:vMerge w:val="continue"/>
            <w:tcBorders>
              <w:tl2br w:val="nil"/>
              <w:tr2bl w:val="nil"/>
            </w:tcBorders>
            <w:vAlign w:val="center"/>
          </w:tcPr>
          <w:p w14:paraId="238CF19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3593" w:type="dxa"/>
            <w:gridSpan w:val="2"/>
            <w:tcBorders>
              <w:tl2br w:val="nil"/>
              <w:tr2bl w:val="nil"/>
            </w:tcBorders>
            <w:vAlign w:val="center"/>
          </w:tcPr>
          <w:p w14:paraId="5CB86AC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原料堆场卸料无组织粉尘</w:t>
            </w:r>
          </w:p>
        </w:tc>
        <w:tc>
          <w:tcPr>
            <w:tcW w:w="779" w:type="dxa"/>
            <w:tcBorders>
              <w:tl2br w:val="nil"/>
              <w:tr2bl w:val="nil"/>
            </w:tcBorders>
            <w:vAlign w:val="center"/>
          </w:tcPr>
          <w:p w14:paraId="755B9BE8">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颗粒物</w:t>
            </w:r>
          </w:p>
        </w:tc>
        <w:tc>
          <w:tcPr>
            <w:tcW w:w="1752" w:type="dxa"/>
            <w:tcBorders>
              <w:tl2br w:val="nil"/>
              <w:tr2bl w:val="nil"/>
            </w:tcBorders>
            <w:vAlign w:val="center"/>
          </w:tcPr>
          <w:p w14:paraId="59A7573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封闭厂房，卸料时炮雾机除尘</w:t>
            </w:r>
          </w:p>
        </w:tc>
        <w:tc>
          <w:tcPr>
            <w:tcW w:w="1764" w:type="dxa"/>
            <w:vMerge w:val="continue"/>
            <w:tcBorders>
              <w:tl2br w:val="nil"/>
              <w:tr2bl w:val="nil"/>
            </w:tcBorders>
            <w:vAlign w:val="center"/>
          </w:tcPr>
          <w:p w14:paraId="7CA62BA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2B8B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821" w:hRule="atLeast"/>
        </w:trPr>
        <w:tc>
          <w:tcPr>
            <w:tcW w:w="916" w:type="dxa"/>
            <w:vMerge w:val="continue"/>
            <w:tcBorders>
              <w:tl2br w:val="nil"/>
              <w:tr2bl w:val="nil"/>
            </w:tcBorders>
            <w:vAlign w:val="center"/>
          </w:tcPr>
          <w:p w14:paraId="5EEEC28B">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3593" w:type="dxa"/>
            <w:gridSpan w:val="2"/>
            <w:tcBorders>
              <w:tl2br w:val="nil"/>
              <w:tr2bl w:val="nil"/>
            </w:tcBorders>
            <w:vAlign w:val="center"/>
          </w:tcPr>
          <w:p w14:paraId="09700BE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配料仓无组织粉尘</w:t>
            </w:r>
          </w:p>
        </w:tc>
        <w:tc>
          <w:tcPr>
            <w:tcW w:w="779" w:type="dxa"/>
            <w:tcBorders>
              <w:tl2br w:val="nil"/>
              <w:tr2bl w:val="nil"/>
            </w:tcBorders>
            <w:vAlign w:val="center"/>
          </w:tcPr>
          <w:p w14:paraId="5F85FC5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颗粒物</w:t>
            </w:r>
          </w:p>
        </w:tc>
        <w:tc>
          <w:tcPr>
            <w:tcW w:w="1752" w:type="dxa"/>
            <w:tcBorders>
              <w:tl2br w:val="nil"/>
              <w:tr2bl w:val="nil"/>
            </w:tcBorders>
            <w:vAlign w:val="center"/>
          </w:tcPr>
          <w:p w14:paraId="2CFE446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封闭厂房，厂房内设置喷雾除尘系统</w:t>
            </w:r>
          </w:p>
        </w:tc>
        <w:tc>
          <w:tcPr>
            <w:tcW w:w="1764" w:type="dxa"/>
            <w:vMerge w:val="continue"/>
            <w:tcBorders>
              <w:tl2br w:val="nil"/>
              <w:tr2bl w:val="nil"/>
            </w:tcBorders>
            <w:vAlign w:val="center"/>
          </w:tcPr>
          <w:p w14:paraId="59B6A7FA">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r>
      <w:tr w14:paraId="15265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549" w:hRule="atLeast"/>
        </w:trPr>
        <w:tc>
          <w:tcPr>
            <w:tcW w:w="916" w:type="dxa"/>
            <w:vMerge w:val="continue"/>
            <w:tcBorders>
              <w:tl2br w:val="nil"/>
              <w:tr2bl w:val="nil"/>
            </w:tcBorders>
            <w:vAlign w:val="center"/>
          </w:tcPr>
          <w:p w14:paraId="1692525D">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p>
        </w:tc>
        <w:tc>
          <w:tcPr>
            <w:tcW w:w="3593" w:type="dxa"/>
            <w:gridSpan w:val="2"/>
            <w:tcBorders>
              <w:tl2br w:val="nil"/>
              <w:tr2bl w:val="nil"/>
            </w:tcBorders>
            <w:vAlign w:val="center"/>
          </w:tcPr>
          <w:p w14:paraId="4FACB40A">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汽车尾气</w:t>
            </w:r>
          </w:p>
        </w:tc>
        <w:tc>
          <w:tcPr>
            <w:tcW w:w="779" w:type="dxa"/>
            <w:tcBorders>
              <w:tl2br w:val="nil"/>
              <w:tr2bl w:val="nil"/>
            </w:tcBorders>
            <w:vAlign w:val="center"/>
          </w:tcPr>
          <w:p w14:paraId="20891E0F">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CO、THC和NOx等</w:t>
            </w:r>
          </w:p>
        </w:tc>
        <w:tc>
          <w:tcPr>
            <w:tcW w:w="1752" w:type="dxa"/>
            <w:tcBorders>
              <w:tl2br w:val="nil"/>
              <w:tr2bl w:val="nil"/>
            </w:tcBorders>
            <w:vAlign w:val="center"/>
          </w:tcPr>
          <w:p w14:paraId="72918FC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减少汽车怠速时间</w:t>
            </w:r>
          </w:p>
        </w:tc>
        <w:tc>
          <w:tcPr>
            <w:tcW w:w="1764" w:type="dxa"/>
            <w:tcBorders>
              <w:tl2br w:val="nil"/>
              <w:tr2bl w:val="nil"/>
            </w:tcBorders>
            <w:vAlign w:val="center"/>
          </w:tcPr>
          <w:p w14:paraId="2D269F5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14:paraId="0375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1018" w:hRule="atLeast"/>
        </w:trPr>
        <w:tc>
          <w:tcPr>
            <w:tcW w:w="916" w:type="dxa"/>
            <w:tcBorders>
              <w:tl2br w:val="nil"/>
              <w:tr2bl w:val="nil"/>
            </w:tcBorders>
            <w:vAlign w:val="center"/>
          </w:tcPr>
          <w:p w14:paraId="2E0FD25A">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地表水环境</w:t>
            </w:r>
          </w:p>
        </w:tc>
        <w:tc>
          <w:tcPr>
            <w:tcW w:w="3593" w:type="dxa"/>
            <w:gridSpan w:val="2"/>
            <w:tcBorders>
              <w:tl2br w:val="nil"/>
              <w:tr2bl w:val="nil"/>
            </w:tcBorders>
            <w:vAlign w:val="center"/>
          </w:tcPr>
          <w:p w14:paraId="47E8B8F4">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搅拌机清洗废水、车辆清洗废水、</w:t>
            </w:r>
            <w:r>
              <w:rPr>
                <w:rFonts w:hint="default" w:ascii="Times New Roman" w:hAnsi="Times New Roman" w:cs="Times New Roman"/>
                <w:b w:val="0"/>
                <w:bCs w:val="0"/>
                <w:color w:val="auto"/>
                <w:sz w:val="24"/>
                <w:szCs w:val="24"/>
                <w:highlight w:val="none"/>
                <w:lang w:val="en-US" w:eastAsia="zh-CN"/>
              </w:rPr>
              <w:t>场地</w:t>
            </w:r>
            <w:r>
              <w:rPr>
                <w:rFonts w:hint="default" w:ascii="Times New Roman" w:hAnsi="Times New Roman" w:eastAsia="宋体" w:cs="Times New Roman"/>
                <w:b w:val="0"/>
                <w:bCs w:val="0"/>
                <w:color w:val="auto"/>
                <w:sz w:val="24"/>
                <w:szCs w:val="24"/>
                <w:highlight w:val="none"/>
              </w:rPr>
              <w:t>清洗废水</w:t>
            </w:r>
          </w:p>
        </w:tc>
        <w:tc>
          <w:tcPr>
            <w:tcW w:w="779" w:type="dxa"/>
            <w:tcBorders>
              <w:tl2br w:val="nil"/>
              <w:tr2bl w:val="nil"/>
            </w:tcBorders>
            <w:vAlign w:val="center"/>
          </w:tcPr>
          <w:p w14:paraId="708768FA">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SS</w:t>
            </w:r>
          </w:p>
        </w:tc>
        <w:tc>
          <w:tcPr>
            <w:tcW w:w="1752" w:type="dxa"/>
            <w:tcBorders>
              <w:tl2br w:val="nil"/>
              <w:tr2bl w:val="nil"/>
            </w:tcBorders>
            <w:vAlign w:val="center"/>
          </w:tcPr>
          <w:p w14:paraId="76EAAB10">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150m</w:t>
            </w:r>
            <w:r>
              <w:rPr>
                <w:rFonts w:hint="default"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沉淀池，设置初期雨水收集池</w:t>
            </w:r>
          </w:p>
        </w:tc>
        <w:tc>
          <w:tcPr>
            <w:tcW w:w="1764" w:type="dxa"/>
            <w:tcBorders>
              <w:tl2br w:val="nil"/>
              <w:tr2bl w:val="nil"/>
            </w:tcBorders>
            <w:vAlign w:val="center"/>
          </w:tcPr>
          <w:p w14:paraId="1A5DD22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回用于生产，不外排</w:t>
            </w:r>
          </w:p>
        </w:tc>
      </w:tr>
      <w:tr w14:paraId="31B0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90" w:hRule="atLeast"/>
        </w:trPr>
        <w:tc>
          <w:tcPr>
            <w:tcW w:w="916" w:type="dxa"/>
            <w:tcBorders>
              <w:tl2br w:val="nil"/>
              <w:tr2bl w:val="nil"/>
            </w:tcBorders>
            <w:vAlign w:val="center"/>
          </w:tcPr>
          <w:p w14:paraId="211EBC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pacing w:val="5"/>
                <w:sz w:val="24"/>
                <w:szCs w:val="24"/>
              </w:rPr>
              <w:t>声环境</w:t>
            </w:r>
          </w:p>
        </w:tc>
        <w:tc>
          <w:tcPr>
            <w:tcW w:w="3593" w:type="dxa"/>
            <w:gridSpan w:val="2"/>
            <w:tcBorders>
              <w:tl2br w:val="nil"/>
              <w:tr2bl w:val="nil"/>
            </w:tcBorders>
            <w:vAlign w:val="center"/>
          </w:tcPr>
          <w:p w14:paraId="085FC8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pacing w:val="7"/>
                <w:sz w:val="24"/>
                <w:szCs w:val="24"/>
              </w:rPr>
              <w:t>搅拌机、水泵、</w:t>
            </w:r>
            <w:r>
              <w:rPr>
                <w:rFonts w:hint="default" w:ascii="Times New Roman" w:hAnsi="Times New Roman" w:eastAsia="宋体" w:cs="Times New Roman"/>
                <w:color w:val="auto"/>
                <w:spacing w:val="8"/>
                <w:sz w:val="24"/>
                <w:szCs w:val="24"/>
              </w:rPr>
              <w:t>皮带机等生产设</w:t>
            </w:r>
            <w:r>
              <w:rPr>
                <w:rFonts w:hint="default" w:ascii="Times New Roman" w:hAnsi="Times New Roman" w:eastAsia="宋体" w:cs="Times New Roman"/>
                <w:color w:val="auto"/>
                <w:sz w:val="24"/>
                <w:szCs w:val="24"/>
              </w:rPr>
              <w:t>备</w:t>
            </w:r>
          </w:p>
        </w:tc>
        <w:tc>
          <w:tcPr>
            <w:tcW w:w="779" w:type="dxa"/>
            <w:tcBorders>
              <w:tl2br w:val="nil"/>
              <w:tr2bl w:val="nil"/>
            </w:tcBorders>
            <w:vAlign w:val="center"/>
          </w:tcPr>
          <w:p w14:paraId="11EFC3F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pacing w:val="3"/>
                <w:sz w:val="24"/>
                <w:szCs w:val="24"/>
              </w:rPr>
              <w:t>等效</w:t>
            </w:r>
            <w:r>
              <w:rPr>
                <w:rFonts w:hint="default" w:ascii="Times New Roman" w:hAnsi="Times New Roman" w:eastAsia="Times New Roman" w:cs="Times New Roman"/>
                <w:color w:val="auto"/>
                <w:spacing w:val="3"/>
                <w:sz w:val="24"/>
                <w:szCs w:val="24"/>
              </w:rPr>
              <w:t>A</w:t>
            </w:r>
            <w:r>
              <w:rPr>
                <w:rFonts w:hint="default" w:ascii="Times New Roman" w:hAnsi="Times New Roman" w:eastAsia="宋体" w:cs="Times New Roman"/>
                <w:color w:val="auto"/>
                <w:spacing w:val="3"/>
                <w:sz w:val="24"/>
                <w:szCs w:val="24"/>
              </w:rPr>
              <w:t>声级</w:t>
            </w:r>
          </w:p>
        </w:tc>
        <w:tc>
          <w:tcPr>
            <w:tcW w:w="1752" w:type="dxa"/>
            <w:tcBorders>
              <w:tl2br w:val="nil"/>
              <w:tr2bl w:val="nil"/>
            </w:tcBorders>
            <w:vAlign w:val="center"/>
          </w:tcPr>
          <w:p w14:paraId="1AEF5C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pacing w:val="-2"/>
                <w:sz w:val="24"/>
                <w:szCs w:val="24"/>
              </w:rPr>
              <w:t>采用低噪声设</w:t>
            </w:r>
            <w:r>
              <w:rPr>
                <w:rFonts w:hint="default" w:ascii="Times New Roman" w:hAnsi="Times New Roman" w:eastAsia="宋体" w:cs="Times New Roman"/>
                <w:color w:val="auto"/>
                <w:spacing w:val="19"/>
                <w:sz w:val="24"/>
                <w:szCs w:val="24"/>
              </w:rPr>
              <w:t>备、基础减振、</w:t>
            </w:r>
            <w:r>
              <w:rPr>
                <w:rFonts w:hint="default" w:ascii="Times New Roman" w:hAnsi="Times New Roman" w:eastAsia="宋体" w:cs="Times New Roman"/>
                <w:color w:val="auto"/>
                <w:spacing w:val="14"/>
                <w:sz w:val="24"/>
                <w:szCs w:val="24"/>
              </w:rPr>
              <w:t>隔声降噪、距离</w:t>
            </w:r>
            <w:r>
              <w:rPr>
                <w:rFonts w:hint="default" w:ascii="Times New Roman" w:hAnsi="Times New Roman" w:eastAsia="宋体" w:cs="Times New Roman"/>
                <w:color w:val="auto"/>
                <w:spacing w:val="9"/>
                <w:sz w:val="24"/>
                <w:szCs w:val="24"/>
              </w:rPr>
              <w:t>衰减</w:t>
            </w:r>
          </w:p>
        </w:tc>
        <w:tc>
          <w:tcPr>
            <w:tcW w:w="1764" w:type="dxa"/>
            <w:tcBorders>
              <w:tl2br w:val="nil"/>
              <w:tr2bl w:val="nil"/>
            </w:tcBorders>
            <w:vAlign w:val="center"/>
          </w:tcPr>
          <w:p w14:paraId="124697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pacing w:val="7"/>
                <w:sz w:val="24"/>
                <w:szCs w:val="24"/>
              </w:rPr>
              <w:t>《工业企业厂界</w:t>
            </w:r>
            <w:r>
              <w:rPr>
                <w:rFonts w:hint="default" w:ascii="Times New Roman" w:hAnsi="Times New Roman" w:eastAsia="宋体" w:cs="Times New Roman"/>
                <w:color w:val="auto"/>
                <w:spacing w:val="8"/>
                <w:sz w:val="24"/>
                <w:szCs w:val="24"/>
              </w:rPr>
              <w:t>环境噪声排放标</w:t>
            </w:r>
            <w:r>
              <w:rPr>
                <w:rFonts w:hint="default" w:ascii="Times New Roman" w:hAnsi="Times New Roman" w:eastAsia="宋体" w:cs="Times New Roman"/>
                <w:color w:val="auto"/>
                <w:spacing w:val="-1"/>
                <w:sz w:val="24"/>
                <w:szCs w:val="24"/>
              </w:rPr>
              <w:t>准》</w:t>
            </w:r>
            <w:r>
              <w:rPr>
                <w:rFonts w:hint="default" w:ascii="Times New Roman" w:hAnsi="Times New Roman" w:eastAsia="Times New Roman" w:cs="Times New Roman"/>
                <w:color w:val="auto"/>
                <w:sz w:val="24"/>
                <w:szCs w:val="24"/>
              </w:rPr>
              <w:t>GB</w:t>
            </w:r>
            <w:r>
              <w:rPr>
                <w:rFonts w:hint="default" w:ascii="Times New Roman" w:hAnsi="Times New Roman" w:eastAsia="Times New Roman" w:cs="Times New Roman"/>
                <w:color w:val="auto"/>
                <w:spacing w:val="4"/>
                <w:sz w:val="24"/>
                <w:szCs w:val="24"/>
              </w:rPr>
              <w:t>12348-2008</w:t>
            </w:r>
            <w:r>
              <w:rPr>
                <w:rFonts w:hint="default" w:ascii="Times New Roman" w:hAnsi="Times New Roman" w:eastAsia="宋体" w:cs="Times New Roman"/>
                <w:color w:val="auto"/>
                <w:spacing w:val="49"/>
                <w:sz w:val="24"/>
                <w:szCs w:val="24"/>
              </w:rPr>
              <w:t xml:space="preserve"> </w:t>
            </w:r>
            <w:r>
              <w:rPr>
                <w:rFonts w:hint="default" w:ascii="Times New Roman" w:hAnsi="Times New Roman" w:eastAsia="宋体" w:cs="Times New Roman"/>
                <w:color w:val="auto"/>
                <w:spacing w:val="-5"/>
                <w:sz w:val="24"/>
                <w:szCs w:val="24"/>
              </w:rPr>
              <w:t>中的</w:t>
            </w:r>
            <w:r>
              <w:rPr>
                <w:rFonts w:hint="default" w:ascii="Times New Roman" w:hAnsi="Times New Roman" w:eastAsia="Times New Roman" w:cs="Times New Roman"/>
                <w:color w:val="auto"/>
                <w:spacing w:val="-5"/>
                <w:sz w:val="24"/>
                <w:szCs w:val="24"/>
              </w:rPr>
              <w:t>3</w:t>
            </w:r>
            <w:r>
              <w:rPr>
                <w:rFonts w:hint="default" w:ascii="Times New Roman" w:hAnsi="Times New Roman" w:eastAsia="宋体" w:cs="Times New Roman"/>
                <w:color w:val="auto"/>
                <w:spacing w:val="-5"/>
                <w:sz w:val="24"/>
                <w:szCs w:val="24"/>
              </w:rPr>
              <w:t>类标准</w:t>
            </w:r>
          </w:p>
        </w:tc>
      </w:tr>
      <w:tr w14:paraId="631F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354" w:hRule="atLeast"/>
        </w:trPr>
        <w:tc>
          <w:tcPr>
            <w:tcW w:w="916" w:type="dxa"/>
            <w:tcBorders>
              <w:tl2br w:val="nil"/>
              <w:tr2bl w:val="nil"/>
            </w:tcBorders>
            <w:vAlign w:val="center"/>
          </w:tcPr>
          <w:p w14:paraId="3628C2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pacing w:val="1"/>
                <w:sz w:val="24"/>
                <w:szCs w:val="24"/>
              </w:rPr>
              <w:t>电磁辐射</w:t>
            </w:r>
          </w:p>
        </w:tc>
        <w:tc>
          <w:tcPr>
            <w:tcW w:w="3593" w:type="dxa"/>
            <w:gridSpan w:val="2"/>
            <w:tcBorders>
              <w:tl2br w:val="nil"/>
              <w:tr2bl w:val="nil"/>
            </w:tcBorders>
            <w:vAlign w:val="center"/>
          </w:tcPr>
          <w:p w14:paraId="1D697E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Times New Roman" w:cs="Times New Roman"/>
                <w:color w:val="auto"/>
                <w:spacing w:val="2"/>
                <w:sz w:val="24"/>
                <w:szCs w:val="24"/>
              </w:rPr>
              <w:t>/</w:t>
            </w:r>
          </w:p>
        </w:tc>
        <w:tc>
          <w:tcPr>
            <w:tcW w:w="779" w:type="dxa"/>
            <w:tcBorders>
              <w:tl2br w:val="nil"/>
              <w:tr2bl w:val="nil"/>
            </w:tcBorders>
            <w:vAlign w:val="center"/>
          </w:tcPr>
          <w:p w14:paraId="7697D34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Times New Roman" w:cs="Times New Roman"/>
                <w:color w:val="auto"/>
                <w:spacing w:val="2"/>
                <w:sz w:val="24"/>
                <w:szCs w:val="24"/>
              </w:rPr>
              <w:t>/</w:t>
            </w:r>
          </w:p>
        </w:tc>
        <w:tc>
          <w:tcPr>
            <w:tcW w:w="1752" w:type="dxa"/>
            <w:tcBorders>
              <w:tl2br w:val="nil"/>
              <w:tr2bl w:val="nil"/>
            </w:tcBorders>
            <w:vAlign w:val="center"/>
          </w:tcPr>
          <w:p w14:paraId="0DF902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Times New Roman" w:cs="Times New Roman"/>
                <w:color w:val="auto"/>
                <w:spacing w:val="2"/>
                <w:sz w:val="24"/>
                <w:szCs w:val="24"/>
              </w:rPr>
              <w:t>/</w:t>
            </w:r>
          </w:p>
        </w:tc>
        <w:tc>
          <w:tcPr>
            <w:tcW w:w="1764" w:type="dxa"/>
            <w:tcBorders>
              <w:tl2br w:val="nil"/>
              <w:tr2bl w:val="nil"/>
            </w:tcBorders>
            <w:vAlign w:val="center"/>
          </w:tcPr>
          <w:p w14:paraId="6960410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Times New Roman" w:cs="Times New Roman"/>
                <w:color w:val="auto"/>
                <w:spacing w:val="2"/>
                <w:sz w:val="24"/>
                <w:szCs w:val="24"/>
              </w:rPr>
              <w:t>/</w:t>
            </w:r>
          </w:p>
        </w:tc>
      </w:tr>
      <w:tr w14:paraId="5739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354" w:hRule="atLeast"/>
        </w:trPr>
        <w:tc>
          <w:tcPr>
            <w:tcW w:w="916" w:type="dxa"/>
            <w:tcBorders>
              <w:tl2br w:val="nil"/>
              <w:tr2bl w:val="nil"/>
            </w:tcBorders>
            <w:vAlign w:val="center"/>
          </w:tcPr>
          <w:p w14:paraId="521C30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2"/>
                <w:sz w:val="24"/>
                <w:szCs w:val="24"/>
              </w:rPr>
              <w:t>固体废物</w:t>
            </w:r>
          </w:p>
        </w:tc>
        <w:tc>
          <w:tcPr>
            <w:tcW w:w="7888" w:type="dxa"/>
            <w:gridSpan w:val="5"/>
            <w:tcBorders>
              <w:tl2br w:val="nil"/>
              <w:tr2bl w:val="nil"/>
            </w:tcBorders>
            <w:vAlign w:val="center"/>
          </w:tcPr>
          <w:p w14:paraId="318C01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）沉淀池底泥：年产生量为约7.003m³/a。产生的底泥定期清理后暂存于原料堆场，用作原料回用于搅拌生产。</w:t>
            </w:r>
          </w:p>
          <w:p w14:paraId="7C276D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）袋式除尘器收尘灰：布袋除尘器收集的粉尘产生量为59.5209t/a，均可作为原料回用于混凝土生产。</w:t>
            </w:r>
          </w:p>
          <w:p w14:paraId="10F19F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）生产废料：通过调查不合格的砂石料和剩余的</w:t>
            </w:r>
            <w:r>
              <w:rPr>
                <w:rFonts w:hint="eastAsia" w:cs="Times New Roman"/>
                <w:color w:val="auto"/>
                <w:sz w:val="24"/>
                <w:szCs w:val="24"/>
                <w:lang w:val="en-US" w:eastAsia="zh-CN"/>
              </w:rPr>
              <w:t>混凝土</w:t>
            </w:r>
            <w:r>
              <w:rPr>
                <w:rFonts w:hint="default" w:ascii="Times New Roman" w:hAnsi="Times New Roman" w:eastAsia="宋体" w:cs="Times New Roman"/>
                <w:color w:val="auto"/>
                <w:sz w:val="24"/>
                <w:szCs w:val="24"/>
                <w:lang w:val="en-US" w:eastAsia="zh-CN"/>
              </w:rPr>
              <w:t>年产生量在40t左右，可用于路面的铺垫料，或者路面的平整料。</w:t>
            </w:r>
          </w:p>
          <w:p w14:paraId="401EAC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Times New Roman" w:cs="Times New Roman"/>
                <w:color w:val="auto"/>
                <w:spacing w:val="2"/>
                <w:sz w:val="24"/>
                <w:szCs w:val="24"/>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）危险废物：项目定期对生产设备、运输车辆进行维修、保养，维修过程产生的废机油及其包装桶属于危险废物，废机油及其包装桶的产生量约0.</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t/a，危险废物统一收集暂存于危废暂存间后，委托有资质单位处置。</w:t>
            </w:r>
          </w:p>
        </w:tc>
      </w:tr>
      <w:tr w14:paraId="2BE9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354" w:hRule="atLeast"/>
        </w:trPr>
        <w:tc>
          <w:tcPr>
            <w:tcW w:w="916" w:type="dxa"/>
            <w:tcBorders>
              <w:tl2br w:val="nil"/>
              <w:tr2bl w:val="nil"/>
            </w:tcBorders>
            <w:vAlign w:val="center"/>
          </w:tcPr>
          <w:p w14:paraId="4191C2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8"/>
                <w:sz w:val="24"/>
                <w:szCs w:val="24"/>
              </w:rPr>
              <w:t>土壤及地下水</w:t>
            </w:r>
            <w:r>
              <w:rPr>
                <w:rFonts w:hint="default" w:ascii="Times New Roman" w:hAnsi="Times New Roman" w:eastAsia="宋体" w:cs="Times New Roman"/>
                <w:color w:val="auto"/>
                <w:spacing w:val="7"/>
                <w:sz w:val="24"/>
                <w:szCs w:val="24"/>
              </w:rPr>
              <w:t>污染防治措施</w:t>
            </w:r>
          </w:p>
        </w:tc>
        <w:tc>
          <w:tcPr>
            <w:tcW w:w="7888" w:type="dxa"/>
            <w:gridSpan w:val="5"/>
            <w:tcBorders>
              <w:tl2br w:val="nil"/>
              <w:tr2bl w:val="nil"/>
            </w:tcBorders>
            <w:vAlign w:val="center"/>
          </w:tcPr>
          <w:p w14:paraId="102126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7"/>
                <w:sz w:val="24"/>
                <w:szCs w:val="24"/>
              </w:rPr>
              <w:t>（</w:t>
            </w:r>
            <w:r>
              <w:rPr>
                <w:rFonts w:hint="default" w:ascii="Times New Roman" w:hAnsi="Times New Roman" w:eastAsia="Times New Roman" w:cs="Times New Roman"/>
                <w:color w:val="auto"/>
                <w:spacing w:val="7"/>
                <w:sz w:val="24"/>
                <w:szCs w:val="24"/>
              </w:rPr>
              <w:t>1</w:t>
            </w:r>
            <w:r>
              <w:rPr>
                <w:rFonts w:hint="default" w:ascii="Times New Roman" w:hAnsi="Times New Roman" w:eastAsia="宋体" w:cs="Times New Roman"/>
                <w:color w:val="auto"/>
                <w:spacing w:val="7"/>
                <w:sz w:val="24"/>
                <w:szCs w:val="24"/>
              </w:rPr>
              <w:t>）各水池采用混凝土硬化。</w:t>
            </w:r>
          </w:p>
          <w:p w14:paraId="56D876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宋体" w:cs="Times New Roman"/>
                <w:color w:val="auto"/>
                <w:spacing w:val="2"/>
                <w:sz w:val="24"/>
                <w:szCs w:val="24"/>
                <w:lang w:eastAsia="zh-CN"/>
              </w:rPr>
            </w:pPr>
            <w:r>
              <w:rPr>
                <w:rFonts w:hint="default" w:ascii="Times New Roman" w:hAnsi="Times New Roman" w:eastAsia="宋体" w:cs="Times New Roman"/>
                <w:color w:val="auto"/>
                <w:spacing w:val="9"/>
                <w:sz w:val="24"/>
                <w:szCs w:val="24"/>
              </w:rPr>
              <w:t>（</w:t>
            </w:r>
            <w:r>
              <w:rPr>
                <w:rFonts w:hint="default" w:ascii="Times New Roman" w:hAnsi="Times New Roman" w:eastAsia="Times New Roman" w:cs="Times New Roman"/>
                <w:color w:val="auto"/>
                <w:spacing w:val="9"/>
                <w:sz w:val="24"/>
                <w:szCs w:val="24"/>
              </w:rPr>
              <w:t>2</w:t>
            </w:r>
            <w:r>
              <w:rPr>
                <w:rFonts w:hint="default" w:ascii="Times New Roman" w:hAnsi="Times New Roman" w:eastAsia="宋体" w:cs="Times New Roman"/>
                <w:color w:val="auto"/>
                <w:spacing w:val="9"/>
                <w:sz w:val="24"/>
                <w:szCs w:val="24"/>
              </w:rPr>
              <w:t>）危废暂存间设置为重点防渗区，重点防</w:t>
            </w:r>
            <w:r>
              <w:rPr>
                <w:rFonts w:hint="default" w:ascii="Times New Roman" w:hAnsi="Times New Roman" w:eastAsia="宋体" w:cs="Times New Roman"/>
                <w:color w:val="auto"/>
                <w:spacing w:val="8"/>
                <w:sz w:val="24"/>
                <w:szCs w:val="24"/>
              </w:rPr>
              <w:t>渗区防治措施为：防渗层为至</w:t>
            </w:r>
            <w:r>
              <w:rPr>
                <w:rFonts w:hint="default" w:ascii="Times New Roman" w:hAnsi="Times New Roman" w:eastAsia="宋体" w:cs="Times New Roman"/>
                <w:color w:val="auto"/>
                <w:spacing w:val="7"/>
                <w:sz w:val="24"/>
                <w:szCs w:val="24"/>
              </w:rPr>
              <w:t>少</w:t>
            </w:r>
            <w:r>
              <w:rPr>
                <w:rFonts w:hint="default" w:ascii="Times New Roman" w:hAnsi="Times New Roman" w:eastAsia="Times New Roman" w:cs="Times New Roman"/>
                <w:color w:val="auto"/>
                <w:spacing w:val="7"/>
                <w:sz w:val="24"/>
                <w:szCs w:val="24"/>
              </w:rPr>
              <w:t>1m</w:t>
            </w:r>
            <w:r>
              <w:rPr>
                <w:rFonts w:hint="default" w:ascii="Times New Roman" w:hAnsi="Times New Roman" w:eastAsia="宋体" w:cs="Times New Roman"/>
                <w:color w:val="auto"/>
                <w:spacing w:val="7"/>
                <w:sz w:val="24"/>
                <w:szCs w:val="24"/>
              </w:rPr>
              <w:t>厚黏土层（渗透系数</w:t>
            </w:r>
            <w:r>
              <w:rPr>
                <w:rFonts w:hint="default" w:ascii="Times New Roman" w:hAnsi="Times New Roman" w:eastAsia="Times New Roman" w:cs="Times New Roman"/>
                <w:color w:val="auto"/>
                <w:spacing w:val="7"/>
                <w:sz w:val="24"/>
                <w:szCs w:val="24"/>
              </w:rPr>
              <w:t>≤10</w:t>
            </w:r>
            <w:r>
              <w:rPr>
                <w:rFonts w:hint="eastAsia" w:eastAsia="宋体" w:cs="Times New Roman"/>
                <w:color w:val="auto"/>
                <w:spacing w:val="7"/>
                <w:sz w:val="24"/>
                <w:szCs w:val="24"/>
                <w:lang w:eastAsia="zh-CN"/>
              </w:rPr>
              <w:t>—</w:t>
            </w:r>
            <w:r>
              <w:rPr>
                <w:rFonts w:hint="default" w:ascii="Times New Roman" w:hAnsi="Times New Roman" w:eastAsia="Times New Roman" w:cs="Times New Roman"/>
                <w:color w:val="auto"/>
                <w:spacing w:val="7"/>
                <w:position w:val="6"/>
                <w:sz w:val="24"/>
                <w:szCs w:val="24"/>
              </w:rPr>
              <w:t>7</w:t>
            </w:r>
            <w:r>
              <w:rPr>
                <w:rFonts w:hint="default" w:ascii="Times New Roman" w:hAnsi="Times New Roman" w:eastAsia="Times New Roman" w:cs="Times New Roman"/>
                <w:color w:val="auto"/>
                <w:sz w:val="24"/>
                <w:szCs w:val="24"/>
              </w:rPr>
              <w:t>cm</w:t>
            </w:r>
            <w:r>
              <w:rPr>
                <w:rFonts w:hint="default" w:ascii="Times New Roman" w:hAnsi="Times New Roman" w:eastAsia="Times New Roman" w:cs="Times New Roman"/>
                <w:color w:val="auto"/>
                <w:spacing w:val="7"/>
                <w:sz w:val="24"/>
                <w:szCs w:val="24"/>
              </w:rPr>
              <w:t>/s</w:t>
            </w:r>
            <w:r>
              <w:rPr>
                <w:rFonts w:hint="default" w:ascii="Times New Roman" w:hAnsi="Times New Roman" w:eastAsia="宋体" w:cs="Times New Roman"/>
                <w:color w:val="auto"/>
                <w:spacing w:val="15"/>
                <w:sz w:val="24"/>
                <w:szCs w:val="24"/>
              </w:rPr>
              <w:t>），</w:t>
            </w:r>
            <w:r>
              <w:rPr>
                <w:rFonts w:hint="default" w:ascii="Times New Roman" w:hAnsi="Times New Roman" w:eastAsia="宋体" w:cs="Times New Roman"/>
                <w:color w:val="auto"/>
                <w:spacing w:val="7"/>
                <w:sz w:val="24"/>
                <w:szCs w:val="24"/>
              </w:rPr>
              <w:t>或</w:t>
            </w:r>
            <w:r>
              <w:rPr>
                <w:rFonts w:hint="default" w:ascii="Times New Roman" w:hAnsi="Times New Roman" w:eastAsia="Times New Roman" w:cs="Times New Roman"/>
                <w:color w:val="auto"/>
                <w:spacing w:val="7"/>
                <w:sz w:val="24"/>
                <w:szCs w:val="24"/>
              </w:rPr>
              <w:t>2</w:t>
            </w:r>
            <w:r>
              <w:rPr>
                <w:rFonts w:hint="default" w:ascii="Times New Roman" w:hAnsi="Times New Roman" w:eastAsia="Times New Roman" w:cs="Times New Roman"/>
                <w:color w:val="auto"/>
                <w:sz w:val="24"/>
                <w:szCs w:val="24"/>
              </w:rPr>
              <w:t>mm</w:t>
            </w:r>
            <w:r>
              <w:rPr>
                <w:rFonts w:hint="default" w:ascii="Times New Roman" w:hAnsi="Times New Roman" w:eastAsia="宋体" w:cs="Times New Roman"/>
                <w:color w:val="auto"/>
                <w:spacing w:val="6"/>
                <w:sz w:val="24"/>
                <w:szCs w:val="24"/>
              </w:rPr>
              <w:t>厚高密度聚乙烯，或至少</w:t>
            </w:r>
            <w:r>
              <w:rPr>
                <w:rFonts w:hint="default" w:ascii="Times New Roman" w:hAnsi="Times New Roman" w:eastAsia="Times New Roman" w:cs="Times New Roman"/>
                <w:color w:val="auto"/>
                <w:spacing w:val="7"/>
                <w:sz w:val="24"/>
                <w:szCs w:val="24"/>
              </w:rPr>
              <w:t>2</w:t>
            </w:r>
            <w:r>
              <w:rPr>
                <w:rFonts w:hint="default" w:ascii="Times New Roman" w:hAnsi="Times New Roman" w:eastAsia="Times New Roman" w:cs="Times New Roman"/>
                <w:color w:val="auto"/>
                <w:sz w:val="24"/>
                <w:szCs w:val="24"/>
              </w:rPr>
              <w:t>mm</w:t>
            </w:r>
            <w:r>
              <w:rPr>
                <w:rFonts w:hint="default" w:ascii="Times New Roman" w:hAnsi="Times New Roman" w:eastAsia="宋体" w:cs="Times New Roman"/>
                <w:color w:val="auto"/>
                <w:spacing w:val="7"/>
                <w:sz w:val="24"/>
                <w:szCs w:val="24"/>
              </w:rPr>
              <w:t>厚的其他人工材料，渗透系数</w:t>
            </w:r>
            <w:r>
              <w:rPr>
                <w:rFonts w:hint="default" w:ascii="Times New Roman" w:hAnsi="Times New Roman" w:eastAsia="Times New Roman" w:cs="Times New Roman"/>
                <w:color w:val="auto"/>
                <w:spacing w:val="7"/>
                <w:sz w:val="24"/>
                <w:szCs w:val="24"/>
              </w:rPr>
              <w:t>≤10</w:t>
            </w:r>
            <w:r>
              <w:rPr>
                <w:rFonts w:hint="eastAsia" w:eastAsia="宋体" w:cs="Times New Roman"/>
                <w:color w:val="auto"/>
                <w:spacing w:val="7"/>
                <w:sz w:val="24"/>
                <w:szCs w:val="24"/>
                <w:lang w:eastAsia="zh-CN"/>
              </w:rPr>
              <w:t>—</w:t>
            </w:r>
            <w:r>
              <w:rPr>
                <w:rFonts w:hint="default" w:ascii="Times New Roman" w:hAnsi="Times New Roman" w:eastAsia="Times New Roman" w:cs="Times New Roman"/>
                <w:color w:val="auto"/>
                <w:spacing w:val="7"/>
                <w:position w:val="6"/>
                <w:sz w:val="24"/>
                <w:szCs w:val="24"/>
              </w:rPr>
              <w:t>10</w:t>
            </w:r>
            <w:r>
              <w:rPr>
                <w:rFonts w:hint="default" w:ascii="Times New Roman" w:hAnsi="Times New Roman" w:eastAsia="Times New Roman" w:cs="Times New Roman"/>
                <w:color w:val="auto"/>
                <w:sz w:val="24"/>
                <w:szCs w:val="24"/>
              </w:rPr>
              <w:t>cm</w:t>
            </w:r>
            <w:r>
              <w:rPr>
                <w:rFonts w:hint="default" w:ascii="Times New Roman" w:hAnsi="Times New Roman" w:eastAsia="Times New Roman" w:cs="Times New Roman"/>
                <w:color w:val="auto"/>
                <w:spacing w:val="7"/>
                <w:sz w:val="24"/>
                <w:szCs w:val="24"/>
              </w:rPr>
              <w:t>/s</w:t>
            </w:r>
            <w:r>
              <w:rPr>
                <w:rFonts w:hint="default" w:ascii="Times New Roman" w:hAnsi="Times New Roman" w:eastAsia="宋体" w:cs="Times New Roman"/>
                <w:color w:val="auto"/>
                <w:spacing w:val="7"/>
                <w:sz w:val="24"/>
                <w:szCs w:val="24"/>
                <w:lang w:eastAsia="zh-CN"/>
              </w:rPr>
              <w:t>。</w:t>
            </w:r>
          </w:p>
        </w:tc>
      </w:tr>
      <w:tr w14:paraId="0B36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354" w:hRule="atLeast"/>
        </w:trPr>
        <w:tc>
          <w:tcPr>
            <w:tcW w:w="916" w:type="dxa"/>
            <w:tcBorders>
              <w:tl2br w:val="nil"/>
              <w:tr2bl w:val="nil"/>
            </w:tcBorders>
            <w:vAlign w:val="center"/>
          </w:tcPr>
          <w:p w14:paraId="08B2E223">
            <w:pPr>
              <w:adjustRightInd w:val="0"/>
              <w:snapToGrid w:val="0"/>
              <w:ind w:left="0" w:leftChars="0" w:right="0" w:rightChars="0" w:firstLine="0" w:firstLineChars="0"/>
              <w:jc w:val="center"/>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z w:val="24"/>
                <w:szCs w:val="24"/>
                <w:highlight w:val="none"/>
              </w:rPr>
              <w:t>生态保护措施</w:t>
            </w:r>
          </w:p>
        </w:tc>
        <w:tc>
          <w:tcPr>
            <w:tcW w:w="7888" w:type="dxa"/>
            <w:gridSpan w:val="5"/>
            <w:tcBorders>
              <w:tl2br w:val="nil"/>
              <w:tr2bl w:val="nil"/>
            </w:tcBorders>
            <w:vAlign w:val="center"/>
          </w:tcPr>
          <w:p w14:paraId="52750B46">
            <w:pPr>
              <w:adjustRightInd w:val="0"/>
              <w:snapToGrid w:val="0"/>
              <w:ind w:left="0" w:leftChars="0" w:right="0" w:rightChars="0" w:firstLine="0" w:firstLineChars="0"/>
              <w:jc w:val="both"/>
              <w:rPr>
                <w:rFonts w:hint="default" w:ascii="Times New Roman" w:hAnsi="Times New Roman" w:eastAsia="Times New Roman" w:cs="Times New Roman"/>
                <w:color w:val="auto"/>
                <w:spacing w:val="2"/>
                <w:sz w:val="24"/>
                <w:szCs w:val="24"/>
              </w:rPr>
            </w:pPr>
            <w:r>
              <w:rPr>
                <w:rFonts w:hint="default" w:ascii="Times New Roman" w:hAnsi="Times New Roman" w:eastAsia="宋体" w:cs="Times New Roman"/>
                <w:color w:val="auto"/>
                <w:sz w:val="24"/>
                <w:szCs w:val="24"/>
                <w:highlight w:val="none"/>
                <w:lang w:val="en-US" w:eastAsia="zh-CN"/>
              </w:rPr>
              <w:t>项目充分利用空间进行绿化，达到美化环境的效果。</w:t>
            </w:r>
          </w:p>
        </w:tc>
      </w:tr>
      <w:tr w14:paraId="50903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354" w:hRule="atLeast"/>
        </w:trPr>
        <w:tc>
          <w:tcPr>
            <w:tcW w:w="916" w:type="dxa"/>
            <w:tcBorders>
              <w:tl2br w:val="nil"/>
              <w:tr2bl w:val="nil"/>
            </w:tcBorders>
            <w:vAlign w:val="center"/>
          </w:tcPr>
          <w:p w14:paraId="7E2EF400">
            <w:pPr>
              <w:keepNext w:val="0"/>
              <w:keepLines w:val="0"/>
              <w:pageBreakBefore w:val="0"/>
              <w:widowControl/>
              <w:suppressLineNumbers w:val="0"/>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环境风险防范措施</w:t>
            </w:r>
          </w:p>
        </w:tc>
        <w:tc>
          <w:tcPr>
            <w:tcW w:w="7888" w:type="dxa"/>
            <w:gridSpan w:val="5"/>
            <w:tcBorders>
              <w:tl2br w:val="nil"/>
              <w:tr2bl w:val="nil"/>
            </w:tcBorders>
            <w:vAlign w:val="center"/>
          </w:tcPr>
          <w:p w14:paraId="1E2B05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危险化学品储存区应设安全警示标志，车间内配备足够数量的干粉灭火器或泡沫灭火器，设置防火、易燃等警示标牌，远离火种、热源、易燃、可燃物，工作场所严禁吸烟，配备适量的1211灭火器，以及适量砂土作为灭火剂。②建设单位必须严格遵守</w:t>
            </w:r>
            <w:r>
              <w:rPr>
                <w:rFonts w:hint="eastAsia" w:cs="Times New Roman"/>
                <w:color w:val="auto"/>
                <w:sz w:val="24"/>
                <w:szCs w:val="24"/>
                <w:lang w:val="en-US" w:eastAsia="zh-CN"/>
              </w:rPr>
              <w:t>《危险化学品安全管理条例》</w:t>
            </w:r>
            <w:r>
              <w:rPr>
                <w:rFonts w:hint="default" w:ascii="Times New Roman" w:hAnsi="Times New Roman" w:eastAsia="宋体" w:cs="Times New Roman"/>
                <w:color w:val="auto"/>
                <w:sz w:val="24"/>
                <w:szCs w:val="24"/>
                <w:lang w:val="en-US" w:eastAsia="zh-CN"/>
              </w:rPr>
              <w:t>，物料储存过程必须按照</w:t>
            </w:r>
            <w:r>
              <w:rPr>
                <w:rFonts w:hint="eastAsia" w:cs="Times New Roman"/>
                <w:color w:val="auto"/>
                <w:sz w:val="24"/>
                <w:szCs w:val="24"/>
                <w:lang w:val="en-US" w:eastAsia="zh-CN"/>
              </w:rPr>
              <w:t>《危险化学品安全管理条例》</w:t>
            </w:r>
            <w:r>
              <w:rPr>
                <w:rFonts w:hint="default" w:ascii="Times New Roman" w:hAnsi="Times New Roman" w:eastAsia="宋体" w:cs="Times New Roman"/>
                <w:color w:val="auto"/>
                <w:sz w:val="24"/>
                <w:szCs w:val="24"/>
                <w:lang w:val="en-US" w:eastAsia="zh-CN"/>
              </w:rPr>
              <w:t>和《仓库防火安全管理规则》等规定做到安全储存。</w:t>
            </w:r>
          </w:p>
          <w:p w14:paraId="36EAD8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③应配备有专业知识技术人员管理，管理人员配备可靠的个人安全防护用品。④加强危废收集暂存、储运管理，加强日常检查，保证容器的完好程度，对生产过程洒落、滴漏的少量污染物应及时收集处理。</w:t>
            </w:r>
          </w:p>
          <w:p w14:paraId="48F2DE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⑤编制突发环境事件应急预案，并报昆明市生态环境局寻甸分局备案。建立完善的应急报告制度，落实应急物资和经费，日常加强应急演练。</w:t>
            </w:r>
          </w:p>
        </w:tc>
      </w:tr>
      <w:tr w14:paraId="046D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2" w:space="0"/>
          </w:tblBorders>
          <w:tblCellMar>
            <w:top w:w="0" w:type="dxa"/>
            <w:left w:w="0" w:type="dxa"/>
            <w:bottom w:w="0" w:type="dxa"/>
            <w:right w:w="0" w:type="dxa"/>
          </w:tblCellMar>
        </w:tblPrEx>
        <w:trPr>
          <w:trHeight w:val="354" w:hRule="atLeast"/>
        </w:trPr>
        <w:tc>
          <w:tcPr>
            <w:tcW w:w="916" w:type="dxa"/>
            <w:tcBorders>
              <w:tl2br w:val="nil"/>
              <w:tr2bl w:val="nil"/>
            </w:tcBorders>
            <w:vAlign w:val="center"/>
          </w:tcPr>
          <w:p w14:paraId="2355536F">
            <w:pPr>
              <w:keepNext w:val="0"/>
              <w:keepLines w:val="0"/>
              <w:pageBreakBefore w:val="0"/>
              <w:widowControl/>
              <w:suppressLineNumbers w:val="0"/>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其他环境管理要求</w:t>
            </w:r>
          </w:p>
        </w:tc>
        <w:tc>
          <w:tcPr>
            <w:tcW w:w="7888" w:type="dxa"/>
            <w:gridSpan w:val="5"/>
            <w:tcBorders>
              <w:tl2br w:val="nil"/>
              <w:tr2bl w:val="nil"/>
            </w:tcBorders>
            <w:vAlign w:val="center"/>
          </w:tcPr>
          <w:p w14:paraId="0E384F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1、环境管理计划</w:t>
            </w:r>
          </w:p>
          <w:p w14:paraId="51C76C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①根据国家环保政策、标准及环境监测要求，制定该项目运行期环境管理规章制度、各种污染物排放指标。</w:t>
            </w:r>
          </w:p>
          <w:p w14:paraId="0F3F28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为了缓解建设项目生产运行期对环境构成的不良影响，在采取环保治理工程措施解决建设项目环境影响的同时，必须制定全面的企业环境管理计划，配备专职环保人员，负责环境监督管理工作，同时要加强对管理人员的环保培训，不断提高管理水平。</w:t>
            </w:r>
          </w:p>
          <w:p w14:paraId="6C331D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③企业排污发生重大变化、污染治理设施改变或生产运行计划改变等都必须向当地环保部门申报，经审批同意后方可实施。</w:t>
            </w:r>
          </w:p>
          <w:p w14:paraId="16D789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④对污染治理设施和管理必须与生产经营活动一起纳入企业的日常管理中，要建立岗位责任制，制定操作规程，建立</w:t>
            </w:r>
            <w:r>
              <w:rPr>
                <w:rFonts w:hint="eastAsia" w:cs="Times New Roman"/>
                <w:color w:val="auto"/>
                <w:sz w:val="24"/>
                <w:szCs w:val="24"/>
                <w:lang w:val="en-US" w:eastAsia="zh-CN"/>
              </w:rPr>
              <w:t>管理台账</w:t>
            </w:r>
            <w:r>
              <w:rPr>
                <w:rFonts w:hint="default" w:ascii="Times New Roman" w:hAnsi="Times New Roman" w:eastAsia="宋体" w:cs="Times New Roman"/>
                <w:color w:val="auto"/>
                <w:sz w:val="24"/>
                <w:szCs w:val="24"/>
                <w:lang w:val="en-US" w:eastAsia="zh-CN"/>
              </w:rPr>
              <w:t>，接受环保主管部门的检查监督，定期上报各项环境管理工作的执行情况。</w:t>
            </w:r>
          </w:p>
          <w:p w14:paraId="208991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2、排污许可证</w:t>
            </w:r>
          </w:p>
          <w:p w14:paraId="12D0BE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项目为塑料薄膜制造项目，国民经济行业类别为“C3021水泥制品制造”，根据《固定污染源排污许可分类管理名录（2019版）》，本项目属于排污许可登记管理的排污单位。</w:t>
            </w:r>
          </w:p>
          <w:p w14:paraId="381FAD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3、排污口规范化设置</w:t>
            </w:r>
          </w:p>
          <w:p w14:paraId="1C7F15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排污口是项目运营期污染物进入环境、污染环境的通道，强化总排口管理是实施污染物总量控制的基础工作之一，也是环境管理逐步实现污染物科学化、定量化的主要手段。</w:t>
            </w:r>
          </w:p>
          <w:p w14:paraId="26D97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项目排放口设置满足以下要求：</w:t>
            </w:r>
          </w:p>
          <w:p w14:paraId="0247B2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污染物排放口，应按国家《环境保护图形标志排放口（源）》（GB15562.1-1995）的规定，设置国家环保总局统一制作的环境保护图形标志牌；本项目废气排放口和废水处理设施均应设置相应标志，并进行专人管理。</w:t>
            </w:r>
          </w:p>
          <w:p w14:paraId="715D03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p>
          <w:p w14:paraId="4CE74B76">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0FF11E60">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1CFB2DE3">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4C506B2E">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13A51366">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5A790B62">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3D54F99E">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09428F15">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01AD37AE">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2DF2602D">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1A1425D6">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77935320">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07647E57">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2C141888">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2B0A9BB6">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714C6CA7">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2F07B8FC">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1D50DE4A">
            <w:pPr>
              <w:spacing w:line="400" w:lineRule="exact"/>
              <w:ind w:left="0" w:leftChars="0" w:right="0" w:rightChars="0" w:firstLine="0" w:firstLineChars="0"/>
              <w:jc w:val="center"/>
              <w:rPr>
                <w:rFonts w:hint="default" w:ascii="Times New Roman" w:hAnsi="Times New Roman" w:eastAsia="宋体" w:cs="Times New Roman"/>
                <w:b/>
                <w:bCs/>
                <w:color w:val="auto"/>
                <w:szCs w:val="21"/>
                <w:highlight w:val="none"/>
                <w:lang w:val="en-US" w:eastAsia="zh-CN"/>
              </w:rPr>
            </w:pPr>
          </w:p>
          <w:p w14:paraId="0DD0CF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lang w:val="en-US" w:eastAsia="zh-CN"/>
              </w:rPr>
            </w:pPr>
          </w:p>
        </w:tc>
      </w:tr>
    </w:tbl>
    <w:p w14:paraId="6A59609B">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firstLine="0" w:firstLineChars="0"/>
        <w:jc w:val="both"/>
        <w:textAlignment w:val="auto"/>
        <w:outlineLvl w:val="0"/>
        <w:rPr>
          <w:rFonts w:hint="default" w:ascii="Times New Roman" w:hAnsi="Times New Roman" w:eastAsia="宋体" w:cs="Times New Roman"/>
          <w:b/>
          <w:bCs/>
          <w:snapToGrid w:val="0"/>
          <w:color w:val="auto"/>
          <w:sz w:val="30"/>
          <w:szCs w:val="30"/>
          <w:highlight w:val="none"/>
        </w:rPr>
      </w:pPr>
      <w:bookmarkStart w:id="20" w:name="_Toc24787"/>
      <w:bookmarkStart w:id="21" w:name="_Toc1582"/>
      <w:r>
        <w:rPr>
          <w:rFonts w:hint="default" w:ascii="Times New Roman" w:hAnsi="Times New Roman" w:eastAsia="宋体" w:cs="Times New Roman"/>
          <w:b/>
          <w:bCs/>
          <w:snapToGrid w:val="0"/>
          <w:color w:val="auto"/>
          <w:sz w:val="30"/>
          <w:szCs w:val="30"/>
          <w:highlight w:val="none"/>
        </w:rPr>
        <w:t>六、结论</w:t>
      </w:r>
      <w:bookmarkEnd w:id="20"/>
      <w:bookmarkEnd w:id="21"/>
    </w:p>
    <w:tbl>
      <w:tblPr>
        <w:tblStyle w:val="28"/>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DC5A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47128FC9">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废水、噪声均可达标排放，固废处置率100%，对当地环境质量及主要关心点环境影响较小，符合达标排放、总量控制和不降低当地环境功能的原则要求，符合国家法律法规要求。</w:t>
            </w:r>
          </w:p>
          <w:p w14:paraId="5598510E">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tc>
      </w:tr>
    </w:tbl>
    <w:p w14:paraId="42B71DED">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D53454">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22" w:name="_Toc9427"/>
      <w:bookmarkStart w:id="23" w:name="_Toc6881"/>
      <w:bookmarkStart w:id="24" w:name="_Toc24156"/>
      <w:r>
        <w:rPr>
          <w:rFonts w:hint="default" w:ascii="Times New Roman" w:hAnsi="Times New Roman" w:eastAsia="宋体" w:cs="Times New Roman"/>
          <w:b/>
          <w:bCs/>
          <w:snapToGrid w:val="0"/>
          <w:color w:val="auto"/>
          <w:sz w:val="30"/>
          <w:szCs w:val="30"/>
          <w:highlight w:val="none"/>
        </w:rPr>
        <w:t>附表</w:t>
      </w:r>
      <w:bookmarkEnd w:id="22"/>
      <w:bookmarkEnd w:id="23"/>
      <w:bookmarkEnd w:id="24"/>
    </w:p>
    <w:p w14:paraId="50F41C61">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25" w:name="_Toc18631"/>
      <w:bookmarkStart w:id="26" w:name="_Toc29979"/>
      <w:r>
        <w:rPr>
          <w:rFonts w:hint="default" w:ascii="Times New Roman" w:hAnsi="Times New Roman" w:eastAsia="宋体" w:cs="Times New Roman"/>
          <w:snapToGrid w:val="0"/>
          <w:color w:val="auto"/>
          <w:sz w:val="24"/>
          <w:szCs w:val="24"/>
          <w:highlight w:val="none"/>
        </w:rPr>
        <w:t>建设项目污染物排放量汇总表</w:t>
      </w:r>
      <w:bookmarkEnd w:id="25"/>
      <w:bookmarkEnd w:id="26"/>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8"/>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23"/>
        <w:gridCol w:w="1701"/>
        <w:gridCol w:w="1276"/>
        <w:gridCol w:w="1701"/>
        <w:gridCol w:w="1559"/>
        <w:gridCol w:w="1761"/>
        <w:gridCol w:w="1824"/>
        <w:gridCol w:w="961"/>
      </w:tblGrid>
      <w:tr w14:paraId="3D9E8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2" w:type="dxa"/>
            <w:tcBorders>
              <w:tl2br w:val="single" w:color="auto" w:sz="4" w:space="0"/>
            </w:tcBorders>
            <w:tcMar>
              <w:left w:w="28" w:type="dxa"/>
              <w:right w:w="28" w:type="dxa"/>
            </w:tcMar>
            <w:vAlign w:val="center"/>
          </w:tcPr>
          <w:p w14:paraId="7C9B876F">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14:paraId="6C76F99F">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1923" w:type="dxa"/>
            <w:tcMar>
              <w:left w:w="28" w:type="dxa"/>
              <w:right w:w="28" w:type="dxa"/>
            </w:tcMar>
            <w:vAlign w:val="center"/>
          </w:tcPr>
          <w:p w14:paraId="42FAA39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701" w:type="dxa"/>
            <w:tcMar>
              <w:left w:w="28" w:type="dxa"/>
              <w:right w:w="28" w:type="dxa"/>
            </w:tcMar>
            <w:vAlign w:val="center"/>
          </w:tcPr>
          <w:p w14:paraId="364DD9F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276" w:type="dxa"/>
            <w:tcMar>
              <w:left w:w="28" w:type="dxa"/>
              <w:right w:w="28" w:type="dxa"/>
            </w:tcMar>
            <w:vAlign w:val="center"/>
          </w:tcPr>
          <w:p w14:paraId="0C9D512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701" w:type="dxa"/>
            <w:tcMar>
              <w:left w:w="28" w:type="dxa"/>
              <w:right w:w="28" w:type="dxa"/>
            </w:tcMar>
            <w:vAlign w:val="center"/>
          </w:tcPr>
          <w:p w14:paraId="134DE06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559" w:type="dxa"/>
            <w:tcMar>
              <w:left w:w="28" w:type="dxa"/>
              <w:right w:w="28" w:type="dxa"/>
            </w:tcMar>
            <w:vAlign w:val="center"/>
          </w:tcPr>
          <w:p w14:paraId="48E0AE9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761" w:type="dxa"/>
            <w:tcMar>
              <w:left w:w="28" w:type="dxa"/>
              <w:right w:w="28" w:type="dxa"/>
            </w:tcMar>
            <w:vAlign w:val="center"/>
          </w:tcPr>
          <w:p w14:paraId="4A01B28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w:t>
            </w:r>
          </w:p>
          <w:p w14:paraId="3E80986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824" w:type="dxa"/>
            <w:tcMar>
              <w:left w:w="28" w:type="dxa"/>
              <w:right w:w="28" w:type="dxa"/>
            </w:tcMar>
            <w:vAlign w:val="center"/>
          </w:tcPr>
          <w:p w14:paraId="3FBDE6B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961" w:type="dxa"/>
            <w:tcMar>
              <w:left w:w="28" w:type="dxa"/>
              <w:right w:w="28" w:type="dxa"/>
            </w:tcMar>
            <w:vAlign w:val="center"/>
          </w:tcPr>
          <w:p w14:paraId="0DE189C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14:paraId="1C7B034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14:paraId="7A746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2" w:type="dxa"/>
            <w:vAlign w:val="center"/>
          </w:tcPr>
          <w:p w14:paraId="35213DB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大气</w:t>
            </w:r>
          </w:p>
        </w:tc>
        <w:tc>
          <w:tcPr>
            <w:tcW w:w="1923" w:type="dxa"/>
            <w:vAlign w:val="center"/>
          </w:tcPr>
          <w:p w14:paraId="7495F20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701" w:type="dxa"/>
            <w:vAlign w:val="center"/>
          </w:tcPr>
          <w:p w14:paraId="544F146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1276" w:type="dxa"/>
            <w:vAlign w:val="center"/>
          </w:tcPr>
          <w:p w14:paraId="7973B11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701" w:type="dxa"/>
            <w:vAlign w:val="center"/>
          </w:tcPr>
          <w:p w14:paraId="5AC32FC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59" w:type="dxa"/>
            <w:vAlign w:val="center"/>
          </w:tcPr>
          <w:p w14:paraId="2771443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5.1991</w:t>
            </w:r>
          </w:p>
        </w:tc>
        <w:tc>
          <w:tcPr>
            <w:tcW w:w="1761" w:type="dxa"/>
            <w:vAlign w:val="center"/>
          </w:tcPr>
          <w:p w14:paraId="2C7D671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824" w:type="dxa"/>
            <w:vAlign w:val="center"/>
          </w:tcPr>
          <w:p w14:paraId="0C18806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18.5591</w:t>
            </w:r>
          </w:p>
        </w:tc>
        <w:tc>
          <w:tcPr>
            <w:tcW w:w="961" w:type="dxa"/>
            <w:vAlign w:val="center"/>
          </w:tcPr>
          <w:p w14:paraId="70418AD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+5.1991</w:t>
            </w:r>
          </w:p>
        </w:tc>
      </w:tr>
      <w:tr w14:paraId="448B1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2" w:type="dxa"/>
            <w:vMerge w:val="restart"/>
            <w:vAlign w:val="center"/>
          </w:tcPr>
          <w:p w14:paraId="357CAA6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1923" w:type="dxa"/>
            <w:vAlign w:val="center"/>
          </w:tcPr>
          <w:p w14:paraId="31BB071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生产废料</w:t>
            </w:r>
          </w:p>
        </w:tc>
        <w:tc>
          <w:tcPr>
            <w:tcW w:w="1701" w:type="dxa"/>
            <w:vAlign w:val="center"/>
          </w:tcPr>
          <w:p w14:paraId="4720AB8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2"/>
                <w:sz w:val="21"/>
                <w:szCs w:val="21"/>
                <w:highlight w:val="none"/>
                <w:lang w:val="en-US" w:eastAsia="zh-CN" w:bidi="ar-SA"/>
              </w:rPr>
              <w:t>0</w:t>
            </w:r>
          </w:p>
        </w:tc>
        <w:tc>
          <w:tcPr>
            <w:tcW w:w="1276" w:type="dxa"/>
            <w:vAlign w:val="center"/>
          </w:tcPr>
          <w:p w14:paraId="2347601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701" w:type="dxa"/>
            <w:vAlign w:val="center"/>
          </w:tcPr>
          <w:p w14:paraId="5BB6E7A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559" w:type="dxa"/>
            <w:vAlign w:val="center"/>
          </w:tcPr>
          <w:p w14:paraId="4E6574E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761" w:type="dxa"/>
            <w:vAlign w:val="center"/>
          </w:tcPr>
          <w:p w14:paraId="583A9E8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824" w:type="dxa"/>
            <w:vAlign w:val="center"/>
          </w:tcPr>
          <w:p w14:paraId="53E27F6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61" w:type="dxa"/>
            <w:vAlign w:val="center"/>
          </w:tcPr>
          <w:p w14:paraId="7BAD7CC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76244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2" w:type="dxa"/>
            <w:vMerge w:val="continue"/>
            <w:vAlign w:val="center"/>
          </w:tcPr>
          <w:p w14:paraId="6F3C569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923" w:type="dxa"/>
            <w:vAlign w:val="center"/>
          </w:tcPr>
          <w:p w14:paraId="20C53E5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沉淀池底泥</w:t>
            </w:r>
          </w:p>
        </w:tc>
        <w:tc>
          <w:tcPr>
            <w:tcW w:w="1701" w:type="dxa"/>
            <w:vAlign w:val="center"/>
          </w:tcPr>
          <w:p w14:paraId="7296D89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276" w:type="dxa"/>
            <w:vAlign w:val="center"/>
          </w:tcPr>
          <w:p w14:paraId="6642DC3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701" w:type="dxa"/>
            <w:vAlign w:val="center"/>
          </w:tcPr>
          <w:p w14:paraId="18B38EE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559" w:type="dxa"/>
            <w:vAlign w:val="center"/>
          </w:tcPr>
          <w:p w14:paraId="1FC779C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761" w:type="dxa"/>
            <w:vAlign w:val="center"/>
          </w:tcPr>
          <w:p w14:paraId="05F1603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824" w:type="dxa"/>
            <w:vAlign w:val="center"/>
          </w:tcPr>
          <w:p w14:paraId="7CE6D5B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61" w:type="dxa"/>
            <w:vAlign w:val="center"/>
          </w:tcPr>
          <w:p w14:paraId="3CB0A0E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02E73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2" w:type="dxa"/>
            <w:vMerge w:val="continue"/>
            <w:vAlign w:val="center"/>
          </w:tcPr>
          <w:p w14:paraId="50265C3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923" w:type="dxa"/>
            <w:vAlign w:val="center"/>
          </w:tcPr>
          <w:p w14:paraId="751F097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除尘器收尘</w:t>
            </w:r>
          </w:p>
        </w:tc>
        <w:tc>
          <w:tcPr>
            <w:tcW w:w="1701" w:type="dxa"/>
            <w:vAlign w:val="center"/>
          </w:tcPr>
          <w:p w14:paraId="623EB9C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276" w:type="dxa"/>
            <w:vAlign w:val="center"/>
          </w:tcPr>
          <w:p w14:paraId="0AE4AB1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701" w:type="dxa"/>
            <w:vAlign w:val="center"/>
          </w:tcPr>
          <w:p w14:paraId="699E50C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559" w:type="dxa"/>
            <w:vAlign w:val="center"/>
          </w:tcPr>
          <w:p w14:paraId="693A504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761" w:type="dxa"/>
            <w:vAlign w:val="center"/>
          </w:tcPr>
          <w:p w14:paraId="400C496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824" w:type="dxa"/>
            <w:vAlign w:val="center"/>
          </w:tcPr>
          <w:p w14:paraId="1EA1BCC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61" w:type="dxa"/>
            <w:vAlign w:val="center"/>
          </w:tcPr>
          <w:p w14:paraId="02D9644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4D165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2" w:type="dxa"/>
            <w:vMerge w:val="continue"/>
            <w:vAlign w:val="center"/>
          </w:tcPr>
          <w:p w14:paraId="797A9BB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923" w:type="dxa"/>
            <w:vAlign w:val="center"/>
          </w:tcPr>
          <w:p w14:paraId="522253C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701" w:type="dxa"/>
            <w:vAlign w:val="center"/>
          </w:tcPr>
          <w:p w14:paraId="4BD020F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2"/>
                <w:sz w:val="21"/>
                <w:szCs w:val="21"/>
                <w:highlight w:val="none"/>
                <w:lang w:val="en-US" w:eastAsia="zh-CN" w:bidi="ar-SA"/>
              </w:rPr>
              <w:t>9</w:t>
            </w:r>
          </w:p>
        </w:tc>
        <w:tc>
          <w:tcPr>
            <w:tcW w:w="1276" w:type="dxa"/>
            <w:vAlign w:val="center"/>
          </w:tcPr>
          <w:p w14:paraId="6197789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14:paraId="64D9B85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14:paraId="74E7949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761" w:type="dxa"/>
            <w:vAlign w:val="center"/>
          </w:tcPr>
          <w:p w14:paraId="68EAB4F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14:paraId="1DEBB8F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9</w:t>
            </w:r>
          </w:p>
        </w:tc>
        <w:tc>
          <w:tcPr>
            <w:tcW w:w="961" w:type="dxa"/>
            <w:vAlign w:val="center"/>
          </w:tcPr>
          <w:p w14:paraId="178E9D2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sz w:val="21"/>
                <w:szCs w:val="21"/>
                <w:highlight w:val="none"/>
                <w:lang w:val="en-US" w:eastAsia="zh-CN"/>
              </w:rPr>
              <w:t>/</w:t>
            </w:r>
          </w:p>
        </w:tc>
      </w:tr>
      <w:tr w14:paraId="349A6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82" w:type="dxa"/>
            <w:vAlign w:val="center"/>
          </w:tcPr>
          <w:p w14:paraId="1FCC706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923" w:type="dxa"/>
            <w:vAlign w:val="center"/>
          </w:tcPr>
          <w:p w14:paraId="73129A5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1701" w:type="dxa"/>
            <w:vAlign w:val="center"/>
          </w:tcPr>
          <w:p w14:paraId="24302FC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25</w:t>
            </w:r>
          </w:p>
        </w:tc>
        <w:tc>
          <w:tcPr>
            <w:tcW w:w="1276" w:type="dxa"/>
            <w:vAlign w:val="center"/>
          </w:tcPr>
          <w:p w14:paraId="451A5F3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14:paraId="1CE1250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14:paraId="1E4D0E9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1</w:t>
            </w:r>
          </w:p>
        </w:tc>
        <w:tc>
          <w:tcPr>
            <w:tcW w:w="1761" w:type="dxa"/>
            <w:vAlign w:val="center"/>
          </w:tcPr>
          <w:p w14:paraId="66CA217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14:paraId="739CC13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35</w:t>
            </w:r>
          </w:p>
        </w:tc>
        <w:tc>
          <w:tcPr>
            <w:tcW w:w="961" w:type="dxa"/>
            <w:vAlign w:val="center"/>
          </w:tcPr>
          <w:p w14:paraId="1E08761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1</w:t>
            </w:r>
          </w:p>
        </w:tc>
      </w:tr>
    </w:tbl>
    <w:p w14:paraId="6A1CB3AC">
      <w:pPr>
        <w:rPr>
          <w:rFonts w:hint="default" w:ascii="Times New Roman" w:hAnsi="Times New Roman" w:eastAsia="宋体" w:cs="Times New Roman"/>
          <w:color w:val="auto"/>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p w14:paraId="272895C0">
      <w:pPr>
        <w:rPr>
          <w:rFonts w:hint="default" w:ascii="Times New Roman" w:hAnsi="Times New Roman" w:eastAsia="宋体" w:cs="Times New Roman"/>
          <w:color w:val="auto"/>
        </w:rPr>
      </w:pPr>
    </w:p>
    <w:p w14:paraId="4D085B7A">
      <w:pPr>
        <w:rPr>
          <w:rFonts w:hint="default" w:ascii="Times New Roman" w:hAnsi="Times New Roman" w:eastAsia="宋体" w:cs="Times New Roman"/>
          <w:color w:val="auto"/>
        </w:rPr>
      </w:pPr>
    </w:p>
    <w:p w14:paraId="335B33BE"/>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0563">
    <w:pPr>
      <w:pStyle w:val="2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64D41">
                          <w:pPr>
                            <w:pStyle w:val="23"/>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9</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364D41">
                    <w:pPr>
                      <w:pStyle w:val="23"/>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9</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9D756"/>
    <w:multiLevelType w:val="singleLevel"/>
    <w:tmpl w:val="C589D756"/>
    <w:lvl w:ilvl="0" w:tentative="0">
      <w:start w:val="3"/>
      <w:numFmt w:val="decimal"/>
      <w:lvlText w:val="%1."/>
      <w:lvlJc w:val="left"/>
      <w:pPr>
        <w:tabs>
          <w:tab w:val="left" w:pos="312"/>
        </w:tabs>
      </w:pPr>
    </w:lvl>
  </w:abstractNum>
  <w:abstractNum w:abstractNumId="1">
    <w:nsid w:val="C728158C"/>
    <w:multiLevelType w:val="singleLevel"/>
    <w:tmpl w:val="C728158C"/>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F4502DB3"/>
    <w:multiLevelType w:val="singleLevel"/>
    <w:tmpl w:val="F4502DB3"/>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zZiOTVlYzA1Y2QxZjJhNzRkYjUxYWVhZGEwN2UifQ=="/>
  </w:docVars>
  <w:rsids>
    <w:rsidRoot w:val="7FF41084"/>
    <w:rsid w:val="055241B7"/>
    <w:rsid w:val="1F0813F5"/>
    <w:rsid w:val="34A70156"/>
    <w:rsid w:val="4B7D5370"/>
    <w:rsid w:val="6CE0251A"/>
    <w:rsid w:val="7FF4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44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adjustRightInd w:val="0"/>
      <w:snapToGrid w:val="0"/>
      <w:spacing w:beforeLines="0" w:beforeAutospacing="0" w:line="360" w:lineRule="auto"/>
      <w:ind w:firstLine="1440" w:firstLineChars="200"/>
      <w:outlineLvl w:val="1"/>
    </w:pPr>
    <w:rPr>
      <w:rFonts w:ascii="Times New Roman" w:hAnsi="Times New Roman" w:eastAsia="宋体"/>
      <w:b/>
      <w:sz w:val="24"/>
    </w:rPr>
  </w:style>
  <w:style w:type="character" w:default="1" w:styleId="30">
    <w:name w:val="Default Paragraph Font"/>
    <w:semiHidden/>
    <w:qFormat/>
    <w:uiPriority w:val="0"/>
  </w:style>
  <w:style w:type="table" w:default="1" w:styleId="28">
    <w:name w:val="Normal Table"/>
    <w:semiHidden/>
    <w:uiPriority w:val="0"/>
    <w:tblPr>
      <w:tblCellMar>
        <w:top w:w="0" w:type="dxa"/>
        <w:left w:w="108" w:type="dxa"/>
        <w:bottom w:w="0" w:type="dxa"/>
        <w:right w:w="108" w:type="dxa"/>
      </w:tblCellMar>
    </w:tblPr>
  </w:style>
  <w:style w:type="paragraph" w:styleId="4">
    <w:name w:val="E-mail Signature"/>
    <w:basedOn w:val="1"/>
    <w:next w:val="5"/>
    <w:qFormat/>
    <w:uiPriority w:val="99"/>
    <w:pPr>
      <w:spacing w:line="460" w:lineRule="exact"/>
      <w:ind w:firstLine="200"/>
    </w:pPr>
    <w:rPr>
      <w:rFonts w:ascii="Times New Roman" w:hAnsi="Times New Roman" w:cs="Times New Roman"/>
    </w:rPr>
  </w:style>
  <w:style w:type="paragraph" w:customStyle="1" w:styleId="5">
    <w:name w:val="文章"/>
    <w:next w:val="6"/>
    <w:autoRedefine/>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6">
    <w:name w:val="List"/>
    <w:basedOn w:val="1"/>
    <w:next w:val="7"/>
    <w:qFormat/>
    <w:uiPriority w:val="0"/>
    <w:pPr>
      <w:ind w:left="420" w:hanging="420"/>
    </w:pPr>
    <w:rPr>
      <w:sz w:val="28"/>
      <w:szCs w:val="20"/>
    </w:rPr>
  </w:style>
  <w:style w:type="paragraph" w:styleId="7">
    <w:name w:val="List Bullet 2"/>
    <w:basedOn w:val="1"/>
    <w:next w:val="8"/>
    <w:qFormat/>
    <w:uiPriority w:val="0"/>
    <w:pPr>
      <w:numPr>
        <w:ilvl w:val="0"/>
        <w:numId w:val="1"/>
      </w:numPr>
    </w:pPr>
  </w:style>
  <w:style w:type="paragraph" w:customStyle="1" w:styleId="8">
    <w:name w:val="xl70"/>
    <w:basedOn w:val="1"/>
    <w:next w:val="9"/>
    <w:autoRedefine/>
    <w:qFormat/>
    <w:uiPriority w:val="0"/>
    <w:pPr>
      <w:widowControl/>
      <w:spacing w:before="280" w:after="280" w:line="240" w:lineRule="auto"/>
      <w:ind w:firstLine="0"/>
    </w:pPr>
    <w:rPr>
      <w:rFonts w:ascii="宋体"/>
    </w:rPr>
  </w:style>
  <w:style w:type="paragraph" w:customStyle="1" w:styleId="9">
    <w:name w:val="正文缩进1"/>
    <w:basedOn w:val="1"/>
    <w:next w:val="10"/>
    <w:autoRedefine/>
    <w:qFormat/>
    <w:uiPriority w:val="0"/>
    <w:pPr>
      <w:ind w:firstLine="420"/>
    </w:pPr>
    <w:rPr>
      <w:rFonts w:ascii="宋体"/>
      <w:sz w:val="28"/>
    </w:rPr>
  </w:style>
  <w:style w:type="paragraph" w:customStyle="1" w:styleId="10">
    <w:name w:val="td1"/>
    <w:basedOn w:val="1"/>
    <w:next w:val="1"/>
    <w:autoRedefine/>
    <w:qFormat/>
    <w:uiPriority w:val="0"/>
    <w:pPr>
      <w:widowControl/>
      <w:spacing w:before="280" w:after="280" w:line="300" w:lineRule="atLeast"/>
      <w:ind w:firstLine="200"/>
    </w:pPr>
    <w:rPr>
      <w:color w:val="000000"/>
      <w:sz w:val="18"/>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Salutation"/>
    <w:basedOn w:val="1"/>
    <w:next w:val="1"/>
    <w:qFormat/>
    <w:uiPriority w:val="0"/>
  </w:style>
  <w:style w:type="paragraph" w:styleId="14">
    <w:name w:val="Body Text"/>
    <w:basedOn w:val="1"/>
    <w:qFormat/>
    <w:uiPriority w:val="0"/>
    <w:pPr>
      <w:spacing w:after="120"/>
    </w:pPr>
  </w:style>
  <w:style w:type="paragraph" w:styleId="15">
    <w:name w:val="Body Text Indent"/>
    <w:basedOn w:val="1"/>
    <w:next w:val="16"/>
    <w:qFormat/>
    <w:uiPriority w:val="0"/>
    <w:pPr>
      <w:widowControl/>
      <w:spacing w:after="120"/>
      <w:ind w:left="420" w:leftChars="200"/>
      <w:jc w:val="left"/>
    </w:pPr>
    <w:rPr>
      <w:kern w:val="0"/>
      <w:sz w:val="24"/>
    </w:rPr>
  </w:style>
  <w:style w:type="paragraph" w:styleId="16">
    <w:name w:val="header"/>
    <w:basedOn w:val="1"/>
    <w:next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index heading"/>
    <w:basedOn w:val="1"/>
    <w:next w:val="18"/>
    <w:qFormat/>
    <w:uiPriority w:val="0"/>
    <w:rPr>
      <w:rFonts w:ascii="Arial" w:hAnsi="Arial"/>
      <w:b/>
    </w:rPr>
  </w:style>
  <w:style w:type="paragraph" w:styleId="18">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9">
    <w:name w:val="Block Text"/>
    <w:basedOn w:val="1"/>
    <w:qFormat/>
    <w:uiPriority w:val="0"/>
    <w:pPr>
      <w:spacing w:after="120"/>
      <w:ind w:left="1440" w:leftChars="700" w:right="1440" w:rightChars="700"/>
    </w:pPr>
  </w:style>
  <w:style w:type="paragraph" w:styleId="20">
    <w:name w:val="Plain Text"/>
    <w:basedOn w:val="1"/>
    <w:next w:val="21"/>
    <w:qFormat/>
    <w:uiPriority w:val="0"/>
    <w:rPr>
      <w:rFonts w:ascii="宋体" w:hAnsi="Courier New"/>
    </w:rPr>
  </w:style>
  <w:style w:type="paragraph" w:customStyle="1" w:styleId="21">
    <w:name w:val="Default"/>
    <w:basedOn w:val="2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纯文本1"/>
    <w:basedOn w:val="1"/>
    <w:autoRedefine/>
    <w:qFormat/>
    <w:uiPriority w:val="0"/>
    <w:pPr>
      <w:topLinePunct w:val="0"/>
      <w:spacing w:line="240" w:lineRule="auto"/>
      <w:jc w:val="both"/>
      <w:textAlignment w:val="baseline"/>
    </w:pPr>
    <w:rPr>
      <w:rFonts w:ascii="宋体" w:hAnsi="Courier New"/>
      <w:sz w:val="21"/>
      <w:szCs w:val="20"/>
    </w:rPr>
  </w:style>
  <w:style w:type="paragraph" w:styleId="23">
    <w:name w:val="footer"/>
    <w:basedOn w:val="1"/>
    <w:qFormat/>
    <w:uiPriority w:val="99"/>
    <w:pPr>
      <w:tabs>
        <w:tab w:val="center" w:pos="4153"/>
        <w:tab w:val="right" w:pos="8306"/>
      </w:tabs>
      <w:snapToGrid w:val="0"/>
      <w:jc w:val="left"/>
    </w:pPr>
    <w:rPr>
      <w:kern w:val="0"/>
      <w:sz w:val="18"/>
      <w:szCs w:val="20"/>
    </w:rPr>
  </w:style>
  <w:style w:type="paragraph" w:styleId="24">
    <w:name w:val="toc 2"/>
    <w:basedOn w:val="1"/>
    <w:next w:val="4"/>
    <w:qFormat/>
    <w:uiPriority w:val="39"/>
    <w:pPr>
      <w:ind w:left="210"/>
      <w:jc w:val="left"/>
    </w:pPr>
    <w:rPr>
      <w:smallCaps/>
      <w:sz w:val="24"/>
      <w:szCs w:val="20"/>
    </w:r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6">
    <w:name w:val="Body Text First Indent"/>
    <w:basedOn w:val="14"/>
    <w:next w:val="1"/>
    <w:qFormat/>
    <w:uiPriority w:val="0"/>
    <w:pPr>
      <w:ind w:firstLine="420" w:firstLineChars="100"/>
    </w:pPr>
    <w:rPr>
      <w:sz w:val="24"/>
    </w:rPr>
  </w:style>
  <w:style w:type="paragraph" w:styleId="27">
    <w:name w:val="Body Text First Indent 2"/>
    <w:basedOn w:val="1"/>
    <w:next w:val="26"/>
    <w:qFormat/>
    <w:uiPriority w:val="0"/>
    <w:pPr>
      <w:widowControl w:val="0"/>
      <w:ind w:firstLine="420" w:firstLineChars="200"/>
      <w:jc w:val="both"/>
    </w:pPr>
    <w:rPr>
      <w:kern w:val="2"/>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customStyle="1" w:styleId="33">
    <w:name w:val="正文文本 Char1"/>
    <w:autoRedefine/>
    <w:qFormat/>
    <w:uiPriority w:val="0"/>
    <w:rPr>
      <w:rFonts w:eastAsia="宋体"/>
      <w:kern w:val="2"/>
      <w:sz w:val="28"/>
      <w:szCs w:val="24"/>
      <w:lang w:val="en-US" w:eastAsia="zh-CN" w:bidi="ar-SA"/>
    </w:rPr>
  </w:style>
  <w:style w:type="paragraph" w:customStyle="1" w:styleId="34">
    <w:name w:val="表头、图尾"/>
    <w:basedOn w:val="1"/>
    <w:autoRedefine/>
    <w:qFormat/>
    <w:uiPriority w:val="0"/>
    <w:pPr>
      <w:spacing w:beforeLines="50" w:afterLines="20" w:line="240" w:lineRule="auto"/>
      <w:ind w:firstLine="0" w:firstLineChars="0"/>
      <w:jc w:val="center"/>
      <w:outlineLvl w:val="1"/>
    </w:pPr>
    <w:rPr>
      <w:b/>
    </w:rPr>
  </w:style>
  <w:style w:type="character" w:customStyle="1" w:styleId="35">
    <w:name w:val="NormalCharacter"/>
    <w:autoRedefine/>
    <w:qFormat/>
    <w:uiPriority w:val="0"/>
  </w:style>
  <w:style w:type="paragraph" w:customStyle="1" w:styleId="36">
    <w:name w:val="文本22"/>
    <w:basedOn w:val="1"/>
    <w:autoRedefine/>
    <w:qFormat/>
    <w:uiPriority w:val="0"/>
    <w:pPr>
      <w:autoSpaceDE w:val="0"/>
      <w:autoSpaceDN w:val="0"/>
      <w:adjustRightInd w:val="0"/>
      <w:spacing w:line="360" w:lineRule="auto"/>
      <w:ind w:firstLine="480" w:firstLineChars="200"/>
    </w:pPr>
    <w:rPr>
      <w:rFonts w:ascii="Times New Roman" w:hAnsi="Times New Roman"/>
      <w:sz w:val="24"/>
      <w:szCs w:val="24"/>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表格文字"/>
    <w:basedOn w:val="39"/>
    <w:next w:val="1"/>
    <w:autoRedefine/>
    <w:qFormat/>
    <w:uiPriority w:val="0"/>
    <w:pPr>
      <w:spacing w:after="0" w:line="320" w:lineRule="exact"/>
      <w:jc w:val="center"/>
    </w:pPr>
    <w:rPr>
      <w:rFonts w:ascii="宋体"/>
      <w:szCs w:val="24"/>
    </w:rPr>
  </w:style>
  <w:style w:type="paragraph" w:customStyle="1" w:styleId="39">
    <w:name w:val="方案正文"/>
    <w:basedOn w:val="1"/>
    <w:autoRedefine/>
    <w:qFormat/>
    <w:uiPriority w:val="0"/>
    <w:rPr>
      <w:kern w:val="0"/>
      <w:sz w:val="24"/>
      <w:szCs w:val="20"/>
    </w:rPr>
  </w:style>
  <w:style w:type="paragraph" w:customStyle="1" w:styleId="40">
    <w:name w:val="表格内容"/>
    <w:basedOn w:val="1"/>
    <w:autoRedefine/>
    <w:qFormat/>
    <w:uiPriority w:val="0"/>
    <w:pPr>
      <w:adjustRightInd w:val="0"/>
      <w:snapToGrid w:val="0"/>
      <w:jc w:val="center"/>
    </w:pPr>
    <w:rPr>
      <w:rFonts w:eastAsia="Times New Roman"/>
      <w:szCs w:val="21"/>
    </w:rPr>
  </w:style>
  <w:style w:type="paragraph" w:customStyle="1" w:styleId="41">
    <w:name w:val="表格"/>
    <w:basedOn w:val="11"/>
    <w:next w:val="11"/>
    <w:autoRedefine/>
    <w:qFormat/>
    <w:uiPriority w:val="0"/>
    <w:pPr>
      <w:adjustRightInd w:val="0"/>
      <w:snapToGrid w:val="0"/>
      <w:spacing w:beforeLines="10" w:afterLines="10" w:line="259" w:lineRule="auto"/>
      <w:jc w:val="center"/>
    </w:pPr>
    <w:rPr>
      <w:rFonts w:ascii="宋体"/>
      <w:kern w:val="0"/>
      <w:szCs w:val="20"/>
    </w:rPr>
  </w:style>
  <w:style w:type="paragraph" w:customStyle="1" w:styleId="42">
    <w:name w:val="Table Paragraph"/>
    <w:basedOn w:val="1"/>
    <w:autoRedefine/>
    <w:unhideWhenUsed/>
    <w:qFormat/>
    <w:uiPriority w:val="1"/>
    <w:pPr>
      <w:spacing w:beforeLines="0" w:afterLines="0"/>
    </w:pPr>
    <w:rPr>
      <w:rFonts w:hint="default"/>
      <w:sz w:val="24"/>
    </w:rPr>
  </w:style>
  <w:style w:type="paragraph" w:customStyle="1" w:styleId="43">
    <w:name w:val="1正文段落"/>
    <w:basedOn w:val="1"/>
    <w:autoRedefine/>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44">
    <w:name w:val="样式 标题 1 + 四号 段前: 0 磅 段后: 0 磅 行距: 1.5 倍行距"/>
    <w:basedOn w:val="45"/>
    <w:next w:val="1"/>
    <w:autoRedefine/>
    <w:qFormat/>
    <w:uiPriority w:val="0"/>
    <w:pPr>
      <w:spacing w:line="360" w:lineRule="auto"/>
      <w:jc w:val="center"/>
    </w:pPr>
  </w:style>
  <w:style w:type="paragraph" w:customStyle="1" w:styleId="45">
    <w:name w:val="1正文"/>
    <w:basedOn w:val="1"/>
    <w:autoRedefine/>
    <w:qFormat/>
    <w:uiPriority w:val="0"/>
    <w:pPr>
      <w:spacing w:line="500" w:lineRule="exact"/>
      <w:ind w:firstLine="588" w:firstLineChars="196"/>
    </w:pPr>
    <w:rPr>
      <w:rFonts w:eastAsia="楷体_GB2312"/>
      <w:sz w:val="30"/>
      <w:szCs w:val="30"/>
    </w:rPr>
  </w:style>
  <w:style w:type="paragraph" w:customStyle="1" w:styleId="46">
    <w:name w:val="List Paragraph"/>
    <w:basedOn w:val="1"/>
    <w:autoRedefine/>
    <w:qFormat/>
    <w:uiPriority w:val="0"/>
    <w:pPr>
      <w:ind w:firstLine="420" w:firstLineChars="200"/>
    </w:pPr>
    <w:rPr>
      <w:szCs w:val="22"/>
    </w:rPr>
  </w:style>
  <w:style w:type="paragraph" w:customStyle="1" w:styleId="47">
    <w:name w:val="样式35"/>
    <w:next w:val="48"/>
    <w:autoRedefine/>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8">
    <w:name w:val="font6"/>
    <w:basedOn w:val="1"/>
    <w:next w:val="24"/>
    <w:autoRedefine/>
    <w:qFormat/>
    <w:uiPriority w:val="0"/>
    <w:pPr>
      <w:widowControl/>
      <w:spacing w:before="100" w:beforeLines="0" w:beforeAutospacing="1" w:after="100" w:afterLines="0" w:afterAutospacing="1"/>
      <w:jc w:val="left"/>
    </w:pPr>
    <w:rPr>
      <w:rFonts w:eastAsia="Arial Unicode MS"/>
      <w:kern w:val="0"/>
      <w:sz w:val="24"/>
    </w:rPr>
  </w:style>
  <w:style w:type="paragraph" w:customStyle="1" w:styleId="49">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
    <w:name w:val="翔一正文"/>
    <w:basedOn w:val="1"/>
    <w:next w:val="1"/>
    <w:autoRedefine/>
    <w:semiHidden/>
    <w:qFormat/>
    <w:uiPriority w:val="0"/>
    <w:pPr>
      <w:spacing w:line="360" w:lineRule="auto"/>
      <w:ind w:firstLine="1446" w:firstLineChars="200"/>
    </w:pPr>
    <w:rPr>
      <w:sz w:val="24"/>
      <w:szCs w:val="21"/>
    </w:rPr>
  </w:style>
  <w:style w:type="paragraph" w:customStyle="1" w:styleId="51">
    <w:name w:val="翔一表格"/>
    <w:basedOn w:val="1"/>
    <w:next w:val="1"/>
    <w:autoRedefine/>
    <w:semiHidden/>
    <w:qFormat/>
    <w:uiPriority w:val="0"/>
    <w:pPr>
      <w:autoSpaceDE w:val="0"/>
      <w:autoSpaceDN w:val="0"/>
      <w:jc w:val="center"/>
      <w:textAlignment w:val="baseline"/>
    </w:pPr>
    <w:rPr>
      <w:kern w:val="0"/>
      <w:szCs w:val="21"/>
    </w:rPr>
  </w:style>
  <w:style w:type="character" w:customStyle="1" w:styleId="52">
    <w:name w:val="fontstyle01"/>
    <w:autoRedefine/>
    <w:qFormat/>
    <w:uiPriority w:val="0"/>
    <w:rPr>
      <w:rFonts w:hint="eastAsia" w:ascii="宋体" w:hAnsi="宋体" w:eastAsia="宋体"/>
      <w:color w:val="000000"/>
      <w:sz w:val="24"/>
      <w:szCs w:val="24"/>
    </w:rPr>
  </w:style>
  <w:style w:type="paragraph" w:customStyle="1" w:styleId="53">
    <w:name w:val="表格标题"/>
    <w:basedOn w:val="1"/>
    <w:autoRedefine/>
    <w:qFormat/>
    <w:uiPriority w:val="0"/>
    <w:pPr>
      <w:spacing w:line="540" w:lineRule="exact"/>
      <w:jc w:val="center"/>
    </w:pPr>
    <w:rPr>
      <w:rFonts w:ascii="宋体" w:hAnsi="宋体"/>
      <w:bCs/>
      <w:sz w:val="24"/>
    </w:rPr>
  </w:style>
  <w:style w:type="paragraph" w:customStyle="1" w:styleId="54">
    <w:name w:val="11"/>
    <w:basedOn w:val="14"/>
    <w:autoRedefine/>
    <w:qFormat/>
    <w:uiPriority w:val="0"/>
    <w:pPr>
      <w:autoSpaceDE w:val="0"/>
      <w:autoSpaceDN w:val="0"/>
      <w:adjustRightInd w:val="0"/>
      <w:spacing w:after="0" w:line="360" w:lineRule="auto"/>
      <w:ind w:firstLine="1320" w:firstLineChars="550"/>
      <w:textAlignment w:val="baseline"/>
    </w:pPr>
    <w:rPr>
      <w:sz w:val="24"/>
    </w:rPr>
  </w:style>
  <w:style w:type="paragraph" w:customStyle="1" w:styleId="55">
    <w:name w:val="制表格"/>
    <w:basedOn w:val="1"/>
    <w:autoRedefine/>
    <w:qFormat/>
    <w:uiPriority w:val="0"/>
    <w:pPr>
      <w:jc w:val="center"/>
    </w:pPr>
    <w:rPr>
      <w:rFonts w:ascii="Times New Roman" w:hAnsi="Times New Roman"/>
      <w:snapToGrid w:val="0"/>
      <w:kern w:val="0"/>
      <w:szCs w:val="28"/>
    </w:rPr>
  </w:style>
  <w:style w:type="character" w:customStyle="1" w:styleId="56">
    <w:name w:val="ggzbt011"/>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23667</Words>
  <Characters>25336</Characters>
  <Lines>0</Lines>
  <Paragraphs>0</Paragraphs>
  <TotalTime>70</TotalTime>
  <ScaleCrop>false</ScaleCrop>
  <LinksUpToDate>false</LinksUpToDate>
  <CharactersWithSpaces>25415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2024-11-05T07:10:00Z</dcterms:created>
  <dc:creator>爱已成殇</dc:creator>
  <cp:lastModifiedBy>听潮</cp:lastModifiedBy>
  <dcterms:modified xsi:type="dcterms:W3CDTF">2024-12-11T05:20:40Z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648CB980C8FB481BB36C000448F00590_11</vt:lpwstr>
  </property>
</Properties>
</file>